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jc w:val="center"/>
        <w:textAlignment w:val="baseline"/>
        <w:rPr>
          <w:b/>
          <w:sz w:val="21"/>
          <w:szCs w:val="21"/>
        </w:rPr>
      </w:pPr>
    </w:p>
    <w:p>
      <w:pPr>
        <w:snapToGrid w:val="0"/>
        <w:spacing w:line="360" w:lineRule="auto"/>
        <w:jc w:val="center"/>
        <w:textAlignment w:val="baseline"/>
        <w:rPr>
          <w:b/>
          <w:sz w:val="44"/>
          <w:szCs w:val="44"/>
        </w:rPr>
      </w:pPr>
      <w:r>
        <w:rPr>
          <w:rFonts w:hint="eastAsia"/>
          <w:b/>
          <w:sz w:val="44"/>
          <w:szCs w:val="44"/>
        </w:rPr>
        <w:t>华北电力大学教三楼物业服务外包项目</w:t>
      </w:r>
    </w:p>
    <w:p>
      <w:pPr>
        <w:pStyle w:val="2"/>
      </w:pPr>
    </w:p>
    <w:p>
      <w:pPr>
        <w:snapToGrid w:val="0"/>
        <w:spacing w:line="360" w:lineRule="auto"/>
        <w:jc w:val="center"/>
        <w:textAlignment w:val="baseline"/>
        <w:rPr>
          <w:rFonts w:ascii="宋体" w:hAnsi="宋体"/>
          <w:b/>
          <w:sz w:val="84"/>
          <w:szCs w:val="84"/>
        </w:rPr>
      </w:pPr>
      <w:r>
        <w:rPr>
          <w:rFonts w:hint="eastAsia" w:ascii="宋体" w:hAnsi="宋体"/>
          <w:b/>
          <w:sz w:val="84"/>
          <w:szCs w:val="84"/>
        </w:rPr>
        <w:t>招标文件</w:t>
      </w:r>
    </w:p>
    <w:p>
      <w:pPr>
        <w:snapToGrid w:val="0"/>
        <w:spacing w:line="360" w:lineRule="auto"/>
        <w:jc w:val="center"/>
        <w:textAlignment w:val="baseline"/>
        <w:rPr>
          <w:rFonts w:ascii="宋体" w:hAnsi="宋体"/>
          <w:b/>
          <w:sz w:val="32"/>
          <w:szCs w:val="32"/>
        </w:rPr>
      </w:pPr>
      <w:r>
        <w:rPr>
          <w:rFonts w:hint="eastAsia" w:ascii="宋体" w:hAnsi="宋体"/>
          <w:b/>
          <w:sz w:val="32"/>
          <w:szCs w:val="32"/>
        </w:rPr>
        <w:t>项目代理编号：HCZB-2021-ZB1012</w:t>
      </w:r>
    </w:p>
    <w:p>
      <w:pPr>
        <w:snapToGrid w:val="0"/>
        <w:spacing w:line="360" w:lineRule="auto"/>
        <w:jc w:val="left"/>
        <w:textAlignment w:val="baseline"/>
        <w:rPr>
          <w:rFonts w:hint="eastAsia" w:eastAsia="宋体"/>
          <w:lang w:eastAsia="zh-CN"/>
        </w:rPr>
      </w:pPr>
      <w:r>
        <w:drawing>
          <wp:anchor distT="0" distB="0" distL="114300" distR="114300" simplePos="0" relativeHeight="251660288" behindDoc="0" locked="0" layoutInCell="1" allowOverlap="1">
            <wp:simplePos x="0" y="0"/>
            <wp:positionH relativeFrom="column">
              <wp:posOffset>1118870</wp:posOffset>
            </wp:positionH>
            <wp:positionV relativeFrom="paragraph">
              <wp:posOffset>57150</wp:posOffset>
            </wp:positionV>
            <wp:extent cx="3514725" cy="4295775"/>
            <wp:effectExtent l="0" t="0" r="9525" b="9525"/>
            <wp:wrapSquare wrapText="bothSides"/>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19" cstate="print">
                      <a:lum contrast="20000"/>
                      <a:extLst>
                        <a:ext uri="{28A0092B-C50C-407E-A947-70E740481C1C}">
                          <a14:useLocalDpi xmlns:a14="http://schemas.microsoft.com/office/drawing/2010/main" val="0"/>
                        </a:ext>
                      </a:extLst>
                    </a:blip>
                    <a:srcRect/>
                    <a:stretch>
                      <a:fillRect/>
                    </a:stretch>
                  </pic:blipFill>
                  <pic:spPr>
                    <a:xfrm>
                      <a:off x="0" y="0"/>
                      <a:ext cx="3514725" cy="4295775"/>
                    </a:xfrm>
                    <a:prstGeom prst="rect">
                      <a:avLst/>
                    </a:prstGeom>
                    <a:noFill/>
                    <a:ln>
                      <a:noFill/>
                    </a:ln>
                  </pic:spPr>
                </pic:pic>
              </a:graphicData>
            </a:graphic>
          </wp:anchor>
        </w:drawing>
      </w:r>
    </w:p>
    <w:p>
      <w:pPr>
        <w:pStyle w:val="2"/>
        <w:rPr>
          <w:rFonts w:hint="eastAsia"/>
          <w:lang w:eastAsia="zh-CN"/>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snapToGrid w:val="0"/>
        <w:spacing w:line="360" w:lineRule="auto"/>
        <w:jc w:val="center"/>
        <w:textAlignment w:val="baseline"/>
        <w:rPr>
          <w:rFonts w:ascii="宋体" w:hAnsi="宋体"/>
          <w:b/>
          <w:sz w:val="32"/>
          <w:szCs w:val="32"/>
        </w:rPr>
      </w:pPr>
    </w:p>
    <w:p>
      <w:pPr>
        <w:pStyle w:val="2"/>
      </w:pPr>
    </w:p>
    <w:p/>
    <w:p>
      <w:pPr>
        <w:pStyle w:val="2"/>
      </w:pPr>
    </w:p>
    <w:p/>
    <w:p>
      <w:pPr>
        <w:snapToGrid w:val="0"/>
        <w:spacing w:line="360" w:lineRule="auto"/>
        <w:jc w:val="center"/>
        <w:textAlignment w:val="baseline"/>
        <w:rPr>
          <w:rFonts w:ascii="宋体" w:hAnsi="宋体"/>
          <w:b/>
          <w:sz w:val="24"/>
        </w:rPr>
      </w:pPr>
      <w:r>
        <w:rPr>
          <w:rFonts w:hint="eastAsia" w:ascii="宋体" w:hAnsi="宋体"/>
          <w:b/>
          <w:sz w:val="32"/>
          <w:szCs w:val="32"/>
        </w:rPr>
        <w:t>华采招标集团有限公司</w:t>
      </w:r>
    </w:p>
    <w:p>
      <w:pPr>
        <w:snapToGrid w:val="0"/>
        <w:spacing w:line="360" w:lineRule="auto"/>
        <w:jc w:val="center"/>
        <w:textAlignment w:val="baseline"/>
        <w:rPr>
          <w:rFonts w:ascii="宋体" w:hAnsi="宋体"/>
          <w:b/>
          <w:w w:val="80"/>
          <w:sz w:val="32"/>
          <w:szCs w:val="32"/>
        </w:rPr>
        <w:sectPr>
          <w:headerReference r:id="rId4" w:type="first"/>
          <w:headerReference r:id="rId3" w:type="default"/>
          <w:footerReference r:id="rId5" w:type="even"/>
          <w:pgSz w:w="11905" w:h="16838"/>
          <w:pgMar w:top="1088" w:right="1417" w:bottom="1400" w:left="1417" w:header="567" w:footer="850" w:gutter="0"/>
          <w:pgNumType w:start="1"/>
          <w:cols w:space="0" w:num="1"/>
          <w:docGrid w:linePitch="462" w:charSpace="0"/>
        </w:sectPr>
      </w:pPr>
      <w:r>
        <w:rPr>
          <w:rFonts w:hint="eastAsia" w:ascii="宋体" w:hAnsi="宋体"/>
          <w:b/>
          <w:w w:val="80"/>
          <w:sz w:val="32"/>
          <w:szCs w:val="32"/>
        </w:rPr>
        <w:t>2021年10月</w:t>
      </w:r>
    </w:p>
    <w:sdt>
      <w:sdtPr>
        <w:rPr>
          <w:rFonts w:ascii="宋体" w:hAnsi="宋体" w:cs="Times New Roman"/>
          <w:b w:val="0"/>
          <w:bCs w:val="0"/>
          <w:kern w:val="2"/>
          <w:sz w:val="21"/>
          <w:szCs w:val="24"/>
          <w:lang w:val="en-US"/>
        </w:rPr>
        <w:id w:val="147479375"/>
        <w15:color w:val="DBDBDB"/>
        <w:docPartObj>
          <w:docPartGallery w:val="Table of Contents"/>
          <w:docPartUnique/>
        </w:docPartObj>
      </w:sdtPr>
      <w:sdtEndPr>
        <w:rPr>
          <w:rFonts w:ascii="宋体" w:hAnsi="宋体" w:cs="Times New Roman"/>
          <w:b w:val="0"/>
          <w:bCs w:val="0"/>
          <w:kern w:val="2"/>
          <w:sz w:val="24"/>
          <w:szCs w:val="24"/>
          <w:lang w:val="en-US"/>
        </w:rPr>
      </w:sdtEndPr>
      <w:sdtContent>
        <w:p>
          <w:pPr>
            <w:pStyle w:val="3"/>
            <w:snapToGrid w:val="0"/>
            <w:spacing w:line="360" w:lineRule="auto"/>
            <w:textAlignment w:val="baseline"/>
            <w:rPr>
              <w:rFonts w:ascii="宋体" w:hAnsi="宋体"/>
              <w:sz w:val="24"/>
              <w:szCs w:val="24"/>
            </w:rPr>
          </w:pPr>
          <w:bookmarkStart w:id="0" w:name="_Toc7477"/>
          <w:r>
            <w:rPr>
              <w:rFonts w:ascii="宋体" w:hAnsi="宋体"/>
              <w:sz w:val="24"/>
              <w:szCs w:val="24"/>
            </w:rPr>
            <w:t>目录</w:t>
          </w:r>
          <w:bookmarkEnd w:id="0"/>
        </w:p>
        <w:p>
          <w:pPr>
            <w:pStyle w:val="37"/>
            <w:tabs>
              <w:tab w:val="right" w:leader="dot" w:pos="9040"/>
            </w:tabs>
          </w:pPr>
          <w:r>
            <w:rPr>
              <w:rFonts w:ascii="宋体" w:hAnsi="宋体"/>
              <w:b w:val="0"/>
              <w:caps w:val="0"/>
              <w:sz w:val="24"/>
              <w:szCs w:val="24"/>
            </w:rPr>
            <w:fldChar w:fldCharType="begin"/>
          </w:r>
          <w:r>
            <w:rPr>
              <w:rFonts w:ascii="宋体" w:hAnsi="宋体"/>
              <w:b w:val="0"/>
              <w:caps w:val="0"/>
              <w:sz w:val="24"/>
              <w:szCs w:val="24"/>
            </w:rPr>
            <w:instrText xml:space="preserve">TOC \o "1-3" \h \u </w:instrText>
          </w:r>
          <w:r>
            <w:rPr>
              <w:rFonts w:ascii="宋体" w:hAnsi="宋体"/>
              <w:b w:val="0"/>
              <w:caps w:val="0"/>
              <w:sz w:val="24"/>
              <w:szCs w:val="24"/>
            </w:rPr>
            <w:fldChar w:fldCharType="separate"/>
          </w:r>
          <w:r>
            <w:fldChar w:fldCharType="begin"/>
          </w:r>
          <w:r>
            <w:instrText xml:space="preserve"> HYPERLINK \l "_Toc7477" </w:instrText>
          </w:r>
          <w:r>
            <w:fldChar w:fldCharType="separate"/>
          </w:r>
          <w:r>
            <w:rPr>
              <w:rFonts w:ascii="宋体" w:hAnsi="宋体"/>
              <w:szCs w:val="24"/>
            </w:rPr>
            <w:t>目录</w:t>
          </w:r>
          <w:r>
            <w:tab/>
          </w:r>
          <w:r>
            <w:fldChar w:fldCharType="begin"/>
          </w:r>
          <w:r>
            <w:instrText xml:space="preserve"> PAGEREF _Toc7477 \h </w:instrText>
          </w:r>
          <w:r>
            <w:fldChar w:fldCharType="separate"/>
          </w:r>
          <w:r>
            <w:t>2</w:t>
          </w:r>
          <w:r>
            <w:fldChar w:fldCharType="end"/>
          </w:r>
          <w:r>
            <w:fldChar w:fldCharType="end"/>
          </w:r>
        </w:p>
        <w:p>
          <w:pPr>
            <w:pStyle w:val="37"/>
            <w:tabs>
              <w:tab w:val="right" w:leader="dot" w:pos="9040"/>
            </w:tabs>
          </w:pPr>
          <w:r>
            <w:fldChar w:fldCharType="begin"/>
          </w:r>
          <w:r>
            <w:instrText xml:space="preserve"> HYPERLINK \l "_Toc11680" </w:instrText>
          </w:r>
          <w:r>
            <w:fldChar w:fldCharType="separate"/>
          </w:r>
          <w:r>
            <w:rPr>
              <w:rFonts w:hint="eastAsia" w:hAnsi="宋体"/>
              <w:szCs w:val="28"/>
            </w:rPr>
            <w:t>第一章 投标邀请</w:t>
          </w:r>
          <w:r>
            <w:tab/>
          </w:r>
          <w:r>
            <w:fldChar w:fldCharType="begin"/>
          </w:r>
          <w:r>
            <w:instrText xml:space="preserve"> PAGEREF _Toc11680 \h </w:instrText>
          </w:r>
          <w:r>
            <w:fldChar w:fldCharType="separate"/>
          </w:r>
          <w:r>
            <w:t>1</w:t>
          </w:r>
          <w:r>
            <w:fldChar w:fldCharType="end"/>
          </w:r>
          <w:r>
            <w:fldChar w:fldCharType="end"/>
          </w:r>
        </w:p>
        <w:p>
          <w:pPr>
            <w:pStyle w:val="37"/>
            <w:tabs>
              <w:tab w:val="right" w:leader="dot" w:pos="9040"/>
            </w:tabs>
          </w:pPr>
          <w:r>
            <w:fldChar w:fldCharType="begin"/>
          </w:r>
          <w:r>
            <w:instrText xml:space="preserve"> HYPERLINK \l "_Toc17551" </w:instrText>
          </w:r>
          <w:r>
            <w:fldChar w:fldCharType="separate"/>
          </w:r>
          <w:r>
            <w:rPr>
              <w:rFonts w:hint="eastAsia"/>
            </w:rPr>
            <w:t>第二章 投标人须知资料表</w:t>
          </w:r>
          <w:r>
            <w:tab/>
          </w:r>
          <w:r>
            <w:fldChar w:fldCharType="begin"/>
          </w:r>
          <w:r>
            <w:instrText xml:space="preserve"> PAGEREF _Toc17551 \h </w:instrText>
          </w:r>
          <w:r>
            <w:fldChar w:fldCharType="separate"/>
          </w:r>
          <w:r>
            <w:t>3</w:t>
          </w:r>
          <w:r>
            <w:fldChar w:fldCharType="end"/>
          </w:r>
          <w:r>
            <w:fldChar w:fldCharType="end"/>
          </w:r>
        </w:p>
        <w:p>
          <w:pPr>
            <w:pStyle w:val="37"/>
            <w:tabs>
              <w:tab w:val="right" w:leader="dot" w:pos="9040"/>
            </w:tabs>
          </w:pPr>
          <w:r>
            <w:fldChar w:fldCharType="begin"/>
          </w:r>
          <w:r>
            <w:instrText xml:space="preserve"> HYPERLINK \l "_Toc6367" </w:instrText>
          </w:r>
          <w:r>
            <w:fldChar w:fldCharType="separate"/>
          </w:r>
          <w:r>
            <w:rPr>
              <w:rFonts w:hint="eastAsia"/>
            </w:rPr>
            <w:t>第三章 投标人须知</w:t>
          </w:r>
          <w:r>
            <w:tab/>
          </w:r>
          <w:r>
            <w:fldChar w:fldCharType="begin"/>
          </w:r>
          <w:r>
            <w:instrText xml:space="preserve"> PAGEREF _Toc6367 \h </w:instrText>
          </w:r>
          <w:r>
            <w:fldChar w:fldCharType="separate"/>
          </w:r>
          <w:r>
            <w:t>6</w:t>
          </w:r>
          <w:r>
            <w:fldChar w:fldCharType="end"/>
          </w:r>
          <w:r>
            <w:fldChar w:fldCharType="end"/>
          </w:r>
        </w:p>
        <w:p>
          <w:pPr>
            <w:pStyle w:val="27"/>
            <w:tabs>
              <w:tab w:val="right" w:leader="dot" w:pos="9040"/>
            </w:tabs>
            <w:rPr>
              <w:i w:val="0"/>
            </w:rPr>
          </w:pPr>
          <w:r>
            <w:fldChar w:fldCharType="begin"/>
          </w:r>
          <w:r>
            <w:instrText xml:space="preserve"> HYPERLINK \l "_Toc15237" </w:instrText>
          </w:r>
          <w:r>
            <w:fldChar w:fldCharType="separate"/>
          </w:r>
          <w:r>
            <w:rPr>
              <w:i w:val="0"/>
              <w:szCs w:val="28"/>
            </w:rPr>
            <w:t>一 说明</w:t>
          </w:r>
          <w:r>
            <w:rPr>
              <w:i w:val="0"/>
            </w:rPr>
            <w:tab/>
          </w:r>
          <w:r>
            <w:rPr>
              <w:i w:val="0"/>
            </w:rPr>
            <w:fldChar w:fldCharType="begin"/>
          </w:r>
          <w:r>
            <w:rPr>
              <w:i w:val="0"/>
            </w:rPr>
            <w:instrText xml:space="preserve"> PAGEREF _Toc15237 \h </w:instrText>
          </w:r>
          <w:r>
            <w:rPr>
              <w:i w:val="0"/>
            </w:rPr>
            <w:fldChar w:fldCharType="separate"/>
          </w:r>
          <w:r>
            <w:rPr>
              <w:i w:val="0"/>
            </w:rPr>
            <w:t>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"_Toc29697" </w:instrText>
          </w:r>
          <w:r>
            <w:fldChar w:fldCharType="separate"/>
          </w:r>
          <w:r>
            <w:rPr>
              <w:i w:val="0"/>
            </w:rPr>
            <w:t>1.采购人、采购代理机构及合格的投标人</w:t>
          </w:r>
          <w:r>
            <w:rPr>
              <w:i w:val="0"/>
            </w:rPr>
            <w:tab/>
          </w:r>
          <w:r>
            <w:rPr>
              <w:i w:val="0"/>
            </w:rPr>
            <w:fldChar w:fldCharType="begin"/>
          </w:r>
          <w:r>
            <w:rPr>
              <w:i w:val="0"/>
            </w:rPr>
            <w:instrText xml:space="preserve"> PAGEREF _Toc29697 \h </w:instrText>
          </w:r>
          <w:r>
            <w:rPr>
              <w:i w:val="0"/>
            </w:rPr>
            <w:fldChar w:fldCharType="separate"/>
          </w:r>
          <w:r>
            <w:rPr>
              <w:i w:val="0"/>
            </w:rPr>
            <w:t>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"_Toc11189" </w:instrText>
          </w:r>
          <w:r>
            <w:fldChar w:fldCharType="separate"/>
          </w:r>
          <w:r>
            <w:rPr>
              <w:i w:val="0"/>
            </w:rPr>
            <w:t>2.资金来源</w:t>
          </w:r>
          <w:r>
            <w:rPr>
              <w:i w:val="0"/>
            </w:rPr>
            <w:tab/>
          </w:r>
          <w:r>
            <w:rPr>
              <w:i w:val="0"/>
            </w:rPr>
            <w:fldChar w:fldCharType="begin"/>
          </w:r>
          <w:r>
            <w:rPr>
              <w:i w:val="0"/>
            </w:rPr>
            <w:instrText xml:space="preserve"> PAGEREF _Toc11189 \h </w:instrText>
          </w:r>
          <w:r>
            <w:rPr>
              <w:i w:val="0"/>
            </w:rPr>
            <w:fldChar w:fldCharType="separate"/>
          </w:r>
          <w:r>
            <w:rPr>
              <w:i w:val="0"/>
            </w:rPr>
            <w:t>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"_Toc22997" </w:instrText>
          </w:r>
          <w:r>
            <w:fldChar w:fldCharType="separate"/>
          </w:r>
          <w:r>
            <w:rPr>
              <w:i w:val="0"/>
            </w:rPr>
            <w:t>3.投标费用</w:t>
          </w:r>
          <w:r>
            <w:rPr>
              <w:i w:val="0"/>
            </w:rPr>
            <w:tab/>
          </w:r>
          <w:r>
            <w:rPr>
              <w:i w:val="0"/>
            </w:rPr>
            <w:fldChar w:fldCharType="begin"/>
          </w:r>
          <w:r>
            <w:rPr>
              <w:i w:val="0"/>
            </w:rPr>
            <w:instrText xml:space="preserve"> PAGEREF _Toc22997 \h </w:instrText>
          </w:r>
          <w:r>
            <w:rPr>
              <w:i w:val="0"/>
            </w:rPr>
            <w:fldChar w:fldCharType="separate"/>
          </w:r>
          <w:r>
            <w:rPr>
              <w:i w:val="0"/>
            </w:rPr>
            <w:t>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"_Toc9647" </w:instrText>
          </w:r>
          <w:r>
            <w:fldChar w:fldCharType="separate"/>
          </w:r>
          <w:r>
            <w:rPr>
              <w:i w:val="0"/>
            </w:rPr>
            <w:t>二 招标文件</w:t>
          </w:r>
          <w:r>
            <w:rPr>
              <w:i w:val="0"/>
            </w:rPr>
            <w:tab/>
          </w:r>
          <w:r>
            <w:rPr>
              <w:i w:val="0"/>
            </w:rPr>
            <w:fldChar w:fldCharType="begin"/>
          </w:r>
          <w:r>
            <w:rPr>
              <w:i w:val="0"/>
            </w:rPr>
            <w:instrText xml:space="preserve"> PAGEREF _Toc9647 \h </w:instrText>
          </w:r>
          <w:r>
            <w:rPr>
              <w:i w:val="0"/>
            </w:rPr>
            <w:fldChar w:fldCharType="separate"/>
          </w:r>
          <w:r>
            <w:rPr>
              <w:i w:val="0"/>
            </w:rPr>
            <w:t>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"_Toc32162" </w:instrText>
          </w:r>
          <w:r>
            <w:fldChar w:fldCharType="separate"/>
          </w:r>
          <w:r>
            <w:rPr>
              <w:i w:val="0"/>
            </w:rPr>
            <w:t>4.招标文件构成</w:t>
          </w:r>
          <w:r>
            <w:rPr>
              <w:i w:val="0"/>
            </w:rPr>
            <w:tab/>
          </w:r>
          <w:r>
            <w:rPr>
              <w:i w:val="0"/>
            </w:rPr>
            <w:fldChar w:fldCharType="begin"/>
          </w:r>
          <w:r>
            <w:rPr>
              <w:i w:val="0"/>
            </w:rPr>
            <w:instrText xml:space="preserve"> PAGEREF _Toc32162 \h </w:instrText>
          </w:r>
          <w:r>
            <w:rPr>
              <w:i w:val="0"/>
            </w:rPr>
            <w:fldChar w:fldCharType="separate"/>
          </w:r>
          <w:r>
            <w:rPr>
              <w:i w:val="0"/>
            </w:rPr>
            <w:t>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"_Toc18608" </w:instrText>
          </w:r>
          <w:r>
            <w:fldChar w:fldCharType="separate"/>
          </w:r>
          <w:r>
            <w:rPr>
              <w:i w:val="0"/>
            </w:rPr>
            <w:t>5.招标文件的澄清</w:t>
          </w:r>
          <w:r>
            <w:rPr>
              <w:i w:val="0"/>
            </w:rPr>
            <w:tab/>
          </w:r>
          <w:r>
            <w:rPr>
              <w:i w:val="0"/>
            </w:rPr>
            <w:fldChar w:fldCharType="begin"/>
          </w:r>
          <w:r>
            <w:rPr>
              <w:i w:val="0"/>
            </w:rPr>
            <w:instrText xml:space="preserve"> PAGEREF _Toc18608 \h </w:instrText>
          </w:r>
          <w:r>
            <w:rPr>
              <w:i w:val="0"/>
            </w:rPr>
            <w:fldChar w:fldCharType="separate"/>
          </w:r>
          <w:r>
            <w:rPr>
              <w:i w:val="0"/>
            </w:rPr>
            <w:t>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"_Toc7806" </w:instrText>
          </w:r>
          <w:r>
            <w:fldChar w:fldCharType="separate"/>
          </w:r>
          <w:r>
            <w:rPr>
              <w:i w:val="0"/>
            </w:rPr>
            <w:t>6.招标文件的修改</w:t>
          </w:r>
          <w:r>
            <w:rPr>
              <w:i w:val="0"/>
            </w:rPr>
            <w:tab/>
          </w:r>
          <w:r>
            <w:rPr>
              <w:i w:val="0"/>
            </w:rPr>
            <w:fldChar w:fldCharType="begin"/>
          </w:r>
          <w:r>
            <w:rPr>
              <w:i w:val="0"/>
            </w:rPr>
            <w:instrText xml:space="preserve"> PAGEREF _Toc7806 \h </w:instrText>
          </w:r>
          <w:r>
            <w:rPr>
              <w:i w:val="0"/>
            </w:rPr>
            <w:fldChar w:fldCharType="separate"/>
          </w:r>
          <w:r>
            <w:rPr>
              <w:i w:val="0"/>
            </w:rPr>
            <w:t>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"_Toc10527" </w:instrText>
          </w:r>
          <w:r>
            <w:fldChar w:fldCharType="separate"/>
          </w:r>
          <w:r>
            <w:rPr>
              <w:i w:val="0"/>
            </w:rPr>
            <w:t>三 投标文件的编制</w:t>
          </w:r>
          <w:r>
            <w:rPr>
              <w:i w:val="0"/>
            </w:rPr>
            <w:tab/>
          </w:r>
          <w:r>
            <w:rPr>
              <w:i w:val="0"/>
            </w:rPr>
            <w:fldChar w:fldCharType="begin"/>
          </w:r>
          <w:r>
            <w:rPr>
              <w:i w:val="0"/>
            </w:rPr>
            <w:instrText xml:space="preserve"> PAGEREF _Toc10527 \h </w:instrText>
          </w:r>
          <w:r>
            <w:rPr>
              <w:i w:val="0"/>
            </w:rPr>
            <w:fldChar w:fldCharType="separate"/>
          </w:r>
          <w:r>
            <w:rPr>
              <w:i w:val="0"/>
            </w:rPr>
            <w:t>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"_Toc4687" </w:instrText>
          </w:r>
          <w:r>
            <w:fldChar w:fldCharType="separate"/>
          </w:r>
          <w:r>
            <w:rPr>
              <w:i w:val="0"/>
            </w:rPr>
            <w:t>7.投标文件编制的原则</w:t>
          </w:r>
          <w:r>
            <w:rPr>
              <w:i w:val="0"/>
            </w:rPr>
            <w:tab/>
          </w:r>
          <w:r>
            <w:rPr>
              <w:i w:val="0"/>
            </w:rPr>
            <w:fldChar w:fldCharType="begin"/>
          </w:r>
          <w:r>
            <w:rPr>
              <w:i w:val="0"/>
            </w:rPr>
            <w:instrText xml:space="preserve"> PAGEREF _Toc4687 \h </w:instrText>
          </w:r>
          <w:r>
            <w:rPr>
              <w:i w:val="0"/>
            </w:rPr>
            <w:fldChar w:fldCharType="separate"/>
          </w:r>
          <w:r>
            <w:rPr>
              <w:i w:val="0"/>
            </w:rPr>
            <w:t>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"_Toc29685" </w:instrText>
          </w:r>
          <w:r>
            <w:fldChar w:fldCharType="separate"/>
          </w:r>
          <w:r>
            <w:rPr>
              <w:i w:val="0"/>
            </w:rPr>
            <w:t>8.投标范围及投标文件中计量单位的使用</w:t>
          </w:r>
          <w:r>
            <w:rPr>
              <w:i w:val="0"/>
            </w:rPr>
            <w:tab/>
          </w:r>
          <w:r>
            <w:rPr>
              <w:i w:val="0"/>
            </w:rPr>
            <w:fldChar w:fldCharType="begin"/>
          </w:r>
          <w:r>
            <w:rPr>
              <w:i w:val="0"/>
            </w:rPr>
            <w:instrText xml:space="preserve"> PAGEREF _Toc29685 \h </w:instrText>
          </w:r>
          <w:r>
            <w:rPr>
              <w:i w:val="0"/>
            </w:rPr>
            <w:fldChar w:fldCharType="separate"/>
          </w:r>
          <w:r>
            <w:rPr>
              <w:i w:val="0"/>
            </w:rPr>
            <w:t>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"_Toc3602" </w:instrText>
          </w:r>
          <w:r>
            <w:fldChar w:fldCharType="separate"/>
          </w:r>
          <w:r>
            <w:rPr>
              <w:i w:val="0"/>
            </w:rPr>
            <w:t>9.投标文件构成</w:t>
          </w:r>
          <w:r>
            <w:rPr>
              <w:i w:val="0"/>
            </w:rPr>
            <w:tab/>
          </w:r>
          <w:r>
            <w:rPr>
              <w:i w:val="0"/>
            </w:rPr>
            <w:fldChar w:fldCharType="begin"/>
          </w:r>
          <w:r>
            <w:rPr>
              <w:i w:val="0"/>
            </w:rPr>
            <w:instrText xml:space="preserve"> PAGEREF _Toc3602 \h </w:instrText>
          </w:r>
          <w:r>
            <w:rPr>
              <w:i w:val="0"/>
            </w:rPr>
            <w:fldChar w:fldCharType="separate"/>
          </w:r>
          <w:r>
            <w:rPr>
              <w:i w:val="0"/>
            </w:rPr>
            <w:t>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"_Toc32383" </w:instrText>
          </w:r>
          <w:r>
            <w:fldChar w:fldCharType="separate"/>
          </w:r>
          <w:r>
            <w:rPr>
              <w:i w:val="0"/>
            </w:rPr>
            <w:t>10.投标文件格式</w:t>
          </w:r>
          <w:r>
            <w:rPr>
              <w:i w:val="0"/>
            </w:rPr>
            <w:tab/>
          </w:r>
          <w:r>
            <w:rPr>
              <w:i w:val="0"/>
            </w:rPr>
            <w:fldChar w:fldCharType="begin"/>
          </w:r>
          <w:r>
            <w:rPr>
              <w:i w:val="0"/>
            </w:rPr>
            <w:instrText xml:space="preserve"> PAGEREF _Toc32383 \h </w:instrText>
          </w:r>
          <w:r>
            <w:rPr>
              <w:i w:val="0"/>
            </w:rPr>
            <w:fldChar w:fldCharType="separate"/>
          </w:r>
          <w:r>
            <w:rPr>
              <w:i w:val="0"/>
            </w:rPr>
            <w:t>10</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"_Toc15641" </w:instrText>
          </w:r>
          <w:r>
            <w:fldChar w:fldCharType="separate"/>
          </w:r>
          <w:r>
            <w:rPr>
              <w:i w:val="0"/>
            </w:rPr>
            <w:t>11.投标报价</w:t>
          </w:r>
          <w:r>
            <w:rPr>
              <w:i w:val="0"/>
            </w:rPr>
            <w:tab/>
          </w:r>
          <w:r>
            <w:rPr>
              <w:i w:val="0"/>
            </w:rPr>
            <w:fldChar w:fldCharType="begin"/>
          </w:r>
          <w:r>
            <w:rPr>
              <w:i w:val="0"/>
            </w:rPr>
            <w:instrText xml:space="preserve"> PAGEREF _Toc15641 \h </w:instrText>
          </w:r>
          <w:r>
            <w:rPr>
              <w:i w:val="0"/>
            </w:rPr>
            <w:fldChar w:fldCharType="separate"/>
          </w:r>
          <w:r>
            <w:rPr>
              <w:i w:val="0"/>
            </w:rPr>
            <w:t>11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"_Toc11548" </w:instrText>
          </w:r>
          <w:r>
            <w:fldChar w:fldCharType="separate"/>
          </w:r>
          <w:r>
            <w:rPr>
              <w:i w:val="0"/>
            </w:rPr>
            <w:t>12.投标保证金</w:t>
          </w:r>
          <w:r>
            <w:rPr>
              <w:i w:val="0"/>
            </w:rPr>
            <w:tab/>
          </w:r>
          <w:r>
            <w:rPr>
              <w:i w:val="0"/>
            </w:rPr>
            <w:fldChar w:fldCharType="begin"/>
          </w:r>
          <w:r>
            <w:rPr>
              <w:i w:val="0"/>
            </w:rPr>
            <w:instrText xml:space="preserve"> PAGEREF _Toc11548 \h </w:instrText>
          </w:r>
          <w:r>
            <w:rPr>
              <w:i w:val="0"/>
            </w:rPr>
            <w:fldChar w:fldCharType="separate"/>
          </w:r>
          <w:r>
            <w:rPr>
              <w:i w:val="0"/>
            </w:rPr>
            <w:t>11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"_Toc1875" </w:instrText>
          </w:r>
          <w:r>
            <w:fldChar w:fldCharType="separate"/>
          </w:r>
          <w:r>
            <w:rPr>
              <w:i w:val="0"/>
            </w:rPr>
            <w:t>13.投标有效期</w:t>
          </w:r>
          <w:r>
            <w:rPr>
              <w:i w:val="0"/>
            </w:rPr>
            <w:tab/>
          </w:r>
          <w:r>
            <w:rPr>
              <w:i w:val="0"/>
            </w:rPr>
            <w:fldChar w:fldCharType="begin"/>
          </w:r>
          <w:r>
            <w:rPr>
              <w:i w:val="0"/>
            </w:rPr>
            <w:instrText xml:space="preserve"> PAGEREF _Toc1875 \h </w:instrText>
          </w:r>
          <w:r>
            <w:rPr>
              <w:i w:val="0"/>
            </w:rPr>
            <w:fldChar w:fldCharType="separate"/>
          </w:r>
          <w:r>
            <w:rPr>
              <w:i w:val="0"/>
            </w:rPr>
            <w:t>11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"_Toc12507" </w:instrText>
          </w:r>
          <w:r>
            <w:fldChar w:fldCharType="separate"/>
          </w:r>
          <w:r>
            <w:rPr>
              <w:i w:val="0"/>
            </w:rPr>
            <w:t>14.投标文件的签署与规定</w:t>
          </w:r>
          <w:r>
            <w:rPr>
              <w:i w:val="0"/>
            </w:rPr>
            <w:tab/>
          </w:r>
          <w:r>
            <w:rPr>
              <w:i w:val="0"/>
            </w:rPr>
            <w:fldChar w:fldCharType="begin"/>
          </w:r>
          <w:r>
            <w:rPr>
              <w:i w:val="0"/>
            </w:rPr>
            <w:instrText xml:space="preserve"> PAGEREF _Toc12507 \h </w:instrText>
          </w:r>
          <w:r>
            <w:rPr>
              <w:i w:val="0"/>
            </w:rPr>
            <w:fldChar w:fldCharType="separate"/>
          </w:r>
          <w:r>
            <w:rPr>
              <w:i w:val="0"/>
            </w:rPr>
            <w:t>12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"_Toc9965" </w:instrText>
          </w:r>
          <w:r>
            <w:fldChar w:fldCharType="separate"/>
          </w:r>
          <w:r>
            <w:rPr>
              <w:i w:val="0"/>
            </w:rPr>
            <w:t>四 投标文件的递交</w:t>
          </w:r>
          <w:r>
            <w:rPr>
              <w:i w:val="0"/>
            </w:rPr>
            <w:tab/>
          </w:r>
          <w:r>
            <w:rPr>
              <w:i w:val="0"/>
            </w:rPr>
            <w:fldChar w:fldCharType="begin"/>
          </w:r>
          <w:r>
            <w:rPr>
              <w:i w:val="0"/>
            </w:rPr>
            <w:instrText xml:space="preserve"> PAGEREF _Toc9965 \h </w:instrText>
          </w:r>
          <w:r>
            <w:rPr>
              <w:i w:val="0"/>
            </w:rPr>
            <w:fldChar w:fldCharType="separate"/>
          </w:r>
          <w:r>
            <w:rPr>
              <w:i w:val="0"/>
            </w:rPr>
            <w:t>12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"_Toc23339" </w:instrText>
          </w:r>
          <w:r>
            <w:fldChar w:fldCharType="separate"/>
          </w:r>
          <w:r>
            <w:rPr>
              <w:i w:val="0"/>
            </w:rPr>
            <w:t>15.投标文件的装订及递交</w:t>
          </w:r>
          <w:r>
            <w:rPr>
              <w:i w:val="0"/>
            </w:rPr>
            <w:tab/>
          </w:r>
          <w:r>
            <w:rPr>
              <w:i w:val="0"/>
            </w:rPr>
            <w:fldChar w:fldCharType="begin"/>
          </w:r>
          <w:r>
            <w:rPr>
              <w:i w:val="0"/>
            </w:rPr>
            <w:instrText xml:space="preserve"> PAGEREF _Toc23339 \h </w:instrText>
          </w:r>
          <w:r>
            <w:rPr>
              <w:i w:val="0"/>
            </w:rPr>
            <w:fldChar w:fldCharType="separate"/>
          </w:r>
          <w:r>
            <w:rPr>
              <w:i w:val="0"/>
            </w:rPr>
            <w:t>12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"_Toc28608" </w:instrText>
          </w:r>
          <w:r>
            <w:fldChar w:fldCharType="separate"/>
          </w:r>
          <w:r>
            <w:rPr>
              <w:i w:val="0"/>
            </w:rPr>
            <w:t>16.投标截止时间</w:t>
          </w:r>
          <w:r>
            <w:rPr>
              <w:i w:val="0"/>
            </w:rPr>
            <w:tab/>
          </w:r>
          <w:r>
            <w:rPr>
              <w:i w:val="0"/>
            </w:rPr>
            <w:fldChar w:fldCharType="begin"/>
          </w:r>
          <w:r>
            <w:rPr>
              <w:i w:val="0"/>
            </w:rPr>
            <w:instrText xml:space="preserve"> PAGEREF _Toc28608 \h </w:instrText>
          </w:r>
          <w:r>
            <w:rPr>
              <w:i w:val="0"/>
            </w:rPr>
            <w:fldChar w:fldCharType="separate"/>
          </w:r>
          <w:r>
            <w:rPr>
              <w:i w:val="0"/>
            </w:rPr>
            <w:t>13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 </w:instrText>
          </w:r>
          <w:r>
            <w:fldChar w:fldCharType="separate"/>
          </w:r>
          <w:r>
            <w:rPr>
              <w:i w:val="0"/>
            </w:rPr>
            <w:t>17.投标文件的补充、修改与撤回</w:t>
          </w:r>
          <w:r>
            <w:rPr>
              <w:i w:val="0"/>
            </w:rPr>
            <w:tab/>
          </w:r>
          <w:r>
            <w:rPr>
              <w:i w:val="0"/>
            </w:rPr>
            <w:fldChar w:fldCharType="begin"/>
          </w:r>
          <w:r>
            <w:rPr>
              <w:i w:val="0"/>
            </w:rPr>
            <w:instrText xml:space="preserve"> PAGEREF _Toc2 \h </w:instrText>
          </w:r>
          <w:r>
            <w:rPr>
              <w:i w:val="0"/>
            </w:rPr>
            <w:fldChar w:fldCharType="separate"/>
          </w:r>
          <w:r>
            <w:rPr>
              <w:i w:val="0"/>
            </w:rPr>
            <w:t>13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"_Toc32619" </w:instrText>
          </w:r>
          <w:r>
            <w:fldChar w:fldCharType="separate"/>
          </w:r>
          <w:r>
            <w:rPr>
              <w:i w:val="0"/>
            </w:rPr>
            <w:t>五 开标及评标</w:t>
          </w:r>
          <w:r>
            <w:rPr>
              <w:i w:val="0"/>
            </w:rPr>
            <w:tab/>
          </w:r>
          <w:r>
            <w:rPr>
              <w:i w:val="0"/>
            </w:rPr>
            <w:fldChar w:fldCharType="begin"/>
          </w:r>
          <w:r>
            <w:rPr>
              <w:i w:val="0"/>
            </w:rPr>
            <w:instrText xml:space="preserve"> PAGEREF _Toc32619 \h </w:instrText>
          </w:r>
          <w:r>
            <w:rPr>
              <w:i w:val="0"/>
            </w:rPr>
            <w:fldChar w:fldCharType="separate"/>
          </w:r>
          <w:r>
            <w:rPr>
              <w:i w:val="0"/>
            </w:rPr>
            <w:t>13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"_Toc25111" </w:instrText>
          </w:r>
          <w:r>
            <w:fldChar w:fldCharType="separate"/>
          </w:r>
          <w:r>
            <w:rPr>
              <w:i w:val="0"/>
            </w:rPr>
            <w:t>18.开标</w:t>
          </w:r>
          <w:r>
            <w:rPr>
              <w:i w:val="0"/>
            </w:rPr>
            <w:tab/>
          </w:r>
          <w:r>
            <w:rPr>
              <w:i w:val="0"/>
            </w:rPr>
            <w:fldChar w:fldCharType="begin"/>
          </w:r>
          <w:r>
            <w:rPr>
              <w:i w:val="0"/>
            </w:rPr>
            <w:instrText xml:space="preserve"> PAGEREF _Toc25111 \h </w:instrText>
          </w:r>
          <w:r>
            <w:rPr>
              <w:i w:val="0"/>
            </w:rPr>
            <w:fldChar w:fldCharType="separate"/>
          </w:r>
          <w:r>
            <w:rPr>
              <w:i w:val="0"/>
            </w:rPr>
            <w:t>13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"_Toc780" </w:instrText>
          </w:r>
          <w:r>
            <w:fldChar w:fldCharType="separate"/>
          </w:r>
          <w:r>
            <w:rPr>
              <w:i w:val="0"/>
            </w:rPr>
            <w:t>19.评标委员会组建</w:t>
          </w:r>
          <w:r>
            <w:rPr>
              <w:i w:val="0"/>
            </w:rPr>
            <w:tab/>
          </w:r>
          <w:r>
            <w:rPr>
              <w:i w:val="0"/>
            </w:rPr>
            <w:fldChar w:fldCharType="begin"/>
          </w:r>
          <w:r>
            <w:rPr>
              <w:i w:val="0"/>
            </w:rPr>
            <w:instrText xml:space="preserve"> PAGEREF _Toc780 \h </w:instrText>
          </w:r>
          <w:r>
            <w:rPr>
              <w:i w:val="0"/>
            </w:rPr>
            <w:fldChar w:fldCharType="separate"/>
          </w:r>
          <w:r>
            <w:rPr>
              <w:i w:val="0"/>
            </w:rPr>
            <w:t>13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"_Toc16943" </w:instrText>
          </w:r>
          <w:r>
            <w:fldChar w:fldCharType="separate"/>
          </w:r>
          <w:r>
            <w:rPr>
              <w:i w:val="0"/>
            </w:rPr>
            <w:t>20.投标文件的审查</w:t>
          </w:r>
          <w:r>
            <w:rPr>
              <w:i w:val="0"/>
            </w:rPr>
            <w:tab/>
          </w:r>
          <w:r>
            <w:rPr>
              <w:i w:val="0"/>
            </w:rPr>
            <w:fldChar w:fldCharType="begin"/>
          </w:r>
          <w:r>
            <w:rPr>
              <w:i w:val="0"/>
            </w:rPr>
            <w:instrText xml:space="preserve"> PAGEREF _Toc16943 \h </w:instrText>
          </w:r>
          <w:r>
            <w:rPr>
              <w:i w:val="0"/>
            </w:rPr>
            <w:fldChar w:fldCharType="separate"/>
          </w:r>
          <w:r>
            <w:rPr>
              <w:i w:val="0"/>
            </w:rPr>
            <w:t>14</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"_Toc26612" </w:instrText>
          </w:r>
          <w:r>
            <w:fldChar w:fldCharType="separate"/>
          </w:r>
          <w:r>
            <w:rPr>
              <w:bCs/>
              <w:i w:val="0"/>
              <w:szCs w:val="24"/>
            </w:rPr>
            <w:t>21. 投标文件的澄清</w:t>
          </w:r>
          <w:r>
            <w:rPr>
              <w:i w:val="0"/>
            </w:rPr>
            <w:tab/>
          </w:r>
          <w:r>
            <w:rPr>
              <w:i w:val="0"/>
            </w:rPr>
            <w:fldChar w:fldCharType="begin"/>
          </w:r>
          <w:r>
            <w:rPr>
              <w:i w:val="0"/>
            </w:rPr>
            <w:instrText xml:space="preserve"> PAGEREF _Toc26612 \h </w:instrText>
          </w:r>
          <w:r>
            <w:rPr>
              <w:i w:val="0"/>
            </w:rPr>
            <w:fldChar w:fldCharType="separate"/>
          </w:r>
          <w:r>
            <w:rPr>
              <w:i w:val="0"/>
            </w:rPr>
            <w:t>15</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"_Toc12680" </w:instrText>
          </w:r>
          <w:r>
            <w:fldChar w:fldCharType="separate"/>
          </w:r>
          <w:r>
            <w:rPr>
              <w:i w:val="0"/>
            </w:rPr>
            <w:t>22. 评标</w:t>
          </w:r>
          <w:r>
            <w:rPr>
              <w:i w:val="0"/>
            </w:rPr>
            <w:tab/>
          </w:r>
          <w:r>
            <w:rPr>
              <w:i w:val="0"/>
            </w:rPr>
            <w:fldChar w:fldCharType="begin"/>
          </w:r>
          <w:r>
            <w:rPr>
              <w:i w:val="0"/>
            </w:rPr>
            <w:instrText xml:space="preserve"> PAGEREF _Toc12680 \h </w:instrText>
          </w:r>
          <w:r>
            <w:rPr>
              <w:i w:val="0"/>
            </w:rPr>
            <w:fldChar w:fldCharType="separate"/>
          </w:r>
          <w:r>
            <w:rPr>
              <w:i w:val="0"/>
            </w:rPr>
            <w:t>16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"_Toc14030" </w:instrText>
          </w:r>
          <w:r>
            <w:fldChar w:fldCharType="separate"/>
          </w:r>
          <w:r>
            <w:rPr>
              <w:i w:val="0"/>
            </w:rPr>
            <w:t>23.评标过程及保密原则</w:t>
          </w:r>
          <w:r>
            <w:rPr>
              <w:i w:val="0"/>
            </w:rPr>
            <w:tab/>
          </w:r>
          <w:r>
            <w:rPr>
              <w:i w:val="0"/>
            </w:rPr>
            <w:fldChar w:fldCharType="begin"/>
          </w:r>
          <w:r>
            <w:rPr>
              <w:i w:val="0"/>
            </w:rPr>
            <w:instrText xml:space="preserve"> PAGEREF _Toc14030 \h </w:instrText>
          </w:r>
          <w:r>
            <w:rPr>
              <w:i w:val="0"/>
            </w:rPr>
            <w:fldChar w:fldCharType="separate"/>
          </w:r>
          <w:r>
            <w:rPr>
              <w:i w:val="0"/>
            </w:rPr>
            <w:t>16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"_Toc2280" </w:instrText>
          </w:r>
          <w:r>
            <w:fldChar w:fldCharType="separate"/>
          </w:r>
          <w:r>
            <w:rPr>
              <w:i w:val="0"/>
            </w:rPr>
            <w:t>六 确定中标</w:t>
          </w:r>
          <w:r>
            <w:rPr>
              <w:i w:val="0"/>
            </w:rPr>
            <w:tab/>
          </w:r>
          <w:r>
            <w:rPr>
              <w:i w:val="0"/>
            </w:rPr>
            <w:fldChar w:fldCharType="begin"/>
          </w:r>
          <w:r>
            <w:rPr>
              <w:i w:val="0"/>
            </w:rPr>
            <w:instrText xml:space="preserve"> PAGEREF _Toc2280 \h </w:instrText>
          </w:r>
          <w:r>
            <w:rPr>
              <w:i w:val="0"/>
            </w:rPr>
            <w:fldChar w:fldCharType="separate"/>
          </w:r>
          <w:r>
            <w:rPr>
              <w:i w:val="0"/>
            </w:rPr>
            <w:t>17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"_Toc5381" </w:instrText>
          </w:r>
          <w:r>
            <w:fldChar w:fldCharType="separate"/>
          </w:r>
          <w:r>
            <w:rPr>
              <w:i w:val="0"/>
            </w:rPr>
            <w:t>24.中标人的确定标准</w:t>
          </w:r>
          <w:r>
            <w:rPr>
              <w:i w:val="0"/>
            </w:rPr>
            <w:tab/>
          </w:r>
          <w:r>
            <w:rPr>
              <w:i w:val="0"/>
            </w:rPr>
            <w:fldChar w:fldCharType="begin"/>
          </w:r>
          <w:r>
            <w:rPr>
              <w:i w:val="0"/>
            </w:rPr>
            <w:instrText xml:space="preserve"> PAGEREF _Toc5381 \h </w:instrText>
          </w:r>
          <w:r>
            <w:rPr>
              <w:i w:val="0"/>
            </w:rPr>
            <w:fldChar w:fldCharType="separate"/>
          </w:r>
          <w:r>
            <w:rPr>
              <w:i w:val="0"/>
            </w:rPr>
            <w:t>17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"_Toc12509" </w:instrText>
          </w:r>
          <w:r>
            <w:fldChar w:fldCharType="separate"/>
          </w:r>
          <w:r>
            <w:rPr>
              <w:i w:val="0"/>
            </w:rPr>
            <w:t>25.接受或拒绝任何投标的权利</w:t>
          </w:r>
          <w:r>
            <w:rPr>
              <w:i w:val="0"/>
            </w:rPr>
            <w:tab/>
          </w:r>
          <w:r>
            <w:rPr>
              <w:i w:val="0"/>
            </w:rPr>
            <w:fldChar w:fldCharType="begin"/>
          </w:r>
          <w:r>
            <w:rPr>
              <w:i w:val="0"/>
            </w:rPr>
            <w:instrText xml:space="preserve"> PAGEREF _Toc12509 \h </w:instrText>
          </w:r>
          <w:r>
            <w:rPr>
              <w:i w:val="0"/>
            </w:rPr>
            <w:fldChar w:fldCharType="separate"/>
          </w:r>
          <w:r>
            <w:rPr>
              <w:i w:val="0"/>
            </w:rPr>
            <w:t>17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"_Toc1658" </w:instrText>
          </w:r>
          <w:r>
            <w:fldChar w:fldCharType="separate"/>
          </w:r>
          <w:r>
            <w:rPr>
              <w:i w:val="0"/>
            </w:rPr>
            <w:t>26.中标通知书和结果通知</w:t>
          </w:r>
          <w:r>
            <w:rPr>
              <w:i w:val="0"/>
            </w:rPr>
            <w:tab/>
          </w:r>
          <w:r>
            <w:rPr>
              <w:i w:val="0"/>
            </w:rPr>
            <w:fldChar w:fldCharType="begin"/>
          </w:r>
          <w:r>
            <w:rPr>
              <w:i w:val="0"/>
            </w:rPr>
            <w:instrText xml:space="preserve"> PAGEREF _Toc1658 \h </w:instrText>
          </w:r>
          <w:r>
            <w:rPr>
              <w:i w:val="0"/>
            </w:rPr>
            <w:fldChar w:fldCharType="separate"/>
          </w:r>
          <w:r>
            <w:rPr>
              <w:i w:val="0"/>
            </w:rPr>
            <w:t>17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"_Toc3367" </w:instrText>
          </w:r>
          <w:r>
            <w:fldChar w:fldCharType="separate"/>
          </w:r>
          <w:r>
            <w:rPr>
              <w:i w:val="0"/>
            </w:rPr>
            <w:t>27. 签订合同</w:t>
          </w:r>
          <w:r>
            <w:rPr>
              <w:i w:val="0"/>
            </w:rPr>
            <w:tab/>
          </w:r>
          <w:r>
            <w:rPr>
              <w:i w:val="0"/>
            </w:rPr>
            <w:fldChar w:fldCharType="begin"/>
          </w:r>
          <w:r>
            <w:rPr>
              <w:i w:val="0"/>
            </w:rPr>
            <w:instrText xml:space="preserve"> PAGEREF _Toc3367 \h </w:instrText>
          </w:r>
          <w:r>
            <w:rPr>
              <w:i w:val="0"/>
            </w:rPr>
            <w:fldChar w:fldCharType="separate"/>
          </w:r>
          <w:r>
            <w:rPr>
              <w:i w:val="0"/>
            </w:rPr>
            <w:t>17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"_Toc6596" </w:instrText>
          </w:r>
          <w:r>
            <w:fldChar w:fldCharType="separate"/>
          </w:r>
          <w:r>
            <w:rPr>
              <w:i w:val="0"/>
            </w:rPr>
            <w:t>28.履约保证金</w:t>
          </w:r>
          <w:r>
            <w:rPr>
              <w:i w:val="0"/>
            </w:rPr>
            <w:tab/>
          </w:r>
          <w:r>
            <w:rPr>
              <w:i w:val="0"/>
            </w:rPr>
            <w:fldChar w:fldCharType="begin"/>
          </w:r>
          <w:r>
            <w:rPr>
              <w:i w:val="0"/>
            </w:rPr>
            <w:instrText xml:space="preserve"> PAGEREF _Toc6596 \h </w:instrText>
          </w:r>
          <w:r>
            <w:rPr>
              <w:i w:val="0"/>
            </w:rPr>
            <w:fldChar w:fldCharType="separate"/>
          </w:r>
          <w:r>
            <w:rPr>
              <w:i w:val="0"/>
            </w:rPr>
            <w:t>18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"_Toc11376" </w:instrText>
          </w:r>
          <w:r>
            <w:fldChar w:fldCharType="separate"/>
          </w:r>
          <w:r>
            <w:rPr>
              <w:i w:val="0"/>
            </w:rPr>
            <w:t>七 中标服务费</w:t>
          </w:r>
          <w:r>
            <w:rPr>
              <w:i w:val="0"/>
            </w:rPr>
            <w:tab/>
          </w:r>
          <w:r>
            <w:rPr>
              <w:i w:val="0"/>
            </w:rPr>
            <w:fldChar w:fldCharType="begin"/>
          </w:r>
          <w:r>
            <w:rPr>
              <w:i w:val="0"/>
            </w:rPr>
            <w:instrText xml:space="preserve"> PAGEREF _Toc11376 \h </w:instrText>
          </w:r>
          <w:r>
            <w:rPr>
              <w:i w:val="0"/>
            </w:rPr>
            <w:fldChar w:fldCharType="separate"/>
          </w:r>
          <w:r>
            <w:rPr>
              <w:i w:val="0"/>
            </w:rPr>
            <w:t>18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"_Toc15248" </w:instrText>
          </w:r>
          <w:r>
            <w:fldChar w:fldCharType="separate"/>
          </w:r>
          <w:r>
            <w:rPr>
              <w:i w:val="0"/>
            </w:rPr>
            <w:t>29.中标服务费</w:t>
          </w:r>
          <w:r>
            <w:rPr>
              <w:i w:val="0"/>
            </w:rPr>
            <w:tab/>
          </w:r>
          <w:r>
            <w:rPr>
              <w:i w:val="0"/>
            </w:rPr>
            <w:fldChar w:fldCharType="begin"/>
          </w:r>
          <w:r>
            <w:rPr>
              <w:i w:val="0"/>
            </w:rPr>
            <w:instrText xml:space="preserve"> PAGEREF _Toc15248 \h </w:instrText>
          </w:r>
          <w:r>
            <w:rPr>
              <w:i w:val="0"/>
            </w:rPr>
            <w:fldChar w:fldCharType="separate"/>
          </w:r>
          <w:r>
            <w:rPr>
              <w:i w:val="0"/>
            </w:rPr>
            <w:t>18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"_Toc9912" </w:instrText>
          </w:r>
          <w:r>
            <w:fldChar w:fldCharType="separate"/>
          </w:r>
          <w:r>
            <w:rPr>
              <w:i w:val="0"/>
              <w:szCs w:val="24"/>
            </w:rPr>
            <w:t>八 履约验收</w:t>
          </w:r>
          <w:r>
            <w:rPr>
              <w:i w:val="0"/>
            </w:rPr>
            <w:tab/>
          </w:r>
          <w:r>
            <w:rPr>
              <w:i w:val="0"/>
            </w:rPr>
            <w:fldChar w:fldCharType="begin"/>
          </w:r>
          <w:r>
            <w:rPr>
              <w:i w:val="0"/>
            </w:rPr>
            <w:instrText xml:space="preserve"> PAGEREF _Toc9912 \h </w:instrText>
          </w:r>
          <w:r>
            <w:rPr>
              <w:i w:val="0"/>
            </w:rPr>
            <w:fldChar w:fldCharType="separate"/>
          </w:r>
          <w:r>
            <w:rPr>
              <w:i w:val="0"/>
            </w:rPr>
            <w:t>18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"_Toc4569" </w:instrText>
          </w:r>
          <w:r>
            <w:fldChar w:fldCharType="separate"/>
          </w:r>
          <w:r>
            <w:rPr>
              <w:i w:val="0"/>
            </w:rPr>
            <w:t>30.履约验收</w:t>
          </w:r>
          <w:r>
            <w:rPr>
              <w:i w:val="0"/>
            </w:rPr>
            <w:tab/>
          </w:r>
          <w:r>
            <w:rPr>
              <w:i w:val="0"/>
            </w:rPr>
            <w:fldChar w:fldCharType="begin"/>
          </w:r>
          <w:r>
            <w:rPr>
              <w:i w:val="0"/>
            </w:rPr>
            <w:instrText xml:space="preserve"> PAGEREF _Toc4569 \h </w:instrText>
          </w:r>
          <w:r>
            <w:rPr>
              <w:i w:val="0"/>
            </w:rPr>
            <w:fldChar w:fldCharType="separate"/>
          </w:r>
          <w:r>
            <w:rPr>
              <w:i w:val="0"/>
            </w:rPr>
            <w:t>18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"_Toc10267" </w:instrText>
          </w:r>
          <w:r>
            <w:fldChar w:fldCharType="separate"/>
          </w:r>
          <w:r>
            <w:rPr>
              <w:i w:val="0"/>
              <w:szCs w:val="24"/>
            </w:rPr>
            <w:t>九 询问与质疑</w:t>
          </w:r>
          <w:r>
            <w:rPr>
              <w:i w:val="0"/>
            </w:rPr>
            <w:tab/>
          </w:r>
          <w:r>
            <w:rPr>
              <w:i w:val="0"/>
            </w:rPr>
            <w:fldChar w:fldCharType="begin"/>
          </w:r>
          <w:r>
            <w:rPr>
              <w:i w:val="0"/>
            </w:rPr>
            <w:instrText xml:space="preserve"> PAGEREF _Toc10267 \h </w:instrText>
          </w:r>
          <w:r>
            <w:rPr>
              <w:i w:val="0"/>
            </w:rPr>
            <w:fldChar w:fldCharType="separate"/>
          </w:r>
          <w:r>
            <w:rPr>
              <w:i w:val="0"/>
            </w:rPr>
            <w:t>19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"_Toc1555" </w:instrText>
          </w:r>
          <w:r>
            <w:fldChar w:fldCharType="separate"/>
          </w:r>
          <w:r>
            <w:rPr>
              <w:i w:val="0"/>
            </w:rPr>
            <w:t>31.询问</w:t>
          </w:r>
          <w:r>
            <w:rPr>
              <w:i w:val="0"/>
            </w:rPr>
            <w:tab/>
          </w:r>
          <w:r>
            <w:rPr>
              <w:i w:val="0"/>
            </w:rPr>
            <w:fldChar w:fldCharType="begin"/>
          </w:r>
          <w:r>
            <w:rPr>
              <w:i w:val="0"/>
            </w:rPr>
            <w:instrText xml:space="preserve"> PAGEREF _Toc1555 \h </w:instrText>
          </w:r>
          <w:r>
            <w:rPr>
              <w:i w:val="0"/>
            </w:rPr>
            <w:fldChar w:fldCharType="separate"/>
          </w:r>
          <w:r>
            <w:rPr>
              <w:i w:val="0"/>
            </w:rPr>
            <w:t>19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"_Toc21218" </w:instrText>
          </w:r>
          <w:r>
            <w:fldChar w:fldCharType="separate"/>
          </w:r>
          <w:r>
            <w:rPr>
              <w:i w:val="0"/>
            </w:rPr>
            <w:t>32.质疑</w:t>
          </w:r>
          <w:r>
            <w:rPr>
              <w:i w:val="0"/>
            </w:rPr>
            <w:tab/>
          </w:r>
          <w:r>
            <w:rPr>
              <w:i w:val="0"/>
            </w:rPr>
            <w:fldChar w:fldCharType="begin"/>
          </w:r>
          <w:r>
            <w:rPr>
              <w:i w:val="0"/>
            </w:rPr>
            <w:instrText xml:space="preserve"> PAGEREF _Toc21218 \h </w:instrText>
          </w:r>
          <w:r>
            <w:rPr>
              <w:i w:val="0"/>
            </w:rPr>
            <w:fldChar w:fldCharType="separate"/>
          </w:r>
          <w:r>
            <w:rPr>
              <w:i w:val="0"/>
            </w:rPr>
            <w:t>19</w:t>
          </w:r>
          <w:r>
            <w:rPr>
              <w:i w:val="0"/>
            </w:rPr>
            <w:fldChar w:fldCharType="end"/>
          </w:r>
          <w:r>
            <w:rPr>
              <w:i w:val="0"/>
            </w:rPr>
            <w:fldChar w:fldCharType="end"/>
          </w:r>
        </w:p>
        <w:p>
          <w:pPr>
            <w:pStyle w:val="37"/>
            <w:tabs>
              <w:tab w:val="right" w:leader="dot" w:pos="9040"/>
            </w:tabs>
          </w:pPr>
          <w:r>
            <w:fldChar w:fldCharType="begin"/>
          </w:r>
          <w:r>
            <w:instrText xml:space="preserve"> HYPERLINK \l "_Toc7551" </w:instrText>
          </w:r>
          <w:r>
            <w:fldChar w:fldCharType="separate"/>
          </w:r>
          <w:r>
            <w:rPr>
              <w:rFonts w:hint="eastAsia"/>
            </w:rPr>
            <w:t>第四章 采购需求</w:t>
          </w:r>
          <w:r>
            <w:tab/>
          </w:r>
          <w:r>
            <w:fldChar w:fldCharType="begin"/>
          </w:r>
          <w:r>
            <w:instrText xml:space="preserve"> PAGEREF _Toc7551 \h </w:instrText>
          </w:r>
          <w:r>
            <w:fldChar w:fldCharType="separate"/>
          </w:r>
          <w:r>
            <w:t>21</w:t>
          </w:r>
          <w:r>
            <w:fldChar w:fldCharType="end"/>
          </w:r>
          <w:r>
            <w:fldChar w:fldCharType="end"/>
          </w:r>
        </w:p>
        <w:p>
          <w:pPr>
            <w:pStyle w:val="37"/>
            <w:tabs>
              <w:tab w:val="right" w:leader="dot" w:pos="9040"/>
            </w:tabs>
          </w:pPr>
          <w:r>
            <w:fldChar w:fldCharType="begin"/>
          </w:r>
          <w:r>
            <w:instrText xml:space="preserve"> HYPERLINK \l "_Toc15099" </w:instrText>
          </w:r>
          <w:r>
            <w:fldChar w:fldCharType="separate"/>
          </w:r>
          <w:r>
            <w:rPr>
              <w:rFonts w:hint="eastAsia"/>
            </w:rPr>
            <w:t>第五章 评标方法和评标标准</w:t>
          </w:r>
          <w:r>
            <w:tab/>
          </w:r>
          <w:r>
            <w:fldChar w:fldCharType="begin"/>
          </w:r>
          <w:r>
            <w:instrText xml:space="preserve"> PAGEREF _Toc15099 \h </w:instrText>
          </w:r>
          <w:r>
            <w:fldChar w:fldCharType="separate"/>
          </w:r>
          <w:r>
            <w:t>25</w:t>
          </w:r>
          <w:r>
            <w:fldChar w:fldCharType="end"/>
          </w:r>
          <w:r>
            <w:fldChar w:fldCharType="end"/>
          </w:r>
        </w:p>
        <w:p>
          <w:pPr>
            <w:pStyle w:val="2"/>
            <w:tabs>
              <w:tab w:val="right" w:leader="dot" w:pos="9040"/>
            </w:tabs>
          </w:pPr>
          <w:r>
            <w:fldChar w:fldCharType="begin"/>
          </w:r>
          <w:r>
            <w:instrText xml:space="preserve"> HYPERLINK \l "_Toc31037" </w:instrText>
          </w:r>
          <w:r>
            <w:fldChar w:fldCharType="separate"/>
          </w:r>
          <w:r>
            <w:rPr>
              <w:rFonts w:hint="eastAsia"/>
            </w:rPr>
            <w:t>一、投标文件资格册审查</w:t>
          </w:r>
          <w:r>
            <w:tab/>
          </w:r>
          <w:r>
            <w:fldChar w:fldCharType="begin"/>
          </w:r>
          <w:r>
            <w:instrText xml:space="preserve"> PAGEREF _Toc31037 \h </w:instrText>
          </w:r>
          <w:r>
            <w:fldChar w:fldCharType="separate"/>
          </w:r>
          <w:r>
            <w:t>25</w:t>
          </w:r>
          <w:r>
            <w:fldChar w:fldCharType="end"/>
          </w:r>
          <w:r>
            <w:fldChar w:fldCharType="end"/>
          </w:r>
        </w:p>
        <w:p>
          <w:pPr>
            <w:pStyle w:val="2"/>
            <w:tabs>
              <w:tab w:val="right" w:leader="dot" w:pos="9040"/>
            </w:tabs>
          </w:pPr>
          <w:r>
            <w:fldChar w:fldCharType="begin"/>
          </w:r>
          <w:r>
            <w:instrText xml:space="preserve"> HYPERLINK \l "_Toc3657" </w:instrText>
          </w:r>
          <w:r>
            <w:fldChar w:fldCharType="separate"/>
          </w:r>
          <w:r>
            <w:rPr>
              <w:rFonts w:hint="eastAsia"/>
            </w:rPr>
            <w:t>二、投标文件商务技术册审查</w:t>
          </w:r>
          <w:r>
            <w:tab/>
          </w:r>
          <w:r>
            <w:fldChar w:fldCharType="begin"/>
          </w:r>
          <w:r>
            <w:instrText xml:space="preserve"> PAGEREF _Toc3657 \h </w:instrText>
          </w:r>
          <w:r>
            <w:fldChar w:fldCharType="separate"/>
          </w:r>
          <w:r>
            <w:t>28</w:t>
          </w:r>
          <w:r>
            <w:fldChar w:fldCharType="end"/>
          </w:r>
          <w:r>
            <w:fldChar w:fldCharType="end"/>
          </w:r>
        </w:p>
        <w:p>
          <w:pPr>
            <w:pStyle w:val="2"/>
            <w:tabs>
              <w:tab w:val="right" w:leader="dot" w:pos="9040"/>
            </w:tabs>
          </w:pPr>
          <w:r>
            <w:fldChar w:fldCharType="begin"/>
          </w:r>
          <w:r>
            <w:instrText xml:space="preserve"> HYPERLINK \l "_Toc25563" </w:instrText>
          </w:r>
          <w:r>
            <w:fldChar w:fldCharType="separate"/>
          </w:r>
          <w:r>
            <w:rPr>
              <w:rFonts w:hint="eastAsia"/>
            </w:rPr>
            <w:t>三、评标办法</w:t>
          </w:r>
          <w:r>
            <w:tab/>
          </w:r>
          <w:r>
            <w:fldChar w:fldCharType="begin"/>
          </w:r>
          <w:r>
            <w:instrText xml:space="preserve"> PAGEREF _Toc25563 \h </w:instrText>
          </w:r>
          <w:r>
            <w:fldChar w:fldCharType="separate"/>
          </w:r>
          <w:r>
            <w:t>29</w:t>
          </w:r>
          <w:r>
            <w:fldChar w:fldCharType="end"/>
          </w:r>
          <w:r>
            <w:fldChar w:fldCharType="end"/>
          </w:r>
        </w:p>
        <w:p>
          <w:pPr>
            <w:pStyle w:val="37"/>
            <w:tabs>
              <w:tab w:val="right" w:leader="dot" w:pos="9040"/>
            </w:tabs>
          </w:pPr>
          <w:r>
            <w:fldChar w:fldCharType="begin"/>
          </w:r>
          <w:r>
            <w:instrText xml:space="preserve"> HYPERLINK \l "_Toc22643" </w:instrText>
          </w:r>
          <w:r>
            <w:fldChar w:fldCharType="separate"/>
          </w:r>
          <w:r>
            <w:rPr>
              <w:rFonts w:hint="eastAsia"/>
            </w:rPr>
            <w:t>第六章  合同格式</w:t>
          </w:r>
          <w:r>
            <w:tab/>
          </w:r>
          <w:r>
            <w:fldChar w:fldCharType="begin"/>
          </w:r>
          <w:r>
            <w:instrText xml:space="preserve"> PAGEREF _Toc22643 \h </w:instrText>
          </w:r>
          <w:r>
            <w:fldChar w:fldCharType="separate"/>
          </w:r>
          <w:r>
            <w:t>33</w:t>
          </w:r>
          <w:r>
            <w:fldChar w:fldCharType="end"/>
          </w:r>
          <w:r>
            <w:fldChar w:fldCharType="end"/>
          </w:r>
        </w:p>
        <w:p>
          <w:pPr>
            <w:pStyle w:val="37"/>
            <w:tabs>
              <w:tab w:val="right" w:leader="dot" w:pos="9040"/>
            </w:tabs>
          </w:pPr>
          <w:r>
            <w:fldChar w:fldCharType="begin"/>
          </w:r>
          <w:r>
            <w:instrText xml:space="preserve"> HYPERLINK \l "_Toc16497" </w:instrText>
          </w:r>
          <w:r>
            <w:fldChar w:fldCharType="separate"/>
          </w:r>
          <w:r>
            <w:rPr>
              <w:rFonts w:hint="eastAsia" w:ascii="宋体" w:hAnsi="宋体"/>
              <w:szCs w:val="24"/>
            </w:rPr>
            <w:t>合同一般条款</w:t>
          </w:r>
          <w:r>
            <w:tab/>
          </w:r>
          <w:r>
            <w:fldChar w:fldCharType="begin"/>
          </w:r>
          <w:r>
            <w:instrText xml:space="preserve"> PAGEREF _Toc16497 \h </w:instrText>
          </w:r>
          <w:r>
            <w:fldChar w:fldCharType="separate"/>
          </w:r>
          <w:r>
            <w:t>36</w:t>
          </w:r>
          <w:r>
            <w:fldChar w:fldCharType="end"/>
          </w:r>
          <w:r>
            <w:fldChar w:fldCharType="end"/>
          </w:r>
        </w:p>
        <w:p>
          <w:pPr>
            <w:pStyle w:val="27"/>
            <w:tabs>
              <w:tab w:val="right" w:leader="dot" w:pos="9040"/>
            </w:tabs>
            <w:rPr>
              <w:i w:val="0"/>
            </w:rPr>
          </w:pPr>
          <w:r>
            <w:fldChar w:fldCharType="begin"/>
          </w:r>
          <w:r>
            <w:instrText xml:space="preserve"> HYPERLINK \l "_Toc3980" </w:instrText>
          </w:r>
          <w:r>
            <w:fldChar w:fldCharType="separate"/>
          </w:r>
          <w:r>
            <w:rPr>
              <w:i w:val="0"/>
            </w:rPr>
            <w:t>1 定义</w:t>
          </w:r>
          <w:r>
            <w:rPr>
              <w:i w:val="0"/>
            </w:rPr>
            <w:tab/>
          </w:r>
          <w:r>
            <w:rPr>
              <w:i w:val="0"/>
            </w:rPr>
            <w:fldChar w:fldCharType="begin"/>
          </w:r>
          <w:r>
            <w:rPr>
              <w:i w:val="0"/>
            </w:rPr>
            <w:instrText xml:space="preserve"> PAGEREF _Toc3980 \h </w:instrText>
          </w:r>
          <w:r>
            <w:rPr>
              <w:i w:val="0"/>
            </w:rPr>
            <w:fldChar w:fldCharType="separate"/>
          </w:r>
          <w:r>
            <w:rPr>
              <w:i w:val="0"/>
            </w:rPr>
            <w:t>36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"_Toc10868" </w:instrText>
          </w:r>
          <w:r>
            <w:fldChar w:fldCharType="separate"/>
          </w:r>
          <w:r>
            <w:rPr>
              <w:i w:val="0"/>
            </w:rPr>
            <w:t>2 技术规范</w:t>
          </w:r>
          <w:r>
            <w:rPr>
              <w:i w:val="0"/>
            </w:rPr>
            <w:tab/>
          </w:r>
          <w:r>
            <w:rPr>
              <w:i w:val="0"/>
            </w:rPr>
            <w:fldChar w:fldCharType="begin"/>
          </w:r>
          <w:r>
            <w:rPr>
              <w:i w:val="0"/>
            </w:rPr>
            <w:instrText xml:space="preserve"> PAGEREF _Toc10868 \h </w:instrText>
          </w:r>
          <w:r>
            <w:rPr>
              <w:i w:val="0"/>
            </w:rPr>
            <w:fldChar w:fldCharType="separate"/>
          </w:r>
          <w:r>
            <w:rPr>
              <w:i w:val="0"/>
            </w:rPr>
            <w:t>36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"_Toc8305" </w:instrText>
          </w:r>
          <w:r>
            <w:fldChar w:fldCharType="separate"/>
          </w:r>
          <w:r>
            <w:rPr>
              <w:i w:val="0"/>
            </w:rPr>
            <w:t>3 知识产权</w:t>
          </w:r>
          <w:r>
            <w:rPr>
              <w:i w:val="0"/>
            </w:rPr>
            <w:tab/>
          </w:r>
          <w:r>
            <w:rPr>
              <w:i w:val="0"/>
            </w:rPr>
            <w:fldChar w:fldCharType="begin"/>
          </w:r>
          <w:r>
            <w:rPr>
              <w:i w:val="0"/>
            </w:rPr>
            <w:instrText xml:space="preserve"> PAGEREF _Toc8305 \h </w:instrText>
          </w:r>
          <w:r>
            <w:rPr>
              <w:i w:val="0"/>
            </w:rPr>
            <w:fldChar w:fldCharType="separate"/>
          </w:r>
          <w:r>
            <w:rPr>
              <w:i w:val="0"/>
            </w:rPr>
            <w:t>36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"_Toc25674" </w:instrText>
          </w:r>
          <w:r>
            <w:fldChar w:fldCharType="separate"/>
          </w:r>
          <w:r>
            <w:rPr>
              <w:i w:val="0"/>
            </w:rPr>
            <w:t>4 包装要求</w:t>
          </w:r>
          <w:r>
            <w:rPr>
              <w:i w:val="0"/>
            </w:rPr>
            <w:tab/>
          </w:r>
          <w:r>
            <w:rPr>
              <w:i w:val="0"/>
            </w:rPr>
            <w:fldChar w:fldCharType="begin"/>
          </w:r>
          <w:r>
            <w:rPr>
              <w:i w:val="0"/>
            </w:rPr>
            <w:instrText xml:space="preserve"> PAGEREF _Toc25674 \h </w:instrText>
          </w:r>
          <w:r>
            <w:rPr>
              <w:i w:val="0"/>
            </w:rPr>
            <w:fldChar w:fldCharType="separate"/>
          </w:r>
          <w:r>
            <w:rPr>
              <w:i w:val="0"/>
            </w:rPr>
            <w:t>36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"_Toc31107" </w:instrText>
          </w:r>
          <w:r>
            <w:fldChar w:fldCharType="separate"/>
          </w:r>
          <w:r>
            <w:rPr>
              <w:i w:val="0"/>
            </w:rPr>
            <w:t>5 装运标志</w:t>
          </w:r>
          <w:r>
            <w:rPr>
              <w:i w:val="0"/>
            </w:rPr>
            <w:tab/>
          </w:r>
          <w:r>
            <w:rPr>
              <w:i w:val="0"/>
            </w:rPr>
            <w:fldChar w:fldCharType="begin"/>
          </w:r>
          <w:r>
            <w:rPr>
              <w:i w:val="0"/>
            </w:rPr>
            <w:instrText xml:space="preserve"> PAGEREF _Toc31107 \h </w:instrText>
          </w:r>
          <w:r>
            <w:rPr>
              <w:i w:val="0"/>
            </w:rPr>
            <w:fldChar w:fldCharType="separate"/>
          </w:r>
          <w:r>
            <w:rPr>
              <w:i w:val="0"/>
            </w:rPr>
            <w:t>37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"_Toc24828" </w:instrText>
          </w:r>
          <w:r>
            <w:fldChar w:fldCharType="separate"/>
          </w:r>
          <w:r>
            <w:rPr>
              <w:i w:val="0"/>
            </w:rPr>
            <w:t>6 交货方式</w:t>
          </w:r>
          <w:r>
            <w:rPr>
              <w:i w:val="0"/>
            </w:rPr>
            <w:tab/>
          </w:r>
          <w:r>
            <w:rPr>
              <w:i w:val="0"/>
            </w:rPr>
            <w:fldChar w:fldCharType="begin"/>
          </w:r>
          <w:r>
            <w:rPr>
              <w:i w:val="0"/>
            </w:rPr>
            <w:instrText xml:space="preserve"> PAGEREF _Toc24828 \h </w:instrText>
          </w:r>
          <w:r>
            <w:rPr>
              <w:i w:val="0"/>
            </w:rPr>
            <w:fldChar w:fldCharType="separate"/>
          </w:r>
          <w:r>
            <w:rPr>
              <w:i w:val="0"/>
            </w:rPr>
            <w:t>37</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"_Toc6353" </w:instrText>
          </w:r>
          <w:r>
            <w:fldChar w:fldCharType="separate"/>
          </w:r>
          <w:r>
            <w:rPr>
              <w:i w:val="0"/>
            </w:rPr>
            <w:t>7 装运通知</w:t>
          </w:r>
          <w:r>
            <w:rPr>
              <w:i w:val="0"/>
            </w:rPr>
            <w:tab/>
          </w:r>
          <w:r>
            <w:rPr>
              <w:i w:val="0"/>
            </w:rPr>
            <w:fldChar w:fldCharType="begin"/>
          </w:r>
          <w:r>
            <w:rPr>
              <w:i w:val="0"/>
            </w:rPr>
            <w:instrText xml:space="preserve"> PAGEREF _Toc6353 \h </w:instrText>
          </w:r>
          <w:r>
            <w:rPr>
              <w:i w:val="0"/>
            </w:rPr>
            <w:fldChar w:fldCharType="separate"/>
          </w:r>
          <w:r>
            <w:rPr>
              <w:i w:val="0"/>
            </w:rPr>
            <w:t>38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"_Toc15233" </w:instrText>
          </w:r>
          <w:r>
            <w:fldChar w:fldCharType="separate"/>
          </w:r>
          <w:r>
            <w:rPr>
              <w:i w:val="0"/>
            </w:rPr>
            <w:t>8 保险</w:t>
          </w:r>
          <w:r>
            <w:rPr>
              <w:i w:val="0"/>
            </w:rPr>
            <w:tab/>
          </w:r>
          <w:r>
            <w:rPr>
              <w:i w:val="0"/>
            </w:rPr>
            <w:fldChar w:fldCharType="begin"/>
          </w:r>
          <w:r>
            <w:rPr>
              <w:i w:val="0"/>
            </w:rPr>
            <w:instrText xml:space="preserve"> PAGEREF _Toc15233 \h </w:instrText>
          </w:r>
          <w:r>
            <w:rPr>
              <w:i w:val="0"/>
            </w:rPr>
            <w:fldChar w:fldCharType="separate"/>
          </w:r>
          <w:r>
            <w:rPr>
              <w:i w:val="0"/>
            </w:rPr>
            <w:t>38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"_Toc30229" </w:instrText>
          </w:r>
          <w:r>
            <w:fldChar w:fldCharType="separate"/>
          </w:r>
          <w:r>
            <w:rPr>
              <w:i w:val="0"/>
            </w:rPr>
            <w:t>9 付款条件</w:t>
          </w:r>
          <w:r>
            <w:rPr>
              <w:i w:val="0"/>
            </w:rPr>
            <w:tab/>
          </w:r>
          <w:r>
            <w:rPr>
              <w:i w:val="0"/>
            </w:rPr>
            <w:fldChar w:fldCharType="begin"/>
          </w:r>
          <w:r>
            <w:rPr>
              <w:i w:val="0"/>
            </w:rPr>
            <w:instrText xml:space="preserve"> PAGEREF _Toc30229 \h </w:instrText>
          </w:r>
          <w:r>
            <w:rPr>
              <w:i w:val="0"/>
            </w:rPr>
            <w:fldChar w:fldCharType="separate"/>
          </w:r>
          <w:r>
            <w:rPr>
              <w:i w:val="0"/>
            </w:rPr>
            <w:t>38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"_Toc6877" </w:instrText>
          </w:r>
          <w:r>
            <w:fldChar w:fldCharType="separate"/>
          </w:r>
          <w:r>
            <w:rPr>
              <w:i w:val="0"/>
            </w:rPr>
            <w:t>10 技术资料</w:t>
          </w:r>
          <w:r>
            <w:rPr>
              <w:i w:val="0"/>
            </w:rPr>
            <w:tab/>
          </w:r>
          <w:r>
            <w:rPr>
              <w:i w:val="0"/>
            </w:rPr>
            <w:fldChar w:fldCharType="begin"/>
          </w:r>
          <w:r>
            <w:rPr>
              <w:i w:val="0"/>
            </w:rPr>
            <w:instrText xml:space="preserve"> PAGEREF _Toc6877 \h </w:instrText>
          </w:r>
          <w:r>
            <w:rPr>
              <w:i w:val="0"/>
            </w:rPr>
            <w:fldChar w:fldCharType="separate"/>
          </w:r>
          <w:r>
            <w:rPr>
              <w:i w:val="0"/>
            </w:rPr>
            <w:t>38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"_Toc14764" </w:instrText>
          </w:r>
          <w:r>
            <w:fldChar w:fldCharType="separate"/>
          </w:r>
          <w:r>
            <w:rPr>
              <w:i w:val="0"/>
            </w:rPr>
            <w:t>11 质量保证</w:t>
          </w:r>
          <w:r>
            <w:rPr>
              <w:i w:val="0"/>
            </w:rPr>
            <w:tab/>
          </w:r>
          <w:r>
            <w:rPr>
              <w:i w:val="0"/>
            </w:rPr>
            <w:fldChar w:fldCharType="begin"/>
          </w:r>
          <w:r>
            <w:rPr>
              <w:i w:val="0"/>
            </w:rPr>
            <w:instrText xml:space="preserve"> PAGEREF _Toc14764 \h </w:instrText>
          </w:r>
          <w:r>
            <w:rPr>
              <w:i w:val="0"/>
            </w:rPr>
            <w:fldChar w:fldCharType="separate"/>
          </w:r>
          <w:r>
            <w:rPr>
              <w:i w:val="0"/>
            </w:rPr>
            <w:t>39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"_Toc21947" </w:instrText>
          </w:r>
          <w:r>
            <w:fldChar w:fldCharType="separate"/>
          </w:r>
          <w:r>
            <w:rPr>
              <w:i w:val="0"/>
            </w:rPr>
            <w:t>12 检验和验收</w:t>
          </w:r>
          <w:r>
            <w:rPr>
              <w:i w:val="0"/>
            </w:rPr>
            <w:tab/>
          </w:r>
          <w:r>
            <w:rPr>
              <w:i w:val="0"/>
            </w:rPr>
            <w:fldChar w:fldCharType="begin"/>
          </w:r>
          <w:r>
            <w:rPr>
              <w:i w:val="0"/>
            </w:rPr>
            <w:instrText xml:space="preserve"> PAGEREF _Toc21947 \h </w:instrText>
          </w:r>
          <w:r>
            <w:rPr>
              <w:i w:val="0"/>
            </w:rPr>
            <w:fldChar w:fldCharType="separate"/>
          </w:r>
          <w:r>
            <w:rPr>
              <w:i w:val="0"/>
            </w:rPr>
            <w:t>39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"_Toc30798" </w:instrText>
          </w:r>
          <w:r>
            <w:fldChar w:fldCharType="separate"/>
          </w:r>
          <w:r>
            <w:rPr>
              <w:i w:val="0"/>
            </w:rPr>
            <w:t>13 索赔</w:t>
          </w:r>
          <w:r>
            <w:rPr>
              <w:i w:val="0"/>
            </w:rPr>
            <w:tab/>
          </w:r>
          <w:r>
            <w:rPr>
              <w:i w:val="0"/>
            </w:rPr>
            <w:fldChar w:fldCharType="begin"/>
          </w:r>
          <w:r>
            <w:rPr>
              <w:i w:val="0"/>
            </w:rPr>
            <w:instrText xml:space="preserve"> PAGEREF _Toc30798 \h </w:instrText>
          </w:r>
          <w:r>
            <w:rPr>
              <w:i w:val="0"/>
            </w:rPr>
            <w:fldChar w:fldCharType="separate"/>
          </w:r>
          <w:r>
            <w:rPr>
              <w:i w:val="0"/>
            </w:rPr>
            <w:t>40</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"_Toc19392" </w:instrText>
          </w:r>
          <w:r>
            <w:fldChar w:fldCharType="separate"/>
          </w:r>
          <w:r>
            <w:rPr>
              <w:i w:val="0"/>
            </w:rPr>
            <w:t>14 延迟交货</w:t>
          </w:r>
          <w:r>
            <w:rPr>
              <w:i w:val="0"/>
            </w:rPr>
            <w:tab/>
          </w:r>
          <w:r>
            <w:rPr>
              <w:i w:val="0"/>
            </w:rPr>
            <w:fldChar w:fldCharType="begin"/>
          </w:r>
          <w:r>
            <w:rPr>
              <w:i w:val="0"/>
            </w:rPr>
            <w:instrText xml:space="preserve"> PAGEREF _Toc19392 \h </w:instrText>
          </w:r>
          <w:r>
            <w:rPr>
              <w:i w:val="0"/>
            </w:rPr>
            <w:fldChar w:fldCharType="separate"/>
          </w:r>
          <w:r>
            <w:rPr>
              <w:i w:val="0"/>
            </w:rPr>
            <w:t>41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"_Toc405" </w:instrText>
          </w:r>
          <w:r>
            <w:fldChar w:fldCharType="separate"/>
          </w:r>
          <w:r>
            <w:rPr>
              <w:i w:val="0"/>
            </w:rPr>
            <w:t>15违约赔偿</w:t>
          </w:r>
          <w:r>
            <w:rPr>
              <w:i w:val="0"/>
            </w:rPr>
            <w:tab/>
          </w:r>
          <w:r>
            <w:rPr>
              <w:i w:val="0"/>
            </w:rPr>
            <w:fldChar w:fldCharType="begin"/>
          </w:r>
          <w:r>
            <w:rPr>
              <w:i w:val="0"/>
            </w:rPr>
            <w:instrText xml:space="preserve"> PAGEREF _Toc405 \h </w:instrText>
          </w:r>
          <w:r>
            <w:rPr>
              <w:i w:val="0"/>
            </w:rPr>
            <w:fldChar w:fldCharType="separate"/>
          </w:r>
          <w:r>
            <w:rPr>
              <w:i w:val="0"/>
            </w:rPr>
            <w:t>41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"_Toc27272" </w:instrText>
          </w:r>
          <w:r>
            <w:fldChar w:fldCharType="separate"/>
          </w:r>
          <w:r>
            <w:rPr>
              <w:i w:val="0"/>
            </w:rPr>
            <w:t>16不可抗力</w:t>
          </w:r>
          <w:r>
            <w:rPr>
              <w:i w:val="0"/>
            </w:rPr>
            <w:tab/>
          </w:r>
          <w:r>
            <w:rPr>
              <w:i w:val="0"/>
            </w:rPr>
            <w:fldChar w:fldCharType="begin"/>
          </w:r>
          <w:r>
            <w:rPr>
              <w:i w:val="0"/>
            </w:rPr>
            <w:instrText xml:space="preserve"> PAGEREF _Toc27272 \h </w:instrText>
          </w:r>
          <w:r>
            <w:rPr>
              <w:i w:val="0"/>
            </w:rPr>
            <w:fldChar w:fldCharType="separate"/>
          </w:r>
          <w:r>
            <w:rPr>
              <w:i w:val="0"/>
            </w:rPr>
            <w:t>41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"_Toc32649" </w:instrText>
          </w:r>
          <w:r>
            <w:fldChar w:fldCharType="separate"/>
          </w:r>
          <w:r>
            <w:rPr>
              <w:i w:val="0"/>
            </w:rPr>
            <w:t>17税费</w:t>
          </w:r>
          <w:r>
            <w:rPr>
              <w:i w:val="0"/>
            </w:rPr>
            <w:tab/>
          </w:r>
          <w:r>
            <w:rPr>
              <w:i w:val="0"/>
            </w:rPr>
            <w:fldChar w:fldCharType="begin"/>
          </w:r>
          <w:r>
            <w:rPr>
              <w:i w:val="0"/>
            </w:rPr>
            <w:instrText xml:space="preserve"> PAGEREF _Toc32649 \h </w:instrText>
          </w:r>
          <w:r>
            <w:rPr>
              <w:i w:val="0"/>
            </w:rPr>
            <w:fldChar w:fldCharType="separate"/>
          </w:r>
          <w:r>
            <w:rPr>
              <w:i w:val="0"/>
            </w:rPr>
            <w:t>41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"_Toc17257" </w:instrText>
          </w:r>
          <w:r>
            <w:fldChar w:fldCharType="separate"/>
          </w:r>
          <w:r>
            <w:rPr>
              <w:i w:val="0"/>
            </w:rPr>
            <w:t>18合同争议的解决</w:t>
          </w:r>
          <w:r>
            <w:rPr>
              <w:i w:val="0"/>
            </w:rPr>
            <w:tab/>
          </w:r>
          <w:r>
            <w:rPr>
              <w:i w:val="0"/>
            </w:rPr>
            <w:fldChar w:fldCharType="begin"/>
          </w:r>
          <w:r>
            <w:rPr>
              <w:i w:val="0"/>
            </w:rPr>
            <w:instrText xml:space="preserve"> PAGEREF _Toc17257 \h </w:instrText>
          </w:r>
          <w:r>
            <w:rPr>
              <w:i w:val="0"/>
            </w:rPr>
            <w:fldChar w:fldCharType="separate"/>
          </w:r>
          <w:r>
            <w:rPr>
              <w:i w:val="0"/>
            </w:rPr>
            <w:t>41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"_Toc22480" </w:instrText>
          </w:r>
          <w:r>
            <w:fldChar w:fldCharType="separate"/>
          </w:r>
          <w:r>
            <w:rPr>
              <w:i w:val="0"/>
            </w:rPr>
            <w:t>19违约解除合同</w:t>
          </w:r>
          <w:r>
            <w:rPr>
              <w:i w:val="0"/>
            </w:rPr>
            <w:tab/>
          </w:r>
          <w:r>
            <w:rPr>
              <w:i w:val="0"/>
            </w:rPr>
            <w:fldChar w:fldCharType="begin"/>
          </w:r>
          <w:r>
            <w:rPr>
              <w:i w:val="0"/>
            </w:rPr>
            <w:instrText xml:space="preserve"> PAGEREF _Toc22480 \h </w:instrText>
          </w:r>
          <w:r>
            <w:rPr>
              <w:i w:val="0"/>
            </w:rPr>
            <w:fldChar w:fldCharType="separate"/>
          </w:r>
          <w:r>
            <w:rPr>
              <w:i w:val="0"/>
            </w:rPr>
            <w:t>42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"_Toc113" </w:instrText>
          </w:r>
          <w:r>
            <w:fldChar w:fldCharType="separate"/>
          </w:r>
          <w:r>
            <w:rPr>
              <w:i w:val="0"/>
            </w:rPr>
            <w:t>20破产终止合同</w:t>
          </w:r>
          <w:r>
            <w:rPr>
              <w:i w:val="0"/>
            </w:rPr>
            <w:tab/>
          </w:r>
          <w:r>
            <w:rPr>
              <w:i w:val="0"/>
            </w:rPr>
            <w:fldChar w:fldCharType="begin"/>
          </w:r>
          <w:r>
            <w:rPr>
              <w:i w:val="0"/>
            </w:rPr>
            <w:instrText xml:space="preserve"> PAGEREF _Toc113 \h </w:instrText>
          </w:r>
          <w:r>
            <w:rPr>
              <w:i w:val="0"/>
            </w:rPr>
            <w:fldChar w:fldCharType="separate"/>
          </w:r>
          <w:r>
            <w:rPr>
              <w:i w:val="0"/>
            </w:rPr>
            <w:t>42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"_Toc829" </w:instrText>
          </w:r>
          <w:r>
            <w:fldChar w:fldCharType="separate"/>
          </w:r>
          <w:r>
            <w:rPr>
              <w:i w:val="0"/>
            </w:rPr>
            <w:t>21转让和分包</w:t>
          </w:r>
          <w:r>
            <w:rPr>
              <w:i w:val="0"/>
            </w:rPr>
            <w:tab/>
          </w:r>
          <w:r>
            <w:rPr>
              <w:i w:val="0"/>
            </w:rPr>
            <w:fldChar w:fldCharType="begin"/>
          </w:r>
          <w:r>
            <w:rPr>
              <w:i w:val="0"/>
            </w:rPr>
            <w:instrText xml:space="preserve"> PAGEREF _Toc829 \h </w:instrText>
          </w:r>
          <w:r>
            <w:rPr>
              <w:i w:val="0"/>
            </w:rPr>
            <w:fldChar w:fldCharType="separate"/>
          </w:r>
          <w:r>
            <w:rPr>
              <w:i w:val="0"/>
            </w:rPr>
            <w:t>42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"_Toc14909" </w:instrText>
          </w:r>
          <w:r>
            <w:fldChar w:fldCharType="separate"/>
          </w:r>
          <w:r>
            <w:rPr>
              <w:i w:val="0"/>
            </w:rPr>
            <w:t>22合同修改</w:t>
          </w:r>
          <w:r>
            <w:rPr>
              <w:i w:val="0"/>
            </w:rPr>
            <w:tab/>
          </w:r>
          <w:r>
            <w:rPr>
              <w:i w:val="0"/>
            </w:rPr>
            <w:fldChar w:fldCharType="begin"/>
          </w:r>
          <w:r>
            <w:rPr>
              <w:i w:val="0"/>
            </w:rPr>
            <w:instrText xml:space="preserve"> PAGEREF _Toc14909 \h </w:instrText>
          </w:r>
          <w:r>
            <w:rPr>
              <w:i w:val="0"/>
            </w:rPr>
            <w:fldChar w:fldCharType="separate"/>
          </w:r>
          <w:r>
            <w:rPr>
              <w:i w:val="0"/>
            </w:rPr>
            <w:t>43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"_Toc30403" </w:instrText>
          </w:r>
          <w:r>
            <w:fldChar w:fldCharType="separate"/>
          </w:r>
          <w:r>
            <w:rPr>
              <w:i w:val="0"/>
            </w:rPr>
            <w:t>23通知</w:t>
          </w:r>
          <w:r>
            <w:rPr>
              <w:i w:val="0"/>
            </w:rPr>
            <w:tab/>
          </w:r>
          <w:r>
            <w:rPr>
              <w:i w:val="0"/>
            </w:rPr>
            <w:fldChar w:fldCharType="begin"/>
          </w:r>
          <w:r>
            <w:rPr>
              <w:i w:val="0"/>
            </w:rPr>
            <w:instrText xml:space="preserve"> PAGEREF _Toc30403 \h </w:instrText>
          </w:r>
          <w:r>
            <w:rPr>
              <w:i w:val="0"/>
            </w:rPr>
            <w:fldChar w:fldCharType="separate"/>
          </w:r>
          <w:r>
            <w:rPr>
              <w:i w:val="0"/>
            </w:rPr>
            <w:t>43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"_Toc32150" </w:instrText>
          </w:r>
          <w:r>
            <w:fldChar w:fldCharType="separate"/>
          </w:r>
          <w:r>
            <w:rPr>
              <w:i w:val="0"/>
            </w:rPr>
            <w:t>24计量单位</w:t>
          </w:r>
          <w:r>
            <w:rPr>
              <w:i w:val="0"/>
            </w:rPr>
            <w:tab/>
          </w:r>
          <w:r>
            <w:rPr>
              <w:i w:val="0"/>
            </w:rPr>
            <w:fldChar w:fldCharType="begin"/>
          </w:r>
          <w:r>
            <w:rPr>
              <w:i w:val="0"/>
            </w:rPr>
            <w:instrText xml:space="preserve"> PAGEREF _Toc32150 \h </w:instrText>
          </w:r>
          <w:r>
            <w:rPr>
              <w:i w:val="0"/>
            </w:rPr>
            <w:fldChar w:fldCharType="separate"/>
          </w:r>
          <w:r>
            <w:rPr>
              <w:i w:val="0"/>
            </w:rPr>
            <w:t>43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"_Toc20762" </w:instrText>
          </w:r>
          <w:r>
            <w:fldChar w:fldCharType="separate"/>
          </w:r>
          <w:r>
            <w:rPr>
              <w:i w:val="0"/>
            </w:rPr>
            <w:t>25适用法律</w:t>
          </w:r>
          <w:r>
            <w:rPr>
              <w:i w:val="0"/>
            </w:rPr>
            <w:tab/>
          </w:r>
          <w:r>
            <w:rPr>
              <w:i w:val="0"/>
            </w:rPr>
            <w:fldChar w:fldCharType="begin"/>
          </w:r>
          <w:r>
            <w:rPr>
              <w:i w:val="0"/>
            </w:rPr>
            <w:instrText xml:space="preserve"> PAGEREF _Toc20762 \h </w:instrText>
          </w:r>
          <w:r>
            <w:rPr>
              <w:i w:val="0"/>
            </w:rPr>
            <w:fldChar w:fldCharType="separate"/>
          </w:r>
          <w:r>
            <w:rPr>
              <w:i w:val="0"/>
            </w:rPr>
            <w:t>43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"_Toc1793" </w:instrText>
          </w:r>
          <w:r>
            <w:fldChar w:fldCharType="separate"/>
          </w:r>
          <w:r>
            <w:rPr>
              <w:i w:val="0"/>
            </w:rPr>
            <w:t>26履约保证金</w:t>
          </w:r>
          <w:r>
            <w:rPr>
              <w:i w:val="0"/>
            </w:rPr>
            <w:tab/>
          </w:r>
          <w:r>
            <w:rPr>
              <w:i w:val="0"/>
            </w:rPr>
            <w:fldChar w:fldCharType="begin"/>
          </w:r>
          <w:r>
            <w:rPr>
              <w:i w:val="0"/>
            </w:rPr>
            <w:instrText xml:space="preserve"> PAGEREF _Toc1793 \h </w:instrText>
          </w:r>
          <w:r>
            <w:rPr>
              <w:i w:val="0"/>
            </w:rPr>
            <w:fldChar w:fldCharType="separate"/>
          </w:r>
          <w:r>
            <w:rPr>
              <w:i w:val="0"/>
            </w:rPr>
            <w:t>43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"_Toc23207" </w:instrText>
          </w:r>
          <w:r>
            <w:fldChar w:fldCharType="separate"/>
          </w:r>
          <w:r>
            <w:rPr>
              <w:i w:val="0"/>
            </w:rPr>
            <w:t>27合同生效和其它</w:t>
          </w:r>
          <w:r>
            <w:rPr>
              <w:i w:val="0"/>
            </w:rPr>
            <w:tab/>
          </w:r>
          <w:r>
            <w:rPr>
              <w:i w:val="0"/>
            </w:rPr>
            <w:fldChar w:fldCharType="begin"/>
          </w:r>
          <w:r>
            <w:rPr>
              <w:i w:val="0"/>
            </w:rPr>
            <w:instrText xml:space="preserve"> PAGEREF _Toc23207 \h </w:instrText>
          </w:r>
          <w:r>
            <w:rPr>
              <w:i w:val="0"/>
            </w:rPr>
            <w:fldChar w:fldCharType="separate"/>
          </w:r>
          <w:r>
            <w:rPr>
              <w:i w:val="0"/>
            </w:rPr>
            <w:t>43</w:t>
          </w:r>
          <w:r>
            <w:rPr>
              <w:i w:val="0"/>
            </w:rPr>
            <w:fldChar w:fldCharType="end"/>
          </w:r>
          <w:r>
            <w:rPr>
              <w:i w:val="0"/>
            </w:rPr>
            <w:fldChar w:fldCharType="end"/>
          </w:r>
        </w:p>
        <w:p>
          <w:pPr>
            <w:pStyle w:val="37"/>
            <w:tabs>
              <w:tab w:val="right" w:leader="dot" w:pos="9040"/>
            </w:tabs>
          </w:pPr>
          <w:r>
            <w:fldChar w:fldCharType="begin"/>
          </w:r>
          <w:r>
            <w:instrText xml:space="preserve"> HYPERLINK \l "_Toc11158" </w:instrText>
          </w:r>
          <w:r>
            <w:fldChar w:fldCharType="separate"/>
          </w:r>
          <w:r>
            <w:rPr>
              <w:rFonts w:hint="eastAsia" w:ascii="宋体" w:hAnsi="宋体"/>
              <w:szCs w:val="24"/>
            </w:rPr>
            <w:t>合同专用条款</w:t>
          </w:r>
          <w:r>
            <w:tab/>
          </w:r>
          <w:r>
            <w:fldChar w:fldCharType="begin"/>
          </w:r>
          <w:r>
            <w:instrText xml:space="preserve"> PAGEREF _Toc11158 \h </w:instrText>
          </w:r>
          <w:r>
            <w:fldChar w:fldCharType="separate"/>
          </w:r>
          <w:r>
            <w:t>44</w:t>
          </w:r>
          <w:r>
            <w:fldChar w:fldCharType="end"/>
          </w:r>
          <w:r>
            <w:fldChar w:fldCharType="end"/>
          </w:r>
        </w:p>
        <w:p>
          <w:pPr>
            <w:pStyle w:val="37"/>
            <w:tabs>
              <w:tab w:val="right" w:leader="dot" w:pos="9040"/>
            </w:tabs>
          </w:pPr>
          <w:r>
            <w:fldChar w:fldCharType="begin"/>
          </w:r>
          <w:r>
            <w:instrText xml:space="preserve"> HYPERLINK \l "_Toc4437" </w:instrText>
          </w:r>
          <w:r>
            <w:fldChar w:fldCharType="separate"/>
          </w:r>
          <w:r>
            <w:rPr>
              <w:rFonts w:hint="eastAsia"/>
            </w:rPr>
            <w:t>第七章 投标文件格式</w:t>
          </w:r>
          <w:r>
            <w:tab/>
          </w:r>
          <w:r>
            <w:fldChar w:fldCharType="begin"/>
          </w:r>
          <w:r>
            <w:instrText xml:space="preserve"> PAGEREF _Toc4437 \h </w:instrText>
          </w:r>
          <w:r>
            <w:fldChar w:fldCharType="separate"/>
          </w:r>
          <w:r>
            <w:t>45</w:t>
          </w:r>
          <w:r>
            <w:fldChar w:fldCharType="end"/>
          </w:r>
          <w:r>
            <w:fldChar w:fldCharType="end"/>
          </w:r>
        </w:p>
        <w:p>
          <w:pPr>
            <w:pStyle w:val="2"/>
            <w:tabs>
              <w:tab w:val="right" w:leader="dot" w:pos="9040"/>
            </w:tabs>
          </w:pPr>
          <w:r>
            <w:fldChar w:fldCharType="begin"/>
          </w:r>
          <w:r>
            <w:instrText xml:space="preserve"> HYPERLINK \l "_Toc25060" </w:instrText>
          </w:r>
          <w:r>
            <w:fldChar w:fldCharType="separate"/>
          </w:r>
          <w:r>
            <w:rPr>
              <w:rFonts w:hint="eastAsia"/>
            </w:rPr>
            <w:t>一、投标文件资格册</w:t>
          </w:r>
          <w:r>
            <w:tab/>
          </w:r>
          <w:r>
            <w:fldChar w:fldCharType="begin"/>
          </w:r>
          <w:r>
            <w:instrText xml:space="preserve"> PAGEREF _Toc25060 \h </w:instrText>
          </w:r>
          <w:r>
            <w:fldChar w:fldCharType="separate"/>
          </w:r>
          <w:r>
            <w:t>45</w:t>
          </w:r>
          <w:r>
            <w:fldChar w:fldCharType="end"/>
          </w:r>
          <w:r>
            <w:fldChar w:fldCharType="end"/>
          </w:r>
        </w:p>
        <w:p>
          <w:pPr>
            <w:pStyle w:val="2"/>
            <w:tabs>
              <w:tab w:val="right" w:leader="dot" w:pos="9040"/>
            </w:tabs>
          </w:pPr>
          <w:r>
            <w:fldChar w:fldCharType="begin"/>
          </w:r>
          <w:r>
            <w:instrText xml:space="preserve"> HYPERLINK \l "_Toc2179" </w:instrText>
          </w:r>
          <w:r>
            <w:fldChar w:fldCharType="separate"/>
          </w:r>
          <w:r>
            <w:rPr>
              <w:rFonts w:hint="eastAsia"/>
            </w:rPr>
            <w:t>二、投标文件商务技术册</w:t>
          </w:r>
          <w:r>
            <w:tab/>
          </w:r>
          <w:r>
            <w:fldChar w:fldCharType="begin"/>
          </w:r>
          <w:r>
            <w:instrText xml:space="preserve"> PAGEREF _Toc2179 \h </w:instrText>
          </w:r>
          <w:r>
            <w:fldChar w:fldCharType="separate"/>
          </w:r>
          <w:r>
            <w:t>49</w:t>
          </w:r>
          <w:r>
            <w:fldChar w:fldCharType="end"/>
          </w:r>
          <w:r>
            <w:fldChar w:fldCharType="end"/>
          </w:r>
        </w:p>
        <w:p>
          <w:pPr>
            <w:pStyle w:val="27"/>
            <w:tabs>
              <w:tab w:val="right" w:leader="dot" w:pos="9040"/>
            </w:tabs>
            <w:rPr>
              <w:i w:val="0"/>
            </w:rPr>
          </w:pPr>
          <w:r>
            <w:fldChar w:fldCharType="begin"/>
          </w:r>
          <w:r>
            <w:instrText xml:space="preserve"> HYPERLINK \l "_Toc12975" </w:instrText>
          </w:r>
          <w:r>
            <w:fldChar w:fldCharType="separate"/>
          </w:r>
          <w:r>
            <w:rPr>
              <w:i w:val="0"/>
            </w:rPr>
            <w:t>1 投标函</w:t>
          </w:r>
          <w:r>
            <w:rPr>
              <w:i w:val="0"/>
            </w:rPr>
            <w:tab/>
          </w:r>
          <w:r>
            <w:rPr>
              <w:i w:val="0"/>
            </w:rPr>
            <w:fldChar w:fldCharType="begin"/>
          </w:r>
          <w:r>
            <w:rPr>
              <w:i w:val="0"/>
            </w:rPr>
            <w:instrText xml:space="preserve"> PAGEREF _Toc12975 \h </w:instrText>
          </w:r>
          <w:r>
            <w:rPr>
              <w:i w:val="0"/>
            </w:rPr>
            <w:fldChar w:fldCharType="separate"/>
          </w:r>
          <w:r>
            <w:rPr>
              <w:i w:val="0"/>
            </w:rPr>
            <w:t>49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"_Toc25920" </w:instrText>
          </w:r>
          <w:r>
            <w:fldChar w:fldCharType="separate"/>
          </w:r>
          <w:r>
            <w:rPr>
              <w:i w:val="0"/>
            </w:rPr>
            <w:t>2 开标一览表</w:t>
          </w:r>
          <w:r>
            <w:rPr>
              <w:i w:val="0"/>
            </w:rPr>
            <w:tab/>
          </w:r>
          <w:r>
            <w:rPr>
              <w:i w:val="0"/>
            </w:rPr>
            <w:fldChar w:fldCharType="begin"/>
          </w:r>
          <w:r>
            <w:rPr>
              <w:i w:val="0"/>
            </w:rPr>
            <w:instrText xml:space="preserve"> PAGEREF _Toc25920 \h </w:instrText>
          </w:r>
          <w:r>
            <w:rPr>
              <w:i w:val="0"/>
            </w:rPr>
            <w:fldChar w:fldCharType="separate"/>
          </w:r>
          <w:r>
            <w:rPr>
              <w:i w:val="0"/>
            </w:rPr>
            <w:t>51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"_Toc22720" </w:instrText>
          </w:r>
          <w:r>
            <w:fldChar w:fldCharType="separate"/>
          </w:r>
          <w:r>
            <w:rPr>
              <w:i w:val="0"/>
            </w:rPr>
            <w:t>3 投标分项报价表</w:t>
          </w:r>
          <w:r>
            <w:rPr>
              <w:i w:val="0"/>
            </w:rPr>
            <w:tab/>
          </w:r>
          <w:r>
            <w:rPr>
              <w:i w:val="0"/>
            </w:rPr>
            <w:fldChar w:fldCharType="begin"/>
          </w:r>
          <w:r>
            <w:rPr>
              <w:i w:val="0"/>
            </w:rPr>
            <w:instrText xml:space="preserve"> PAGEREF _Toc22720 \h </w:instrText>
          </w:r>
          <w:r>
            <w:rPr>
              <w:i w:val="0"/>
            </w:rPr>
            <w:fldChar w:fldCharType="separate"/>
          </w:r>
          <w:r>
            <w:rPr>
              <w:i w:val="0"/>
            </w:rPr>
            <w:t>52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"_Toc16731" </w:instrText>
          </w:r>
          <w:r>
            <w:fldChar w:fldCharType="separate"/>
          </w:r>
          <w:r>
            <w:rPr>
              <w:i w:val="0"/>
            </w:rPr>
            <w:t>4 技术规格偏离表</w:t>
          </w:r>
          <w:r>
            <w:rPr>
              <w:i w:val="0"/>
            </w:rPr>
            <w:tab/>
          </w:r>
          <w:r>
            <w:rPr>
              <w:i w:val="0"/>
            </w:rPr>
            <w:fldChar w:fldCharType="begin"/>
          </w:r>
          <w:r>
            <w:rPr>
              <w:i w:val="0"/>
            </w:rPr>
            <w:instrText xml:space="preserve"> PAGEREF _Toc16731 \h </w:instrText>
          </w:r>
          <w:r>
            <w:rPr>
              <w:i w:val="0"/>
            </w:rPr>
            <w:fldChar w:fldCharType="separate"/>
          </w:r>
          <w:r>
            <w:rPr>
              <w:i w:val="0"/>
            </w:rPr>
            <w:t>53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"_Toc20519" </w:instrText>
          </w:r>
          <w:r>
            <w:fldChar w:fldCharType="separate"/>
          </w:r>
          <w:r>
            <w:rPr>
              <w:i w:val="0"/>
            </w:rPr>
            <w:t>6 业绩案例一览表</w:t>
          </w:r>
          <w:r>
            <w:rPr>
              <w:i w:val="0"/>
            </w:rPr>
            <w:tab/>
          </w:r>
          <w:r>
            <w:rPr>
              <w:i w:val="0"/>
            </w:rPr>
            <w:fldChar w:fldCharType="begin"/>
          </w:r>
          <w:r>
            <w:rPr>
              <w:i w:val="0"/>
            </w:rPr>
            <w:instrText xml:space="preserve"> PAGEREF _Toc20519 \h </w:instrText>
          </w:r>
          <w:r>
            <w:rPr>
              <w:i w:val="0"/>
            </w:rPr>
            <w:fldChar w:fldCharType="separate"/>
          </w:r>
          <w:r>
            <w:rPr>
              <w:i w:val="0"/>
            </w:rPr>
            <w:t>55</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"_Toc21533" </w:instrText>
          </w:r>
          <w:r>
            <w:fldChar w:fldCharType="separate"/>
          </w:r>
          <w:r>
            <w:rPr>
              <w:i w:val="0"/>
            </w:rPr>
            <w:t>7 投标人基本情况表</w:t>
          </w:r>
          <w:r>
            <w:rPr>
              <w:i w:val="0"/>
            </w:rPr>
            <w:tab/>
          </w:r>
          <w:r>
            <w:rPr>
              <w:i w:val="0"/>
            </w:rPr>
            <w:fldChar w:fldCharType="begin"/>
          </w:r>
          <w:r>
            <w:rPr>
              <w:i w:val="0"/>
            </w:rPr>
            <w:instrText xml:space="preserve"> PAGEREF _Toc21533 \h </w:instrText>
          </w:r>
          <w:r>
            <w:rPr>
              <w:i w:val="0"/>
            </w:rPr>
            <w:fldChar w:fldCharType="separate"/>
          </w:r>
          <w:r>
            <w:rPr>
              <w:i w:val="0"/>
            </w:rPr>
            <w:t>56</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"_Toc22685" </w:instrText>
          </w:r>
          <w:r>
            <w:fldChar w:fldCharType="separate"/>
          </w:r>
          <w:r>
            <w:rPr>
              <w:i w:val="0"/>
            </w:rPr>
            <w:t>8 实施方案</w:t>
          </w:r>
          <w:r>
            <w:rPr>
              <w:i w:val="0"/>
            </w:rPr>
            <w:tab/>
          </w:r>
          <w:r>
            <w:rPr>
              <w:i w:val="0"/>
            </w:rPr>
            <w:fldChar w:fldCharType="begin"/>
          </w:r>
          <w:r>
            <w:rPr>
              <w:i w:val="0"/>
            </w:rPr>
            <w:instrText xml:space="preserve"> PAGEREF _Toc22685 \h </w:instrText>
          </w:r>
          <w:r>
            <w:rPr>
              <w:i w:val="0"/>
            </w:rPr>
            <w:fldChar w:fldCharType="separate"/>
          </w:r>
          <w:r>
            <w:rPr>
              <w:i w:val="0"/>
            </w:rPr>
            <w:t>58</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"_Toc30116" </w:instrText>
          </w:r>
          <w:r>
            <w:fldChar w:fldCharType="separate"/>
          </w:r>
          <w:r>
            <w:rPr>
              <w:i w:val="0"/>
            </w:rPr>
            <w:t>9 售后服务及培训计划</w:t>
          </w:r>
          <w:r>
            <w:rPr>
              <w:i w:val="0"/>
            </w:rPr>
            <w:tab/>
          </w:r>
          <w:r>
            <w:rPr>
              <w:i w:val="0"/>
            </w:rPr>
            <w:fldChar w:fldCharType="begin"/>
          </w:r>
          <w:r>
            <w:rPr>
              <w:i w:val="0"/>
            </w:rPr>
            <w:instrText xml:space="preserve"> PAGEREF _Toc30116 \h </w:instrText>
          </w:r>
          <w:r>
            <w:rPr>
              <w:i w:val="0"/>
            </w:rPr>
            <w:fldChar w:fldCharType="separate"/>
          </w:r>
          <w:r>
            <w:rPr>
              <w:i w:val="0"/>
            </w:rPr>
            <w:t>59</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"_Toc19434" </w:instrText>
          </w:r>
          <w:r>
            <w:fldChar w:fldCharType="separate"/>
          </w:r>
          <w:r>
            <w:rPr>
              <w:i w:val="0"/>
            </w:rPr>
            <w:t>11 中标服务费承诺书</w:t>
          </w:r>
          <w:r>
            <w:rPr>
              <w:i w:val="0"/>
            </w:rPr>
            <w:tab/>
          </w:r>
          <w:r>
            <w:rPr>
              <w:i w:val="0"/>
            </w:rPr>
            <w:fldChar w:fldCharType="begin"/>
          </w:r>
          <w:r>
            <w:rPr>
              <w:i w:val="0"/>
            </w:rPr>
            <w:instrText xml:space="preserve"> PAGEREF _Toc19434 \h </w:instrText>
          </w:r>
          <w:r>
            <w:rPr>
              <w:i w:val="0"/>
            </w:rPr>
            <w:fldChar w:fldCharType="separate"/>
          </w:r>
          <w:r>
            <w:rPr>
              <w:i w:val="0"/>
            </w:rPr>
            <w:t>61</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"_Toc31284" </w:instrText>
          </w:r>
          <w:r>
            <w:fldChar w:fldCharType="separate"/>
          </w:r>
          <w:r>
            <w:rPr>
              <w:i w:val="0"/>
            </w:rPr>
            <w:t>12 中小企业声明函（服务）（如适用）</w:t>
          </w:r>
          <w:r>
            <w:rPr>
              <w:i w:val="0"/>
            </w:rPr>
            <w:tab/>
          </w:r>
          <w:r>
            <w:rPr>
              <w:i w:val="0"/>
            </w:rPr>
            <w:fldChar w:fldCharType="begin"/>
          </w:r>
          <w:r>
            <w:rPr>
              <w:i w:val="0"/>
            </w:rPr>
            <w:instrText xml:space="preserve"> PAGEREF _Toc31284 \h </w:instrText>
          </w:r>
          <w:r>
            <w:rPr>
              <w:i w:val="0"/>
            </w:rPr>
            <w:fldChar w:fldCharType="separate"/>
          </w:r>
          <w:r>
            <w:rPr>
              <w:i w:val="0"/>
            </w:rPr>
            <w:t>62</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"_Toc28791" </w:instrText>
          </w:r>
          <w:r>
            <w:fldChar w:fldCharType="separate"/>
          </w:r>
          <w:r>
            <w:rPr>
              <w:i w:val="0"/>
            </w:rPr>
            <w:t>13 残疾人福利性单位声明函（如适用）</w:t>
          </w:r>
          <w:r>
            <w:rPr>
              <w:i w:val="0"/>
            </w:rPr>
            <w:tab/>
          </w:r>
          <w:r>
            <w:rPr>
              <w:i w:val="0"/>
            </w:rPr>
            <w:fldChar w:fldCharType="begin"/>
          </w:r>
          <w:r>
            <w:rPr>
              <w:i w:val="0"/>
            </w:rPr>
            <w:instrText xml:space="preserve"> PAGEREF _Toc28791 \h </w:instrText>
          </w:r>
          <w:r>
            <w:rPr>
              <w:i w:val="0"/>
            </w:rPr>
            <w:fldChar w:fldCharType="separate"/>
          </w:r>
          <w:r>
            <w:rPr>
              <w:i w:val="0"/>
            </w:rPr>
            <w:t>63</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"_Toc3324" </w:instrText>
          </w:r>
          <w:r>
            <w:fldChar w:fldCharType="separate"/>
          </w:r>
          <w:r>
            <w:rPr>
              <w:i w:val="0"/>
            </w:rPr>
            <w:t>14 监狱、戒毒企业声明函（如适用）</w:t>
          </w:r>
          <w:r>
            <w:rPr>
              <w:i w:val="0"/>
            </w:rPr>
            <w:tab/>
          </w:r>
          <w:r>
            <w:rPr>
              <w:i w:val="0"/>
            </w:rPr>
            <w:fldChar w:fldCharType="begin"/>
          </w:r>
          <w:r>
            <w:rPr>
              <w:i w:val="0"/>
            </w:rPr>
            <w:instrText xml:space="preserve"> PAGEREF _Toc3324 \h </w:instrText>
          </w:r>
          <w:r>
            <w:rPr>
              <w:i w:val="0"/>
            </w:rPr>
            <w:fldChar w:fldCharType="separate"/>
          </w:r>
          <w:r>
            <w:rPr>
              <w:i w:val="0"/>
            </w:rPr>
            <w:t>64</w:t>
          </w:r>
          <w:r>
            <w:rPr>
              <w:i w:val="0"/>
            </w:rPr>
            <w:fldChar w:fldCharType="end"/>
          </w:r>
          <w:r>
            <w:rPr>
              <w:i w:val="0"/>
            </w:rPr>
            <w:fldChar w:fldCharType="end"/>
          </w:r>
        </w:p>
        <w:p>
          <w:pPr>
            <w:pStyle w:val="27"/>
            <w:tabs>
              <w:tab w:val="right" w:leader="dot" w:pos="9040"/>
            </w:tabs>
            <w:rPr>
              <w:i w:val="0"/>
            </w:rPr>
          </w:pPr>
          <w:r>
            <w:fldChar w:fldCharType="begin"/>
          </w:r>
          <w:r>
            <w:instrText xml:space="preserve"> HYPERLINK \l "_Toc29044" </w:instrText>
          </w:r>
          <w:r>
            <w:fldChar w:fldCharType="separate"/>
          </w:r>
          <w:r>
            <w:rPr>
              <w:i w:val="0"/>
            </w:rPr>
            <w:t>15 投标人认为必要的其他证明文件</w:t>
          </w:r>
          <w:r>
            <w:rPr>
              <w:i w:val="0"/>
            </w:rPr>
            <w:tab/>
          </w:r>
          <w:r>
            <w:rPr>
              <w:i w:val="0"/>
            </w:rPr>
            <w:fldChar w:fldCharType="begin"/>
          </w:r>
          <w:r>
            <w:rPr>
              <w:i w:val="0"/>
            </w:rPr>
            <w:instrText xml:space="preserve"> PAGEREF _Toc29044 \h </w:instrText>
          </w:r>
          <w:r>
            <w:rPr>
              <w:i w:val="0"/>
            </w:rPr>
            <w:fldChar w:fldCharType="separate"/>
          </w:r>
          <w:r>
            <w:rPr>
              <w:i w:val="0"/>
            </w:rPr>
            <w:t>65</w:t>
          </w:r>
          <w:r>
            <w:rPr>
              <w:i w:val="0"/>
            </w:rPr>
            <w:fldChar w:fldCharType="end"/>
          </w:r>
          <w:r>
            <w:rPr>
              <w:i w:val="0"/>
            </w:rPr>
            <w:fldChar w:fldCharType="end"/>
          </w:r>
        </w:p>
        <w:p>
          <w:pPr>
            <w:snapToGrid w:val="0"/>
            <w:spacing w:line="360" w:lineRule="auto"/>
            <w:textAlignment w:val="baseline"/>
            <w:rPr>
              <w:rFonts w:ascii="宋体" w:hAnsi="宋体"/>
              <w:sz w:val="24"/>
            </w:rPr>
          </w:pPr>
          <w:r>
            <w:rPr>
              <w:rFonts w:ascii="宋体" w:hAnsi="宋体"/>
            </w:rPr>
            <w:fldChar w:fldCharType="end"/>
          </w:r>
        </w:p>
      </w:sdtContent>
    </w:sdt>
    <w:p>
      <w:pPr>
        <w:pStyle w:val="3"/>
        <w:snapToGrid w:val="0"/>
        <w:spacing w:before="0" w:after="0" w:line="240" w:lineRule="auto"/>
        <w:textAlignment w:val="baseline"/>
        <w:rPr>
          <w:rFonts w:hAnsi="宋体"/>
          <w:szCs w:val="28"/>
          <w:lang w:val="en-US"/>
        </w:rPr>
        <w:sectPr>
          <w:headerReference r:id="rId7" w:type="first"/>
          <w:footerReference r:id="rId8" w:type="first"/>
          <w:headerReference r:id="rId6" w:type="default"/>
          <w:pgSz w:w="11907" w:h="16840"/>
          <w:pgMar w:top="1560" w:right="1591" w:bottom="1089" w:left="1276" w:header="851" w:footer="1117" w:gutter="0"/>
          <w:cols w:space="720" w:num="1"/>
          <w:titlePg/>
          <w:docGrid w:linePitch="312" w:charSpace="0"/>
        </w:sectPr>
      </w:pPr>
      <w:bookmarkStart w:id="1" w:name="_Toc40110889"/>
      <w:bookmarkStart w:id="2" w:name="_Toc5895164"/>
      <w:bookmarkStart w:id="3" w:name="_Toc310195690"/>
      <w:bookmarkStart w:id="4" w:name="_Toc288581295"/>
    </w:p>
    <w:p>
      <w:pPr>
        <w:pStyle w:val="3"/>
        <w:numPr>
          <w:ilvl w:val="0"/>
          <w:numId w:val="3"/>
        </w:numPr>
        <w:snapToGrid w:val="0"/>
        <w:spacing w:before="0" w:after="0" w:line="240" w:lineRule="auto"/>
        <w:textAlignment w:val="baseline"/>
        <w:rPr>
          <w:rFonts w:hAnsi="宋体"/>
          <w:szCs w:val="28"/>
        </w:rPr>
      </w:pPr>
      <w:r>
        <w:rPr>
          <w:rFonts w:hint="eastAsia" w:hAnsi="宋体"/>
          <w:szCs w:val="28"/>
          <w:lang w:val="en-US"/>
        </w:rPr>
        <w:t xml:space="preserve"> </w:t>
      </w:r>
      <w:bookmarkStart w:id="5" w:name="_Toc20691"/>
      <w:bookmarkStart w:id="6" w:name="_Toc11680"/>
      <w:r>
        <w:rPr>
          <w:rFonts w:hint="eastAsia" w:hAnsi="宋体"/>
          <w:szCs w:val="28"/>
        </w:rPr>
        <w:t>投标邀请</w:t>
      </w:r>
      <w:bookmarkEnd w:id="1"/>
      <w:bookmarkEnd w:id="2"/>
      <w:bookmarkEnd w:id="3"/>
      <w:bookmarkEnd w:id="4"/>
      <w:bookmarkEnd w:id="5"/>
      <w:bookmarkEnd w:id="6"/>
    </w:p>
    <w:p>
      <w:pPr>
        <w:snapToGrid w:val="0"/>
        <w:textAlignment w:val="baseline"/>
      </w:pPr>
    </w:p>
    <w:p>
      <w:pPr>
        <w:pBdr>
          <w:top w:val="single" w:color="auto" w:sz="4" w:space="1"/>
          <w:left w:val="single" w:color="auto" w:sz="4" w:space="4"/>
          <w:bottom w:val="single" w:color="auto" w:sz="4" w:space="1"/>
          <w:right w:val="single" w:color="auto" w:sz="4" w:space="4"/>
        </w:pBdr>
        <w:snapToGrid w:val="0"/>
        <w:spacing w:line="360" w:lineRule="auto"/>
        <w:ind w:firstLine="480" w:firstLineChars="200"/>
        <w:textAlignment w:val="baseline"/>
        <w:rPr>
          <w:rFonts w:ascii="宋体" w:hAnsi="宋体"/>
          <w:sz w:val="24"/>
        </w:rPr>
      </w:pPr>
      <w:bookmarkStart w:id="7" w:name="_Toc5895165"/>
      <w:bookmarkStart w:id="8" w:name="_Toc310195691"/>
      <w:r>
        <w:rPr>
          <w:rFonts w:hint="eastAsia" w:ascii="宋体" w:hAnsi="宋体"/>
          <w:sz w:val="24"/>
        </w:rPr>
        <w:t>项目概况</w:t>
      </w:r>
    </w:p>
    <w:p>
      <w:pPr>
        <w:pBdr>
          <w:top w:val="single" w:color="auto" w:sz="4" w:space="1"/>
          <w:left w:val="single" w:color="auto" w:sz="4" w:space="4"/>
          <w:bottom w:val="single" w:color="auto" w:sz="4" w:space="1"/>
          <w:right w:val="single" w:color="auto" w:sz="4" w:space="4"/>
        </w:pBdr>
        <w:snapToGrid w:val="0"/>
        <w:spacing w:line="360" w:lineRule="auto"/>
        <w:ind w:firstLine="480" w:firstLineChars="200"/>
        <w:textAlignment w:val="baseline"/>
        <w:rPr>
          <w:rFonts w:ascii="宋体" w:hAnsi="宋体"/>
          <w:sz w:val="24"/>
        </w:rPr>
      </w:pPr>
      <w:r>
        <w:rPr>
          <w:rFonts w:hint="eastAsia" w:ascii="宋体" w:hAnsi="宋体"/>
          <w:sz w:val="24"/>
          <w:u w:val="single" w:color="000000"/>
        </w:rPr>
        <w:t>(华北电力大学教三楼物业服务外包项目)</w:t>
      </w:r>
      <w:r>
        <w:rPr>
          <w:rFonts w:hint="eastAsia" w:ascii="宋体" w:hAnsi="宋体"/>
          <w:sz w:val="24"/>
        </w:rPr>
        <w:t xml:space="preserve"> 招标项目的潜在投标人应在</w:t>
      </w:r>
      <w:r>
        <w:rPr>
          <w:rFonts w:hint="eastAsia" w:ascii="宋体" w:hAnsi="宋体"/>
          <w:sz w:val="24"/>
          <w:u w:val="single" w:color="000000"/>
        </w:rPr>
        <w:t>（北京市丰台区广安路9号国投财富广场6号楼</w:t>
      </w:r>
      <w:r>
        <w:rPr>
          <w:rFonts w:ascii="宋体" w:hAnsi="宋体"/>
          <w:sz w:val="24"/>
          <w:u w:val="single" w:color="000000"/>
        </w:rPr>
        <w:t>1601</w:t>
      </w:r>
      <w:r>
        <w:rPr>
          <w:rFonts w:hint="eastAsia" w:ascii="宋体" w:hAnsi="宋体"/>
          <w:sz w:val="24"/>
          <w:u w:val="single" w:color="000000"/>
          <w:lang w:eastAsia="zh-Hans"/>
        </w:rPr>
        <w:t>室</w:t>
      </w:r>
      <w:r>
        <w:rPr>
          <w:rFonts w:hint="eastAsia" w:ascii="宋体" w:hAnsi="宋体"/>
          <w:sz w:val="24"/>
          <w:u w:val="single" w:color="000000"/>
        </w:rPr>
        <w:t>）</w:t>
      </w:r>
      <w:r>
        <w:rPr>
          <w:rFonts w:hint="eastAsia" w:ascii="宋体" w:hAnsi="宋体"/>
          <w:sz w:val="24"/>
        </w:rPr>
        <w:t>获取招标文件，并于</w:t>
      </w:r>
      <w:r>
        <w:rPr>
          <w:rFonts w:hint="eastAsia" w:ascii="宋体" w:hAnsi="宋体"/>
          <w:sz w:val="24"/>
          <w:u w:val="single" w:color="000000"/>
        </w:rPr>
        <w:t>2021年</w:t>
      </w:r>
      <w:r>
        <w:rPr>
          <w:rFonts w:ascii="宋体" w:hAnsi="宋体"/>
          <w:sz w:val="24"/>
          <w:u w:val="single" w:color="000000"/>
        </w:rPr>
        <w:t>11</w:t>
      </w:r>
      <w:r>
        <w:rPr>
          <w:rFonts w:hint="eastAsia" w:ascii="宋体" w:hAnsi="宋体"/>
          <w:sz w:val="24"/>
          <w:u w:val="single" w:color="000000"/>
        </w:rPr>
        <w:t>月</w:t>
      </w:r>
      <w:r>
        <w:rPr>
          <w:rFonts w:ascii="宋体" w:hAnsi="宋体"/>
          <w:sz w:val="24"/>
          <w:u w:val="single" w:color="000000"/>
        </w:rPr>
        <w:t>10</w:t>
      </w:r>
      <w:r>
        <w:rPr>
          <w:rFonts w:hint="eastAsia" w:ascii="宋体" w:hAnsi="宋体"/>
          <w:sz w:val="24"/>
          <w:u w:val="single" w:color="000000"/>
        </w:rPr>
        <w:t>日上午</w:t>
      </w:r>
      <w:r>
        <w:rPr>
          <w:rFonts w:ascii="宋体" w:hAnsi="宋体"/>
          <w:sz w:val="24"/>
          <w:u w:val="single" w:color="000000"/>
        </w:rPr>
        <w:t>09</w:t>
      </w:r>
      <w:r>
        <w:rPr>
          <w:rFonts w:hint="eastAsia" w:ascii="宋体" w:hAnsi="宋体"/>
          <w:sz w:val="24"/>
          <w:u w:val="single" w:color="000000"/>
        </w:rPr>
        <w:t>:30</w:t>
      </w:r>
      <w:r>
        <w:rPr>
          <w:rFonts w:hint="eastAsia" w:ascii="宋体" w:hAnsi="宋体"/>
          <w:bCs/>
          <w:sz w:val="24"/>
        </w:rPr>
        <w:t>（北京时间）前递交投标文件</w:t>
      </w:r>
      <w:r>
        <w:rPr>
          <w:rFonts w:hint="eastAsia" w:ascii="宋体" w:hAnsi="宋体"/>
          <w:sz w:val="24"/>
        </w:rPr>
        <w:t>。</w:t>
      </w:r>
    </w:p>
    <w:p>
      <w:pPr>
        <w:snapToGrid w:val="0"/>
        <w:textAlignment w:val="baseline"/>
      </w:pPr>
      <w:bookmarkStart w:id="9" w:name="_Toc28359002"/>
      <w:bookmarkStart w:id="10" w:name="_Toc28359079"/>
      <w:bookmarkStart w:id="11" w:name="_Toc35393621"/>
      <w:bookmarkStart w:id="12" w:name="_Toc35393790"/>
      <w:bookmarkStart w:id="13" w:name="_Hlk24379207"/>
    </w:p>
    <w:p>
      <w:pPr>
        <w:snapToGrid w:val="0"/>
        <w:spacing w:line="360" w:lineRule="auto"/>
        <w:textAlignment w:val="baseline"/>
        <w:rPr>
          <w:b/>
          <w:bCs/>
          <w:sz w:val="24"/>
          <w:szCs w:val="32"/>
        </w:rPr>
      </w:pPr>
      <w:bookmarkStart w:id="14" w:name="_Toc19734"/>
      <w:r>
        <w:rPr>
          <w:rFonts w:hint="eastAsia"/>
          <w:b/>
          <w:bCs/>
          <w:sz w:val="24"/>
          <w:szCs w:val="32"/>
        </w:rPr>
        <w:t>一、项目基本情况</w:t>
      </w:r>
      <w:bookmarkEnd w:id="9"/>
      <w:bookmarkEnd w:id="10"/>
      <w:bookmarkEnd w:id="11"/>
      <w:bookmarkEnd w:id="12"/>
      <w:bookmarkEnd w:id="14"/>
    </w:p>
    <w:p>
      <w:pPr>
        <w:snapToGrid w:val="0"/>
        <w:spacing w:line="360" w:lineRule="auto"/>
        <w:textAlignment w:val="baseline"/>
        <w:rPr>
          <w:rFonts w:ascii="宋体" w:hAnsi="宋体"/>
          <w:sz w:val="24"/>
        </w:rPr>
      </w:pPr>
      <w:r>
        <w:rPr>
          <w:rFonts w:hint="eastAsia" w:ascii="宋体" w:hAnsi="宋体"/>
          <w:sz w:val="24"/>
        </w:rPr>
        <w:t>项目代理编号：HCZB-2021-ZB1012</w:t>
      </w:r>
    </w:p>
    <w:p>
      <w:pPr>
        <w:snapToGrid w:val="0"/>
        <w:spacing w:line="360" w:lineRule="auto"/>
        <w:textAlignment w:val="baseline"/>
        <w:rPr>
          <w:rFonts w:ascii="宋体" w:hAnsi="宋体"/>
          <w:sz w:val="24"/>
        </w:rPr>
      </w:pPr>
      <w:r>
        <w:rPr>
          <w:rFonts w:hint="eastAsia" w:ascii="宋体" w:hAnsi="宋体"/>
          <w:sz w:val="24"/>
        </w:rPr>
        <w:t>项目名称：</w:t>
      </w:r>
      <w:bookmarkEnd w:id="13"/>
      <w:r>
        <w:rPr>
          <w:rFonts w:hint="eastAsia" w:ascii="宋体" w:hAnsi="宋体"/>
          <w:sz w:val="24"/>
        </w:rPr>
        <w:t>华北电力大学教三楼物业服务外包项目</w:t>
      </w:r>
    </w:p>
    <w:p>
      <w:pPr>
        <w:snapToGrid w:val="0"/>
        <w:spacing w:line="360" w:lineRule="auto"/>
        <w:textAlignment w:val="baseline"/>
        <w:rPr>
          <w:rFonts w:ascii="宋体" w:hAnsi="宋体"/>
          <w:sz w:val="24"/>
        </w:rPr>
      </w:pPr>
      <w:r>
        <w:rPr>
          <w:rFonts w:hint="eastAsia" w:ascii="宋体" w:hAnsi="宋体"/>
          <w:sz w:val="24"/>
        </w:rPr>
        <w:t>预算金额：65万元</w:t>
      </w:r>
    </w:p>
    <w:p>
      <w:pPr>
        <w:snapToGrid w:val="0"/>
        <w:spacing w:line="360" w:lineRule="auto"/>
        <w:textAlignment w:val="baseline"/>
        <w:rPr>
          <w:rFonts w:ascii="宋体" w:hAnsi="宋体"/>
          <w:sz w:val="24"/>
          <w:u w:val="single"/>
        </w:rPr>
      </w:pPr>
      <w:r>
        <w:rPr>
          <w:rFonts w:hint="eastAsia" w:ascii="宋体" w:hAnsi="宋体"/>
          <w:sz w:val="24"/>
        </w:rPr>
        <w:t>采购需求：教三楼物业服务外包采购，具体内容详见第四章采购需求</w:t>
      </w:r>
    </w:p>
    <w:p>
      <w:pPr>
        <w:snapToGrid w:val="0"/>
        <w:spacing w:line="360" w:lineRule="auto"/>
        <w:textAlignment w:val="baseline"/>
        <w:rPr>
          <w:rFonts w:ascii="宋体" w:hAnsi="宋体"/>
          <w:sz w:val="24"/>
          <w:u w:val="single"/>
        </w:rPr>
      </w:pPr>
      <w:r>
        <w:rPr>
          <w:rFonts w:hint="eastAsia" w:ascii="宋体" w:hAnsi="宋体"/>
          <w:sz w:val="24"/>
        </w:rPr>
        <w:t>合同履行期限：自合同签订生效后开始至双方合同完全履行后截止</w:t>
      </w:r>
    </w:p>
    <w:p>
      <w:pPr>
        <w:snapToGrid w:val="0"/>
        <w:spacing w:line="360" w:lineRule="auto"/>
        <w:textAlignment w:val="baseline"/>
        <w:rPr>
          <w:rFonts w:ascii="宋体" w:hAnsi="宋体"/>
          <w:sz w:val="24"/>
        </w:rPr>
      </w:pPr>
      <w:r>
        <w:rPr>
          <w:rFonts w:hint="eastAsia" w:ascii="宋体" w:hAnsi="宋体"/>
          <w:sz w:val="24"/>
        </w:rPr>
        <w:t>本项目不接受联合体投标。</w:t>
      </w:r>
    </w:p>
    <w:p>
      <w:pPr>
        <w:snapToGrid w:val="0"/>
        <w:spacing w:line="360" w:lineRule="auto"/>
        <w:textAlignment w:val="baseline"/>
        <w:rPr>
          <w:b/>
          <w:bCs/>
          <w:sz w:val="24"/>
          <w:szCs w:val="32"/>
        </w:rPr>
      </w:pPr>
      <w:bookmarkStart w:id="15" w:name="_Toc28359080"/>
      <w:bookmarkStart w:id="16" w:name="_Toc35393791"/>
      <w:bookmarkStart w:id="17" w:name="_Toc35393622"/>
      <w:bookmarkStart w:id="18" w:name="_Toc14517"/>
      <w:bookmarkStart w:id="19" w:name="_Toc28359003"/>
      <w:r>
        <w:rPr>
          <w:rFonts w:hint="eastAsia"/>
          <w:b/>
          <w:bCs/>
          <w:sz w:val="24"/>
          <w:szCs w:val="32"/>
        </w:rPr>
        <w:t>二、申请人的资格要求：</w:t>
      </w:r>
      <w:bookmarkEnd w:id="15"/>
      <w:bookmarkEnd w:id="16"/>
      <w:bookmarkEnd w:id="17"/>
      <w:bookmarkEnd w:id="18"/>
      <w:bookmarkEnd w:id="19"/>
    </w:p>
    <w:p>
      <w:pPr>
        <w:snapToGrid w:val="0"/>
        <w:spacing w:line="360" w:lineRule="auto"/>
        <w:ind w:left="420" w:hanging="420" w:hangingChars="175"/>
        <w:textAlignment w:val="baseline"/>
        <w:rPr>
          <w:rFonts w:ascii="宋体" w:hAnsi="宋体"/>
          <w:sz w:val="24"/>
        </w:rPr>
      </w:pPr>
      <w:bookmarkStart w:id="20" w:name="_Toc28359081"/>
      <w:bookmarkStart w:id="21" w:name="_Toc28359004"/>
      <w:r>
        <w:rPr>
          <w:rFonts w:hint="eastAsia" w:ascii="宋体" w:hAnsi="宋体"/>
          <w:sz w:val="24"/>
        </w:rPr>
        <w:t>1.满足《中华人民共和国政府采购法》第二十二条规定：</w:t>
      </w:r>
    </w:p>
    <w:p>
      <w:pPr>
        <w:snapToGrid w:val="0"/>
        <w:spacing w:line="360" w:lineRule="auto"/>
        <w:ind w:left="420" w:hanging="420" w:hangingChars="175"/>
        <w:textAlignment w:val="baseline"/>
        <w:rPr>
          <w:rFonts w:ascii="宋体" w:hAnsi="宋体"/>
          <w:sz w:val="24"/>
        </w:rPr>
      </w:pPr>
      <w:r>
        <w:rPr>
          <w:rFonts w:hint="eastAsia" w:ascii="宋体" w:hAnsi="宋体"/>
          <w:sz w:val="24"/>
        </w:rPr>
        <w:t>1）具有独立承担民事责任的能力；</w:t>
      </w:r>
    </w:p>
    <w:p>
      <w:pPr>
        <w:snapToGrid w:val="0"/>
        <w:spacing w:line="360" w:lineRule="auto"/>
        <w:ind w:left="420" w:hanging="420" w:hangingChars="175"/>
        <w:textAlignment w:val="baseline"/>
        <w:rPr>
          <w:rFonts w:ascii="宋体" w:hAnsi="宋体"/>
          <w:sz w:val="24"/>
        </w:rPr>
      </w:pPr>
      <w:r>
        <w:rPr>
          <w:rFonts w:hint="eastAsia" w:ascii="宋体" w:hAnsi="宋体"/>
          <w:sz w:val="24"/>
        </w:rPr>
        <w:t>2）具有良好的商业信誉和健全的财务会计制度；</w:t>
      </w:r>
    </w:p>
    <w:p>
      <w:pPr>
        <w:snapToGrid w:val="0"/>
        <w:spacing w:line="360" w:lineRule="auto"/>
        <w:ind w:left="420" w:hanging="420" w:hangingChars="175"/>
        <w:textAlignment w:val="baseline"/>
        <w:rPr>
          <w:rFonts w:ascii="宋体" w:hAnsi="宋体"/>
          <w:sz w:val="24"/>
        </w:rPr>
      </w:pPr>
      <w:r>
        <w:rPr>
          <w:rFonts w:hint="eastAsia" w:ascii="宋体" w:hAnsi="宋体"/>
          <w:sz w:val="24"/>
        </w:rPr>
        <w:t>3）具有履行合同所必需的设备和专业技术能力；</w:t>
      </w:r>
    </w:p>
    <w:p>
      <w:pPr>
        <w:snapToGrid w:val="0"/>
        <w:spacing w:line="360" w:lineRule="auto"/>
        <w:ind w:left="420" w:hanging="420" w:hangingChars="175"/>
        <w:textAlignment w:val="baseline"/>
        <w:rPr>
          <w:rFonts w:ascii="宋体" w:hAnsi="宋体"/>
          <w:sz w:val="24"/>
        </w:rPr>
      </w:pPr>
      <w:r>
        <w:rPr>
          <w:rFonts w:hint="eastAsia" w:ascii="宋体" w:hAnsi="宋体"/>
          <w:sz w:val="24"/>
        </w:rPr>
        <w:t>4）有依法缴纳税收和社会保障资金的良好记录；</w:t>
      </w:r>
    </w:p>
    <w:p>
      <w:pPr>
        <w:snapToGrid w:val="0"/>
        <w:spacing w:line="360" w:lineRule="auto"/>
        <w:ind w:left="420" w:hanging="420" w:hangingChars="175"/>
        <w:textAlignment w:val="baseline"/>
        <w:rPr>
          <w:rFonts w:ascii="宋体" w:hAnsi="宋体"/>
          <w:sz w:val="24"/>
        </w:rPr>
      </w:pPr>
      <w:r>
        <w:rPr>
          <w:rFonts w:hint="eastAsia" w:ascii="宋体" w:hAnsi="宋体"/>
          <w:sz w:val="24"/>
        </w:rPr>
        <w:t>5）参加政府采购活动前三年内，在经营活动中没有重大违法记录；</w:t>
      </w:r>
    </w:p>
    <w:p>
      <w:pPr>
        <w:snapToGrid w:val="0"/>
        <w:spacing w:line="360" w:lineRule="auto"/>
        <w:ind w:left="420" w:hanging="420" w:hangingChars="175"/>
        <w:textAlignment w:val="baseline"/>
        <w:rPr>
          <w:rFonts w:ascii="宋体" w:hAnsi="宋体"/>
          <w:sz w:val="24"/>
        </w:rPr>
      </w:pPr>
      <w:r>
        <w:rPr>
          <w:rFonts w:hint="eastAsia" w:ascii="宋体" w:hAnsi="宋体"/>
          <w:sz w:val="24"/>
        </w:rPr>
        <w:t>6）法律、行政法规规定的其他条件：</w:t>
      </w:r>
    </w:p>
    <w:p>
      <w:pPr>
        <w:snapToGrid w:val="0"/>
        <w:spacing w:line="360" w:lineRule="auto"/>
        <w:jc w:val="left"/>
        <w:textAlignment w:val="baseline"/>
        <w:rPr>
          <w:rFonts w:ascii="宋体" w:hAnsi="宋体"/>
          <w:sz w:val="24"/>
        </w:rPr>
      </w:pPr>
      <w:r>
        <w:rPr>
          <w:rFonts w:hint="eastAsia" w:ascii="宋体" w:hAnsi="宋体"/>
          <w:sz w:val="24"/>
          <w:shd w:val="clear" w:color="auto" w:fill="FFFFFF"/>
        </w:rPr>
        <w:t>（</w:t>
      </w:r>
      <w:r>
        <w:rPr>
          <w:rFonts w:ascii="宋体" w:hAnsi="宋体"/>
          <w:sz w:val="24"/>
          <w:shd w:val="clear" w:color="auto" w:fill="FFFFFF"/>
        </w:rPr>
        <w:t>1</w:t>
      </w:r>
      <w:r>
        <w:rPr>
          <w:rFonts w:hint="eastAsia" w:ascii="宋体" w:hAnsi="宋体"/>
          <w:sz w:val="24"/>
          <w:shd w:val="clear" w:color="auto" w:fill="FFFFFF"/>
        </w:rPr>
        <w:t>）投标人必须为前三年内未被列入“信用中国”网站（www.creditchina.gov.cn）、中国政府采购网（www.ccgp.gov.cn）信用记录失信被执行人、重大税收违法案件当事人名单、政府采购严重违法失信行为记录名单的；</w:t>
      </w:r>
      <w:r>
        <w:rPr>
          <w:rFonts w:hint="eastAsia" w:ascii="宋体" w:hAnsi="宋体"/>
          <w:sz w:val="24"/>
        </w:rPr>
        <w:t>（2）不同投标人的法人、单位负责人不是同一人也不存在直接控股、管理关系；</w:t>
      </w:r>
    </w:p>
    <w:p>
      <w:pPr>
        <w:snapToGrid w:val="0"/>
        <w:spacing w:line="360" w:lineRule="auto"/>
        <w:jc w:val="left"/>
        <w:textAlignment w:val="baseline"/>
      </w:pPr>
      <w:r>
        <w:rPr>
          <w:rFonts w:hint="eastAsia" w:ascii="宋体" w:hAnsi="宋体"/>
          <w:sz w:val="24"/>
        </w:rPr>
        <w:t>（3）投标人必须向采购代理机构购买招标文件并登记备案，未向采购代理机构购买招标文件并登记备案的无资格参加本次投标；</w:t>
      </w:r>
    </w:p>
    <w:p>
      <w:pPr>
        <w:snapToGrid w:val="0"/>
        <w:spacing w:line="360" w:lineRule="auto"/>
        <w:ind w:left="420" w:hanging="420" w:hangingChars="175"/>
        <w:textAlignment w:val="baseline"/>
        <w:rPr>
          <w:rFonts w:ascii="宋体" w:hAnsi="宋体"/>
          <w:sz w:val="24"/>
        </w:rPr>
      </w:pPr>
      <w:r>
        <w:rPr>
          <w:rFonts w:hint="eastAsia" w:ascii="宋体" w:hAnsi="宋体"/>
          <w:sz w:val="24"/>
        </w:rPr>
        <w:t>2.落实政府采购政策需满足的资格要求：</w:t>
      </w:r>
    </w:p>
    <w:p>
      <w:pPr>
        <w:pStyle w:val="54"/>
        <w:snapToGrid w:val="0"/>
        <w:spacing w:before="0" w:after="0" w:line="360" w:lineRule="auto"/>
        <w:ind w:left="0" w:leftChars="0" w:firstLine="0" w:firstLineChars="0"/>
        <w:jc w:val="left"/>
        <w:textAlignment w:val="baseline"/>
        <w:rPr>
          <w:rFonts w:ascii="宋体" w:hAnsi="宋体"/>
          <w:sz w:val="24"/>
          <w:szCs w:val="24"/>
          <w:lang w:val="en-US"/>
        </w:rPr>
      </w:pPr>
      <w:r>
        <w:rPr>
          <w:rFonts w:hint="eastAsia" w:ascii="宋体" w:hAnsi="宋体"/>
          <w:sz w:val="24"/>
          <w:szCs w:val="24"/>
          <w:lang w:val="en-US"/>
        </w:rPr>
        <w:t>本项目非专门面向中小企业或小型、微型企业、监狱、戒毒企业、残疾人福利性单位或支持脱贫采购。</w:t>
      </w:r>
    </w:p>
    <w:p>
      <w:pPr>
        <w:snapToGrid w:val="0"/>
        <w:spacing w:line="360" w:lineRule="auto"/>
        <w:ind w:left="-350" w:leftChars="-175" w:firstLine="480" w:firstLineChars="200"/>
        <w:textAlignment w:val="baseline"/>
        <w:rPr>
          <w:b/>
          <w:bCs/>
          <w:sz w:val="24"/>
          <w:szCs w:val="32"/>
        </w:rPr>
      </w:pPr>
      <w:r>
        <w:rPr>
          <w:rFonts w:hint="eastAsia" w:ascii="宋体" w:hAnsi="宋体"/>
          <w:sz w:val="24"/>
        </w:rPr>
        <w:t>3.本项目的特定资格要求：本项目不接受联合体投标</w:t>
      </w:r>
      <w:bookmarkStart w:id="22" w:name="_Toc35393792"/>
      <w:bookmarkStart w:id="23" w:name="_Toc35393623"/>
      <w:bookmarkStart w:id="24" w:name="_Toc16466"/>
      <w:r>
        <w:rPr>
          <w:rFonts w:hint="eastAsia" w:ascii="宋体" w:hAnsi="宋体"/>
          <w:sz w:val="24"/>
        </w:rPr>
        <w:t>。</w:t>
      </w:r>
    </w:p>
    <w:p>
      <w:pPr>
        <w:snapToGrid w:val="0"/>
        <w:spacing w:line="360" w:lineRule="auto"/>
        <w:ind w:left="50" w:leftChars="25"/>
        <w:textAlignment w:val="baseline"/>
        <w:rPr>
          <w:b/>
          <w:bCs/>
          <w:sz w:val="24"/>
          <w:szCs w:val="32"/>
        </w:rPr>
      </w:pPr>
      <w:r>
        <w:rPr>
          <w:rFonts w:hint="eastAsia"/>
          <w:b/>
          <w:bCs/>
          <w:sz w:val="24"/>
          <w:szCs w:val="32"/>
        </w:rPr>
        <w:t>三、获取招标文件</w:t>
      </w:r>
      <w:bookmarkEnd w:id="20"/>
      <w:bookmarkEnd w:id="21"/>
      <w:bookmarkEnd w:id="22"/>
      <w:bookmarkEnd w:id="23"/>
      <w:bookmarkEnd w:id="24"/>
    </w:p>
    <w:p>
      <w:pPr>
        <w:snapToGrid w:val="0"/>
        <w:spacing w:line="360" w:lineRule="auto"/>
        <w:textAlignment w:val="baseline"/>
        <w:rPr>
          <w:rFonts w:ascii="宋体" w:hAnsi="宋体"/>
          <w:sz w:val="24"/>
        </w:rPr>
      </w:pPr>
      <w:r>
        <w:rPr>
          <w:rFonts w:hint="eastAsia" w:ascii="宋体" w:hAnsi="宋体"/>
          <w:sz w:val="24"/>
        </w:rPr>
        <w:t>时间：</w:t>
      </w:r>
      <w:r>
        <w:rPr>
          <w:rFonts w:hint="eastAsia" w:ascii="宋体" w:hAnsi="宋体"/>
          <w:sz w:val="24"/>
          <w:u w:val="single" w:color="000000"/>
        </w:rPr>
        <w:t>2021</w:t>
      </w:r>
      <w:r>
        <w:rPr>
          <w:rFonts w:hint="eastAsia" w:ascii="宋体" w:hAnsi="宋体"/>
          <w:sz w:val="24"/>
        </w:rPr>
        <w:t>年</w:t>
      </w:r>
      <w:r>
        <w:rPr>
          <w:rFonts w:hint="eastAsia" w:ascii="宋体" w:hAnsi="宋体"/>
          <w:sz w:val="24"/>
          <w:u w:val="single" w:color="000000"/>
        </w:rPr>
        <w:t>10</w:t>
      </w:r>
      <w:r>
        <w:rPr>
          <w:rFonts w:hint="eastAsia" w:ascii="宋体" w:hAnsi="宋体"/>
          <w:sz w:val="24"/>
        </w:rPr>
        <w:t>月</w:t>
      </w:r>
      <w:r>
        <w:rPr>
          <w:rFonts w:hint="eastAsia" w:ascii="宋体" w:hAnsi="宋体"/>
          <w:sz w:val="24"/>
          <w:u w:val="single" w:color="000000"/>
        </w:rPr>
        <w:t xml:space="preserve"> </w:t>
      </w:r>
      <w:r>
        <w:rPr>
          <w:rFonts w:ascii="宋体" w:hAnsi="宋体"/>
          <w:sz w:val="24"/>
          <w:u w:val="single" w:color="000000"/>
        </w:rPr>
        <w:t>20</w:t>
      </w:r>
      <w:r>
        <w:rPr>
          <w:rFonts w:hint="eastAsia" w:ascii="宋体" w:hAnsi="宋体"/>
          <w:sz w:val="24"/>
        </w:rPr>
        <w:t>日至</w:t>
      </w:r>
      <w:r>
        <w:rPr>
          <w:rFonts w:hint="eastAsia" w:ascii="宋体" w:hAnsi="宋体"/>
          <w:sz w:val="24"/>
          <w:u w:val="single" w:color="000000"/>
        </w:rPr>
        <w:t>2021</w:t>
      </w:r>
      <w:r>
        <w:rPr>
          <w:rFonts w:hint="eastAsia" w:ascii="宋体" w:hAnsi="宋体"/>
          <w:sz w:val="24"/>
        </w:rPr>
        <w:t>年</w:t>
      </w:r>
      <w:r>
        <w:rPr>
          <w:rFonts w:hint="eastAsia" w:ascii="宋体" w:hAnsi="宋体"/>
          <w:sz w:val="24"/>
          <w:u w:val="single" w:color="000000"/>
        </w:rPr>
        <w:t>10</w:t>
      </w:r>
      <w:r>
        <w:rPr>
          <w:rFonts w:hint="eastAsia" w:ascii="宋体" w:hAnsi="宋体"/>
          <w:sz w:val="24"/>
        </w:rPr>
        <w:t>月</w:t>
      </w:r>
      <w:r>
        <w:rPr>
          <w:rFonts w:hint="eastAsia" w:ascii="宋体" w:hAnsi="宋体"/>
          <w:sz w:val="24"/>
          <w:u w:val="single" w:color="000000"/>
        </w:rPr>
        <w:t xml:space="preserve"> </w:t>
      </w:r>
      <w:r>
        <w:rPr>
          <w:rFonts w:ascii="宋体" w:hAnsi="宋体"/>
          <w:sz w:val="24"/>
          <w:u w:val="single" w:color="000000"/>
        </w:rPr>
        <w:t>27</w:t>
      </w:r>
      <w:r>
        <w:rPr>
          <w:rFonts w:hint="eastAsia" w:ascii="宋体" w:hAnsi="宋体"/>
          <w:sz w:val="24"/>
          <w:u w:val="single" w:color="000000"/>
        </w:rPr>
        <w:t xml:space="preserve"> </w:t>
      </w:r>
      <w:r>
        <w:rPr>
          <w:rFonts w:hint="eastAsia" w:ascii="宋体" w:hAnsi="宋体"/>
          <w:sz w:val="24"/>
        </w:rPr>
        <w:t>日，每天上午</w:t>
      </w:r>
      <w:r>
        <w:rPr>
          <w:rFonts w:hint="eastAsia" w:ascii="宋体" w:hAnsi="宋体"/>
          <w:sz w:val="24"/>
          <w:u w:val="single" w:color="000000"/>
        </w:rPr>
        <w:t>09:00</w:t>
      </w:r>
      <w:r>
        <w:rPr>
          <w:rFonts w:hint="eastAsia" w:ascii="宋体" w:hAnsi="宋体"/>
          <w:sz w:val="24"/>
        </w:rPr>
        <w:t>至</w:t>
      </w:r>
      <w:r>
        <w:rPr>
          <w:rFonts w:hint="eastAsia" w:ascii="宋体" w:hAnsi="宋体"/>
          <w:sz w:val="24"/>
          <w:u w:val="single" w:color="000000"/>
        </w:rPr>
        <w:t>12:00</w:t>
      </w:r>
      <w:r>
        <w:rPr>
          <w:rFonts w:hint="eastAsia" w:ascii="宋体" w:hAnsi="宋体"/>
          <w:sz w:val="24"/>
        </w:rPr>
        <w:t>，下午</w:t>
      </w:r>
      <w:r>
        <w:rPr>
          <w:rFonts w:hint="eastAsia" w:ascii="宋体" w:hAnsi="宋体"/>
          <w:sz w:val="24"/>
          <w:u w:val="single" w:color="000000"/>
        </w:rPr>
        <w:t>13:00</w:t>
      </w:r>
      <w:r>
        <w:rPr>
          <w:rFonts w:hint="eastAsia" w:ascii="宋体" w:hAnsi="宋体"/>
          <w:sz w:val="24"/>
        </w:rPr>
        <w:t>至</w:t>
      </w:r>
      <w:r>
        <w:rPr>
          <w:rFonts w:hint="eastAsia" w:ascii="宋体" w:hAnsi="宋体"/>
          <w:sz w:val="24"/>
          <w:u w:val="single" w:color="000000"/>
        </w:rPr>
        <w:t>17:00</w:t>
      </w:r>
      <w:r>
        <w:rPr>
          <w:rFonts w:hint="eastAsia" w:ascii="宋体" w:hAnsi="宋体"/>
          <w:sz w:val="24"/>
        </w:rPr>
        <w:t>（北京时间，法定节假日除外）</w:t>
      </w:r>
    </w:p>
    <w:p>
      <w:pPr>
        <w:snapToGrid w:val="0"/>
        <w:spacing w:line="360" w:lineRule="auto"/>
        <w:textAlignment w:val="baseline"/>
        <w:rPr>
          <w:rFonts w:ascii="宋体" w:hAnsi="宋体"/>
          <w:sz w:val="24"/>
          <w:u w:val="single"/>
        </w:rPr>
      </w:pPr>
      <w:r>
        <w:rPr>
          <w:rFonts w:hint="eastAsia" w:ascii="宋体" w:hAnsi="宋体"/>
          <w:sz w:val="24"/>
        </w:rPr>
        <w:t>地点：北京市丰台区广安路9号国投财富广场6号楼1601室</w:t>
      </w:r>
    </w:p>
    <w:p>
      <w:pPr>
        <w:snapToGrid w:val="0"/>
        <w:spacing w:line="360" w:lineRule="auto"/>
        <w:textAlignment w:val="baseline"/>
        <w:rPr>
          <w:rFonts w:ascii="宋体" w:hAnsi="宋体"/>
          <w:b/>
          <w:bCs/>
          <w:sz w:val="24"/>
          <w:u w:val="single"/>
        </w:rPr>
      </w:pPr>
      <w:r>
        <w:rPr>
          <w:rFonts w:hint="eastAsia" w:ascii="宋体" w:hAnsi="宋体"/>
          <w:sz w:val="24"/>
        </w:rPr>
        <w:t>方式：现场（本项目获取招标文件时无需提供资料）</w:t>
      </w:r>
    </w:p>
    <w:p>
      <w:pPr>
        <w:snapToGrid w:val="0"/>
        <w:spacing w:line="360" w:lineRule="auto"/>
        <w:textAlignment w:val="baseline"/>
        <w:rPr>
          <w:rFonts w:ascii="宋体" w:hAnsi="宋体"/>
          <w:sz w:val="24"/>
        </w:rPr>
      </w:pPr>
      <w:r>
        <w:rPr>
          <w:rFonts w:hint="eastAsia" w:ascii="宋体" w:hAnsi="宋体"/>
          <w:sz w:val="24"/>
        </w:rPr>
        <w:t>售价：500元/本，招标文件售后不退。</w:t>
      </w:r>
    </w:p>
    <w:p>
      <w:pPr>
        <w:snapToGrid w:val="0"/>
        <w:spacing w:line="360" w:lineRule="auto"/>
        <w:textAlignment w:val="baseline"/>
        <w:rPr>
          <w:b/>
          <w:bCs/>
          <w:sz w:val="24"/>
          <w:szCs w:val="32"/>
        </w:rPr>
      </w:pPr>
      <w:bookmarkStart w:id="25" w:name="_Toc28359082"/>
      <w:bookmarkStart w:id="26" w:name="_Toc28359005"/>
      <w:bookmarkStart w:id="27" w:name="_Toc35393793"/>
      <w:bookmarkStart w:id="28" w:name="_Toc18171"/>
      <w:bookmarkStart w:id="29" w:name="_Toc35393624"/>
      <w:r>
        <w:rPr>
          <w:rFonts w:hint="eastAsia"/>
          <w:b/>
          <w:bCs/>
          <w:sz w:val="24"/>
          <w:szCs w:val="32"/>
        </w:rPr>
        <w:t>四、提交投标文件</w:t>
      </w:r>
      <w:bookmarkEnd w:id="25"/>
      <w:bookmarkEnd w:id="26"/>
      <w:r>
        <w:rPr>
          <w:rFonts w:hint="eastAsia"/>
          <w:b/>
          <w:bCs/>
          <w:sz w:val="24"/>
          <w:szCs w:val="32"/>
        </w:rPr>
        <w:t>截止时间、开标时间和地点</w:t>
      </w:r>
      <w:bookmarkEnd w:id="27"/>
      <w:bookmarkEnd w:id="28"/>
      <w:bookmarkEnd w:id="29"/>
    </w:p>
    <w:p>
      <w:pPr>
        <w:snapToGrid w:val="0"/>
        <w:spacing w:line="360" w:lineRule="auto"/>
        <w:textAlignment w:val="baseline"/>
        <w:rPr>
          <w:rFonts w:ascii="宋体" w:hAnsi="宋体"/>
          <w:bCs/>
          <w:sz w:val="24"/>
          <w:u w:val="single"/>
        </w:rPr>
      </w:pPr>
      <w:r>
        <w:rPr>
          <w:rFonts w:hint="eastAsia" w:ascii="宋体" w:hAnsi="宋体"/>
          <w:bCs/>
          <w:sz w:val="24"/>
        </w:rPr>
        <w:t>提交投标文件截止时间、开标时间：</w:t>
      </w:r>
      <w:r>
        <w:rPr>
          <w:rFonts w:hint="eastAsia" w:ascii="宋体" w:hAnsi="宋体"/>
          <w:bCs/>
          <w:sz w:val="24"/>
          <w:u w:val="single" w:color="000000"/>
        </w:rPr>
        <w:t>2021</w:t>
      </w:r>
      <w:r>
        <w:rPr>
          <w:rFonts w:hint="eastAsia" w:ascii="宋体" w:hAnsi="宋体"/>
          <w:bCs/>
          <w:sz w:val="24"/>
        </w:rPr>
        <w:t>年</w:t>
      </w:r>
      <w:r>
        <w:rPr>
          <w:rFonts w:hint="eastAsia" w:ascii="宋体" w:hAnsi="宋体"/>
          <w:bCs/>
          <w:sz w:val="24"/>
          <w:u w:val="single" w:color="000000"/>
        </w:rPr>
        <w:t>1</w:t>
      </w:r>
      <w:r>
        <w:rPr>
          <w:rFonts w:ascii="宋体" w:hAnsi="宋体"/>
          <w:bCs/>
          <w:sz w:val="24"/>
          <w:u w:val="single" w:color="000000"/>
        </w:rPr>
        <w:t>1</w:t>
      </w:r>
      <w:r>
        <w:rPr>
          <w:rFonts w:hint="eastAsia" w:ascii="宋体" w:hAnsi="宋体"/>
          <w:bCs/>
          <w:sz w:val="24"/>
        </w:rPr>
        <w:t>月</w:t>
      </w:r>
      <w:r>
        <w:rPr>
          <w:rFonts w:hint="eastAsia" w:ascii="宋体" w:hAnsi="宋体"/>
          <w:bCs/>
          <w:sz w:val="24"/>
          <w:u w:val="single" w:color="000000"/>
        </w:rPr>
        <w:t xml:space="preserve"> </w:t>
      </w:r>
      <w:r>
        <w:rPr>
          <w:rFonts w:ascii="宋体" w:hAnsi="宋体"/>
          <w:bCs/>
          <w:sz w:val="24"/>
          <w:u w:val="single" w:color="000000"/>
        </w:rPr>
        <w:t>10</w:t>
      </w:r>
      <w:r>
        <w:rPr>
          <w:rFonts w:hint="eastAsia" w:ascii="宋体" w:hAnsi="宋体"/>
          <w:bCs/>
          <w:sz w:val="24"/>
          <w:u w:val="single" w:color="000000"/>
        </w:rPr>
        <w:t xml:space="preserve"> </w:t>
      </w:r>
      <w:r>
        <w:rPr>
          <w:rFonts w:hint="eastAsia" w:ascii="宋体" w:hAnsi="宋体"/>
          <w:bCs/>
          <w:sz w:val="24"/>
        </w:rPr>
        <w:t>日上午</w:t>
      </w:r>
      <w:r>
        <w:rPr>
          <w:rFonts w:ascii="宋体" w:hAnsi="宋体"/>
          <w:bCs/>
          <w:sz w:val="24"/>
          <w:u w:val="single" w:color="000000"/>
        </w:rPr>
        <w:t>09</w:t>
      </w:r>
      <w:r>
        <w:rPr>
          <w:rFonts w:hint="eastAsia" w:ascii="宋体" w:hAnsi="宋体"/>
          <w:bCs/>
          <w:sz w:val="24"/>
          <w:u w:val="single" w:color="000000"/>
        </w:rPr>
        <w:t>:30</w:t>
      </w:r>
      <w:r>
        <w:rPr>
          <w:rFonts w:hint="eastAsia" w:ascii="宋体" w:hAnsi="宋体"/>
          <w:bCs/>
          <w:sz w:val="24"/>
        </w:rPr>
        <w:t>（北京时间）</w:t>
      </w:r>
    </w:p>
    <w:p>
      <w:pPr>
        <w:snapToGrid w:val="0"/>
        <w:spacing w:line="360" w:lineRule="auto"/>
        <w:textAlignment w:val="baseline"/>
        <w:rPr>
          <w:rFonts w:ascii="宋体" w:hAnsi="宋体"/>
          <w:bCs/>
          <w:sz w:val="24"/>
          <w:u w:val="single"/>
        </w:rPr>
      </w:pPr>
      <w:r>
        <w:rPr>
          <w:rFonts w:hint="eastAsia" w:ascii="宋体" w:hAnsi="宋体"/>
          <w:sz w:val="24"/>
        </w:rPr>
        <w:t>地点：</w:t>
      </w:r>
      <w:r>
        <w:rPr>
          <w:rFonts w:hint="eastAsia"/>
          <w:color w:val="000000"/>
          <w:sz w:val="24"/>
        </w:rPr>
        <w:t>北京市丰台区广安路9号国投财富广场6号楼16层</w:t>
      </w:r>
      <w:r>
        <w:rPr>
          <w:rFonts w:hint="eastAsia" w:ascii="宋体" w:hAnsi="宋体"/>
          <w:sz w:val="24"/>
        </w:rPr>
        <w:t>第一</w:t>
      </w:r>
      <w:r>
        <w:rPr>
          <w:rFonts w:hint="eastAsia"/>
          <w:color w:val="000000"/>
          <w:sz w:val="24"/>
        </w:rPr>
        <w:t>会议室</w:t>
      </w:r>
    </w:p>
    <w:p>
      <w:pPr>
        <w:snapToGrid w:val="0"/>
        <w:spacing w:line="360" w:lineRule="auto"/>
        <w:textAlignment w:val="baseline"/>
        <w:rPr>
          <w:b/>
          <w:bCs/>
          <w:sz w:val="24"/>
          <w:szCs w:val="32"/>
        </w:rPr>
      </w:pPr>
      <w:bookmarkStart w:id="30" w:name="_Toc35393625"/>
      <w:bookmarkStart w:id="31" w:name="_Toc28359007"/>
      <w:bookmarkStart w:id="32" w:name="_Toc9136"/>
      <w:bookmarkStart w:id="33" w:name="_Toc28359084"/>
      <w:bookmarkStart w:id="34" w:name="_Toc35393794"/>
      <w:r>
        <w:rPr>
          <w:rFonts w:hint="eastAsia"/>
          <w:b/>
          <w:bCs/>
          <w:sz w:val="24"/>
          <w:szCs w:val="32"/>
        </w:rPr>
        <w:t>五、公告期限</w:t>
      </w:r>
      <w:bookmarkEnd w:id="30"/>
      <w:bookmarkEnd w:id="31"/>
      <w:bookmarkEnd w:id="32"/>
      <w:bookmarkEnd w:id="33"/>
      <w:bookmarkEnd w:id="34"/>
    </w:p>
    <w:p>
      <w:pPr>
        <w:snapToGrid w:val="0"/>
        <w:spacing w:line="360" w:lineRule="auto"/>
        <w:textAlignment w:val="baseline"/>
        <w:rPr>
          <w:rFonts w:ascii="宋体" w:hAnsi="宋体"/>
          <w:kern w:val="0"/>
          <w:sz w:val="24"/>
        </w:rPr>
      </w:pPr>
      <w:r>
        <w:rPr>
          <w:rFonts w:hint="eastAsia" w:ascii="宋体" w:hAnsi="宋体"/>
          <w:kern w:val="0"/>
          <w:sz w:val="24"/>
        </w:rPr>
        <w:t>自本公告发布之日起5个工作日。</w:t>
      </w:r>
    </w:p>
    <w:p>
      <w:pPr>
        <w:snapToGrid w:val="0"/>
        <w:spacing w:line="360" w:lineRule="auto"/>
        <w:textAlignment w:val="baseline"/>
        <w:rPr>
          <w:b/>
          <w:bCs/>
          <w:sz w:val="24"/>
          <w:szCs w:val="32"/>
        </w:rPr>
      </w:pPr>
      <w:bookmarkStart w:id="35" w:name="_Toc35393795"/>
      <w:bookmarkStart w:id="36" w:name="_Toc8180"/>
      <w:bookmarkStart w:id="37" w:name="_Toc35393626"/>
      <w:r>
        <w:rPr>
          <w:rFonts w:hint="eastAsia"/>
          <w:b/>
          <w:bCs/>
          <w:sz w:val="24"/>
          <w:szCs w:val="32"/>
        </w:rPr>
        <w:t>六、其他补充事宜</w:t>
      </w:r>
      <w:bookmarkEnd w:id="35"/>
      <w:bookmarkEnd w:id="36"/>
      <w:bookmarkEnd w:id="37"/>
    </w:p>
    <w:p>
      <w:pPr>
        <w:snapToGrid w:val="0"/>
        <w:spacing w:line="360" w:lineRule="auto"/>
        <w:textAlignment w:val="baseline"/>
        <w:rPr>
          <w:rFonts w:ascii="宋体" w:hAnsi="宋体"/>
          <w:sz w:val="24"/>
        </w:rPr>
      </w:pPr>
      <w:r>
        <w:rPr>
          <w:rFonts w:hint="eastAsia" w:ascii="宋体" w:hAnsi="宋体"/>
          <w:sz w:val="24"/>
        </w:rPr>
        <w:t>1.本项目需要落实的政府采购政策：节约能源、保护环境、扶持不发达地区和少数民族地区、促进中小微企业发展、支持监狱、戒毒企业发展、促进残疾人就业、优先采购贫困地区农副产品等政府采购政策。</w:t>
      </w:r>
    </w:p>
    <w:p>
      <w:pPr>
        <w:snapToGrid w:val="0"/>
        <w:spacing w:line="360" w:lineRule="auto"/>
        <w:textAlignment w:val="baseline"/>
        <w:rPr>
          <w:rFonts w:ascii="宋体" w:hAnsi="宋体"/>
          <w:sz w:val="24"/>
        </w:rPr>
      </w:pPr>
      <w:r>
        <w:rPr>
          <w:rFonts w:hint="eastAsia" w:ascii="宋体" w:hAnsi="宋体"/>
          <w:sz w:val="24"/>
        </w:rPr>
        <w:t>2.本项目招标公告在中国政府采购网（http://www.ccgp.gov.cn/）上发布。</w:t>
      </w:r>
    </w:p>
    <w:p>
      <w:pPr>
        <w:snapToGrid w:val="0"/>
        <w:spacing w:line="360" w:lineRule="auto"/>
        <w:textAlignment w:val="baseline"/>
        <w:rPr>
          <w:b/>
          <w:bCs/>
          <w:sz w:val="24"/>
          <w:szCs w:val="32"/>
        </w:rPr>
      </w:pPr>
      <w:bookmarkStart w:id="38" w:name="_Toc35393796"/>
      <w:bookmarkStart w:id="39" w:name="_Toc1705"/>
      <w:bookmarkStart w:id="40" w:name="_Toc28359085"/>
      <w:bookmarkStart w:id="41" w:name="_Toc35393627"/>
      <w:bookmarkStart w:id="42" w:name="_Toc28359008"/>
      <w:r>
        <w:rPr>
          <w:rFonts w:hint="eastAsia"/>
          <w:b/>
          <w:bCs/>
          <w:sz w:val="24"/>
          <w:szCs w:val="32"/>
        </w:rPr>
        <w:t>七、对本次招标提出询问，请按以下方式联系。</w:t>
      </w:r>
      <w:bookmarkEnd w:id="38"/>
      <w:bookmarkEnd w:id="39"/>
      <w:bookmarkEnd w:id="40"/>
      <w:bookmarkEnd w:id="41"/>
      <w:bookmarkEnd w:id="42"/>
    </w:p>
    <w:p>
      <w:pPr>
        <w:snapToGrid w:val="0"/>
        <w:spacing w:line="360" w:lineRule="auto"/>
        <w:ind w:left="420" w:hanging="420" w:hangingChars="175"/>
        <w:textAlignment w:val="baseline"/>
        <w:rPr>
          <w:rFonts w:ascii="宋体" w:hAnsi="宋体"/>
          <w:sz w:val="24"/>
        </w:rPr>
      </w:pPr>
      <w:r>
        <w:rPr>
          <w:rFonts w:hint="eastAsia" w:ascii="宋体" w:hAnsi="宋体"/>
          <w:sz w:val="24"/>
        </w:rPr>
        <w:t>　1、采购人信息</w:t>
      </w:r>
    </w:p>
    <w:p>
      <w:pPr>
        <w:snapToGrid w:val="0"/>
        <w:spacing w:line="360" w:lineRule="auto"/>
        <w:ind w:firstLine="240" w:firstLineChars="100"/>
        <w:jc w:val="left"/>
        <w:textAlignment w:val="baseline"/>
        <w:rPr>
          <w:rFonts w:ascii="宋体" w:hAnsi="宋体"/>
          <w:sz w:val="24"/>
        </w:rPr>
      </w:pPr>
      <w:bookmarkStart w:id="43" w:name="_Toc28359086"/>
      <w:bookmarkStart w:id="44" w:name="_Toc28359009"/>
      <w:r>
        <w:rPr>
          <w:rFonts w:hint="eastAsia" w:ascii="宋体" w:hAnsi="宋体"/>
          <w:sz w:val="24"/>
        </w:rPr>
        <w:t>名 称：华北电力大学</w:t>
      </w:r>
    </w:p>
    <w:p>
      <w:pPr>
        <w:snapToGrid w:val="0"/>
        <w:spacing w:line="360" w:lineRule="auto"/>
        <w:ind w:firstLine="240" w:firstLineChars="100"/>
        <w:jc w:val="left"/>
        <w:textAlignment w:val="baseline"/>
        <w:rPr>
          <w:rFonts w:ascii="宋体" w:hAnsi="宋体"/>
          <w:sz w:val="24"/>
        </w:rPr>
      </w:pPr>
      <w:r>
        <w:rPr>
          <w:rFonts w:hint="eastAsia" w:ascii="宋体" w:hAnsi="宋体"/>
          <w:sz w:val="24"/>
        </w:rPr>
        <w:t>地 址：北京市昌平区回龙观北农路2号</w:t>
      </w:r>
    </w:p>
    <w:p>
      <w:pPr>
        <w:snapToGrid w:val="0"/>
        <w:spacing w:line="360" w:lineRule="auto"/>
        <w:ind w:firstLine="240" w:firstLineChars="100"/>
        <w:jc w:val="left"/>
        <w:textAlignment w:val="baseline"/>
        <w:rPr>
          <w:rFonts w:ascii="宋体" w:hAnsi="宋体"/>
          <w:sz w:val="24"/>
        </w:rPr>
      </w:pPr>
      <w:r>
        <w:rPr>
          <w:rFonts w:hint="eastAsia" w:ascii="宋体" w:hAnsi="宋体"/>
          <w:sz w:val="24"/>
        </w:rPr>
        <w:t>联系方式：张老师 010-61772996</w:t>
      </w:r>
    </w:p>
    <w:p>
      <w:pPr>
        <w:snapToGrid w:val="0"/>
        <w:spacing w:line="360" w:lineRule="auto"/>
        <w:ind w:left="408" w:leftChars="114" w:hanging="180" w:hangingChars="75"/>
        <w:textAlignment w:val="baseline"/>
        <w:rPr>
          <w:rFonts w:ascii="宋体" w:hAnsi="宋体"/>
          <w:sz w:val="24"/>
        </w:rPr>
      </w:pPr>
      <w:r>
        <w:rPr>
          <w:rFonts w:hint="eastAsia" w:ascii="宋体" w:hAnsi="宋体"/>
          <w:sz w:val="24"/>
        </w:rPr>
        <w:t>2、采购代理机构信息</w:t>
      </w:r>
      <w:bookmarkEnd w:id="43"/>
      <w:bookmarkEnd w:id="44"/>
    </w:p>
    <w:p>
      <w:pPr>
        <w:snapToGrid w:val="0"/>
        <w:spacing w:line="360" w:lineRule="auto"/>
        <w:ind w:firstLine="240" w:firstLineChars="100"/>
        <w:textAlignment w:val="baseline"/>
        <w:rPr>
          <w:rFonts w:ascii="宋体" w:hAnsi="宋体"/>
          <w:sz w:val="24"/>
        </w:rPr>
      </w:pPr>
      <w:r>
        <w:rPr>
          <w:rFonts w:hint="eastAsia" w:ascii="宋体" w:hAnsi="宋体"/>
          <w:sz w:val="24"/>
        </w:rPr>
        <w:t>名 称：华采招标集团有限公司</w:t>
      </w:r>
    </w:p>
    <w:p>
      <w:pPr>
        <w:snapToGrid w:val="0"/>
        <w:spacing w:line="360" w:lineRule="auto"/>
        <w:ind w:firstLine="240" w:firstLineChars="100"/>
        <w:textAlignment w:val="baseline"/>
        <w:rPr>
          <w:rFonts w:ascii="宋体" w:hAnsi="宋体"/>
          <w:sz w:val="24"/>
        </w:rPr>
      </w:pPr>
      <w:r>
        <w:rPr>
          <w:rFonts w:hint="eastAsia" w:ascii="宋体" w:hAnsi="宋体"/>
          <w:sz w:val="24"/>
        </w:rPr>
        <w:t>地　址：北京市丰台区广安路9号国投财富广场6号楼1601室</w:t>
      </w:r>
    </w:p>
    <w:p>
      <w:pPr>
        <w:snapToGrid w:val="0"/>
        <w:spacing w:line="360" w:lineRule="auto"/>
        <w:ind w:firstLine="240" w:firstLineChars="100"/>
        <w:textAlignment w:val="baseline"/>
        <w:rPr>
          <w:rFonts w:ascii="宋体" w:hAnsi="宋体"/>
          <w:sz w:val="24"/>
        </w:rPr>
      </w:pPr>
      <w:r>
        <w:rPr>
          <w:rFonts w:hint="eastAsia" w:ascii="宋体" w:hAnsi="宋体"/>
          <w:sz w:val="24"/>
        </w:rPr>
        <w:t>联系方式：</w:t>
      </w:r>
      <w:bookmarkStart w:id="45" w:name="_Toc28359087"/>
      <w:bookmarkStart w:id="46" w:name="_Toc28359010"/>
      <w:r>
        <w:rPr>
          <w:rFonts w:hint="eastAsia" w:ascii="宋体" w:hAnsi="宋体"/>
          <w:sz w:val="24"/>
        </w:rPr>
        <w:t>贾东敏、蒲晓芳 010-63509799-8112/8024</w:t>
      </w:r>
    </w:p>
    <w:p>
      <w:pPr>
        <w:snapToGrid w:val="0"/>
        <w:spacing w:line="360" w:lineRule="auto"/>
        <w:ind w:left="408" w:leftChars="114" w:hanging="180" w:hangingChars="75"/>
        <w:textAlignment w:val="baseline"/>
        <w:rPr>
          <w:rFonts w:ascii="宋体" w:hAnsi="宋体"/>
          <w:sz w:val="24"/>
        </w:rPr>
      </w:pPr>
      <w:r>
        <w:rPr>
          <w:rFonts w:hint="eastAsia" w:ascii="宋体" w:hAnsi="宋体"/>
          <w:sz w:val="24"/>
        </w:rPr>
        <w:t>3、项目联系方式</w:t>
      </w:r>
      <w:bookmarkEnd w:id="45"/>
      <w:bookmarkEnd w:id="46"/>
    </w:p>
    <w:p>
      <w:pPr>
        <w:snapToGrid w:val="0"/>
        <w:spacing w:line="360" w:lineRule="auto"/>
        <w:ind w:firstLine="240" w:firstLineChars="100"/>
        <w:textAlignment w:val="baseline"/>
        <w:rPr>
          <w:rFonts w:ascii="宋体" w:hAnsi="宋体"/>
          <w:sz w:val="24"/>
        </w:rPr>
      </w:pPr>
      <w:r>
        <w:rPr>
          <w:rFonts w:hint="eastAsia" w:ascii="宋体" w:hAnsi="宋体"/>
          <w:sz w:val="24"/>
        </w:rPr>
        <w:t>项目联系人：贾东敏、蒲晓芳</w:t>
      </w:r>
    </w:p>
    <w:p>
      <w:pPr>
        <w:snapToGrid w:val="0"/>
        <w:spacing w:line="360" w:lineRule="auto"/>
        <w:ind w:firstLine="240" w:firstLineChars="100"/>
        <w:textAlignment w:val="baseline"/>
        <w:rPr>
          <w:rFonts w:ascii="宋体" w:hAnsi="宋体"/>
          <w:sz w:val="24"/>
        </w:rPr>
      </w:pPr>
      <w:r>
        <w:rPr>
          <w:rFonts w:hint="eastAsia" w:ascii="宋体" w:hAnsi="宋体"/>
          <w:sz w:val="24"/>
        </w:rPr>
        <w:t>电　话：010-63509799-8112/8024</w:t>
      </w:r>
    </w:p>
    <w:p>
      <w:pPr>
        <w:pStyle w:val="3"/>
        <w:rPr>
          <w:rFonts w:ascii="宋体" w:hAnsi="宋体"/>
          <w:sz w:val="24"/>
        </w:rPr>
      </w:pPr>
      <w:bookmarkStart w:id="47" w:name="_Toc18423"/>
      <w:bookmarkStart w:id="48" w:name="_Toc17551"/>
      <w:bookmarkStart w:id="49" w:name="_Toc40110890"/>
      <w:r>
        <w:rPr>
          <w:rStyle w:val="66"/>
          <w:rFonts w:hint="eastAsia"/>
          <w:b/>
          <w:bCs/>
        </w:rPr>
        <w:t>第二章 投标人须知资料表</w:t>
      </w:r>
      <w:bookmarkEnd w:id="7"/>
      <w:bookmarkEnd w:id="8"/>
      <w:bookmarkEnd w:id="47"/>
      <w:bookmarkEnd w:id="48"/>
      <w:bookmarkEnd w:id="49"/>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r>
        <w:rPr>
          <w:rFonts w:hint="eastAsia" w:ascii="宋体" w:hAnsi="宋体"/>
          <w:sz w:val="24"/>
        </w:rPr>
        <w:t>本资料表是对投标人须知的具体补充和说明，如有矛盾，应以本资料表为准。</w:t>
      </w:r>
    </w:p>
    <w:tbl>
      <w:tblPr>
        <w:tblStyle w:val="55"/>
        <w:tblW w:w="97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5"/>
        <w:gridCol w:w="888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355" w:hRule="atLeast"/>
          <w:jc w:val="center"/>
        </w:trPr>
        <w:tc>
          <w:tcPr>
            <w:tcW w:w="915" w:type="dxa"/>
            <w:tcBorders>
              <w:top w:val="single" w:color="auto" w:sz="12" w:space="0"/>
            </w:tcBorders>
            <w:vAlign w:val="center"/>
          </w:tcPr>
          <w:p>
            <w:pPr>
              <w:snapToGrid w:val="0"/>
              <w:spacing w:line="360" w:lineRule="auto"/>
              <w:jc w:val="center"/>
              <w:textAlignment w:val="baseline"/>
              <w:rPr>
                <w:b/>
                <w:sz w:val="24"/>
              </w:rPr>
            </w:pPr>
            <w:r>
              <w:rPr>
                <w:rFonts w:hint="eastAsia"/>
                <w:b/>
                <w:sz w:val="24"/>
              </w:rPr>
              <w:t>条款号</w:t>
            </w:r>
          </w:p>
        </w:tc>
        <w:tc>
          <w:tcPr>
            <w:tcW w:w="8884" w:type="dxa"/>
            <w:tcBorders>
              <w:top w:val="single" w:color="auto" w:sz="12" w:space="0"/>
            </w:tcBorders>
            <w:vAlign w:val="center"/>
          </w:tcPr>
          <w:p>
            <w:pPr>
              <w:snapToGrid w:val="0"/>
              <w:spacing w:line="360" w:lineRule="auto"/>
              <w:jc w:val="center"/>
              <w:textAlignment w:val="baseline"/>
              <w:rPr>
                <w:b/>
                <w:sz w:val="24"/>
              </w:rPr>
            </w:pPr>
            <w:r>
              <w:rPr>
                <w:rFonts w:hint="eastAsia"/>
                <w:b/>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jc w:val="center"/>
        </w:trPr>
        <w:tc>
          <w:tcPr>
            <w:tcW w:w="915" w:type="dxa"/>
            <w:vAlign w:val="center"/>
          </w:tcPr>
          <w:p>
            <w:pPr>
              <w:snapToGrid w:val="0"/>
              <w:spacing w:line="360" w:lineRule="auto"/>
              <w:jc w:val="center"/>
              <w:textAlignment w:val="baseline"/>
              <w:rPr>
                <w:sz w:val="24"/>
              </w:rPr>
            </w:pPr>
            <w:r>
              <w:rPr>
                <w:rFonts w:hint="eastAsia"/>
                <w:sz w:val="24"/>
              </w:rPr>
              <w:t>1.1</w:t>
            </w:r>
          </w:p>
        </w:tc>
        <w:tc>
          <w:tcPr>
            <w:tcW w:w="8884" w:type="dxa"/>
            <w:vAlign w:val="center"/>
          </w:tcPr>
          <w:p>
            <w:pPr>
              <w:snapToGrid w:val="0"/>
              <w:spacing w:line="360" w:lineRule="auto"/>
              <w:textAlignment w:val="baseline"/>
              <w:rPr>
                <w:rFonts w:ascii="宋体" w:hAnsi="宋体"/>
                <w:sz w:val="24"/>
              </w:rPr>
            </w:pPr>
            <w:r>
              <w:rPr>
                <w:rFonts w:hint="eastAsia" w:ascii="宋体" w:hAnsi="宋体"/>
                <w:sz w:val="24"/>
              </w:rPr>
              <w:t>采购人名称：华北电力大学</w:t>
            </w:r>
          </w:p>
          <w:p>
            <w:pPr>
              <w:snapToGrid w:val="0"/>
              <w:spacing w:line="360" w:lineRule="auto"/>
              <w:textAlignment w:val="baseline"/>
              <w:rPr>
                <w:rFonts w:ascii="ˎ̥" w:hAnsi="ˎ̥"/>
                <w:kern w:val="0"/>
                <w:sz w:val="24"/>
              </w:rPr>
            </w:pPr>
            <w:r>
              <w:rPr>
                <w:rFonts w:hint="eastAsia" w:ascii="宋体" w:hAnsi="宋体"/>
                <w:sz w:val="24"/>
              </w:rPr>
              <w:t>联系地址：北京市昌平区回龙观北农路2号</w:t>
            </w:r>
          </w:p>
          <w:p>
            <w:pPr>
              <w:snapToGrid w:val="0"/>
              <w:spacing w:line="360" w:lineRule="auto"/>
              <w:textAlignment w:val="baseline"/>
              <w:rPr>
                <w:sz w:val="24"/>
              </w:rPr>
            </w:pPr>
            <w:r>
              <w:rPr>
                <w:rFonts w:hint="eastAsia" w:ascii="ˎ̥" w:hAnsi="ˎ̥"/>
                <w:kern w:val="0"/>
                <w:sz w:val="24"/>
              </w:rPr>
              <w:t>联系方式：</w:t>
            </w:r>
            <w:r>
              <w:rPr>
                <w:rFonts w:hint="eastAsia" w:ascii="宋体" w:hAnsi="宋体"/>
                <w:sz w:val="24"/>
              </w:rPr>
              <w:t>张老师010-6177299</w:t>
            </w:r>
            <w:r>
              <w:rPr>
                <w:rFonts w:ascii="宋体" w:hAnsi="宋体"/>
                <w:sz w:val="24"/>
              </w:rPr>
              <w:t>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jc w:val="center"/>
        </w:trPr>
        <w:tc>
          <w:tcPr>
            <w:tcW w:w="915" w:type="dxa"/>
            <w:vAlign w:val="center"/>
          </w:tcPr>
          <w:p>
            <w:pPr>
              <w:snapToGrid w:val="0"/>
              <w:spacing w:line="360" w:lineRule="auto"/>
              <w:jc w:val="center"/>
              <w:textAlignment w:val="baseline"/>
              <w:rPr>
                <w:sz w:val="24"/>
              </w:rPr>
            </w:pPr>
            <w:r>
              <w:rPr>
                <w:rFonts w:hint="eastAsia"/>
                <w:sz w:val="24"/>
              </w:rPr>
              <w:t>1．2</w:t>
            </w:r>
          </w:p>
        </w:tc>
        <w:tc>
          <w:tcPr>
            <w:tcW w:w="8884" w:type="dxa"/>
            <w:vAlign w:val="center"/>
          </w:tcPr>
          <w:p>
            <w:pPr>
              <w:snapToGrid w:val="0"/>
              <w:spacing w:line="360" w:lineRule="auto"/>
              <w:textAlignment w:val="baseline"/>
              <w:rPr>
                <w:sz w:val="24"/>
              </w:rPr>
            </w:pPr>
            <w:r>
              <w:rPr>
                <w:rFonts w:hint="eastAsia"/>
                <w:sz w:val="24"/>
              </w:rPr>
              <w:t>采购代理机构名称：华采招标集团有限公司</w:t>
            </w:r>
          </w:p>
          <w:p>
            <w:pPr>
              <w:snapToGrid w:val="0"/>
              <w:spacing w:line="360" w:lineRule="auto"/>
              <w:textAlignment w:val="baseline"/>
              <w:rPr>
                <w:sz w:val="24"/>
              </w:rPr>
            </w:pPr>
            <w:r>
              <w:rPr>
                <w:rFonts w:hint="eastAsia"/>
                <w:sz w:val="24"/>
              </w:rPr>
              <w:t>联系地址：北京市丰台区广安路9号国投财富广场6号楼1601室</w:t>
            </w:r>
          </w:p>
          <w:p>
            <w:pPr>
              <w:snapToGrid w:val="0"/>
              <w:spacing w:line="360" w:lineRule="auto"/>
              <w:textAlignment w:val="baseline"/>
              <w:rPr>
                <w:sz w:val="24"/>
              </w:rPr>
            </w:pPr>
            <w:r>
              <w:rPr>
                <w:rFonts w:hint="eastAsia"/>
                <w:sz w:val="24"/>
              </w:rPr>
              <w:t>联系人：</w:t>
            </w:r>
            <w:r>
              <w:rPr>
                <w:rFonts w:hint="eastAsia" w:ascii="宋体" w:hAnsi="宋体"/>
                <w:sz w:val="24"/>
              </w:rPr>
              <w:t>贾东敏、蒲晓芳</w:t>
            </w:r>
          </w:p>
          <w:p>
            <w:pPr>
              <w:snapToGrid w:val="0"/>
              <w:spacing w:line="360" w:lineRule="auto"/>
              <w:textAlignment w:val="baseline"/>
              <w:rPr>
                <w:sz w:val="24"/>
              </w:rPr>
            </w:pPr>
            <w:r>
              <w:rPr>
                <w:rFonts w:hint="eastAsia"/>
                <w:sz w:val="24"/>
              </w:rPr>
              <w:t>联系方式：</w:t>
            </w:r>
            <w:r>
              <w:rPr>
                <w:rFonts w:ascii="宋体" w:hAnsi="宋体" w:cs="??"/>
                <w:sz w:val="24"/>
              </w:rPr>
              <w:t>010-63509799-</w:t>
            </w:r>
            <w:r>
              <w:rPr>
                <w:rFonts w:hint="eastAsia" w:ascii="宋体" w:hAnsi="宋体" w:cs="??"/>
                <w:sz w:val="24"/>
              </w:rPr>
              <w:t>8112/8024</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jc w:val="center"/>
        </w:trPr>
        <w:tc>
          <w:tcPr>
            <w:tcW w:w="915" w:type="dxa"/>
            <w:vAlign w:val="center"/>
          </w:tcPr>
          <w:p>
            <w:pPr>
              <w:snapToGrid w:val="0"/>
              <w:spacing w:line="360" w:lineRule="auto"/>
              <w:jc w:val="center"/>
              <w:textAlignment w:val="baseline"/>
              <w:rPr>
                <w:sz w:val="24"/>
              </w:rPr>
            </w:pPr>
            <w:r>
              <w:rPr>
                <w:rFonts w:hint="eastAsia"/>
                <w:sz w:val="24"/>
              </w:rPr>
              <w:t>1.3.3</w:t>
            </w:r>
          </w:p>
        </w:tc>
        <w:tc>
          <w:tcPr>
            <w:tcW w:w="8884" w:type="dxa"/>
            <w:vAlign w:val="center"/>
          </w:tcPr>
          <w:p>
            <w:pPr>
              <w:snapToGrid w:val="0"/>
              <w:spacing w:line="360" w:lineRule="auto"/>
              <w:textAlignment w:val="baseline"/>
              <w:rPr>
                <w:sz w:val="24"/>
              </w:rPr>
            </w:pPr>
            <w:r>
              <w:rPr>
                <w:rFonts w:hint="eastAsia"/>
                <w:sz w:val="24"/>
              </w:rPr>
              <w:t>本项目是否接受联合体投标：否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jc w:val="center"/>
        </w:trPr>
        <w:tc>
          <w:tcPr>
            <w:tcW w:w="915" w:type="dxa"/>
            <w:vAlign w:val="center"/>
          </w:tcPr>
          <w:p>
            <w:pPr>
              <w:snapToGrid w:val="0"/>
              <w:spacing w:line="360" w:lineRule="auto"/>
              <w:jc w:val="center"/>
              <w:textAlignment w:val="baseline"/>
              <w:rPr>
                <w:sz w:val="24"/>
              </w:rPr>
            </w:pPr>
            <w:r>
              <w:rPr>
                <w:rFonts w:hint="eastAsia"/>
                <w:sz w:val="24"/>
              </w:rPr>
              <w:t>1.3.5</w:t>
            </w:r>
          </w:p>
        </w:tc>
        <w:tc>
          <w:tcPr>
            <w:tcW w:w="8884" w:type="dxa"/>
            <w:vAlign w:val="center"/>
          </w:tcPr>
          <w:p>
            <w:pPr>
              <w:snapToGrid w:val="0"/>
              <w:spacing w:line="360" w:lineRule="auto"/>
              <w:textAlignment w:val="baseline"/>
              <w:rPr>
                <w:sz w:val="24"/>
                <w:u w:val="single"/>
              </w:rPr>
            </w:pPr>
            <w:r>
              <w:rPr>
                <w:rFonts w:hint="eastAsia"/>
                <w:sz w:val="24"/>
              </w:rPr>
              <w:t>本项目是否接受进口产品：不适用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jc w:val="center"/>
        </w:trPr>
        <w:tc>
          <w:tcPr>
            <w:tcW w:w="915" w:type="dxa"/>
            <w:vAlign w:val="center"/>
          </w:tcPr>
          <w:p>
            <w:pPr>
              <w:snapToGrid w:val="0"/>
              <w:spacing w:line="360" w:lineRule="auto"/>
              <w:jc w:val="center"/>
              <w:textAlignment w:val="baseline"/>
              <w:rPr>
                <w:sz w:val="24"/>
              </w:rPr>
            </w:pPr>
            <w:r>
              <w:rPr>
                <w:rFonts w:hint="eastAsia"/>
                <w:sz w:val="24"/>
              </w:rPr>
              <w:t>1.3.6</w:t>
            </w:r>
          </w:p>
        </w:tc>
        <w:tc>
          <w:tcPr>
            <w:tcW w:w="8884" w:type="dxa"/>
            <w:vAlign w:val="center"/>
          </w:tcPr>
          <w:p>
            <w:pPr>
              <w:snapToGrid w:val="0"/>
              <w:spacing w:line="360" w:lineRule="auto"/>
              <w:textAlignment w:val="baseline"/>
              <w:rPr>
                <w:sz w:val="24"/>
                <w:u w:val="single"/>
              </w:rPr>
            </w:pPr>
            <w:r>
              <w:rPr>
                <w:rFonts w:hint="eastAsia"/>
                <w:sz w:val="24"/>
              </w:rPr>
              <w:t>本项目是否专门面向中小企业或小型、微型企业、监狱、戒毒企业、残疾人福利性单位或支持脱贫采购：否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28" w:hRule="atLeast"/>
          <w:jc w:val="center"/>
        </w:trPr>
        <w:tc>
          <w:tcPr>
            <w:tcW w:w="915" w:type="dxa"/>
            <w:vAlign w:val="center"/>
          </w:tcPr>
          <w:p>
            <w:pPr>
              <w:snapToGrid w:val="0"/>
              <w:spacing w:line="360" w:lineRule="auto"/>
              <w:jc w:val="center"/>
              <w:textAlignment w:val="baseline"/>
              <w:rPr>
                <w:sz w:val="24"/>
              </w:rPr>
            </w:pPr>
            <w:r>
              <w:rPr>
                <w:rFonts w:hint="eastAsia"/>
                <w:sz w:val="24"/>
              </w:rPr>
              <w:t>2.1</w:t>
            </w:r>
          </w:p>
        </w:tc>
        <w:tc>
          <w:tcPr>
            <w:tcW w:w="8884" w:type="dxa"/>
            <w:vAlign w:val="center"/>
          </w:tcPr>
          <w:p>
            <w:pPr>
              <w:snapToGrid w:val="0"/>
              <w:spacing w:line="360" w:lineRule="auto"/>
              <w:textAlignment w:val="baseline"/>
              <w:rPr>
                <w:sz w:val="24"/>
              </w:rPr>
            </w:pPr>
            <w:r>
              <w:rPr>
                <w:rFonts w:hint="eastAsia"/>
                <w:sz w:val="24"/>
              </w:rPr>
              <w:t>资金性质：财政资金</w:t>
            </w:r>
          </w:p>
          <w:p>
            <w:pPr>
              <w:snapToGrid w:val="0"/>
              <w:spacing w:line="360" w:lineRule="auto"/>
              <w:textAlignment w:val="baseline"/>
              <w:rPr>
                <w:sz w:val="24"/>
              </w:rPr>
            </w:pPr>
            <w:r>
              <w:rPr>
                <w:rFonts w:hint="eastAsia"/>
                <w:sz w:val="24"/>
              </w:rPr>
              <w:t>本项目预算金额：65</w:t>
            </w:r>
            <w:r>
              <w:rPr>
                <w:sz w:val="24"/>
              </w:rPr>
              <w:t>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128" w:hRule="atLeast"/>
          <w:jc w:val="center"/>
        </w:trPr>
        <w:tc>
          <w:tcPr>
            <w:tcW w:w="915" w:type="dxa"/>
            <w:vAlign w:val="center"/>
          </w:tcPr>
          <w:p>
            <w:pPr>
              <w:snapToGrid w:val="0"/>
              <w:spacing w:line="360" w:lineRule="auto"/>
              <w:jc w:val="center"/>
              <w:textAlignment w:val="baseline"/>
              <w:rPr>
                <w:sz w:val="24"/>
              </w:rPr>
            </w:pPr>
            <w:r>
              <w:rPr>
                <w:rFonts w:hint="eastAsia"/>
                <w:sz w:val="24"/>
              </w:rPr>
              <w:t>11.1</w:t>
            </w:r>
          </w:p>
        </w:tc>
        <w:tc>
          <w:tcPr>
            <w:tcW w:w="8884" w:type="dxa"/>
            <w:vAlign w:val="center"/>
          </w:tcPr>
          <w:p>
            <w:pPr>
              <w:pStyle w:val="54"/>
              <w:snapToGrid w:val="0"/>
              <w:ind w:left="0" w:leftChars="0" w:firstLine="0" w:firstLineChars="0"/>
              <w:textAlignment w:val="baseline"/>
              <w:rPr>
                <w:sz w:val="24"/>
                <w:szCs w:val="24"/>
                <w:lang w:val="en-US"/>
              </w:rPr>
            </w:pPr>
            <w:r>
              <w:rPr>
                <w:rFonts w:hint="eastAsia"/>
                <w:sz w:val="24"/>
                <w:szCs w:val="24"/>
                <w:lang w:val="en-US"/>
              </w:rPr>
              <w:t>投标报价：均以人民币报价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jc w:val="center"/>
        </w:trPr>
        <w:tc>
          <w:tcPr>
            <w:tcW w:w="915" w:type="dxa"/>
            <w:vAlign w:val="center"/>
          </w:tcPr>
          <w:p>
            <w:pPr>
              <w:snapToGrid w:val="0"/>
              <w:spacing w:line="360" w:lineRule="auto"/>
              <w:jc w:val="center"/>
              <w:textAlignment w:val="baseline"/>
              <w:rPr>
                <w:sz w:val="24"/>
              </w:rPr>
            </w:pPr>
            <w:r>
              <w:rPr>
                <w:rFonts w:hint="eastAsia"/>
                <w:sz w:val="24"/>
              </w:rPr>
              <w:t>12.1</w:t>
            </w:r>
          </w:p>
        </w:tc>
        <w:tc>
          <w:tcPr>
            <w:tcW w:w="8884" w:type="dxa"/>
            <w:vAlign w:val="center"/>
          </w:tcPr>
          <w:p>
            <w:pPr>
              <w:snapToGrid w:val="0"/>
              <w:spacing w:line="360" w:lineRule="auto"/>
              <w:textAlignment w:val="baseline"/>
              <w:rPr>
                <w:b/>
                <w:sz w:val="24"/>
              </w:rPr>
            </w:pPr>
            <w:r>
              <w:rPr>
                <w:rFonts w:hint="eastAsia"/>
                <w:b/>
                <w:sz w:val="24"/>
              </w:rPr>
              <w:t>投标保证金：</w:t>
            </w:r>
            <w:r>
              <w:rPr>
                <w:rFonts w:hint="eastAsia" w:ascii="宋体" w:hAnsi="宋体"/>
                <w:b/>
                <w:sz w:val="24"/>
              </w:rPr>
              <w:t>小写：11012元（大写：壹万壹仟零壹拾贰元整）</w:t>
            </w:r>
            <w:r>
              <w:rPr>
                <w:rFonts w:hint="eastAsia"/>
                <w:b/>
                <w:sz w:val="24"/>
              </w:rPr>
              <w:t>。</w:t>
            </w:r>
          </w:p>
          <w:p>
            <w:pPr>
              <w:snapToGrid w:val="0"/>
              <w:spacing w:line="360" w:lineRule="auto"/>
              <w:jc w:val="left"/>
              <w:textAlignment w:val="baseline"/>
              <w:rPr>
                <w:b/>
                <w:sz w:val="24"/>
              </w:rPr>
            </w:pPr>
            <w:r>
              <w:rPr>
                <w:rFonts w:hint="eastAsia"/>
                <w:b/>
                <w:sz w:val="24"/>
              </w:rPr>
              <w:t>递交时间：同投标文件递交截止时间</w:t>
            </w:r>
          </w:p>
          <w:p>
            <w:pPr>
              <w:snapToGrid w:val="0"/>
              <w:spacing w:line="360" w:lineRule="auto"/>
              <w:textAlignment w:val="baseline"/>
              <w:rPr>
                <w:b/>
                <w:sz w:val="24"/>
              </w:rPr>
            </w:pPr>
            <w:r>
              <w:rPr>
                <w:rFonts w:hint="eastAsia"/>
                <w:b/>
                <w:sz w:val="24"/>
              </w:rPr>
              <w:t>递交地点：华采招标集团有限公司(北京市丰台区广安路9号国投财富广场6号楼1601室）。</w:t>
            </w:r>
          </w:p>
          <w:p>
            <w:pPr>
              <w:snapToGrid w:val="0"/>
              <w:spacing w:line="360" w:lineRule="auto"/>
              <w:textAlignment w:val="baseline"/>
              <w:rPr>
                <w:sz w:val="24"/>
              </w:rPr>
            </w:pPr>
            <w:r>
              <w:rPr>
                <w:rFonts w:hint="eastAsia"/>
                <w:sz w:val="24"/>
              </w:rPr>
              <w:t>提交投标保证金形式：支票、汇票、本票或者金融机构、担保机构出具的保函等非现金形式提交</w:t>
            </w:r>
          </w:p>
          <w:p>
            <w:pPr>
              <w:snapToGrid w:val="0"/>
              <w:spacing w:line="360" w:lineRule="auto"/>
              <w:textAlignment w:val="baseline"/>
              <w:rPr>
                <w:b/>
                <w:sz w:val="24"/>
              </w:rPr>
            </w:pPr>
            <w:r>
              <w:rPr>
                <w:rFonts w:hint="eastAsia"/>
                <w:b/>
                <w:sz w:val="24"/>
              </w:rPr>
              <w:t xml:space="preserve">投标保证金汇款账户： </w:t>
            </w:r>
          </w:p>
          <w:p>
            <w:pPr>
              <w:snapToGrid w:val="0"/>
              <w:spacing w:line="360" w:lineRule="auto"/>
              <w:textAlignment w:val="baseline"/>
              <w:rPr>
                <w:b/>
                <w:sz w:val="24"/>
              </w:rPr>
            </w:pPr>
            <w:r>
              <w:rPr>
                <w:rFonts w:hint="eastAsia"/>
                <w:b/>
                <w:sz w:val="24"/>
              </w:rPr>
              <w:t>开户行名称：华采招标集团有限公司</w:t>
            </w:r>
          </w:p>
          <w:p>
            <w:pPr>
              <w:snapToGrid w:val="0"/>
              <w:spacing w:line="360" w:lineRule="auto"/>
              <w:textAlignment w:val="baseline"/>
              <w:rPr>
                <w:b/>
                <w:sz w:val="24"/>
              </w:rPr>
            </w:pPr>
            <w:r>
              <w:rPr>
                <w:rFonts w:hint="eastAsia"/>
                <w:b/>
                <w:sz w:val="24"/>
              </w:rPr>
              <w:t>开 户 行：建行北京西客站支行（仅限投标保证金）</w:t>
            </w:r>
          </w:p>
          <w:p>
            <w:pPr>
              <w:snapToGrid w:val="0"/>
              <w:spacing w:line="360" w:lineRule="auto"/>
              <w:textAlignment w:val="baseline"/>
              <w:rPr>
                <w:b/>
                <w:sz w:val="24"/>
              </w:rPr>
            </w:pPr>
            <w:r>
              <w:rPr>
                <w:rFonts w:hint="eastAsia"/>
                <w:b/>
                <w:sz w:val="24"/>
              </w:rPr>
              <w:t>账    号：1105 0165 5100 0000 0292（汇款时请注明</w:t>
            </w:r>
            <w:bookmarkStart w:id="558" w:name="_GoBack"/>
            <w:bookmarkEnd w:id="558"/>
            <w:r>
              <w:rPr>
                <w:rFonts w:hint="eastAsia"/>
                <w:b/>
                <w:sz w:val="24"/>
              </w:rPr>
              <w:t>：ZB1012保证金）</w:t>
            </w:r>
          </w:p>
          <w:p>
            <w:pPr>
              <w:snapToGrid w:val="0"/>
              <w:spacing w:line="360" w:lineRule="auto"/>
              <w:textAlignment w:val="baseline"/>
              <w:rPr>
                <w:b/>
                <w:sz w:val="24"/>
              </w:rPr>
            </w:pPr>
            <w:r>
              <w:rPr>
                <w:rFonts w:hint="eastAsia"/>
                <w:b/>
                <w:sz w:val="24"/>
              </w:rPr>
              <w:t>行    号：1051 0000 9047</w:t>
            </w:r>
          </w:p>
          <w:p>
            <w:pPr>
              <w:snapToGrid w:val="0"/>
              <w:spacing w:line="360" w:lineRule="auto"/>
              <w:textAlignment w:val="baseline"/>
              <w:rPr>
                <w:sz w:val="24"/>
              </w:rPr>
            </w:pPr>
            <w:r>
              <w:rPr>
                <w:rFonts w:hint="eastAsia"/>
                <w:b/>
                <w:sz w:val="24"/>
              </w:rPr>
              <w:t>退还投标保证金形式：北京地区单位支票形式、外埠单位电汇形式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 w:hRule="atLeast"/>
          <w:jc w:val="center"/>
        </w:trPr>
        <w:tc>
          <w:tcPr>
            <w:tcW w:w="915" w:type="dxa"/>
            <w:vAlign w:val="center"/>
          </w:tcPr>
          <w:p>
            <w:pPr>
              <w:snapToGrid w:val="0"/>
              <w:spacing w:line="360" w:lineRule="auto"/>
              <w:jc w:val="center"/>
              <w:textAlignment w:val="baseline"/>
              <w:rPr>
                <w:sz w:val="24"/>
              </w:rPr>
            </w:pPr>
            <w:r>
              <w:rPr>
                <w:rFonts w:hint="eastAsia"/>
                <w:sz w:val="24"/>
              </w:rPr>
              <w:t>13.1</w:t>
            </w:r>
          </w:p>
        </w:tc>
        <w:tc>
          <w:tcPr>
            <w:tcW w:w="8884" w:type="dxa"/>
            <w:vAlign w:val="center"/>
          </w:tcPr>
          <w:p>
            <w:pPr>
              <w:snapToGrid w:val="0"/>
              <w:spacing w:line="360" w:lineRule="auto"/>
              <w:textAlignment w:val="baseline"/>
              <w:rPr>
                <w:b/>
                <w:sz w:val="24"/>
              </w:rPr>
            </w:pPr>
            <w:r>
              <w:rPr>
                <w:rFonts w:hint="eastAsia"/>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jc w:val="center"/>
        </w:trPr>
        <w:tc>
          <w:tcPr>
            <w:tcW w:w="915" w:type="dxa"/>
            <w:vAlign w:val="center"/>
          </w:tcPr>
          <w:p>
            <w:pPr>
              <w:snapToGrid w:val="0"/>
              <w:spacing w:line="360" w:lineRule="auto"/>
              <w:jc w:val="center"/>
              <w:textAlignment w:val="baseline"/>
              <w:rPr>
                <w:sz w:val="24"/>
              </w:rPr>
            </w:pPr>
            <w:r>
              <w:rPr>
                <w:rFonts w:hint="eastAsia"/>
                <w:sz w:val="24"/>
              </w:rPr>
              <w:t>14.1</w:t>
            </w:r>
          </w:p>
        </w:tc>
        <w:tc>
          <w:tcPr>
            <w:tcW w:w="8884" w:type="dxa"/>
            <w:vAlign w:val="center"/>
          </w:tcPr>
          <w:p>
            <w:pPr>
              <w:snapToGrid w:val="0"/>
              <w:spacing w:line="360" w:lineRule="auto"/>
              <w:textAlignment w:val="baseline"/>
              <w:rPr>
                <w:b/>
                <w:sz w:val="24"/>
              </w:rPr>
            </w:pPr>
            <w:r>
              <w:rPr>
                <w:rFonts w:hint="eastAsia"/>
                <w:b/>
                <w:sz w:val="24"/>
              </w:rPr>
              <w:t>投标文件资格册：正本：1份，副本：</w:t>
            </w:r>
            <w:r>
              <w:rPr>
                <w:b/>
                <w:sz w:val="24"/>
              </w:rPr>
              <w:t>4</w:t>
            </w:r>
            <w:r>
              <w:rPr>
                <w:rFonts w:hint="eastAsia"/>
                <w:b/>
                <w:sz w:val="24"/>
              </w:rPr>
              <w:t>份，电子版：1份。</w:t>
            </w:r>
          </w:p>
          <w:p>
            <w:pPr>
              <w:snapToGrid w:val="0"/>
              <w:spacing w:line="360" w:lineRule="auto"/>
              <w:textAlignment w:val="baseline"/>
              <w:rPr>
                <w:b/>
                <w:sz w:val="24"/>
              </w:rPr>
            </w:pPr>
            <w:r>
              <w:rPr>
                <w:rFonts w:hint="eastAsia"/>
                <w:b/>
                <w:sz w:val="24"/>
              </w:rPr>
              <w:t>投标文件商务技术册：正本：1份，副本：</w:t>
            </w:r>
            <w:r>
              <w:rPr>
                <w:b/>
                <w:sz w:val="24"/>
              </w:rPr>
              <w:t>4</w:t>
            </w:r>
            <w:r>
              <w:rPr>
                <w:rFonts w:hint="eastAsia"/>
                <w:b/>
                <w:sz w:val="24"/>
              </w:rPr>
              <w:t>份，电子版：1份。</w:t>
            </w:r>
          </w:p>
          <w:p>
            <w:pPr>
              <w:snapToGrid w:val="0"/>
              <w:spacing w:line="360" w:lineRule="auto"/>
              <w:textAlignment w:val="baseline"/>
              <w:rPr>
                <w:sz w:val="24"/>
              </w:rPr>
            </w:pPr>
            <w:r>
              <w:rPr>
                <w:rFonts w:hint="eastAsia"/>
                <w:sz w:val="24"/>
              </w:rPr>
              <w:t>（电子文件应提供可编辑word文档和PDF盖章扫描件，存储载体为U盘或光盘）。</w:t>
            </w:r>
          </w:p>
          <w:p>
            <w:pPr>
              <w:snapToGrid w:val="0"/>
              <w:spacing w:line="360" w:lineRule="auto"/>
              <w:textAlignment w:val="baseline"/>
              <w:rPr>
                <w:sz w:val="24"/>
              </w:rPr>
            </w:pPr>
            <w:r>
              <w:rPr>
                <w:rFonts w:hint="eastAsia"/>
                <w:sz w:val="24"/>
              </w:rPr>
              <w:t>若投标文件正本和副本、电子文件不符，以纸质正本为准。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jc w:val="center"/>
        </w:trPr>
        <w:tc>
          <w:tcPr>
            <w:tcW w:w="915" w:type="dxa"/>
            <w:vAlign w:val="center"/>
          </w:tcPr>
          <w:p>
            <w:pPr>
              <w:snapToGrid w:val="0"/>
              <w:spacing w:line="360" w:lineRule="auto"/>
              <w:jc w:val="center"/>
              <w:textAlignment w:val="baseline"/>
              <w:rPr>
                <w:sz w:val="24"/>
              </w:rPr>
            </w:pPr>
            <w:r>
              <w:rPr>
                <w:rFonts w:hint="eastAsia"/>
                <w:sz w:val="24"/>
              </w:rPr>
              <w:t>15.1</w:t>
            </w:r>
          </w:p>
        </w:tc>
        <w:tc>
          <w:tcPr>
            <w:tcW w:w="8884" w:type="dxa"/>
            <w:vAlign w:val="center"/>
          </w:tcPr>
          <w:p>
            <w:pPr>
              <w:snapToGrid w:val="0"/>
              <w:spacing w:line="360" w:lineRule="auto"/>
              <w:textAlignment w:val="baseline"/>
              <w:rPr>
                <w:sz w:val="24"/>
              </w:rPr>
            </w:pPr>
            <w:r>
              <w:rPr>
                <w:rFonts w:ascii="宋体" w:hAnsi="宋体"/>
                <w:b/>
                <w:sz w:val="24"/>
              </w:rPr>
              <w:t>投标文件一律采用A4</w:t>
            </w:r>
            <w:r>
              <w:rPr>
                <w:rFonts w:hint="eastAsia" w:ascii="宋体" w:hAnsi="宋体"/>
                <w:b/>
                <w:sz w:val="24"/>
              </w:rPr>
              <w:t>幅面</w:t>
            </w:r>
            <w:r>
              <w:rPr>
                <w:rFonts w:ascii="宋体" w:hAnsi="宋体"/>
                <w:b/>
                <w:sz w:val="24"/>
              </w:rPr>
              <w:t>（图纸、彩页等除外）</w:t>
            </w:r>
            <w:r>
              <w:rPr>
                <w:rFonts w:hint="eastAsia" w:ascii="宋体" w:hAnsi="宋体"/>
                <w:b/>
                <w:sz w:val="24"/>
              </w:rPr>
              <w:t>，</w:t>
            </w:r>
            <w:r>
              <w:rPr>
                <w:rFonts w:ascii="宋体" w:hAnsi="宋体"/>
                <w:b/>
                <w:sz w:val="24"/>
              </w:rPr>
              <w:t>左侧装订。装订应牢固</w:t>
            </w:r>
            <w:r>
              <w:rPr>
                <w:rFonts w:hint="eastAsia" w:ascii="宋体" w:hAnsi="宋体"/>
                <w:b/>
                <w:sz w:val="24"/>
              </w:rPr>
              <w:t>紧密</w:t>
            </w:r>
            <w:r>
              <w:rPr>
                <w:rFonts w:ascii="宋体" w:hAnsi="宋体"/>
                <w:b/>
                <w:sz w:val="24"/>
              </w:rPr>
              <w:t>，不易</w:t>
            </w:r>
            <w:r>
              <w:rPr>
                <w:rFonts w:hint="eastAsia" w:ascii="宋体" w:hAnsi="宋体"/>
                <w:b/>
                <w:sz w:val="24"/>
              </w:rPr>
              <w:t>松动</w:t>
            </w:r>
            <w:r>
              <w:rPr>
                <w:rFonts w:ascii="宋体" w:hAnsi="宋体"/>
                <w:b/>
                <w:sz w:val="24"/>
              </w:rPr>
              <w:t>散落，不得采用活页试装订</w:t>
            </w:r>
            <w:r>
              <w:rPr>
                <w:rFonts w:hint="eastAsia" w:ascii="宋体" w:hAnsi="宋体"/>
                <w:b/>
                <w:sz w:val="24"/>
              </w:rPr>
              <w:t>，采购人或采购代理机构对因装订不牢造成的文件散失不负责任。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jc w:val="center"/>
        </w:trPr>
        <w:tc>
          <w:tcPr>
            <w:tcW w:w="915" w:type="dxa"/>
            <w:vAlign w:val="center"/>
          </w:tcPr>
          <w:p>
            <w:pPr>
              <w:snapToGrid w:val="0"/>
              <w:spacing w:line="360" w:lineRule="auto"/>
              <w:jc w:val="center"/>
              <w:textAlignment w:val="baseline"/>
              <w:rPr>
                <w:sz w:val="24"/>
              </w:rPr>
            </w:pPr>
            <w:r>
              <w:rPr>
                <w:rFonts w:hint="eastAsia"/>
                <w:sz w:val="24"/>
              </w:rPr>
              <w:t>17.1</w:t>
            </w:r>
          </w:p>
        </w:tc>
        <w:tc>
          <w:tcPr>
            <w:tcW w:w="8884" w:type="dxa"/>
            <w:vAlign w:val="center"/>
          </w:tcPr>
          <w:p>
            <w:pPr>
              <w:snapToGrid w:val="0"/>
              <w:spacing w:line="360" w:lineRule="auto"/>
              <w:textAlignment w:val="baseline"/>
              <w:rPr>
                <w:color w:val="000000"/>
                <w:sz w:val="24"/>
              </w:rPr>
            </w:pPr>
            <w:r>
              <w:rPr>
                <w:rFonts w:hint="eastAsia"/>
                <w:sz w:val="24"/>
              </w:rPr>
              <w:t>递交投标文件截止时间暨开标时间</w:t>
            </w:r>
            <w:r>
              <w:rPr>
                <w:rFonts w:ascii="宋体" w:hAnsi="宋体"/>
                <w:sz w:val="24"/>
              </w:rPr>
              <w:t>：</w:t>
            </w:r>
            <w:r>
              <w:rPr>
                <w:rFonts w:hint="eastAsia"/>
                <w:sz w:val="24"/>
              </w:rPr>
              <w:t>202</w:t>
            </w:r>
            <w:r>
              <w:rPr>
                <w:sz w:val="24"/>
              </w:rPr>
              <w:t>1</w:t>
            </w:r>
            <w:r>
              <w:rPr>
                <w:rFonts w:hint="eastAsia"/>
                <w:sz w:val="24"/>
              </w:rPr>
              <w:t>年1</w:t>
            </w:r>
            <w:r>
              <w:rPr>
                <w:sz w:val="24"/>
              </w:rPr>
              <w:t>1</w:t>
            </w:r>
            <w:r>
              <w:rPr>
                <w:rFonts w:hint="eastAsia"/>
                <w:sz w:val="24"/>
              </w:rPr>
              <w:t>月</w:t>
            </w:r>
            <w:r>
              <w:rPr>
                <w:sz w:val="24"/>
              </w:rPr>
              <w:t>10</w:t>
            </w:r>
            <w:r>
              <w:rPr>
                <w:rFonts w:hint="eastAsia"/>
                <w:sz w:val="24"/>
              </w:rPr>
              <w:t>日上午</w:t>
            </w:r>
            <w:r>
              <w:rPr>
                <w:sz w:val="24"/>
              </w:rPr>
              <w:t>09</w:t>
            </w:r>
            <w:r>
              <w:rPr>
                <w:rFonts w:hint="eastAsia"/>
                <w:sz w:val="24"/>
              </w:rPr>
              <w:t>:30</w:t>
            </w:r>
            <w:r>
              <w:rPr>
                <w:rFonts w:hint="eastAsia"/>
                <w:color w:val="000000"/>
                <w:sz w:val="24"/>
              </w:rPr>
              <w:t>（北京时间）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 w:hRule="atLeast"/>
          <w:jc w:val="center"/>
        </w:trPr>
        <w:tc>
          <w:tcPr>
            <w:tcW w:w="915" w:type="dxa"/>
            <w:vAlign w:val="center"/>
          </w:tcPr>
          <w:p>
            <w:pPr>
              <w:snapToGrid w:val="0"/>
              <w:spacing w:line="360" w:lineRule="auto"/>
              <w:jc w:val="center"/>
              <w:textAlignment w:val="baseline"/>
              <w:rPr>
                <w:sz w:val="24"/>
              </w:rPr>
            </w:pPr>
            <w:r>
              <w:rPr>
                <w:rFonts w:hint="eastAsia"/>
                <w:sz w:val="24"/>
              </w:rPr>
              <w:t>18.1</w:t>
            </w:r>
          </w:p>
        </w:tc>
        <w:tc>
          <w:tcPr>
            <w:tcW w:w="8884" w:type="dxa"/>
            <w:vAlign w:val="center"/>
          </w:tcPr>
          <w:p>
            <w:pPr>
              <w:snapToGrid w:val="0"/>
              <w:spacing w:line="360" w:lineRule="auto"/>
              <w:textAlignment w:val="baseline"/>
              <w:rPr>
                <w:sz w:val="24"/>
              </w:rPr>
            </w:pPr>
            <w:r>
              <w:rPr>
                <w:rFonts w:hint="eastAsia"/>
                <w:sz w:val="24"/>
              </w:rPr>
              <w:t>投标文件递交地点暨开标地点：北京市丰台区广安路9号国投财富广场6号楼16层第一会议室。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60" w:hRule="atLeast"/>
          <w:jc w:val="center"/>
        </w:trPr>
        <w:tc>
          <w:tcPr>
            <w:tcW w:w="915" w:type="dxa"/>
            <w:vAlign w:val="center"/>
          </w:tcPr>
          <w:p>
            <w:pPr>
              <w:snapToGrid w:val="0"/>
              <w:spacing w:line="360" w:lineRule="auto"/>
              <w:jc w:val="center"/>
              <w:textAlignment w:val="baseline"/>
              <w:rPr>
                <w:sz w:val="24"/>
              </w:rPr>
            </w:pPr>
            <w:r>
              <w:rPr>
                <w:rFonts w:hint="eastAsia"/>
                <w:sz w:val="24"/>
              </w:rPr>
              <w:t>28.1</w:t>
            </w:r>
          </w:p>
        </w:tc>
        <w:tc>
          <w:tcPr>
            <w:tcW w:w="8884" w:type="dxa"/>
            <w:vAlign w:val="center"/>
          </w:tcPr>
          <w:p>
            <w:pPr>
              <w:snapToGrid w:val="0"/>
              <w:spacing w:line="360" w:lineRule="auto"/>
              <w:textAlignment w:val="baseline"/>
              <w:rPr>
                <w:sz w:val="24"/>
              </w:rPr>
            </w:pPr>
            <w:r>
              <w:rPr>
                <w:rFonts w:hint="eastAsia"/>
                <w:sz w:val="24"/>
              </w:rPr>
              <w:t>履约保证金：无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jc w:val="center"/>
        </w:trPr>
        <w:tc>
          <w:tcPr>
            <w:tcW w:w="915" w:type="dxa"/>
            <w:vAlign w:val="center"/>
          </w:tcPr>
          <w:p>
            <w:pPr>
              <w:snapToGrid w:val="0"/>
              <w:spacing w:line="360" w:lineRule="auto"/>
              <w:jc w:val="center"/>
              <w:textAlignment w:val="baseline"/>
              <w:rPr>
                <w:sz w:val="24"/>
                <w:highlight w:val="yellow"/>
              </w:rPr>
            </w:pPr>
            <w:r>
              <w:rPr>
                <w:rFonts w:hint="eastAsia"/>
                <w:sz w:val="24"/>
              </w:rPr>
              <w:t>29.1</w:t>
            </w:r>
          </w:p>
        </w:tc>
        <w:tc>
          <w:tcPr>
            <w:tcW w:w="8884" w:type="dxa"/>
            <w:vAlign w:val="center"/>
          </w:tcPr>
          <w:p>
            <w:pPr>
              <w:snapToGrid w:val="0"/>
              <w:spacing w:line="360" w:lineRule="auto"/>
              <w:textAlignment w:val="baseline"/>
              <w:rPr>
                <w:rFonts w:ascii="宋体" w:hAnsi="宋体"/>
                <w:sz w:val="24"/>
              </w:rPr>
            </w:pPr>
            <w:r>
              <w:rPr>
                <w:rFonts w:ascii="宋体" w:hAnsi="宋体"/>
                <w:sz w:val="24"/>
              </w:rPr>
              <w:t>中标人须向采购代理机构按如下标准和规定交纳中标服务费</w:t>
            </w:r>
            <w:r>
              <w:rPr>
                <w:rFonts w:hint="eastAsia" w:ascii="宋体" w:hAnsi="宋体"/>
                <w:sz w:val="24"/>
              </w:rPr>
              <w:t>：</w:t>
            </w:r>
          </w:p>
          <w:p>
            <w:pPr>
              <w:snapToGrid w:val="0"/>
              <w:spacing w:line="360" w:lineRule="auto"/>
              <w:textAlignment w:val="baseline"/>
              <w:rPr>
                <w:rFonts w:ascii="宋体" w:hAnsi="宋体"/>
                <w:sz w:val="24"/>
              </w:rPr>
            </w:pPr>
            <w:r>
              <w:rPr>
                <w:rFonts w:ascii="宋体" w:hAnsi="宋体"/>
                <w:sz w:val="24"/>
              </w:rPr>
              <w:t>（1）以</w:t>
            </w:r>
            <w:r>
              <w:rPr>
                <w:rFonts w:hint="eastAsia" w:ascii="宋体" w:hAnsi="宋体"/>
                <w:sz w:val="24"/>
              </w:rPr>
              <w:t>中标金额</w:t>
            </w:r>
            <w:r>
              <w:rPr>
                <w:rFonts w:ascii="宋体" w:hAnsi="宋体"/>
                <w:sz w:val="24"/>
              </w:rPr>
              <w:t>作为收费的计算基数。</w:t>
            </w:r>
          </w:p>
          <w:p>
            <w:pPr>
              <w:widowControl/>
              <w:snapToGrid w:val="0"/>
              <w:spacing w:line="360" w:lineRule="auto"/>
              <w:textAlignment w:val="baseline"/>
              <w:rPr>
                <w:rFonts w:ascii="宋体" w:hAnsi="宋体"/>
                <w:kern w:val="0"/>
                <w:sz w:val="24"/>
              </w:rPr>
            </w:pPr>
            <w:r>
              <w:rPr>
                <w:rFonts w:ascii="宋体" w:hAnsi="宋体"/>
                <w:sz w:val="24"/>
              </w:rPr>
              <w:t>（2）采购代理机构</w:t>
            </w:r>
            <w:r>
              <w:rPr>
                <w:rFonts w:hint="eastAsia" w:ascii="宋体" w:hAnsi="宋体"/>
                <w:sz w:val="24"/>
              </w:rPr>
              <w:t>参照原</w:t>
            </w:r>
            <w:r>
              <w:rPr>
                <w:rFonts w:ascii="宋体" w:hAnsi="宋体"/>
                <w:sz w:val="24"/>
              </w:rPr>
              <w:t>计价格[2002]1980号文、</w:t>
            </w:r>
            <w:r>
              <w:rPr>
                <w:rFonts w:ascii="宋体" w:hAnsi="宋体"/>
                <w:kern w:val="0"/>
                <w:sz w:val="24"/>
              </w:rPr>
              <w:t>发改办价格[2003]857号文及发改价格</w:t>
            </w:r>
            <w:r>
              <w:rPr>
                <w:rFonts w:ascii="宋体" w:hAnsi="宋体"/>
                <w:sz w:val="24"/>
              </w:rPr>
              <w:t>[2011]534</w:t>
            </w:r>
            <w:r>
              <w:rPr>
                <w:rFonts w:ascii="宋体" w:hAnsi="宋体"/>
                <w:kern w:val="0"/>
                <w:sz w:val="24"/>
              </w:rPr>
              <w:t>号文有关规定向</w:t>
            </w:r>
            <w:r>
              <w:rPr>
                <w:rFonts w:hint="eastAsia" w:ascii="宋体" w:hAnsi="宋体"/>
                <w:kern w:val="0"/>
                <w:sz w:val="24"/>
              </w:rPr>
              <w:t>中标人</w:t>
            </w:r>
            <w:r>
              <w:rPr>
                <w:rFonts w:ascii="宋体" w:hAnsi="宋体"/>
                <w:kern w:val="0"/>
                <w:sz w:val="24"/>
              </w:rPr>
              <w:t>收取</w:t>
            </w:r>
            <w:r>
              <w:rPr>
                <w:rFonts w:ascii="宋体" w:hAnsi="宋体"/>
                <w:sz w:val="24"/>
              </w:rPr>
              <w:t>中标服务费用。</w:t>
            </w:r>
          </w:p>
          <w:p>
            <w:pPr>
              <w:snapToGrid w:val="0"/>
              <w:spacing w:line="360" w:lineRule="auto"/>
              <w:textAlignment w:val="baseline"/>
              <w:rPr>
                <w:rFonts w:ascii="宋体" w:hAnsi="宋体"/>
                <w:sz w:val="24"/>
              </w:rPr>
            </w:pPr>
            <w:r>
              <w:rPr>
                <w:rFonts w:ascii="宋体" w:hAnsi="宋体"/>
                <w:sz w:val="24"/>
              </w:rPr>
              <w:t>（3）中标服务费币种与中标签订合同的币种相同或</w:t>
            </w:r>
            <w:r>
              <w:rPr>
                <w:rFonts w:hint="eastAsia" w:ascii="宋体" w:hAnsi="宋体"/>
                <w:sz w:val="24"/>
              </w:rPr>
              <w:t>采购代理机构</w:t>
            </w:r>
            <w:r>
              <w:rPr>
                <w:rFonts w:ascii="宋体" w:hAnsi="宋体"/>
                <w:sz w:val="24"/>
              </w:rPr>
              <w:t>同意的币种</w:t>
            </w:r>
            <w:r>
              <w:rPr>
                <w:rFonts w:hint="eastAsia" w:ascii="宋体" w:hAnsi="宋体"/>
                <w:sz w:val="24"/>
              </w:rPr>
              <w:t>。</w:t>
            </w:r>
          </w:p>
          <w:p>
            <w:pPr>
              <w:snapToGrid w:val="0"/>
              <w:spacing w:line="360" w:lineRule="auto"/>
              <w:textAlignment w:val="baseline"/>
              <w:rPr>
                <w:rFonts w:ascii="宋体" w:hAnsi="宋体"/>
                <w:sz w:val="24"/>
              </w:rPr>
            </w:pPr>
            <w:r>
              <w:rPr>
                <w:rFonts w:ascii="宋体" w:hAnsi="宋体"/>
                <w:sz w:val="24"/>
              </w:rPr>
              <w:t>（4）中标服务费的交纳方式：</w:t>
            </w:r>
          </w:p>
          <w:p>
            <w:pPr>
              <w:snapToGrid w:val="0"/>
              <w:spacing w:line="360" w:lineRule="auto"/>
              <w:textAlignment w:val="baseline"/>
              <w:rPr>
                <w:rFonts w:ascii="宋体" w:hAnsi="宋体"/>
                <w:sz w:val="24"/>
              </w:rPr>
            </w:pPr>
            <w:r>
              <w:rPr>
                <w:rFonts w:ascii="宋体" w:hAnsi="宋体"/>
                <w:sz w:val="24"/>
              </w:rPr>
              <w:t>在投标时，投标人向采购代理机构送交中标服务费承诺书。</w:t>
            </w:r>
            <w:r>
              <w:rPr>
                <w:rFonts w:hint="eastAsia" w:ascii="宋体" w:hAnsi="宋体"/>
                <w:sz w:val="24"/>
              </w:rPr>
              <w:t>中标人</w:t>
            </w:r>
            <w:r>
              <w:rPr>
                <w:rFonts w:ascii="宋体" w:hAnsi="宋体"/>
                <w:sz w:val="24"/>
              </w:rPr>
              <w:t>在领取中标通知书时一次</w:t>
            </w:r>
            <w:r>
              <w:rPr>
                <w:rFonts w:hint="eastAsia" w:ascii="宋体" w:hAnsi="宋体"/>
                <w:sz w:val="24"/>
              </w:rPr>
              <w:t>性</w:t>
            </w:r>
            <w:r>
              <w:rPr>
                <w:rFonts w:ascii="宋体" w:hAnsi="宋体"/>
                <w:sz w:val="24"/>
              </w:rPr>
              <w:t>向采购代理机构交纳所有中标服务费。</w:t>
            </w:r>
          </w:p>
          <w:p>
            <w:pPr>
              <w:snapToGrid w:val="0"/>
              <w:spacing w:line="360" w:lineRule="auto"/>
              <w:textAlignment w:val="baseline"/>
              <w:rPr>
                <w:b/>
                <w:sz w:val="24"/>
              </w:rPr>
            </w:pPr>
            <w:r>
              <w:rPr>
                <w:rFonts w:hint="eastAsia"/>
                <w:b/>
                <w:sz w:val="24"/>
              </w:rPr>
              <w:t>服务费汇款账户：（交纳中标服务费时请备注：ZB1012服务费）</w:t>
            </w:r>
          </w:p>
          <w:p>
            <w:pPr>
              <w:snapToGrid w:val="0"/>
              <w:spacing w:line="360" w:lineRule="auto"/>
              <w:textAlignment w:val="baseline"/>
              <w:rPr>
                <w:b/>
                <w:sz w:val="24"/>
              </w:rPr>
            </w:pPr>
            <w:r>
              <w:rPr>
                <w:rFonts w:hint="eastAsia"/>
                <w:b/>
                <w:sz w:val="24"/>
              </w:rPr>
              <w:t>开户名：华采招标集团有限公司</w:t>
            </w:r>
          </w:p>
          <w:p>
            <w:pPr>
              <w:snapToGrid w:val="0"/>
              <w:spacing w:line="360" w:lineRule="auto"/>
              <w:textAlignment w:val="baseline"/>
              <w:rPr>
                <w:b/>
                <w:sz w:val="24"/>
              </w:rPr>
            </w:pPr>
            <w:r>
              <w:rPr>
                <w:rFonts w:hint="eastAsia"/>
                <w:b/>
                <w:sz w:val="24"/>
              </w:rPr>
              <w:t>开户行：建行北京西客站支行</w:t>
            </w:r>
          </w:p>
          <w:p>
            <w:pPr>
              <w:snapToGrid w:val="0"/>
              <w:spacing w:line="360" w:lineRule="auto"/>
              <w:textAlignment w:val="baseline"/>
              <w:rPr>
                <w:b/>
                <w:sz w:val="24"/>
              </w:rPr>
            </w:pPr>
            <w:r>
              <w:rPr>
                <w:rFonts w:hint="eastAsia"/>
                <w:b/>
                <w:sz w:val="24"/>
              </w:rPr>
              <w:t>账号：1100  1028  0000  5300  6877</w:t>
            </w:r>
          </w:p>
          <w:p>
            <w:pPr>
              <w:snapToGrid w:val="0"/>
              <w:spacing w:line="360" w:lineRule="auto"/>
              <w:textAlignment w:val="baseline"/>
              <w:rPr>
                <w:sz w:val="24"/>
              </w:rPr>
            </w:pPr>
            <w:r>
              <w:rPr>
                <w:rFonts w:hint="eastAsia"/>
                <w:b/>
                <w:sz w:val="24"/>
              </w:rPr>
              <w:t>行号：1051 0000 9047（102800）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jc w:val="center"/>
        </w:trPr>
        <w:tc>
          <w:tcPr>
            <w:tcW w:w="915" w:type="dxa"/>
            <w:vAlign w:val="center"/>
          </w:tcPr>
          <w:p>
            <w:pPr>
              <w:snapToGrid w:val="0"/>
              <w:spacing w:line="360" w:lineRule="auto"/>
              <w:jc w:val="center"/>
              <w:textAlignment w:val="baseline"/>
              <w:rPr>
                <w:sz w:val="24"/>
              </w:rPr>
            </w:pPr>
          </w:p>
        </w:tc>
        <w:tc>
          <w:tcPr>
            <w:tcW w:w="8884" w:type="dxa"/>
            <w:vAlign w:val="center"/>
          </w:tcPr>
          <w:p>
            <w:pPr>
              <w:snapToGrid w:val="0"/>
              <w:spacing w:line="360" w:lineRule="auto"/>
              <w:textAlignment w:val="baseline"/>
              <w:rPr>
                <w:b/>
                <w:sz w:val="24"/>
              </w:rPr>
            </w:pPr>
            <w:r>
              <w:rPr>
                <w:rFonts w:hint="eastAsia"/>
                <w:b/>
                <w:sz w:val="24"/>
              </w:rPr>
              <w:t>政府采购信用担保机构：</w:t>
            </w:r>
          </w:p>
          <w:p>
            <w:pPr>
              <w:snapToGrid w:val="0"/>
              <w:spacing w:line="360" w:lineRule="auto"/>
              <w:textAlignment w:val="baseline"/>
              <w:rPr>
                <w:sz w:val="24"/>
              </w:rPr>
            </w:pPr>
            <w:r>
              <w:rPr>
                <w:rFonts w:hint="eastAsia"/>
                <w:sz w:val="24"/>
              </w:rPr>
              <w:t>1.中国投融资担保股份有限公司</w:t>
            </w:r>
          </w:p>
          <w:p>
            <w:pPr>
              <w:snapToGrid w:val="0"/>
              <w:spacing w:line="360" w:lineRule="auto"/>
              <w:textAlignment w:val="baseline"/>
              <w:rPr>
                <w:sz w:val="24"/>
              </w:rPr>
            </w:pPr>
            <w:r>
              <w:rPr>
                <w:rFonts w:hint="eastAsia"/>
                <w:sz w:val="24"/>
              </w:rPr>
              <w:t>地址:北京市海淀区西三环北路100号光耀东方写字楼9层</w:t>
            </w:r>
          </w:p>
          <w:p>
            <w:pPr>
              <w:snapToGrid w:val="0"/>
              <w:spacing w:line="360" w:lineRule="auto"/>
              <w:textAlignment w:val="baseline"/>
              <w:rPr>
                <w:sz w:val="24"/>
              </w:rPr>
            </w:pPr>
            <w:r>
              <w:rPr>
                <w:rFonts w:hint="eastAsia"/>
                <w:sz w:val="24"/>
              </w:rPr>
              <w:t>联系人：边志伟    手机：13810789199</w:t>
            </w:r>
          </w:p>
          <w:p>
            <w:pPr>
              <w:snapToGrid w:val="0"/>
              <w:spacing w:line="360" w:lineRule="auto"/>
              <w:textAlignment w:val="baseline"/>
              <w:rPr>
                <w:sz w:val="24"/>
              </w:rPr>
            </w:pPr>
            <w:r>
              <w:rPr>
                <w:rFonts w:hint="eastAsia"/>
                <w:sz w:val="24"/>
              </w:rPr>
              <w:t>联系电话：010-88822573     传真：010-68437040/68472315</w:t>
            </w:r>
          </w:p>
          <w:p>
            <w:pPr>
              <w:snapToGrid w:val="0"/>
              <w:spacing w:line="360" w:lineRule="auto"/>
              <w:textAlignment w:val="baseline"/>
              <w:rPr>
                <w:sz w:val="24"/>
              </w:rPr>
            </w:pPr>
            <w:r>
              <w:rPr>
                <w:rFonts w:hint="eastAsia"/>
                <w:sz w:val="24"/>
              </w:rPr>
              <w:t>电子邮箱：bianzw@guaranty.com.cn</w:t>
            </w:r>
          </w:p>
          <w:p>
            <w:pPr>
              <w:snapToGrid w:val="0"/>
              <w:spacing w:line="360" w:lineRule="auto"/>
              <w:textAlignment w:val="baseline"/>
              <w:rPr>
                <w:sz w:val="24"/>
              </w:rPr>
            </w:pPr>
            <w:r>
              <w:rPr>
                <w:rFonts w:hint="eastAsia"/>
                <w:sz w:val="24"/>
              </w:rPr>
              <w:t>2.北京首创投资担保有限责任公司</w:t>
            </w:r>
          </w:p>
          <w:p>
            <w:pPr>
              <w:snapToGrid w:val="0"/>
              <w:spacing w:line="360" w:lineRule="auto"/>
              <w:textAlignment w:val="baseline"/>
              <w:rPr>
                <w:sz w:val="24"/>
              </w:rPr>
            </w:pPr>
            <w:r>
              <w:rPr>
                <w:rFonts w:hint="eastAsia"/>
                <w:sz w:val="24"/>
              </w:rPr>
              <w:t>地址:北京市西城区闹市口大街一号长安兴融中心四号楼三层</w:t>
            </w:r>
          </w:p>
          <w:p>
            <w:pPr>
              <w:snapToGrid w:val="0"/>
              <w:spacing w:line="360" w:lineRule="auto"/>
              <w:textAlignment w:val="baseline"/>
              <w:rPr>
                <w:sz w:val="24"/>
              </w:rPr>
            </w:pPr>
            <w:r>
              <w:rPr>
                <w:rFonts w:hint="eastAsia"/>
                <w:sz w:val="24"/>
              </w:rPr>
              <w:t>联系人：杨阳   陈浩然</w:t>
            </w:r>
          </w:p>
          <w:p>
            <w:pPr>
              <w:snapToGrid w:val="0"/>
              <w:spacing w:line="360" w:lineRule="auto"/>
              <w:textAlignment w:val="baseline"/>
              <w:rPr>
                <w:sz w:val="24"/>
              </w:rPr>
            </w:pPr>
            <w:r>
              <w:rPr>
                <w:rFonts w:hint="eastAsia"/>
                <w:sz w:val="24"/>
              </w:rPr>
              <w:t>手机：13488752033  18910210850</w:t>
            </w:r>
          </w:p>
          <w:p>
            <w:pPr>
              <w:snapToGrid w:val="0"/>
              <w:spacing w:line="360" w:lineRule="auto"/>
              <w:textAlignment w:val="baseline"/>
              <w:rPr>
                <w:sz w:val="24"/>
              </w:rPr>
            </w:pPr>
            <w:r>
              <w:rPr>
                <w:rFonts w:hint="eastAsia"/>
                <w:sz w:val="24"/>
              </w:rPr>
              <w:t>联系电话：010-58528750 58528760  传真：010-58528757</w:t>
            </w:r>
          </w:p>
          <w:p>
            <w:pPr>
              <w:snapToGrid w:val="0"/>
              <w:spacing w:line="360" w:lineRule="auto"/>
              <w:textAlignment w:val="baseline"/>
              <w:rPr>
                <w:sz w:val="24"/>
              </w:rPr>
            </w:pPr>
            <w:r>
              <w:rPr>
                <w:rFonts w:hint="eastAsia"/>
                <w:sz w:val="24"/>
              </w:rPr>
              <w:t>电子邮箱：yangyang@scdb.com.cn; chenhaoran@scdb.com.cn</w:t>
            </w:r>
          </w:p>
          <w:p>
            <w:pPr>
              <w:snapToGrid w:val="0"/>
              <w:spacing w:line="360" w:lineRule="auto"/>
              <w:textAlignment w:val="baseline"/>
              <w:rPr>
                <w:sz w:val="24"/>
              </w:rPr>
            </w:pPr>
            <w:r>
              <w:rPr>
                <w:rFonts w:hint="eastAsia"/>
                <w:sz w:val="24"/>
              </w:rPr>
              <w:t>3.北京中关村科技担保有限公司</w:t>
            </w:r>
          </w:p>
          <w:p>
            <w:pPr>
              <w:snapToGrid w:val="0"/>
              <w:spacing w:line="360" w:lineRule="auto"/>
              <w:textAlignment w:val="baseline"/>
              <w:rPr>
                <w:sz w:val="24"/>
              </w:rPr>
            </w:pPr>
            <w:r>
              <w:rPr>
                <w:rFonts w:hint="eastAsia"/>
                <w:sz w:val="24"/>
              </w:rPr>
              <w:t>地址:北京市海淀区中关村南大街乙12号天作国际大厦A座28层</w:t>
            </w:r>
          </w:p>
          <w:p>
            <w:pPr>
              <w:snapToGrid w:val="0"/>
              <w:spacing w:line="360" w:lineRule="auto"/>
              <w:textAlignment w:val="baseline"/>
              <w:rPr>
                <w:sz w:val="24"/>
              </w:rPr>
            </w:pPr>
            <w:r>
              <w:rPr>
                <w:rFonts w:hint="eastAsia"/>
                <w:sz w:val="24"/>
              </w:rPr>
              <w:t>联系人：李玉春    手机：13910831169</w:t>
            </w:r>
          </w:p>
          <w:p>
            <w:pPr>
              <w:snapToGrid w:val="0"/>
              <w:spacing w:line="360" w:lineRule="auto"/>
              <w:textAlignment w:val="baseline"/>
              <w:rPr>
                <w:sz w:val="24"/>
              </w:rPr>
            </w:pPr>
            <w:r>
              <w:rPr>
                <w:rFonts w:hint="eastAsia"/>
                <w:sz w:val="24"/>
              </w:rPr>
              <w:t>联系电话：010-59705232     传真：010-59705606</w:t>
            </w:r>
          </w:p>
          <w:p>
            <w:pPr>
              <w:snapToGrid w:val="0"/>
              <w:spacing w:line="360" w:lineRule="auto"/>
              <w:textAlignment w:val="baseline"/>
              <w:rPr>
                <w:b/>
                <w:sz w:val="24"/>
              </w:rPr>
            </w:pPr>
            <w:r>
              <w:rPr>
                <w:rFonts w:hint="eastAsia"/>
                <w:sz w:val="24"/>
              </w:rPr>
              <w:t>电子邮箱：li_yuchu@126.com</w:t>
            </w:r>
          </w:p>
        </w:tc>
      </w:tr>
    </w:tbl>
    <w:p>
      <w:pPr>
        <w:snapToGrid w:val="0"/>
        <w:spacing w:line="360" w:lineRule="auto"/>
        <w:textAlignment w:val="baseline"/>
        <w:rPr>
          <w:rFonts w:hAnsi="宋体"/>
          <w:sz w:val="24"/>
        </w:rPr>
      </w:pPr>
    </w:p>
    <w:p>
      <w:pPr>
        <w:rPr>
          <w:rFonts w:hAnsi="宋体"/>
          <w:b/>
          <w:sz w:val="28"/>
          <w:szCs w:val="28"/>
        </w:rPr>
      </w:pPr>
      <w:bookmarkStart w:id="50" w:name="_Toc310195692"/>
      <w:bookmarkStart w:id="51" w:name="_Toc5895166"/>
      <w:bookmarkStart w:id="52" w:name="_Toc40110891"/>
      <w:bookmarkStart w:id="53" w:name="_Toc19450"/>
      <w:r>
        <w:rPr>
          <w:rFonts w:hint="eastAsia" w:hAnsi="宋体"/>
          <w:b/>
          <w:sz w:val="28"/>
          <w:szCs w:val="28"/>
        </w:rPr>
        <w:br w:type="page"/>
      </w:r>
    </w:p>
    <w:p>
      <w:pPr>
        <w:pStyle w:val="3"/>
      </w:pPr>
      <w:bookmarkStart w:id="54" w:name="_Toc6367"/>
      <w:r>
        <w:rPr>
          <w:rFonts w:hint="eastAsia"/>
        </w:rPr>
        <w:t>第三章 投标人须知</w:t>
      </w:r>
      <w:bookmarkEnd w:id="50"/>
      <w:bookmarkEnd w:id="51"/>
      <w:bookmarkEnd w:id="52"/>
      <w:bookmarkEnd w:id="53"/>
      <w:bookmarkEnd w:id="54"/>
    </w:p>
    <w:p>
      <w:pPr>
        <w:pStyle w:val="6"/>
        <w:snapToGrid w:val="0"/>
        <w:spacing w:line="360" w:lineRule="auto"/>
        <w:ind w:left="899" w:hanging="899"/>
        <w:jc w:val="center"/>
        <w:textAlignment w:val="baseline"/>
        <w:rPr>
          <w:rFonts w:hint="default"/>
          <w:sz w:val="28"/>
          <w:szCs w:val="28"/>
        </w:rPr>
      </w:pPr>
      <w:bookmarkStart w:id="55" w:name="_Toc5895167"/>
      <w:bookmarkStart w:id="56" w:name="_Toc520356143"/>
      <w:bookmarkStart w:id="57" w:name="_Toc310195693"/>
      <w:bookmarkStart w:id="58" w:name="_Toc40110892"/>
      <w:bookmarkStart w:id="59" w:name="_Toc12192"/>
      <w:bookmarkStart w:id="60" w:name="_Toc15237"/>
      <w:bookmarkStart w:id="61" w:name="_Toc324255539"/>
      <w:r>
        <w:rPr>
          <w:sz w:val="28"/>
          <w:szCs w:val="28"/>
        </w:rPr>
        <w:t>一 说明</w:t>
      </w:r>
      <w:bookmarkEnd w:id="55"/>
      <w:bookmarkEnd w:id="56"/>
      <w:bookmarkEnd w:id="57"/>
      <w:bookmarkEnd w:id="58"/>
      <w:bookmarkEnd w:id="59"/>
      <w:bookmarkEnd w:id="60"/>
    </w:p>
    <w:p>
      <w:pPr>
        <w:pStyle w:val="6"/>
        <w:snapToGrid w:val="0"/>
        <w:spacing w:line="360" w:lineRule="auto"/>
        <w:ind w:right="99"/>
        <w:jc w:val="both"/>
        <w:textAlignment w:val="baseline"/>
        <w:rPr>
          <w:rFonts w:hint="default"/>
          <w:b/>
          <w:sz w:val="24"/>
        </w:rPr>
      </w:pPr>
      <w:bookmarkStart w:id="62" w:name="_Toc5895168"/>
      <w:bookmarkStart w:id="63" w:name="_Toc40110893"/>
      <w:bookmarkStart w:id="64" w:name="_Toc29697"/>
      <w:r>
        <w:rPr>
          <w:b/>
          <w:sz w:val="24"/>
        </w:rPr>
        <w:t>1.采购人、采购代理机构及合格的投标人</w:t>
      </w:r>
      <w:bookmarkEnd w:id="61"/>
      <w:bookmarkEnd w:id="62"/>
      <w:bookmarkEnd w:id="63"/>
      <w:bookmarkEnd w:id="64"/>
    </w:p>
    <w:p>
      <w:pPr>
        <w:pStyle w:val="125"/>
        <w:snapToGrid w:val="0"/>
        <w:spacing w:line="360" w:lineRule="auto"/>
        <w:textAlignment w:val="baseline"/>
        <w:rPr>
          <w:rFonts w:ascii="宋体" w:hAnsi="宋体"/>
          <w:sz w:val="24"/>
        </w:rPr>
      </w:pPr>
      <w:r>
        <w:rPr>
          <w:rFonts w:hint="eastAsia" w:ascii="宋体" w:hAnsi="宋体"/>
          <w:sz w:val="24"/>
        </w:rPr>
        <w:t>1.1 采购人：指依法进行政府采购的国家机关、事业单位、团体组织。本项目采购人为华北电力大学。</w:t>
      </w:r>
    </w:p>
    <w:p>
      <w:pPr>
        <w:pStyle w:val="125"/>
        <w:snapToGrid w:val="0"/>
        <w:spacing w:line="360" w:lineRule="auto"/>
        <w:textAlignment w:val="baseline"/>
        <w:rPr>
          <w:rFonts w:ascii="宋体" w:hAnsi="宋体"/>
          <w:sz w:val="24"/>
        </w:rPr>
      </w:pPr>
      <w:r>
        <w:rPr>
          <w:rFonts w:hint="eastAsia" w:ascii="宋体" w:hAnsi="宋体"/>
          <w:sz w:val="24"/>
        </w:rPr>
        <w:t>1.2 采购代理机构：受采购人委托，组织本次招标活动的采购代理机构。本项目的采购代理机构为华采招标集团有限公司。</w:t>
      </w:r>
    </w:p>
    <w:p>
      <w:pPr>
        <w:pStyle w:val="125"/>
        <w:snapToGrid w:val="0"/>
        <w:spacing w:line="360" w:lineRule="auto"/>
        <w:textAlignment w:val="baseline"/>
        <w:rPr>
          <w:rFonts w:ascii="宋体" w:hAnsi="宋体"/>
          <w:sz w:val="24"/>
        </w:rPr>
      </w:pPr>
      <w:r>
        <w:rPr>
          <w:rFonts w:hint="eastAsia" w:ascii="宋体" w:hAnsi="宋体"/>
          <w:sz w:val="24"/>
        </w:rPr>
        <w:t>1.3 合格的投标人</w:t>
      </w:r>
    </w:p>
    <w:p>
      <w:pPr>
        <w:pStyle w:val="125"/>
        <w:snapToGrid w:val="0"/>
        <w:spacing w:line="360" w:lineRule="auto"/>
        <w:textAlignment w:val="baseline"/>
        <w:rPr>
          <w:rFonts w:ascii="宋体" w:hAnsi="宋体"/>
          <w:sz w:val="24"/>
        </w:rPr>
      </w:pPr>
      <w:r>
        <w:rPr>
          <w:rFonts w:hint="eastAsia" w:ascii="宋体" w:hAnsi="宋体"/>
          <w:sz w:val="24"/>
        </w:rPr>
        <w:t>1.3.1</w:t>
      </w:r>
      <w:r>
        <w:rPr>
          <w:rFonts w:ascii="宋体" w:hAnsi="宋体"/>
          <w:sz w:val="24"/>
        </w:rPr>
        <w:t>符合第一章投标邀请中“投标人资格</w:t>
      </w:r>
      <w:r>
        <w:rPr>
          <w:rFonts w:hint="eastAsia" w:ascii="宋体" w:hAnsi="宋体"/>
          <w:sz w:val="24"/>
        </w:rPr>
        <w:t>要求</w:t>
      </w:r>
      <w:r>
        <w:rPr>
          <w:rFonts w:ascii="宋体" w:hAnsi="宋体"/>
          <w:sz w:val="24"/>
        </w:rPr>
        <w:t>”规定的</w:t>
      </w:r>
      <w:r>
        <w:rPr>
          <w:rFonts w:hint="eastAsia" w:ascii="宋体" w:hAnsi="宋体"/>
          <w:sz w:val="24"/>
        </w:rPr>
        <w:t>内容</w:t>
      </w:r>
      <w:r>
        <w:rPr>
          <w:rFonts w:ascii="宋体" w:hAnsi="宋体"/>
          <w:sz w:val="24"/>
        </w:rPr>
        <w:t>；</w:t>
      </w:r>
    </w:p>
    <w:p>
      <w:pPr>
        <w:pStyle w:val="125"/>
        <w:snapToGrid w:val="0"/>
        <w:spacing w:line="360" w:lineRule="auto"/>
        <w:textAlignment w:val="baseline"/>
        <w:rPr>
          <w:rFonts w:ascii="宋体" w:hAnsi="宋体"/>
          <w:sz w:val="24"/>
        </w:rPr>
      </w:pPr>
      <w:r>
        <w:rPr>
          <w:rFonts w:hint="eastAsia" w:ascii="宋体" w:hAnsi="宋体"/>
          <w:sz w:val="24"/>
        </w:rPr>
        <w:t>1.3.2</w:t>
      </w:r>
      <w:r>
        <w:rPr>
          <w:rFonts w:ascii="宋体" w:hAnsi="宋体"/>
          <w:sz w:val="24"/>
        </w:rPr>
        <w:t>投标人必须向采购代理机构购买招标文件并登记备案，未向</w:t>
      </w:r>
      <w:r>
        <w:rPr>
          <w:rFonts w:hint="eastAsia" w:ascii="宋体" w:hAnsi="宋体"/>
          <w:sz w:val="24"/>
        </w:rPr>
        <w:t>采购代理机构</w:t>
      </w:r>
      <w:r>
        <w:rPr>
          <w:rFonts w:ascii="宋体" w:hAnsi="宋体"/>
          <w:sz w:val="24"/>
        </w:rPr>
        <w:t>购买招标文件并登记备案的无资格参加本次投标。</w:t>
      </w:r>
    </w:p>
    <w:p>
      <w:pPr>
        <w:pStyle w:val="125"/>
        <w:snapToGrid w:val="0"/>
        <w:spacing w:line="360" w:lineRule="auto"/>
        <w:textAlignment w:val="baseline"/>
        <w:rPr>
          <w:rFonts w:ascii="宋体" w:hAnsi="宋体"/>
          <w:sz w:val="24"/>
        </w:rPr>
      </w:pPr>
      <w:r>
        <w:rPr>
          <w:rFonts w:hint="eastAsia" w:ascii="宋体" w:hAnsi="宋体"/>
          <w:sz w:val="24"/>
        </w:rPr>
        <w:t>1.3.3如投标人须知资料表中允许联合体投标，对联合体规定如下：</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1两个以上的自然人、法人或者其他组织可以组成一个联合体，以一个投标人的身份共同参加政府采购。</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2以联合体形式参加政府采购活动的，参加联合体的各方投标人均应当具备《中华人民共和国政府采购法》第二十二条规定的条件。</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3采购人根据采购项目对投标人的特殊要求，联合体中至少应当有一方符合其规定。</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4联合体各方应签订联合协议，载明联合体各方承担的工作和义务，联合体各方应当共同与采购人签订采购合同，就采购合同约定的事项对采购人承担连带责任。</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pPr>
        <w:pStyle w:val="125"/>
        <w:snapToGrid w:val="0"/>
        <w:spacing w:line="360" w:lineRule="auto"/>
        <w:textAlignment w:val="baseline"/>
        <w:rPr>
          <w:rFonts w:ascii="宋体" w:hAnsi="宋体"/>
          <w:sz w:val="24"/>
        </w:rPr>
      </w:pPr>
      <w:r>
        <w:rPr>
          <w:rFonts w:hint="eastAsia" w:ascii="宋体" w:hAnsi="宋体"/>
          <w:sz w:val="24"/>
        </w:rPr>
        <w:t>1.3.</w:t>
      </w:r>
      <w:r>
        <w:rPr>
          <w:rFonts w:ascii="宋体" w:hAnsi="宋体"/>
          <w:sz w:val="24"/>
        </w:rPr>
        <w:t>3.</w:t>
      </w:r>
      <w:r>
        <w:rPr>
          <w:rFonts w:hint="eastAsia" w:ascii="宋体" w:hAnsi="宋体"/>
          <w:sz w:val="24"/>
        </w:rPr>
        <w:t>6联合体各方签订联合协议后，不得再以自己名义单独在同一项目中投标，也不得组成新的联合体参加同一项目投标。</w:t>
      </w:r>
    </w:p>
    <w:p>
      <w:pPr>
        <w:tabs>
          <w:tab w:val="left" w:pos="4725"/>
        </w:tabs>
        <w:snapToGrid w:val="0"/>
        <w:spacing w:line="360" w:lineRule="auto"/>
        <w:textAlignment w:val="baseline"/>
        <w:rPr>
          <w:sz w:val="24"/>
        </w:rPr>
      </w:pPr>
      <w:r>
        <w:rPr>
          <w:rFonts w:hint="eastAsia" w:ascii="宋体" w:hAnsi="宋体"/>
          <w:sz w:val="24"/>
        </w:rPr>
        <w:t>1</w:t>
      </w:r>
      <w:r>
        <w:rPr>
          <w:rFonts w:ascii="宋体" w:hAnsi="宋体"/>
          <w:sz w:val="24"/>
        </w:rPr>
        <w:t>.3.</w:t>
      </w:r>
      <w:r>
        <w:rPr>
          <w:rFonts w:hint="eastAsia" w:ascii="宋体" w:hAnsi="宋体"/>
          <w:sz w:val="24"/>
        </w:rPr>
        <w:t>4</w:t>
      </w:r>
      <w:r>
        <w:rPr>
          <w:sz w:val="24"/>
        </w:rPr>
        <w:t>信用信息</w:t>
      </w:r>
      <w:r>
        <w:rPr>
          <w:rFonts w:hint="eastAsia"/>
          <w:sz w:val="24"/>
        </w:rPr>
        <w:t>查询渠道：“信用</w:t>
      </w:r>
      <w:r>
        <w:rPr>
          <w:sz w:val="24"/>
        </w:rPr>
        <w:t>中国”</w:t>
      </w:r>
      <w:r>
        <w:rPr>
          <w:rFonts w:hint="eastAsia"/>
          <w:sz w:val="24"/>
        </w:rPr>
        <w:t>网站（www.creditchina.gov.cn）、中国政府采购网（</w:t>
      </w:r>
      <w:r>
        <w:fldChar w:fldCharType="begin"/>
      </w:r>
      <w:r>
        <w:instrText xml:space="preserve"> HYPERLINK "http://www.ccgp.gov.cn" </w:instrText>
      </w:r>
      <w:r>
        <w:fldChar w:fldCharType="separate"/>
      </w:r>
      <w:r>
        <w:rPr>
          <w:rFonts w:hint="eastAsia"/>
          <w:sz w:val="24"/>
        </w:rPr>
        <w:t>www.ccgp.gov.cn</w:t>
      </w:r>
      <w:r>
        <w:rPr>
          <w:rFonts w:hint="eastAsia"/>
          <w:sz w:val="24"/>
        </w:rPr>
        <w:fldChar w:fldCharType="end"/>
      </w:r>
      <w:r>
        <w:rPr>
          <w:rFonts w:hint="eastAsia"/>
          <w:sz w:val="24"/>
        </w:rPr>
        <w:t>）。</w:t>
      </w:r>
    </w:p>
    <w:p>
      <w:pPr>
        <w:tabs>
          <w:tab w:val="left" w:pos="4725"/>
        </w:tabs>
        <w:snapToGrid w:val="0"/>
        <w:spacing w:line="360" w:lineRule="auto"/>
        <w:ind w:firstLine="480" w:firstLineChars="200"/>
        <w:textAlignment w:val="baseline"/>
        <w:rPr>
          <w:sz w:val="24"/>
        </w:rPr>
      </w:pPr>
      <w:r>
        <w:rPr>
          <w:sz w:val="24"/>
        </w:rPr>
        <w:t>信用信息</w:t>
      </w:r>
      <w:r>
        <w:rPr>
          <w:rFonts w:hint="eastAsia"/>
          <w:sz w:val="24"/>
        </w:rPr>
        <w:t>查询截止时点：</w:t>
      </w:r>
      <w:r>
        <w:rPr>
          <w:rFonts w:hint="eastAsia" w:ascii="宋体" w:hAnsi="宋体"/>
          <w:sz w:val="24"/>
        </w:rPr>
        <w:t>递交投标文件截止日</w:t>
      </w:r>
      <w:r>
        <w:rPr>
          <w:rFonts w:hint="eastAsia"/>
          <w:sz w:val="24"/>
        </w:rPr>
        <w:t>。</w:t>
      </w:r>
    </w:p>
    <w:p>
      <w:pPr>
        <w:tabs>
          <w:tab w:val="left" w:pos="4725"/>
        </w:tabs>
        <w:snapToGrid w:val="0"/>
        <w:spacing w:line="360" w:lineRule="auto"/>
        <w:ind w:firstLine="480" w:firstLineChars="200"/>
        <w:textAlignment w:val="baseline"/>
        <w:rPr>
          <w:sz w:val="24"/>
        </w:rPr>
      </w:pPr>
      <w:r>
        <w:rPr>
          <w:rFonts w:hint="eastAsia"/>
          <w:sz w:val="24"/>
        </w:rPr>
        <w:t>信用信息查询记录和证据留存的具体方式：采购代理机构开标后查询结果页面打印并</w:t>
      </w:r>
      <w:r>
        <w:rPr>
          <w:rFonts w:hint="eastAsia" w:ascii="宋体" w:hAnsi="宋体"/>
          <w:sz w:val="24"/>
        </w:rPr>
        <w:t>与其他采购文件一并保存</w:t>
      </w:r>
      <w:r>
        <w:rPr>
          <w:rFonts w:hint="eastAsia"/>
          <w:sz w:val="24"/>
        </w:rPr>
        <w:t>。</w:t>
      </w:r>
    </w:p>
    <w:p>
      <w:pPr>
        <w:pStyle w:val="54"/>
        <w:snapToGrid w:val="0"/>
        <w:spacing w:before="0" w:after="0" w:line="360" w:lineRule="auto"/>
        <w:ind w:left="0" w:leftChars="0" w:firstLine="480"/>
        <w:textAlignment w:val="baseline"/>
        <w:rPr>
          <w:sz w:val="24"/>
          <w:szCs w:val="24"/>
          <w:lang w:val="en-US"/>
        </w:rPr>
      </w:pPr>
      <w:r>
        <w:rPr>
          <w:rFonts w:hint="eastAsia"/>
          <w:sz w:val="24"/>
          <w:szCs w:val="24"/>
          <w:lang w:val="en-US"/>
        </w:rPr>
        <w:t>信用信息的使用规则：对信用记录查询结果显示被列入失信被执行人、重大税收违法案件当事人名单、政府采购严重违法失信行为记录名单及其他不符合《中华人民共和国政府采购法》第二十二条规定条件的供应商，禁止参加政府采购活动的时间按处罚结果执行。</w:t>
      </w:r>
    </w:p>
    <w:p>
      <w:pPr>
        <w:tabs>
          <w:tab w:val="left" w:pos="4725"/>
        </w:tabs>
        <w:snapToGrid w:val="0"/>
        <w:spacing w:line="360" w:lineRule="auto"/>
        <w:ind w:firstLine="480" w:firstLineChars="200"/>
        <w:textAlignment w:val="baseline"/>
      </w:pPr>
      <w:r>
        <w:rPr>
          <w:rFonts w:hint="eastAsia"/>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pStyle w:val="125"/>
        <w:snapToGrid w:val="0"/>
        <w:spacing w:line="360" w:lineRule="auto"/>
        <w:textAlignment w:val="baseline"/>
        <w:rPr>
          <w:rFonts w:ascii="宋体" w:hAnsi="宋体"/>
          <w:sz w:val="24"/>
        </w:rPr>
      </w:pPr>
      <w:r>
        <w:rPr>
          <w:rFonts w:hint="eastAsia" w:ascii="宋体" w:hAnsi="宋体"/>
          <w:sz w:val="24"/>
        </w:rPr>
        <w:t>1.3.5本项目是否接受进口产品：详见投标人须知资料表。</w:t>
      </w:r>
    </w:p>
    <w:p>
      <w:pPr>
        <w:pStyle w:val="125"/>
        <w:snapToGrid w:val="0"/>
        <w:spacing w:line="360" w:lineRule="auto"/>
        <w:textAlignment w:val="baseline"/>
        <w:rPr>
          <w:rFonts w:ascii="宋体" w:hAnsi="宋体"/>
          <w:sz w:val="24"/>
        </w:rPr>
      </w:pPr>
      <w:r>
        <w:rPr>
          <w:rFonts w:ascii="宋体" w:hAnsi="宋体"/>
          <w:sz w:val="24"/>
        </w:rPr>
        <w:t>1.3.</w:t>
      </w:r>
      <w:r>
        <w:rPr>
          <w:rFonts w:hint="eastAsia" w:ascii="宋体" w:hAnsi="宋体"/>
          <w:sz w:val="24"/>
        </w:rPr>
        <w:t>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pPr>
        <w:pStyle w:val="125"/>
        <w:snapToGrid w:val="0"/>
        <w:spacing w:line="360" w:lineRule="auto"/>
        <w:textAlignment w:val="baseline"/>
        <w:rPr>
          <w:rFonts w:ascii="宋体" w:hAnsi="宋体"/>
          <w:sz w:val="24"/>
        </w:rPr>
      </w:pPr>
      <w:r>
        <w:rPr>
          <w:rFonts w:hint="eastAsia" w:ascii="宋体" w:hAnsi="宋体"/>
          <w:sz w:val="24"/>
        </w:rPr>
        <w:t>1.4凡为本次采购项目提供整体设计、规范编制或者项目管理、监理、检测等服务的投标人，不得再参加该采购项目的其他采购活动。</w:t>
      </w:r>
    </w:p>
    <w:p>
      <w:pPr>
        <w:pStyle w:val="125"/>
        <w:snapToGrid w:val="0"/>
        <w:spacing w:line="360" w:lineRule="auto"/>
        <w:textAlignment w:val="baseline"/>
        <w:rPr>
          <w:rFonts w:ascii="宋体" w:hAnsi="宋体"/>
          <w:sz w:val="24"/>
        </w:rPr>
      </w:pPr>
      <w:r>
        <w:rPr>
          <w:rFonts w:hint="eastAsia" w:ascii="宋体" w:hAnsi="宋体"/>
          <w:sz w:val="24"/>
        </w:rPr>
        <w:t>1.5凡法律或财务上不能独立合法经营，或在法律、财务上不能独立于本项目采购人、采购代理机构的任何机构，不得参加投标。</w:t>
      </w:r>
    </w:p>
    <w:p>
      <w:pPr>
        <w:pStyle w:val="6"/>
        <w:snapToGrid w:val="0"/>
        <w:spacing w:line="360" w:lineRule="auto"/>
        <w:textAlignment w:val="baseline"/>
        <w:rPr>
          <w:rFonts w:hint="default"/>
          <w:b/>
          <w:sz w:val="24"/>
        </w:rPr>
      </w:pPr>
      <w:bookmarkStart w:id="65" w:name="_Toc324255540"/>
      <w:bookmarkStart w:id="66" w:name="_Toc5895169"/>
      <w:bookmarkStart w:id="67" w:name="_Toc310195695"/>
      <w:bookmarkStart w:id="68" w:name="_Toc11189"/>
      <w:bookmarkStart w:id="69" w:name="_Toc40110894"/>
      <w:r>
        <w:rPr>
          <w:b/>
          <w:sz w:val="24"/>
        </w:rPr>
        <w:t>2.资金来源</w:t>
      </w:r>
      <w:bookmarkEnd w:id="65"/>
      <w:bookmarkEnd w:id="66"/>
      <w:bookmarkEnd w:id="67"/>
      <w:bookmarkEnd w:id="68"/>
      <w:bookmarkEnd w:id="69"/>
    </w:p>
    <w:p>
      <w:pPr>
        <w:pStyle w:val="125"/>
        <w:snapToGrid w:val="0"/>
        <w:spacing w:line="360" w:lineRule="auto"/>
        <w:textAlignment w:val="baseline"/>
        <w:rPr>
          <w:rFonts w:ascii="宋体" w:hAnsi="宋体"/>
          <w:sz w:val="24"/>
        </w:rPr>
      </w:pPr>
      <w:bookmarkStart w:id="70" w:name="_Toc520356145"/>
      <w:bookmarkStart w:id="71" w:name="_Toc310195696"/>
      <w:r>
        <w:rPr>
          <w:rFonts w:ascii="宋体" w:hAnsi="宋体"/>
          <w:sz w:val="24"/>
        </w:rPr>
        <w:t>2.1</w:t>
      </w:r>
      <w:r>
        <w:rPr>
          <w:rFonts w:hint="eastAsia" w:ascii="宋体" w:hAnsi="宋体"/>
          <w:sz w:val="24"/>
        </w:rPr>
        <w:t>资金性质：详见投标人须知资料表。</w:t>
      </w:r>
    </w:p>
    <w:p>
      <w:pPr>
        <w:pStyle w:val="125"/>
        <w:snapToGrid w:val="0"/>
        <w:spacing w:line="360" w:lineRule="auto"/>
        <w:textAlignment w:val="baseline"/>
        <w:rPr>
          <w:rFonts w:ascii="宋体" w:hAnsi="宋体"/>
          <w:sz w:val="24"/>
        </w:rPr>
      </w:pPr>
      <w:r>
        <w:rPr>
          <w:rFonts w:hint="eastAsia" w:ascii="宋体" w:hAnsi="宋体"/>
          <w:sz w:val="24"/>
        </w:rPr>
        <w:t>2.2 本项目预算金额：详见投标人须知资料表。</w:t>
      </w:r>
    </w:p>
    <w:p>
      <w:pPr>
        <w:pStyle w:val="6"/>
        <w:snapToGrid w:val="0"/>
        <w:spacing w:line="360" w:lineRule="auto"/>
        <w:textAlignment w:val="baseline"/>
        <w:rPr>
          <w:rFonts w:hint="default"/>
          <w:b/>
          <w:sz w:val="24"/>
        </w:rPr>
      </w:pPr>
      <w:bookmarkStart w:id="72" w:name="_Toc40110895"/>
      <w:bookmarkStart w:id="73" w:name="_Toc22997"/>
      <w:bookmarkStart w:id="74" w:name="_Toc324255541"/>
      <w:bookmarkStart w:id="75" w:name="_Toc5895170"/>
      <w:r>
        <w:rPr>
          <w:b/>
          <w:sz w:val="24"/>
        </w:rPr>
        <w:t>3.投标费用</w:t>
      </w:r>
      <w:bookmarkEnd w:id="70"/>
      <w:bookmarkEnd w:id="71"/>
      <w:bookmarkEnd w:id="72"/>
      <w:bookmarkEnd w:id="73"/>
      <w:bookmarkEnd w:id="74"/>
      <w:bookmarkEnd w:id="75"/>
    </w:p>
    <w:p>
      <w:pPr>
        <w:pStyle w:val="125"/>
        <w:snapToGrid w:val="0"/>
        <w:spacing w:line="360" w:lineRule="auto"/>
        <w:textAlignment w:val="baseline"/>
        <w:rPr>
          <w:rFonts w:ascii="宋体" w:hAnsi="宋体"/>
          <w:sz w:val="24"/>
        </w:rPr>
      </w:pPr>
      <w:r>
        <w:rPr>
          <w:rFonts w:hint="eastAsia" w:ascii="宋体" w:hAnsi="宋体"/>
          <w:sz w:val="24"/>
        </w:rPr>
        <w:t>3.1 投标人应承担所有与准备和参加投标有关的费用。不论投标的结果如何，采购人和采购代理机构均无义务和责任承担这些费用。</w:t>
      </w:r>
    </w:p>
    <w:p>
      <w:pPr>
        <w:pStyle w:val="6"/>
        <w:snapToGrid w:val="0"/>
        <w:spacing w:line="360" w:lineRule="auto"/>
        <w:ind w:left="901" w:hanging="899"/>
        <w:jc w:val="center"/>
        <w:textAlignment w:val="baseline"/>
        <w:rPr>
          <w:rFonts w:hint="default"/>
          <w:sz w:val="24"/>
        </w:rPr>
      </w:pPr>
      <w:bookmarkStart w:id="76" w:name="_Toc5895171"/>
      <w:bookmarkStart w:id="77" w:name="_Toc310195697"/>
      <w:bookmarkStart w:id="78" w:name="_Toc9647"/>
      <w:bookmarkStart w:id="79" w:name="_Toc520356146"/>
      <w:bookmarkStart w:id="80" w:name="_Toc8018"/>
      <w:bookmarkStart w:id="81" w:name="_Toc40110896"/>
      <w:r>
        <w:rPr>
          <w:sz w:val="24"/>
        </w:rPr>
        <w:t>二 招标文件</w:t>
      </w:r>
      <w:bookmarkEnd w:id="76"/>
      <w:bookmarkEnd w:id="77"/>
      <w:bookmarkEnd w:id="78"/>
      <w:bookmarkEnd w:id="79"/>
      <w:bookmarkEnd w:id="80"/>
      <w:bookmarkEnd w:id="81"/>
    </w:p>
    <w:p>
      <w:pPr>
        <w:pStyle w:val="6"/>
        <w:snapToGrid w:val="0"/>
        <w:spacing w:line="360" w:lineRule="auto"/>
        <w:textAlignment w:val="baseline"/>
        <w:rPr>
          <w:rFonts w:hint="default"/>
          <w:b/>
          <w:sz w:val="24"/>
        </w:rPr>
      </w:pPr>
      <w:bookmarkStart w:id="82" w:name="_Toc40110897"/>
      <w:bookmarkStart w:id="83" w:name="_Toc520356147"/>
      <w:bookmarkStart w:id="84" w:name="_Toc32162"/>
      <w:bookmarkStart w:id="85" w:name="_Toc310195698"/>
      <w:bookmarkStart w:id="86" w:name="_Toc5895172"/>
      <w:r>
        <w:rPr>
          <w:b/>
          <w:sz w:val="24"/>
        </w:rPr>
        <w:t>4.招标文件构成</w:t>
      </w:r>
      <w:bookmarkEnd w:id="82"/>
      <w:bookmarkEnd w:id="83"/>
      <w:bookmarkEnd w:id="84"/>
      <w:bookmarkEnd w:id="85"/>
      <w:bookmarkEnd w:id="86"/>
    </w:p>
    <w:p>
      <w:pPr>
        <w:pStyle w:val="125"/>
        <w:snapToGrid w:val="0"/>
        <w:spacing w:line="360" w:lineRule="auto"/>
        <w:textAlignment w:val="baseline"/>
        <w:rPr>
          <w:rFonts w:ascii="宋体" w:hAnsi="宋体"/>
          <w:sz w:val="24"/>
        </w:rPr>
      </w:pPr>
      <w:r>
        <w:rPr>
          <w:rFonts w:hint="eastAsia" w:ascii="宋体" w:hAnsi="宋体"/>
          <w:sz w:val="24"/>
        </w:rPr>
        <w:t>4.1 招标文件共七章，内容如下：</w:t>
      </w:r>
    </w:p>
    <w:p>
      <w:pPr>
        <w:pStyle w:val="125"/>
        <w:snapToGrid w:val="0"/>
        <w:spacing w:line="360" w:lineRule="auto"/>
        <w:textAlignment w:val="baseline"/>
        <w:rPr>
          <w:rFonts w:ascii="宋体" w:hAnsi="宋体"/>
          <w:sz w:val="24"/>
        </w:rPr>
      </w:pPr>
      <w:r>
        <w:rPr>
          <w:rFonts w:hint="eastAsia" w:ascii="宋体" w:hAnsi="宋体"/>
          <w:sz w:val="24"/>
        </w:rPr>
        <w:t>第一章 投标邀请</w:t>
      </w:r>
    </w:p>
    <w:p>
      <w:pPr>
        <w:pStyle w:val="125"/>
        <w:snapToGrid w:val="0"/>
        <w:spacing w:line="360" w:lineRule="auto"/>
        <w:textAlignment w:val="baseline"/>
        <w:rPr>
          <w:rFonts w:ascii="宋体" w:hAnsi="宋体"/>
          <w:sz w:val="24"/>
        </w:rPr>
      </w:pPr>
      <w:r>
        <w:rPr>
          <w:rFonts w:hint="eastAsia" w:ascii="宋体" w:hAnsi="宋体"/>
          <w:sz w:val="24"/>
        </w:rPr>
        <w:t>第二章 投标人须知资料表</w:t>
      </w:r>
    </w:p>
    <w:p>
      <w:pPr>
        <w:pStyle w:val="125"/>
        <w:snapToGrid w:val="0"/>
        <w:spacing w:line="360" w:lineRule="auto"/>
        <w:textAlignment w:val="baseline"/>
        <w:rPr>
          <w:rFonts w:ascii="宋体" w:hAnsi="宋体"/>
          <w:sz w:val="24"/>
        </w:rPr>
      </w:pPr>
      <w:r>
        <w:rPr>
          <w:rFonts w:hint="eastAsia" w:ascii="宋体" w:hAnsi="宋体"/>
          <w:sz w:val="24"/>
        </w:rPr>
        <w:t>第三章 投标人须知</w:t>
      </w:r>
    </w:p>
    <w:p>
      <w:pPr>
        <w:pStyle w:val="125"/>
        <w:snapToGrid w:val="0"/>
        <w:spacing w:line="360" w:lineRule="auto"/>
        <w:textAlignment w:val="baseline"/>
        <w:rPr>
          <w:rFonts w:ascii="宋体" w:hAnsi="宋体"/>
          <w:sz w:val="24"/>
        </w:rPr>
      </w:pPr>
      <w:r>
        <w:rPr>
          <w:rFonts w:hint="eastAsia" w:ascii="宋体" w:hAnsi="宋体"/>
          <w:sz w:val="24"/>
        </w:rPr>
        <w:t>第四章 采购需求</w:t>
      </w:r>
    </w:p>
    <w:p>
      <w:pPr>
        <w:pStyle w:val="125"/>
        <w:snapToGrid w:val="0"/>
        <w:spacing w:line="360" w:lineRule="auto"/>
        <w:textAlignment w:val="baseline"/>
        <w:rPr>
          <w:rFonts w:ascii="宋体" w:hAnsi="宋体"/>
          <w:sz w:val="24"/>
        </w:rPr>
      </w:pPr>
      <w:r>
        <w:rPr>
          <w:rFonts w:hint="eastAsia" w:ascii="宋体" w:hAnsi="宋体"/>
          <w:sz w:val="24"/>
        </w:rPr>
        <w:t>第五章 评标方法和评标标准</w:t>
      </w:r>
    </w:p>
    <w:p>
      <w:pPr>
        <w:pStyle w:val="125"/>
        <w:snapToGrid w:val="0"/>
        <w:spacing w:line="360" w:lineRule="auto"/>
        <w:textAlignment w:val="baseline"/>
        <w:rPr>
          <w:rFonts w:ascii="宋体" w:hAnsi="宋体"/>
          <w:sz w:val="24"/>
        </w:rPr>
      </w:pPr>
      <w:r>
        <w:rPr>
          <w:rFonts w:hint="eastAsia" w:ascii="宋体" w:hAnsi="宋体"/>
          <w:sz w:val="24"/>
        </w:rPr>
        <w:t>第六章 政府采购合同</w:t>
      </w:r>
    </w:p>
    <w:p>
      <w:pPr>
        <w:pStyle w:val="125"/>
        <w:snapToGrid w:val="0"/>
        <w:spacing w:line="360" w:lineRule="auto"/>
        <w:textAlignment w:val="baseline"/>
        <w:rPr>
          <w:rFonts w:ascii="宋体" w:hAnsi="宋体"/>
          <w:sz w:val="24"/>
        </w:rPr>
      </w:pPr>
      <w:r>
        <w:rPr>
          <w:rFonts w:hint="eastAsia" w:ascii="宋体" w:hAnsi="宋体"/>
          <w:sz w:val="24"/>
        </w:rPr>
        <w:t>第七章 投标文件格式</w:t>
      </w:r>
    </w:p>
    <w:p>
      <w:pPr>
        <w:pStyle w:val="125"/>
        <w:snapToGrid w:val="0"/>
        <w:spacing w:line="360" w:lineRule="auto"/>
        <w:textAlignment w:val="baseline"/>
        <w:rPr>
          <w:rFonts w:ascii="宋体" w:hAnsi="宋体"/>
          <w:sz w:val="24"/>
        </w:rPr>
      </w:pPr>
      <w:r>
        <w:rPr>
          <w:rFonts w:hint="eastAsia" w:ascii="宋体" w:hAnsi="宋体"/>
          <w:sz w:val="24"/>
        </w:rPr>
        <w:t>4.2 投标人应认真阅读招标文件所有的事项、格式、条款和技术规范等。如投标人未对招标文件完全响应而产生的风险，由投标人自行承担。</w:t>
      </w:r>
    </w:p>
    <w:p>
      <w:pPr>
        <w:pStyle w:val="6"/>
        <w:snapToGrid w:val="0"/>
        <w:spacing w:line="360" w:lineRule="auto"/>
        <w:textAlignment w:val="baseline"/>
        <w:rPr>
          <w:rFonts w:hint="default"/>
          <w:b/>
          <w:sz w:val="24"/>
        </w:rPr>
      </w:pPr>
      <w:bookmarkStart w:id="87" w:name="_Toc520356148"/>
      <w:bookmarkStart w:id="88" w:name="_Toc18608"/>
      <w:bookmarkStart w:id="89" w:name="_Toc5895173"/>
      <w:bookmarkStart w:id="90" w:name="_Toc40110898"/>
      <w:bookmarkStart w:id="91" w:name="_Toc310195699"/>
      <w:r>
        <w:rPr>
          <w:b/>
          <w:sz w:val="24"/>
        </w:rPr>
        <w:t>5.招标文件的澄清</w:t>
      </w:r>
      <w:bookmarkEnd w:id="87"/>
      <w:bookmarkEnd w:id="88"/>
      <w:bookmarkEnd w:id="89"/>
      <w:bookmarkEnd w:id="90"/>
      <w:bookmarkEnd w:id="91"/>
    </w:p>
    <w:p>
      <w:pPr>
        <w:pStyle w:val="125"/>
        <w:snapToGrid w:val="0"/>
        <w:spacing w:line="360" w:lineRule="auto"/>
        <w:textAlignment w:val="baseline"/>
        <w:rPr>
          <w:rFonts w:ascii="宋体" w:hAnsi="宋体"/>
          <w:sz w:val="24"/>
        </w:rPr>
      </w:pPr>
      <w:r>
        <w:rPr>
          <w:rFonts w:hint="eastAsia" w:ascii="宋体" w:hAnsi="宋体"/>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pPr>
        <w:pStyle w:val="125"/>
        <w:snapToGrid w:val="0"/>
        <w:spacing w:line="360" w:lineRule="auto"/>
        <w:textAlignment w:val="baseline"/>
        <w:rPr>
          <w:rFonts w:ascii="宋体" w:hAnsi="宋体"/>
          <w:sz w:val="24"/>
        </w:rPr>
      </w:pPr>
      <w:r>
        <w:rPr>
          <w:rFonts w:hint="eastAsia" w:ascii="宋体" w:hAnsi="宋体"/>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25"/>
        <w:snapToGrid w:val="0"/>
        <w:spacing w:line="360" w:lineRule="auto"/>
        <w:textAlignment w:val="baseline"/>
        <w:rPr>
          <w:rFonts w:ascii="宋体" w:hAnsi="宋体"/>
          <w:sz w:val="24"/>
        </w:rPr>
      </w:pPr>
      <w:r>
        <w:rPr>
          <w:rFonts w:hint="eastAsia" w:ascii="宋体" w:hAnsi="宋体"/>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r>
        <w:rPr>
          <w:rFonts w:ascii="宋体" w:hAnsi="宋体"/>
          <w:sz w:val="24"/>
        </w:rPr>
        <w:t>。</w:t>
      </w:r>
    </w:p>
    <w:p>
      <w:pPr>
        <w:pStyle w:val="6"/>
        <w:snapToGrid w:val="0"/>
        <w:spacing w:line="360" w:lineRule="auto"/>
        <w:textAlignment w:val="baseline"/>
        <w:rPr>
          <w:rFonts w:hint="default"/>
          <w:b/>
          <w:sz w:val="24"/>
        </w:rPr>
      </w:pPr>
      <w:bookmarkStart w:id="92" w:name="_Toc5895174"/>
      <w:bookmarkStart w:id="93" w:name="_Ref467378678"/>
      <w:bookmarkStart w:id="94" w:name="_Toc7806"/>
      <w:bookmarkStart w:id="95" w:name="_Toc520356149"/>
      <w:bookmarkStart w:id="96" w:name="_Toc40110899"/>
      <w:bookmarkStart w:id="97" w:name="_Toc310195700"/>
      <w:r>
        <w:rPr>
          <w:b/>
          <w:sz w:val="24"/>
        </w:rPr>
        <w:t>6.招标文件的修改</w:t>
      </w:r>
      <w:bookmarkEnd w:id="92"/>
      <w:bookmarkEnd w:id="93"/>
      <w:bookmarkEnd w:id="94"/>
      <w:bookmarkEnd w:id="95"/>
      <w:bookmarkEnd w:id="96"/>
      <w:bookmarkEnd w:id="97"/>
    </w:p>
    <w:p>
      <w:pPr>
        <w:pStyle w:val="125"/>
        <w:snapToGrid w:val="0"/>
        <w:spacing w:line="360" w:lineRule="auto"/>
        <w:textAlignment w:val="baseline"/>
        <w:rPr>
          <w:rFonts w:ascii="宋体" w:hAnsi="宋体"/>
          <w:sz w:val="24"/>
        </w:rPr>
      </w:pPr>
      <w:r>
        <w:rPr>
          <w:rFonts w:hint="eastAsia" w:ascii="宋体" w:hAnsi="宋体"/>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pPr>
        <w:pStyle w:val="125"/>
        <w:snapToGrid w:val="0"/>
        <w:spacing w:line="360" w:lineRule="auto"/>
        <w:textAlignment w:val="baseline"/>
        <w:rPr>
          <w:rFonts w:ascii="宋体" w:hAnsi="宋体"/>
          <w:sz w:val="24"/>
        </w:rPr>
      </w:pPr>
      <w:r>
        <w:rPr>
          <w:rFonts w:hint="eastAsia" w:ascii="宋体" w:hAnsi="宋体"/>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25"/>
        <w:snapToGrid w:val="0"/>
        <w:spacing w:line="360" w:lineRule="auto"/>
        <w:textAlignment w:val="baseline"/>
        <w:rPr>
          <w:rFonts w:ascii="宋体" w:hAnsi="宋体"/>
          <w:sz w:val="24"/>
        </w:rPr>
      </w:pPr>
      <w:r>
        <w:rPr>
          <w:rFonts w:hint="eastAsia" w:ascii="宋体" w:hAnsi="宋体"/>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pStyle w:val="6"/>
        <w:snapToGrid w:val="0"/>
        <w:spacing w:line="360" w:lineRule="auto"/>
        <w:ind w:left="899" w:hanging="899"/>
        <w:jc w:val="center"/>
        <w:textAlignment w:val="baseline"/>
        <w:rPr>
          <w:rFonts w:hint="default"/>
          <w:sz w:val="24"/>
        </w:rPr>
      </w:pPr>
      <w:bookmarkStart w:id="98" w:name="_Toc516367020"/>
      <w:bookmarkStart w:id="99" w:name="_Toc40110900"/>
      <w:bookmarkStart w:id="100" w:name="_Toc5895175"/>
      <w:bookmarkStart w:id="101" w:name="_Toc310195701"/>
      <w:bookmarkStart w:id="102" w:name="_Toc10527"/>
      <w:bookmarkStart w:id="103" w:name="_Toc520356150"/>
      <w:bookmarkStart w:id="104" w:name="_Toc832"/>
      <w:r>
        <w:rPr>
          <w:sz w:val="24"/>
        </w:rPr>
        <w:t>三 投标文件</w:t>
      </w:r>
      <w:bookmarkEnd w:id="98"/>
      <w:r>
        <w:rPr>
          <w:sz w:val="24"/>
        </w:rPr>
        <w:t>的编制</w:t>
      </w:r>
      <w:bookmarkEnd w:id="99"/>
      <w:bookmarkEnd w:id="100"/>
      <w:bookmarkEnd w:id="101"/>
      <w:bookmarkEnd w:id="102"/>
      <w:bookmarkEnd w:id="103"/>
      <w:bookmarkEnd w:id="104"/>
    </w:p>
    <w:p>
      <w:pPr>
        <w:pStyle w:val="6"/>
        <w:snapToGrid w:val="0"/>
        <w:spacing w:line="360" w:lineRule="auto"/>
        <w:textAlignment w:val="baseline"/>
        <w:rPr>
          <w:rFonts w:hint="default"/>
          <w:b/>
          <w:sz w:val="24"/>
        </w:rPr>
      </w:pPr>
      <w:bookmarkStart w:id="105" w:name="_Toc310195702"/>
      <w:bookmarkStart w:id="106" w:name="_Toc5895176"/>
      <w:bookmarkStart w:id="107" w:name="_Toc213818725"/>
      <w:bookmarkStart w:id="108" w:name="_Toc4687"/>
      <w:bookmarkStart w:id="109" w:name="_Toc40110901"/>
      <w:bookmarkStart w:id="110" w:name="_Toc516367021"/>
      <w:bookmarkStart w:id="111" w:name="_Toc520356151"/>
      <w:r>
        <w:rPr>
          <w:b/>
          <w:sz w:val="24"/>
        </w:rPr>
        <w:t>7.投标文件编制的原则</w:t>
      </w:r>
      <w:bookmarkEnd w:id="105"/>
      <w:bookmarkEnd w:id="106"/>
      <w:bookmarkEnd w:id="107"/>
      <w:bookmarkEnd w:id="108"/>
      <w:bookmarkEnd w:id="109"/>
    </w:p>
    <w:p>
      <w:pPr>
        <w:pStyle w:val="125"/>
        <w:snapToGrid w:val="0"/>
        <w:spacing w:line="360" w:lineRule="auto"/>
        <w:textAlignment w:val="baseline"/>
        <w:rPr>
          <w:rFonts w:ascii="宋体" w:hAnsi="宋体"/>
          <w:b/>
          <w:sz w:val="24"/>
        </w:rPr>
      </w:pPr>
      <w:r>
        <w:rPr>
          <w:rFonts w:hint="eastAsia" w:ascii="宋体" w:hAnsi="宋体"/>
          <w:sz w:val="24"/>
        </w:rPr>
        <w:t>7.1潜在投标人根据招标文件的要求，编制完整的投标文件。招标文件中对投标文件格式有要求的，应按格式逐项填写内容，不准有空项；无相应可填内容项应填写“无”、“不适用”等明确的文字回答。</w:t>
      </w:r>
    </w:p>
    <w:p>
      <w:pPr>
        <w:pStyle w:val="125"/>
        <w:snapToGrid w:val="0"/>
        <w:spacing w:line="360" w:lineRule="auto"/>
        <w:textAlignment w:val="baseline"/>
      </w:pPr>
      <w:r>
        <w:rPr>
          <w:rFonts w:hint="eastAsia" w:ascii="宋体" w:hAnsi="宋体"/>
          <w:sz w:val="24"/>
        </w:rPr>
        <w:t>7.2 投标人必须保证投标文件所提供的全部资料真实有效。</w:t>
      </w:r>
    </w:p>
    <w:p>
      <w:pPr>
        <w:pStyle w:val="6"/>
        <w:tabs>
          <w:tab w:val="left" w:pos="900"/>
        </w:tabs>
        <w:snapToGrid w:val="0"/>
        <w:spacing w:line="360" w:lineRule="auto"/>
        <w:textAlignment w:val="baseline"/>
        <w:rPr>
          <w:rFonts w:hint="default"/>
          <w:b/>
          <w:sz w:val="24"/>
        </w:rPr>
      </w:pPr>
      <w:bookmarkStart w:id="112" w:name="_Toc40110902"/>
      <w:bookmarkStart w:id="113" w:name="_Toc5895177"/>
      <w:bookmarkStart w:id="114" w:name="_Toc310195703"/>
      <w:bookmarkStart w:id="115" w:name="_Toc29685"/>
      <w:r>
        <w:rPr>
          <w:b/>
          <w:sz w:val="24"/>
        </w:rPr>
        <w:t>8.投标范围及投标文件中计量单位的使用</w:t>
      </w:r>
      <w:bookmarkEnd w:id="110"/>
      <w:bookmarkEnd w:id="111"/>
      <w:bookmarkEnd w:id="112"/>
      <w:bookmarkEnd w:id="113"/>
      <w:bookmarkEnd w:id="114"/>
      <w:bookmarkEnd w:id="115"/>
    </w:p>
    <w:p>
      <w:pPr>
        <w:pStyle w:val="125"/>
        <w:snapToGrid w:val="0"/>
        <w:spacing w:line="360" w:lineRule="auto"/>
        <w:textAlignment w:val="baseline"/>
        <w:rPr>
          <w:rFonts w:ascii="宋体" w:hAnsi="宋体"/>
          <w:sz w:val="24"/>
        </w:rPr>
      </w:pPr>
      <w:r>
        <w:rPr>
          <w:rFonts w:hint="eastAsia" w:ascii="宋体" w:hAnsi="宋体"/>
          <w:sz w:val="24"/>
        </w:rPr>
        <w:t>8.1 投标人应对招标文件中“采购需求”所列的所有内容进行投标，不得缺项漏项。</w:t>
      </w:r>
    </w:p>
    <w:p>
      <w:pPr>
        <w:pStyle w:val="125"/>
        <w:snapToGrid w:val="0"/>
        <w:spacing w:line="360" w:lineRule="auto"/>
        <w:textAlignment w:val="baseline"/>
        <w:rPr>
          <w:rFonts w:ascii="宋体" w:hAnsi="宋体"/>
          <w:sz w:val="24"/>
        </w:rPr>
      </w:pPr>
      <w:r>
        <w:rPr>
          <w:rFonts w:hint="eastAsia" w:ascii="宋体" w:hAnsi="宋体"/>
          <w:sz w:val="24"/>
        </w:rPr>
        <w:t>8.2 投标文件中所使用的计量单位，除招标文件中有特殊要求外，应采用中华人民共和国法定计量单位。</w:t>
      </w:r>
      <w:bookmarkStart w:id="116" w:name="_Ref467306195"/>
      <w:bookmarkStart w:id="117" w:name="_Ref467306676"/>
      <w:bookmarkStart w:id="118" w:name="_Toc516367022"/>
      <w:bookmarkStart w:id="119" w:name="_Toc520356152"/>
    </w:p>
    <w:p>
      <w:pPr>
        <w:pStyle w:val="6"/>
        <w:tabs>
          <w:tab w:val="left" w:pos="900"/>
        </w:tabs>
        <w:snapToGrid w:val="0"/>
        <w:spacing w:line="360" w:lineRule="auto"/>
        <w:textAlignment w:val="baseline"/>
        <w:rPr>
          <w:rFonts w:hint="default"/>
        </w:rPr>
      </w:pPr>
      <w:bookmarkStart w:id="120" w:name="_Toc3602"/>
      <w:bookmarkStart w:id="121" w:name="_Toc5895178"/>
      <w:bookmarkStart w:id="122" w:name="_Toc310195704"/>
      <w:bookmarkStart w:id="123" w:name="_Toc40110903"/>
      <w:r>
        <w:rPr>
          <w:b/>
          <w:sz w:val="24"/>
        </w:rPr>
        <w:t>9.投标文件</w:t>
      </w:r>
      <w:bookmarkEnd w:id="116"/>
      <w:bookmarkEnd w:id="117"/>
      <w:bookmarkEnd w:id="118"/>
      <w:r>
        <w:rPr>
          <w:b/>
          <w:sz w:val="24"/>
        </w:rPr>
        <w:t>构成</w:t>
      </w:r>
      <w:bookmarkEnd w:id="119"/>
      <w:bookmarkEnd w:id="120"/>
      <w:bookmarkEnd w:id="121"/>
      <w:bookmarkEnd w:id="122"/>
      <w:bookmarkEnd w:id="123"/>
    </w:p>
    <w:p>
      <w:pPr>
        <w:pStyle w:val="125"/>
        <w:snapToGrid w:val="0"/>
        <w:spacing w:line="360" w:lineRule="auto"/>
        <w:textAlignment w:val="baseline"/>
        <w:rPr>
          <w:rFonts w:ascii="宋体" w:hAnsi="宋体"/>
          <w:sz w:val="24"/>
        </w:rPr>
      </w:pPr>
      <w:r>
        <w:rPr>
          <w:rFonts w:hint="eastAsia" w:ascii="宋体" w:hAnsi="宋体"/>
          <w:sz w:val="24"/>
        </w:rPr>
        <w:t>9.1投标人应完整地按招标文件提供的投标文件格式编写投标文件，投标文件应包括以下内容：</w:t>
      </w:r>
    </w:p>
    <w:p>
      <w:pPr>
        <w:snapToGrid w:val="0"/>
        <w:spacing w:before="120" w:line="360" w:lineRule="auto"/>
        <w:ind w:left="900" w:hanging="900"/>
        <w:textAlignment w:val="baseline"/>
        <w:rPr>
          <w:rFonts w:ascii="宋体" w:hAnsi="宋体"/>
          <w:sz w:val="24"/>
        </w:rPr>
      </w:pPr>
      <w:r>
        <w:rPr>
          <w:rFonts w:hint="eastAsia" w:ascii="宋体" w:hAnsi="宋体"/>
          <w:sz w:val="24"/>
        </w:rPr>
        <w:t>9.1.1投标文件资格册：</w:t>
      </w:r>
    </w:p>
    <w:p>
      <w:pPr>
        <w:snapToGrid w:val="0"/>
        <w:spacing w:before="120" w:line="360" w:lineRule="auto"/>
        <w:ind w:left="900" w:hanging="900"/>
        <w:textAlignment w:val="baseline"/>
        <w:rPr>
          <w:rFonts w:ascii="宋体" w:hAnsi="宋体"/>
          <w:sz w:val="24"/>
        </w:rPr>
      </w:pPr>
      <w:r>
        <w:rPr>
          <w:rFonts w:hint="eastAsia" w:ascii="宋体" w:hAnsi="宋体"/>
          <w:sz w:val="24"/>
        </w:rPr>
        <w:t>详见《第七章 投标文件格式》</w:t>
      </w:r>
    </w:p>
    <w:p>
      <w:pPr>
        <w:snapToGrid w:val="0"/>
        <w:spacing w:before="120" w:line="360" w:lineRule="auto"/>
        <w:ind w:left="900" w:hanging="900"/>
        <w:textAlignment w:val="baseline"/>
        <w:rPr>
          <w:rFonts w:ascii="宋体" w:hAnsi="宋体"/>
          <w:sz w:val="24"/>
        </w:rPr>
      </w:pPr>
      <w:r>
        <w:rPr>
          <w:rFonts w:hint="eastAsia" w:ascii="宋体" w:hAnsi="宋体"/>
          <w:sz w:val="24"/>
        </w:rPr>
        <w:t>9.1.2投标文件商务技术册应包括以下内容：</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 投标函</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2 开标一览表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3 投标分项报价表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4 技术规格偏离表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5 商务条款偏离表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6 业绩案例一览表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7 投标人基本情况表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8 实施方案</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9 售后服务及培训计划</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10 提交投标保证金的证明材料</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11 中标服务费承诺书</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lang w:val="en-GB"/>
        </w:rPr>
        <w:t>12</w:t>
      </w:r>
      <w:r>
        <w:rPr>
          <w:rFonts w:hint="eastAsia" w:ascii="宋体" w:hAnsi="宋体"/>
          <w:sz w:val="24"/>
        </w:rPr>
        <w:t xml:space="preserve"> </w:t>
      </w:r>
      <w:r>
        <w:rPr>
          <w:rFonts w:hint="eastAsia" w:ascii="宋体" w:hAnsi="宋体"/>
          <w:kern w:val="0"/>
          <w:sz w:val="24"/>
        </w:rPr>
        <w:t>中小企业声明函（服务）</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w:t>
      </w:r>
      <w:bookmarkStart w:id="124" w:name="_Toc520356153"/>
      <w:bookmarkStart w:id="125" w:name="_Toc310195705"/>
      <w:bookmarkStart w:id="126" w:name="_Toc516367023"/>
      <w:r>
        <w:rPr>
          <w:rFonts w:hint="eastAsia" w:ascii="宋体" w:hAnsi="宋体"/>
          <w:sz w:val="24"/>
        </w:rPr>
        <w:t>3 残疾人福利性单位声明函（如适用）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14 监狱、戒毒企业声明函（如适用）</w:t>
      </w:r>
    </w:p>
    <w:p>
      <w:pPr>
        <w:snapToGrid w:val="0"/>
        <w:spacing w:before="120" w:line="360" w:lineRule="auto"/>
        <w:ind w:left="892" w:leftChars="174" w:hanging="544" w:hangingChars="227"/>
        <w:textAlignment w:val="baseline"/>
        <w:rPr>
          <w:rFonts w:ascii="宋体" w:hAnsi="宋体"/>
          <w:sz w:val="24"/>
        </w:rPr>
      </w:pPr>
      <w:r>
        <w:rPr>
          <w:rFonts w:hint="eastAsia" w:ascii="宋体" w:hAnsi="宋体"/>
          <w:sz w:val="24"/>
        </w:rPr>
        <w:t>15 投标人认为必要的其他证明文件</w:t>
      </w:r>
    </w:p>
    <w:p>
      <w:pPr>
        <w:pStyle w:val="6"/>
        <w:tabs>
          <w:tab w:val="left" w:pos="900"/>
        </w:tabs>
        <w:snapToGrid w:val="0"/>
        <w:spacing w:line="360" w:lineRule="auto"/>
        <w:textAlignment w:val="baseline"/>
        <w:rPr>
          <w:rFonts w:hint="default"/>
          <w:b/>
          <w:sz w:val="24"/>
        </w:rPr>
      </w:pPr>
      <w:bookmarkStart w:id="127" w:name="_Toc40110904"/>
      <w:bookmarkStart w:id="128" w:name="_Toc32383"/>
      <w:bookmarkStart w:id="129" w:name="_Toc5895179"/>
      <w:r>
        <w:rPr>
          <w:b/>
          <w:sz w:val="24"/>
        </w:rPr>
        <w:t>10.</w:t>
      </w:r>
      <w:bookmarkEnd w:id="124"/>
      <w:bookmarkEnd w:id="125"/>
      <w:bookmarkEnd w:id="126"/>
      <w:r>
        <w:rPr>
          <w:b/>
          <w:sz w:val="24"/>
        </w:rPr>
        <w:t>投标文件格式</w:t>
      </w:r>
      <w:bookmarkEnd w:id="127"/>
      <w:bookmarkEnd w:id="128"/>
      <w:bookmarkEnd w:id="129"/>
      <w:bookmarkStart w:id="130" w:name="_Toc520356155"/>
      <w:bookmarkStart w:id="131" w:name="_Toc310195706"/>
    </w:p>
    <w:p>
      <w:pPr>
        <w:pStyle w:val="125"/>
        <w:snapToGrid w:val="0"/>
        <w:spacing w:line="360" w:lineRule="auto"/>
        <w:textAlignment w:val="baseline"/>
        <w:rPr>
          <w:rFonts w:ascii="宋体" w:hAnsi="宋体"/>
          <w:sz w:val="24"/>
        </w:rPr>
      </w:pPr>
      <w:r>
        <w:rPr>
          <w:rFonts w:hint="eastAsia" w:ascii="宋体" w:hAnsi="宋体"/>
          <w:sz w:val="24"/>
        </w:rPr>
        <w:t>10.1</w:t>
      </w:r>
      <w:r>
        <w:rPr>
          <w:rFonts w:ascii="宋体" w:hAnsi="宋体"/>
          <w:sz w:val="24"/>
        </w:rPr>
        <w:t>投标人应按招标文件提供的投标文件格式</w:t>
      </w:r>
      <w:r>
        <w:rPr>
          <w:rFonts w:hint="eastAsia" w:ascii="宋体" w:hAnsi="宋体"/>
          <w:sz w:val="24"/>
        </w:rPr>
        <w:t>要求编写投标文件</w:t>
      </w:r>
      <w:r>
        <w:rPr>
          <w:rFonts w:ascii="宋体" w:hAnsi="宋体"/>
          <w:sz w:val="24"/>
        </w:rPr>
        <w:t>。</w:t>
      </w:r>
    </w:p>
    <w:p>
      <w:pPr>
        <w:pStyle w:val="125"/>
        <w:snapToGrid w:val="0"/>
        <w:spacing w:line="360" w:lineRule="auto"/>
        <w:textAlignment w:val="baseline"/>
        <w:rPr>
          <w:rFonts w:ascii="宋体" w:hAnsi="宋体"/>
          <w:sz w:val="24"/>
        </w:rPr>
      </w:pPr>
      <w:r>
        <w:rPr>
          <w:rFonts w:hint="eastAsia" w:ascii="宋体" w:hAnsi="宋体"/>
          <w:sz w:val="24"/>
        </w:rPr>
        <w:t>10.2 招标文件中要求提供证明文件的，投标人应如实提交，该证明文件是投标文件的组成部分。</w:t>
      </w:r>
    </w:p>
    <w:p>
      <w:pPr>
        <w:snapToGrid w:val="0"/>
        <w:spacing w:before="120" w:line="360" w:lineRule="auto"/>
        <w:ind w:left="900" w:hanging="900"/>
        <w:textAlignment w:val="baseline"/>
        <w:rPr>
          <w:rFonts w:ascii="宋体" w:hAnsi="宋体"/>
          <w:sz w:val="24"/>
        </w:rPr>
      </w:pPr>
      <w:bookmarkStart w:id="132" w:name="_Ref467306244"/>
      <w:r>
        <w:rPr>
          <w:rFonts w:hint="eastAsia" w:ascii="宋体" w:hAnsi="宋体"/>
          <w:sz w:val="24"/>
        </w:rPr>
        <w:t>10.3 上款所述的证明文件，包括：</w:t>
      </w:r>
    </w:p>
    <w:p>
      <w:pPr>
        <w:snapToGrid w:val="0"/>
        <w:spacing w:before="120" w:line="360" w:lineRule="auto"/>
        <w:ind w:left="900" w:hanging="900"/>
        <w:textAlignment w:val="baseline"/>
        <w:rPr>
          <w:rFonts w:ascii="宋体" w:hAnsi="宋体"/>
          <w:sz w:val="24"/>
        </w:rPr>
      </w:pPr>
      <w:r>
        <w:rPr>
          <w:rFonts w:hint="eastAsia" w:ascii="宋体" w:hAnsi="宋体"/>
          <w:sz w:val="24"/>
        </w:rPr>
        <w:t>10.3.1文字资料、图纸和数据等；</w:t>
      </w:r>
      <w:bookmarkEnd w:id="132"/>
    </w:p>
    <w:p>
      <w:pPr>
        <w:snapToGrid w:val="0"/>
        <w:spacing w:before="120" w:line="360" w:lineRule="auto"/>
        <w:ind w:left="900" w:hanging="900"/>
        <w:textAlignment w:val="baseline"/>
        <w:rPr>
          <w:rFonts w:ascii="宋体" w:hAnsi="宋体"/>
          <w:sz w:val="24"/>
        </w:rPr>
      </w:pPr>
      <w:r>
        <w:rPr>
          <w:rFonts w:hint="eastAsia" w:ascii="宋体" w:hAnsi="宋体"/>
          <w:sz w:val="24"/>
        </w:rPr>
        <w:t>10.3.2服务主要技术指标和性能的详细说明；</w:t>
      </w:r>
    </w:p>
    <w:p>
      <w:pPr>
        <w:snapToGrid w:val="0"/>
        <w:spacing w:before="120" w:line="360" w:lineRule="auto"/>
        <w:textAlignment w:val="baseline"/>
        <w:rPr>
          <w:rFonts w:ascii="宋体" w:hAnsi="宋体"/>
          <w:sz w:val="24"/>
        </w:rPr>
      </w:pPr>
      <w:r>
        <w:rPr>
          <w:rFonts w:hint="eastAsia" w:ascii="宋体" w:hAnsi="宋体"/>
          <w:sz w:val="24"/>
        </w:rPr>
        <w:t>10.3.3服务所必须的备品备件和专用工具清单；</w:t>
      </w:r>
    </w:p>
    <w:p>
      <w:pPr>
        <w:snapToGrid w:val="0"/>
        <w:spacing w:before="120" w:line="360" w:lineRule="auto"/>
        <w:textAlignment w:val="baseline"/>
        <w:rPr>
          <w:rFonts w:ascii="宋体" w:hAnsi="宋体"/>
          <w:sz w:val="24"/>
        </w:rPr>
      </w:pPr>
      <w:r>
        <w:rPr>
          <w:rFonts w:hint="eastAsia" w:ascii="宋体" w:hAnsi="宋体"/>
          <w:sz w:val="24"/>
        </w:rPr>
        <w:t>10.3.4 投标文件中《技术规格偏离表》、《商务条款偏离表》须如实填写。</w:t>
      </w:r>
    </w:p>
    <w:p>
      <w:pPr>
        <w:pStyle w:val="6"/>
        <w:tabs>
          <w:tab w:val="left" w:pos="900"/>
        </w:tabs>
        <w:snapToGrid w:val="0"/>
        <w:spacing w:line="360" w:lineRule="auto"/>
        <w:textAlignment w:val="baseline"/>
        <w:rPr>
          <w:rFonts w:hint="default"/>
          <w:b/>
          <w:sz w:val="24"/>
        </w:rPr>
      </w:pPr>
      <w:bookmarkStart w:id="133" w:name="_Toc40110905"/>
      <w:bookmarkStart w:id="134" w:name="_Toc5895180"/>
      <w:bookmarkStart w:id="135" w:name="_Toc15641"/>
      <w:r>
        <w:rPr>
          <w:b/>
          <w:sz w:val="24"/>
        </w:rPr>
        <w:t>11.投标报价</w:t>
      </w:r>
      <w:bookmarkEnd w:id="130"/>
      <w:bookmarkEnd w:id="131"/>
      <w:bookmarkEnd w:id="133"/>
      <w:bookmarkEnd w:id="134"/>
      <w:bookmarkEnd w:id="135"/>
    </w:p>
    <w:p>
      <w:pPr>
        <w:snapToGrid w:val="0"/>
        <w:spacing w:line="360" w:lineRule="auto"/>
        <w:textAlignment w:val="baseline"/>
        <w:rPr>
          <w:rFonts w:ascii="宋体" w:hAnsi="宋体"/>
          <w:sz w:val="24"/>
        </w:rPr>
      </w:pPr>
      <w:bookmarkStart w:id="136" w:name="_Toc310195707"/>
      <w:bookmarkStart w:id="137" w:name="_Ref467306513"/>
      <w:bookmarkStart w:id="138" w:name="_Toc520356156"/>
      <w:r>
        <w:rPr>
          <w:rFonts w:hint="eastAsia" w:ascii="宋体" w:hAnsi="宋体"/>
          <w:sz w:val="24"/>
        </w:rPr>
        <w:t>11.1投标报价：所有投标均以人民币报价。投标人的投标报价应遵守《中华人民共和国价格法》。该报价的全部费用，含相关税费，运输费，保险费，安装费及相关服务费等一切可能发生的费用。</w:t>
      </w:r>
    </w:p>
    <w:p>
      <w:pPr>
        <w:snapToGrid w:val="0"/>
        <w:spacing w:line="360" w:lineRule="auto"/>
        <w:textAlignment w:val="baseline"/>
        <w:rPr>
          <w:rFonts w:ascii="宋体" w:hAnsi="宋体"/>
          <w:sz w:val="24"/>
        </w:rPr>
      </w:pPr>
      <w:r>
        <w:rPr>
          <w:rFonts w:ascii="宋体" w:hAnsi="宋体"/>
          <w:sz w:val="24"/>
        </w:rPr>
        <w:t>11.2投标人应在“投标分项报价表”上标明投标服务及相关服务的单价和总价，并由法定代表人或其授权代表签署。</w:t>
      </w:r>
    </w:p>
    <w:p>
      <w:pPr>
        <w:pStyle w:val="20"/>
        <w:snapToGrid w:val="0"/>
        <w:spacing w:line="360" w:lineRule="auto"/>
        <w:textAlignment w:val="baseline"/>
      </w:pPr>
      <w:r>
        <w:rPr>
          <w:rFonts w:hint="eastAsia" w:ascii="宋体" w:hAnsi="宋体"/>
          <w:sz w:val="24"/>
        </w:rPr>
        <w:t>11.3投标分项报价表上的价格项应包含所有费用（招标文件另行规定除外），包括招标文件中要求的全部内容。</w:t>
      </w:r>
    </w:p>
    <w:p>
      <w:pPr>
        <w:snapToGrid w:val="0"/>
        <w:spacing w:line="360" w:lineRule="auto"/>
        <w:textAlignment w:val="baseline"/>
        <w:rPr>
          <w:rFonts w:ascii="宋体" w:hAnsi="宋体"/>
          <w:sz w:val="24"/>
        </w:rPr>
      </w:pPr>
      <w:r>
        <w:rPr>
          <w:rFonts w:hint="eastAsia" w:ascii="宋体" w:hAnsi="宋体"/>
          <w:sz w:val="24"/>
        </w:rPr>
        <w:t>11.4本次招标，只允许有一个投标报价，本项目不接受任何选择性报价。</w:t>
      </w:r>
    </w:p>
    <w:p>
      <w:pPr>
        <w:snapToGrid w:val="0"/>
        <w:spacing w:line="360" w:lineRule="auto"/>
        <w:textAlignment w:val="baseline"/>
        <w:rPr>
          <w:rFonts w:ascii="宋体" w:hAnsi="宋体"/>
          <w:sz w:val="24"/>
        </w:rPr>
      </w:pPr>
      <w:r>
        <w:rPr>
          <w:rFonts w:hint="eastAsia" w:ascii="宋体" w:hAnsi="宋体"/>
          <w:sz w:val="24"/>
        </w:rPr>
        <w:t>11.5供应商不得提供赠品、回扣或者与采购无关的其他商品、服务。</w:t>
      </w:r>
    </w:p>
    <w:p>
      <w:pPr>
        <w:snapToGrid w:val="0"/>
        <w:spacing w:line="360" w:lineRule="auto"/>
        <w:textAlignment w:val="baseline"/>
        <w:rPr>
          <w:rFonts w:ascii="宋体" w:hAnsi="宋体"/>
          <w:sz w:val="24"/>
        </w:rPr>
      </w:pPr>
      <w:r>
        <w:rPr>
          <w:rFonts w:hint="eastAsia" w:ascii="宋体" w:hAnsi="宋体"/>
          <w:sz w:val="24"/>
        </w:rPr>
        <w:t>11.6最低报价不作为授予合同的唯一保证。</w:t>
      </w:r>
    </w:p>
    <w:p>
      <w:pPr>
        <w:pStyle w:val="6"/>
        <w:tabs>
          <w:tab w:val="left" w:pos="900"/>
        </w:tabs>
        <w:snapToGrid w:val="0"/>
        <w:spacing w:line="360" w:lineRule="auto"/>
        <w:textAlignment w:val="baseline"/>
        <w:rPr>
          <w:rFonts w:hint="default"/>
          <w:b/>
          <w:sz w:val="24"/>
        </w:rPr>
      </w:pPr>
      <w:bookmarkStart w:id="139" w:name="_Toc11548"/>
      <w:bookmarkStart w:id="140" w:name="_Toc40110906"/>
      <w:bookmarkStart w:id="141" w:name="_Toc5895181"/>
      <w:r>
        <w:rPr>
          <w:b/>
          <w:sz w:val="24"/>
        </w:rPr>
        <w:t>12.投标保证金</w:t>
      </w:r>
      <w:bookmarkEnd w:id="136"/>
      <w:bookmarkEnd w:id="137"/>
      <w:bookmarkEnd w:id="138"/>
      <w:bookmarkEnd w:id="139"/>
      <w:bookmarkEnd w:id="140"/>
      <w:bookmarkEnd w:id="141"/>
    </w:p>
    <w:p>
      <w:pPr>
        <w:pStyle w:val="125"/>
        <w:snapToGrid w:val="0"/>
        <w:spacing w:line="360" w:lineRule="auto"/>
        <w:textAlignment w:val="baseline"/>
        <w:rPr>
          <w:rFonts w:ascii="宋体" w:hAnsi="宋体"/>
          <w:sz w:val="24"/>
        </w:rPr>
      </w:pPr>
      <w:bookmarkStart w:id="142" w:name="_Ref467306302"/>
      <w:r>
        <w:rPr>
          <w:rFonts w:hint="eastAsia" w:ascii="宋体" w:hAnsi="宋体"/>
          <w:sz w:val="24"/>
        </w:rPr>
        <w:t>12.1 投标人应提供投标保证金</w:t>
      </w:r>
      <w:bookmarkEnd w:id="142"/>
      <w:r>
        <w:rPr>
          <w:rFonts w:hint="eastAsia" w:ascii="宋体" w:hAnsi="宋体"/>
          <w:sz w:val="24"/>
        </w:rPr>
        <w:t>，作为其有效投标的一部分。</w:t>
      </w:r>
    </w:p>
    <w:p>
      <w:pPr>
        <w:pStyle w:val="125"/>
        <w:snapToGrid w:val="0"/>
        <w:spacing w:line="360" w:lineRule="auto"/>
        <w:textAlignment w:val="baseline"/>
        <w:rPr>
          <w:rFonts w:ascii="宋体" w:hAnsi="宋体"/>
          <w:b/>
          <w:sz w:val="24"/>
        </w:rPr>
      </w:pPr>
      <w:r>
        <w:rPr>
          <w:rFonts w:hint="eastAsia" w:ascii="宋体" w:hAnsi="宋体"/>
          <w:b/>
          <w:sz w:val="24"/>
        </w:rPr>
        <w:t>下列任何情况发生，投标保证金将不予返还：</w:t>
      </w:r>
    </w:p>
    <w:p>
      <w:pPr>
        <w:pStyle w:val="125"/>
        <w:snapToGrid w:val="0"/>
        <w:spacing w:line="360" w:lineRule="auto"/>
        <w:textAlignment w:val="baseline"/>
        <w:rPr>
          <w:rFonts w:ascii="宋体" w:hAnsi="宋体"/>
          <w:bCs/>
          <w:sz w:val="24"/>
        </w:rPr>
      </w:pPr>
      <w:r>
        <w:rPr>
          <w:rFonts w:hint="eastAsia" w:ascii="宋体" w:hAnsi="宋体"/>
          <w:bCs/>
          <w:sz w:val="24"/>
        </w:rPr>
        <w:t>（1）投标有效期内投标人撤销投标文件的；</w:t>
      </w:r>
    </w:p>
    <w:p>
      <w:pPr>
        <w:pStyle w:val="125"/>
        <w:snapToGrid w:val="0"/>
        <w:spacing w:line="360" w:lineRule="auto"/>
        <w:textAlignment w:val="baseline"/>
        <w:rPr>
          <w:rFonts w:ascii="宋体" w:hAnsi="宋体"/>
          <w:bCs/>
          <w:sz w:val="24"/>
        </w:rPr>
      </w:pPr>
      <w:r>
        <w:rPr>
          <w:rFonts w:hint="eastAsia" w:ascii="宋体" w:hAnsi="宋体"/>
          <w:bCs/>
          <w:sz w:val="24"/>
        </w:rPr>
        <w:t>（2）中标人不按本须知第27条的规定与采购人签订合同的；</w:t>
      </w:r>
    </w:p>
    <w:p>
      <w:pPr>
        <w:pStyle w:val="125"/>
        <w:snapToGrid w:val="0"/>
        <w:spacing w:line="360" w:lineRule="auto"/>
        <w:textAlignment w:val="baseline"/>
        <w:rPr>
          <w:rFonts w:ascii="宋体" w:hAnsi="宋体"/>
          <w:bCs/>
          <w:sz w:val="24"/>
        </w:rPr>
      </w:pPr>
      <w:r>
        <w:rPr>
          <w:rFonts w:hint="eastAsia" w:ascii="宋体" w:hAnsi="宋体"/>
          <w:bCs/>
          <w:sz w:val="24"/>
        </w:rPr>
        <w:t>（3）中标人不按本须知第28条的规定提交履约保证金的；</w:t>
      </w:r>
    </w:p>
    <w:p>
      <w:pPr>
        <w:pStyle w:val="125"/>
        <w:snapToGrid w:val="0"/>
        <w:spacing w:line="360" w:lineRule="auto"/>
        <w:textAlignment w:val="baseline"/>
        <w:rPr>
          <w:rFonts w:ascii="宋体" w:hAnsi="宋体"/>
          <w:bCs/>
          <w:sz w:val="24"/>
        </w:rPr>
      </w:pPr>
      <w:r>
        <w:rPr>
          <w:rFonts w:hint="eastAsia" w:ascii="宋体" w:hAnsi="宋体"/>
          <w:bCs/>
          <w:sz w:val="24"/>
        </w:rPr>
        <w:t>（4）中标人擅自放弃中标的。</w:t>
      </w:r>
    </w:p>
    <w:p>
      <w:pPr>
        <w:pStyle w:val="125"/>
        <w:snapToGrid w:val="0"/>
        <w:spacing w:line="360" w:lineRule="auto"/>
        <w:textAlignment w:val="baseline"/>
        <w:rPr>
          <w:rFonts w:ascii="宋体" w:hAnsi="宋体"/>
          <w:sz w:val="24"/>
        </w:rPr>
      </w:pPr>
      <w:bookmarkStart w:id="143" w:name="_Ref467306336"/>
      <w:r>
        <w:rPr>
          <w:rFonts w:hint="eastAsia" w:ascii="宋体" w:hAnsi="宋体"/>
          <w:sz w:val="24"/>
        </w:rPr>
        <w:t>12.2提交投标保证金形式：</w:t>
      </w:r>
      <w:bookmarkEnd w:id="143"/>
      <w:r>
        <w:rPr>
          <w:rFonts w:hint="eastAsia" w:ascii="宋体" w:hAnsi="宋体"/>
          <w:sz w:val="24"/>
        </w:rPr>
        <w:t>详见投标人须知资料表</w:t>
      </w:r>
    </w:p>
    <w:p>
      <w:pPr>
        <w:pStyle w:val="125"/>
        <w:snapToGrid w:val="0"/>
        <w:spacing w:line="360" w:lineRule="auto"/>
        <w:textAlignment w:val="baseline"/>
        <w:rPr>
          <w:rFonts w:ascii="宋体" w:hAnsi="宋体"/>
          <w:sz w:val="24"/>
        </w:rPr>
      </w:pPr>
      <w:r>
        <w:rPr>
          <w:rFonts w:hint="eastAsia" w:ascii="宋体" w:hAnsi="宋体"/>
          <w:sz w:val="24"/>
        </w:rPr>
        <w:t>12.3中标人的投标保证金，自采购合同签订之日起5个工作日内退还。</w:t>
      </w:r>
    </w:p>
    <w:p>
      <w:pPr>
        <w:pStyle w:val="125"/>
        <w:snapToGrid w:val="0"/>
        <w:spacing w:line="360" w:lineRule="auto"/>
        <w:textAlignment w:val="baseline"/>
        <w:rPr>
          <w:rFonts w:ascii="宋体" w:hAnsi="宋体"/>
          <w:sz w:val="24"/>
        </w:rPr>
      </w:pPr>
      <w:r>
        <w:rPr>
          <w:rFonts w:hint="eastAsia" w:ascii="宋体" w:hAnsi="宋体"/>
          <w:sz w:val="24"/>
        </w:rPr>
        <w:t>12.4未中标人的投标保证金，自中标通知书发出之日起5个工作日内退还。</w:t>
      </w:r>
    </w:p>
    <w:p>
      <w:pPr>
        <w:pStyle w:val="6"/>
        <w:tabs>
          <w:tab w:val="left" w:pos="900"/>
        </w:tabs>
        <w:snapToGrid w:val="0"/>
        <w:spacing w:line="360" w:lineRule="auto"/>
        <w:textAlignment w:val="baseline"/>
        <w:rPr>
          <w:rFonts w:hint="default"/>
          <w:b/>
          <w:sz w:val="24"/>
        </w:rPr>
      </w:pPr>
      <w:bookmarkStart w:id="144" w:name="_Toc520356157"/>
      <w:bookmarkStart w:id="145" w:name="_Toc1875"/>
      <w:bookmarkStart w:id="146" w:name="_Toc5895182"/>
      <w:bookmarkStart w:id="147" w:name="_Toc40110907"/>
      <w:bookmarkStart w:id="148" w:name="_Toc310195708"/>
      <w:r>
        <w:rPr>
          <w:b/>
          <w:sz w:val="24"/>
        </w:rPr>
        <w:t>13.投标有效期</w:t>
      </w:r>
      <w:bookmarkEnd w:id="144"/>
      <w:bookmarkEnd w:id="145"/>
      <w:bookmarkEnd w:id="146"/>
      <w:bookmarkEnd w:id="147"/>
      <w:bookmarkEnd w:id="148"/>
    </w:p>
    <w:p>
      <w:pPr>
        <w:pStyle w:val="125"/>
        <w:snapToGrid w:val="0"/>
        <w:spacing w:line="360" w:lineRule="auto"/>
        <w:textAlignment w:val="baseline"/>
        <w:rPr>
          <w:rFonts w:ascii="宋体" w:hAnsi="宋体"/>
          <w:bCs/>
          <w:sz w:val="24"/>
        </w:rPr>
      </w:pPr>
      <w:r>
        <w:rPr>
          <w:rFonts w:hint="eastAsia" w:ascii="宋体" w:hAnsi="宋体"/>
          <w:bCs/>
          <w:sz w:val="24"/>
        </w:rPr>
        <w:t>13.1投标有效期：详见投标人须知资料表。</w:t>
      </w:r>
    </w:p>
    <w:p>
      <w:pPr>
        <w:pStyle w:val="125"/>
        <w:snapToGrid w:val="0"/>
        <w:spacing w:line="360" w:lineRule="auto"/>
        <w:textAlignment w:val="baseline"/>
        <w:rPr>
          <w:rFonts w:ascii="宋体" w:hAnsi="宋体"/>
          <w:bCs/>
          <w:sz w:val="24"/>
        </w:rPr>
      </w:pPr>
      <w:r>
        <w:rPr>
          <w:rFonts w:hint="eastAsia" w:ascii="宋体" w:hAnsi="宋体"/>
          <w:bCs/>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pStyle w:val="6"/>
        <w:tabs>
          <w:tab w:val="left" w:pos="900"/>
        </w:tabs>
        <w:snapToGrid w:val="0"/>
        <w:spacing w:line="360" w:lineRule="auto"/>
        <w:textAlignment w:val="baseline"/>
        <w:rPr>
          <w:rFonts w:hint="default"/>
          <w:b/>
          <w:sz w:val="24"/>
        </w:rPr>
      </w:pPr>
      <w:bookmarkStart w:id="149" w:name="_Toc520356158"/>
      <w:bookmarkStart w:id="150" w:name="_Toc12507"/>
      <w:bookmarkStart w:id="151" w:name="_Toc310195709"/>
      <w:bookmarkStart w:id="152" w:name="_Toc40110908"/>
      <w:bookmarkStart w:id="153" w:name="_Toc5895183"/>
      <w:r>
        <w:rPr>
          <w:b/>
          <w:sz w:val="24"/>
        </w:rPr>
        <w:t>14.投标文件的签署</w:t>
      </w:r>
      <w:bookmarkEnd w:id="149"/>
      <w:r>
        <w:rPr>
          <w:b/>
          <w:sz w:val="24"/>
        </w:rPr>
        <w:t>与规定</w:t>
      </w:r>
      <w:bookmarkEnd w:id="150"/>
      <w:bookmarkEnd w:id="151"/>
      <w:bookmarkEnd w:id="152"/>
      <w:bookmarkEnd w:id="153"/>
    </w:p>
    <w:p>
      <w:pPr>
        <w:pStyle w:val="125"/>
        <w:snapToGrid w:val="0"/>
        <w:spacing w:line="360" w:lineRule="auto"/>
        <w:textAlignment w:val="baseline"/>
        <w:rPr>
          <w:rFonts w:ascii="宋体" w:hAnsi="宋体"/>
          <w:sz w:val="24"/>
        </w:rPr>
      </w:pPr>
      <w:r>
        <w:rPr>
          <w:rFonts w:hint="eastAsia" w:ascii="宋体" w:hAnsi="宋体"/>
          <w:sz w:val="24"/>
        </w:rPr>
        <w:t>14.1投标人应按招标文件第二章投标人须知资料表的规定准备投标文件的正本、副本、电子版，每份投标文件须清楚地标明“正本”、“副本”、“电子版”。若正本和副本、电子文件不符，以纸质正本为准。</w:t>
      </w:r>
    </w:p>
    <w:p>
      <w:pPr>
        <w:pStyle w:val="125"/>
        <w:snapToGrid w:val="0"/>
        <w:spacing w:line="360" w:lineRule="auto"/>
        <w:textAlignment w:val="baseline"/>
        <w:rPr>
          <w:rFonts w:ascii="宋体" w:hAnsi="宋体"/>
          <w:sz w:val="24"/>
        </w:rPr>
      </w:pPr>
      <w:r>
        <w:rPr>
          <w:rFonts w:hint="eastAsia" w:ascii="宋体" w:hAnsi="宋体"/>
          <w:sz w:val="24"/>
        </w:rPr>
        <w:t>14.2投标文件的正本需打印或用不退色墨水书写。</w:t>
      </w:r>
    </w:p>
    <w:p>
      <w:pPr>
        <w:pStyle w:val="125"/>
        <w:snapToGrid w:val="0"/>
        <w:spacing w:line="360" w:lineRule="auto"/>
        <w:textAlignment w:val="baseline"/>
        <w:rPr>
          <w:rFonts w:ascii="宋体" w:hAnsi="宋体"/>
          <w:sz w:val="24"/>
        </w:rPr>
      </w:pPr>
      <w:r>
        <w:rPr>
          <w:rFonts w:hint="eastAsia" w:ascii="宋体" w:hAnsi="宋体"/>
          <w:sz w:val="24"/>
        </w:rPr>
        <w:t>14.3 任何对投标文件行间插字、涂改和增删，必须由法定代表人或其授权代表签字，或加盖本单位公章后有效。</w:t>
      </w:r>
    </w:p>
    <w:p>
      <w:pPr>
        <w:pStyle w:val="125"/>
        <w:snapToGrid w:val="0"/>
        <w:spacing w:line="360" w:lineRule="auto"/>
        <w:textAlignment w:val="baseline"/>
        <w:rPr>
          <w:rFonts w:ascii="宋体" w:hAnsi="宋体"/>
          <w:sz w:val="24"/>
        </w:rPr>
      </w:pPr>
      <w:r>
        <w:rPr>
          <w:rFonts w:hint="eastAsia" w:ascii="宋体" w:hAnsi="宋体"/>
          <w:sz w:val="24"/>
        </w:rPr>
        <w:t>14.4 投标文件因字迹潦草或表达不清所引起的后果由投标人负责。</w:t>
      </w:r>
    </w:p>
    <w:p>
      <w:pPr>
        <w:pStyle w:val="6"/>
        <w:tabs>
          <w:tab w:val="left" w:pos="900"/>
        </w:tabs>
        <w:snapToGrid w:val="0"/>
        <w:spacing w:line="360" w:lineRule="auto"/>
        <w:jc w:val="center"/>
        <w:textAlignment w:val="baseline"/>
        <w:rPr>
          <w:rFonts w:hint="default"/>
          <w:sz w:val="24"/>
        </w:rPr>
      </w:pPr>
      <w:bookmarkStart w:id="154" w:name="_Toc520356159"/>
      <w:bookmarkStart w:id="155" w:name="_Toc5895184"/>
      <w:bookmarkStart w:id="156" w:name="_Toc310195710"/>
      <w:bookmarkStart w:id="157" w:name="_Toc30105"/>
      <w:bookmarkStart w:id="158" w:name="_Toc9965"/>
      <w:bookmarkStart w:id="159" w:name="_Toc40110909"/>
      <w:r>
        <w:rPr>
          <w:sz w:val="24"/>
        </w:rPr>
        <w:t>四 投标文件的递交</w:t>
      </w:r>
      <w:bookmarkEnd w:id="154"/>
      <w:bookmarkEnd w:id="155"/>
      <w:bookmarkEnd w:id="156"/>
      <w:bookmarkEnd w:id="157"/>
      <w:bookmarkEnd w:id="158"/>
      <w:bookmarkEnd w:id="159"/>
    </w:p>
    <w:p>
      <w:pPr>
        <w:pStyle w:val="6"/>
        <w:snapToGrid w:val="0"/>
        <w:spacing w:line="360" w:lineRule="auto"/>
        <w:textAlignment w:val="baseline"/>
        <w:rPr>
          <w:rFonts w:hint="default"/>
          <w:b/>
          <w:sz w:val="24"/>
          <w:lang w:val="en-US"/>
        </w:rPr>
      </w:pPr>
      <w:bookmarkStart w:id="160" w:name="_Toc40110910"/>
      <w:bookmarkStart w:id="161" w:name="_Toc5895185"/>
      <w:bookmarkStart w:id="162" w:name="_Toc310195711"/>
      <w:bookmarkStart w:id="163" w:name="_Toc23339"/>
      <w:r>
        <w:rPr>
          <w:b/>
          <w:sz w:val="24"/>
        </w:rPr>
        <w:t>15.投标文件的装订及递交</w:t>
      </w:r>
      <w:bookmarkEnd w:id="160"/>
      <w:bookmarkEnd w:id="161"/>
      <w:bookmarkEnd w:id="162"/>
      <w:bookmarkEnd w:id="163"/>
    </w:p>
    <w:p>
      <w:pPr>
        <w:pStyle w:val="125"/>
        <w:snapToGrid w:val="0"/>
        <w:spacing w:line="360" w:lineRule="auto"/>
        <w:textAlignment w:val="baseline"/>
        <w:rPr>
          <w:rFonts w:ascii="宋体" w:hAnsi="宋体"/>
          <w:b/>
          <w:sz w:val="24"/>
        </w:rPr>
      </w:pPr>
      <w:bookmarkStart w:id="164" w:name="_Toc520356161"/>
      <w:r>
        <w:rPr>
          <w:rFonts w:hint="eastAsia" w:ascii="宋体" w:hAnsi="宋体"/>
          <w:b/>
          <w:sz w:val="24"/>
        </w:rPr>
        <w:t>15.1投标文件一律采用A4幅面（图纸、彩页等除外）左侧装订。装订应牢固紧密，不易松动散落，不得采用活页试装订，采购人或采购代理机构对因装订不牢造成的文件散失不负责任。</w:t>
      </w:r>
    </w:p>
    <w:p>
      <w:pPr>
        <w:pStyle w:val="125"/>
        <w:snapToGrid w:val="0"/>
        <w:spacing w:line="360" w:lineRule="auto"/>
        <w:textAlignment w:val="baseline"/>
        <w:rPr>
          <w:rFonts w:ascii="宋体" w:hAnsi="宋体"/>
          <w:b/>
          <w:sz w:val="24"/>
        </w:rPr>
      </w:pPr>
      <w:r>
        <w:rPr>
          <w:rFonts w:hint="eastAsia" w:ascii="宋体" w:hAnsi="宋体"/>
          <w:b/>
          <w:sz w:val="24"/>
        </w:rPr>
        <w:t>15.2投标人应将“开标一览表”、“投标文件资格册正本”、“投标文件资格册副本”、</w:t>
      </w:r>
      <w:r>
        <w:rPr>
          <w:rFonts w:ascii="宋体" w:hAnsi="宋体"/>
          <w:b/>
          <w:color w:val="000000"/>
          <w:sz w:val="24"/>
        </w:rPr>
        <w:t>“投标文件</w:t>
      </w:r>
      <w:r>
        <w:rPr>
          <w:rFonts w:hint="eastAsia" w:ascii="宋体" w:hAnsi="宋体"/>
          <w:b/>
          <w:color w:val="000000"/>
          <w:sz w:val="24"/>
        </w:rPr>
        <w:t>商务技术册</w:t>
      </w:r>
      <w:r>
        <w:rPr>
          <w:rFonts w:ascii="宋体" w:hAnsi="宋体"/>
          <w:b/>
          <w:color w:val="000000"/>
          <w:sz w:val="24"/>
        </w:rPr>
        <w:t>正本”</w:t>
      </w:r>
      <w:r>
        <w:rPr>
          <w:rFonts w:hint="eastAsia" w:ascii="宋体" w:hAnsi="宋体"/>
          <w:b/>
          <w:color w:val="000000"/>
          <w:sz w:val="24"/>
        </w:rPr>
        <w:t>、</w:t>
      </w:r>
      <w:r>
        <w:rPr>
          <w:rFonts w:ascii="宋体" w:hAnsi="宋体"/>
          <w:b/>
          <w:color w:val="000000"/>
          <w:sz w:val="24"/>
        </w:rPr>
        <w:t>“投标文件</w:t>
      </w:r>
      <w:r>
        <w:rPr>
          <w:rFonts w:hint="eastAsia" w:ascii="宋体" w:hAnsi="宋体"/>
          <w:b/>
          <w:color w:val="000000"/>
          <w:sz w:val="24"/>
        </w:rPr>
        <w:t>商务技术册</w:t>
      </w:r>
      <w:r>
        <w:rPr>
          <w:rFonts w:ascii="宋体" w:hAnsi="宋体"/>
          <w:b/>
          <w:color w:val="000000"/>
          <w:sz w:val="24"/>
        </w:rPr>
        <w:t>副本”</w:t>
      </w:r>
      <w:r>
        <w:rPr>
          <w:rFonts w:hint="eastAsia" w:ascii="宋体" w:hAnsi="宋体"/>
          <w:b/>
          <w:color w:val="000000"/>
          <w:sz w:val="24"/>
        </w:rPr>
        <w:t>、</w:t>
      </w:r>
      <w:r>
        <w:rPr>
          <w:rFonts w:hint="eastAsia" w:ascii="宋体" w:hAnsi="宋体"/>
          <w:b/>
          <w:sz w:val="24"/>
        </w:rPr>
        <w:t>“投标保证金复印件（如适用）”、“投标文件电子版”、“样品”（如适用）分开单独密封，并在密封袋/箱上分别标明“开标一览表”、“投标文件资格册正本”、“投标文件资格册副本”、“投标保证金</w:t>
      </w:r>
      <w:bookmarkStart w:id="165" w:name="_Toc350411806"/>
      <w:bookmarkStart w:id="166" w:name="_Toc366683837"/>
      <w:r>
        <w:rPr>
          <w:rFonts w:hint="eastAsia" w:ascii="宋体" w:hAnsi="宋体"/>
          <w:b/>
          <w:sz w:val="24"/>
        </w:rPr>
        <w:t>”、</w:t>
      </w:r>
      <w:bookmarkEnd w:id="165"/>
      <w:bookmarkEnd w:id="166"/>
      <w:r>
        <w:rPr>
          <w:rFonts w:hint="eastAsia" w:ascii="宋体" w:hAnsi="宋体"/>
          <w:b/>
          <w:sz w:val="24"/>
        </w:rPr>
        <w:t>“投标文件电子版”、</w:t>
      </w:r>
      <w:r>
        <w:rPr>
          <w:rFonts w:ascii="宋体" w:hAnsi="宋体"/>
          <w:b/>
          <w:color w:val="000000"/>
          <w:sz w:val="24"/>
        </w:rPr>
        <w:t>“投标文件</w:t>
      </w:r>
      <w:r>
        <w:rPr>
          <w:rFonts w:hint="eastAsia" w:ascii="宋体" w:hAnsi="宋体"/>
          <w:b/>
          <w:color w:val="000000"/>
          <w:sz w:val="24"/>
        </w:rPr>
        <w:t>商务技术册</w:t>
      </w:r>
      <w:r>
        <w:rPr>
          <w:rFonts w:ascii="宋体" w:hAnsi="宋体"/>
          <w:b/>
          <w:color w:val="000000"/>
          <w:sz w:val="24"/>
        </w:rPr>
        <w:t>正本”</w:t>
      </w:r>
      <w:r>
        <w:rPr>
          <w:rFonts w:hint="eastAsia" w:ascii="宋体" w:hAnsi="宋体"/>
          <w:b/>
          <w:color w:val="000000"/>
          <w:sz w:val="24"/>
        </w:rPr>
        <w:t>、</w:t>
      </w:r>
      <w:r>
        <w:rPr>
          <w:rFonts w:ascii="宋体" w:hAnsi="宋体"/>
          <w:b/>
          <w:color w:val="000000"/>
          <w:sz w:val="24"/>
        </w:rPr>
        <w:t>“投标文件</w:t>
      </w:r>
      <w:r>
        <w:rPr>
          <w:rFonts w:hint="eastAsia" w:ascii="宋体" w:hAnsi="宋体"/>
          <w:b/>
          <w:color w:val="000000"/>
          <w:sz w:val="24"/>
        </w:rPr>
        <w:t>商务技术册</w:t>
      </w:r>
      <w:r>
        <w:rPr>
          <w:rFonts w:ascii="宋体" w:hAnsi="宋体"/>
          <w:b/>
          <w:color w:val="000000"/>
          <w:sz w:val="24"/>
        </w:rPr>
        <w:t>副本”</w:t>
      </w:r>
      <w:r>
        <w:rPr>
          <w:rFonts w:hint="eastAsia" w:ascii="宋体" w:hAnsi="宋体"/>
          <w:b/>
          <w:sz w:val="24"/>
        </w:rPr>
        <w:t>、“样品”字样，在投标时统一递交。同时提供“法人代表授权书（加盖本单位公章）”及“授权代表身份证复印件（加盖本单位公章）”。</w:t>
      </w:r>
    </w:p>
    <w:p>
      <w:pPr>
        <w:pStyle w:val="125"/>
        <w:snapToGrid w:val="0"/>
        <w:spacing w:line="360" w:lineRule="auto"/>
        <w:textAlignment w:val="baseline"/>
        <w:rPr>
          <w:rFonts w:ascii="宋体" w:hAnsi="宋体"/>
          <w:b/>
          <w:sz w:val="24"/>
        </w:rPr>
      </w:pPr>
      <w:r>
        <w:rPr>
          <w:rFonts w:hint="eastAsia" w:ascii="宋体" w:hAnsi="宋体"/>
          <w:b/>
          <w:sz w:val="24"/>
        </w:rPr>
        <w:t>15.3所有密封袋/箱上均应：</w:t>
      </w:r>
    </w:p>
    <w:p>
      <w:pPr>
        <w:pStyle w:val="125"/>
        <w:snapToGrid w:val="0"/>
        <w:spacing w:line="360" w:lineRule="auto"/>
        <w:textAlignment w:val="baseline"/>
        <w:rPr>
          <w:rFonts w:ascii="宋体" w:hAnsi="宋体"/>
          <w:b/>
          <w:sz w:val="24"/>
        </w:rPr>
      </w:pPr>
      <w:r>
        <w:rPr>
          <w:rFonts w:hint="eastAsia" w:ascii="宋体" w:hAnsi="宋体"/>
          <w:b/>
          <w:sz w:val="24"/>
        </w:rPr>
        <w:t>1)清楚标明投标文件递交地点暨开标地点。</w:t>
      </w:r>
    </w:p>
    <w:p>
      <w:pPr>
        <w:pStyle w:val="125"/>
        <w:snapToGrid w:val="0"/>
        <w:spacing w:line="360" w:lineRule="auto"/>
        <w:textAlignment w:val="baseline"/>
        <w:rPr>
          <w:rFonts w:ascii="宋体" w:hAnsi="宋体"/>
          <w:b/>
          <w:sz w:val="24"/>
        </w:rPr>
      </w:pPr>
      <w:r>
        <w:rPr>
          <w:rFonts w:hint="eastAsia" w:ascii="宋体" w:hAnsi="宋体"/>
          <w:b/>
          <w:sz w:val="24"/>
        </w:rPr>
        <w:t>2) 注明招标的项目名称、项目代理编号和投标人名称和地址，以及“在</w:t>
      </w:r>
      <w:r>
        <w:rPr>
          <w:rFonts w:hint="eastAsia" w:ascii="宋体" w:hAnsi="宋体"/>
          <w:b/>
          <w:i/>
          <w:sz w:val="24"/>
          <w:u w:val="single" w:color="000000"/>
        </w:rPr>
        <w:t>（</w:t>
      </w:r>
      <w:r>
        <w:rPr>
          <w:rFonts w:hint="eastAsia" w:ascii="宋体" w:hAnsi="宋体"/>
          <w:i/>
          <w:sz w:val="24"/>
          <w:u w:val="single" w:color="000000"/>
        </w:rPr>
        <w:t>开标时间</w:t>
      </w:r>
      <w:r>
        <w:rPr>
          <w:rFonts w:hint="eastAsia" w:ascii="宋体" w:hAnsi="宋体"/>
          <w:b/>
          <w:i/>
          <w:sz w:val="24"/>
          <w:u w:val="single" w:color="000000"/>
        </w:rPr>
        <w:t>）</w:t>
      </w:r>
      <w:r>
        <w:rPr>
          <w:rFonts w:hint="eastAsia" w:ascii="宋体" w:hAnsi="宋体"/>
          <w:b/>
          <w:sz w:val="24"/>
        </w:rPr>
        <w:t>之前不得启封”的字样，以便若其投标被宣布为“迟到”投标时，能原封退回。</w:t>
      </w:r>
      <w:r>
        <w:rPr>
          <w:rFonts w:hint="eastAsia" w:ascii="宋体" w:hAnsi="宋体"/>
          <w:sz w:val="24"/>
        </w:rPr>
        <w:t>如果投标人未按上述要求加写标记的，采购代理机构对投标文件的误投概不负责。</w:t>
      </w:r>
    </w:p>
    <w:p>
      <w:pPr>
        <w:pStyle w:val="22"/>
        <w:snapToGrid w:val="0"/>
        <w:spacing w:line="360" w:lineRule="auto"/>
        <w:textAlignment w:val="baseline"/>
        <w:rPr>
          <w:rFonts w:ascii="宋体" w:hAnsi="宋体"/>
          <w:sz w:val="24"/>
        </w:rPr>
      </w:pPr>
      <w:r>
        <w:rPr>
          <w:rFonts w:hint="eastAsia" w:ascii="宋体" w:hAnsi="宋体"/>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pPr>
        <w:pStyle w:val="22"/>
        <w:snapToGrid w:val="0"/>
        <w:spacing w:line="360" w:lineRule="auto"/>
        <w:textAlignment w:val="baseline"/>
        <w:rPr>
          <w:rFonts w:ascii="宋体" w:hAnsi="宋体"/>
          <w:sz w:val="24"/>
        </w:rPr>
      </w:pPr>
      <w:r>
        <w:rPr>
          <w:rFonts w:hint="eastAsia" w:ascii="宋体" w:hAnsi="宋体"/>
          <w:sz w:val="24"/>
        </w:rPr>
        <w:t>15.5踏勘事宜详见投标人须知</w:t>
      </w:r>
    </w:p>
    <w:p>
      <w:pPr>
        <w:pStyle w:val="6"/>
        <w:snapToGrid w:val="0"/>
        <w:spacing w:line="360" w:lineRule="auto"/>
        <w:textAlignment w:val="baseline"/>
        <w:rPr>
          <w:rFonts w:hint="default"/>
          <w:b/>
          <w:sz w:val="24"/>
          <w:lang w:val="en-US"/>
        </w:rPr>
      </w:pPr>
      <w:bookmarkStart w:id="167" w:name="_Toc310195712"/>
      <w:bookmarkStart w:id="168" w:name="_Toc5895186"/>
      <w:bookmarkStart w:id="169" w:name="_Toc28608"/>
      <w:bookmarkStart w:id="170" w:name="_Toc40110911"/>
      <w:r>
        <w:rPr>
          <w:b/>
          <w:sz w:val="24"/>
        </w:rPr>
        <w:t>16.投标截止</w:t>
      </w:r>
      <w:bookmarkEnd w:id="164"/>
      <w:bookmarkEnd w:id="167"/>
      <w:bookmarkEnd w:id="168"/>
      <w:r>
        <w:rPr>
          <w:b/>
          <w:sz w:val="24"/>
          <w:lang w:val="en-US"/>
        </w:rPr>
        <w:t>时间</w:t>
      </w:r>
      <w:bookmarkEnd w:id="169"/>
      <w:bookmarkEnd w:id="170"/>
    </w:p>
    <w:p>
      <w:pPr>
        <w:pStyle w:val="125"/>
        <w:snapToGrid w:val="0"/>
        <w:spacing w:line="360" w:lineRule="auto"/>
        <w:textAlignment w:val="baseline"/>
        <w:rPr>
          <w:rFonts w:ascii="宋体" w:hAnsi="宋体"/>
          <w:sz w:val="24"/>
        </w:rPr>
      </w:pPr>
      <w:bookmarkStart w:id="171" w:name="_Toc310195713"/>
      <w:bookmarkStart w:id="172" w:name="_Toc520356162"/>
      <w:bookmarkStart w:id="173" w:name="_Toc5895187"/>
      <w:r>
        <w:rPr>
          <w:rFonts w:ascii="宋体" w:hAnsi="宋体"/>
          <w:sz w:val="24"/>
        </w:rPr>
        <w:t>投标人应在招标公告或投标邀请书中规定的投标文件递交截止时间前，将投标文件按招标公告或投标邀请书中规定的投标地点递交。</w:t>
      </w:r>
    </w:p>
    <w:p>
      <w:pPr>
        <w:pStyle w:val="6"/>
        <w:snapToGrid w:val="0"/>
        <w:spacing w:line="360" w:lineRule="auto"/>
        <w:textAlignment w:val="baseline"/>
        <w:rPr>
          <w:rFonts w:hint="default"/>
          <w:b/>
          <w:sz w:val="24"/>
        </w:rPr>
      </w:pPr>
      <w:bookmarkStart w:id="174" w:name="_Toc40110912"/>
      <w:bookmarkStart w:id="175" w:name="_Toc2"/>
      <w:r>
        <w:rPr>
          <w:b/>
          <w:sz w:val="24"/>
        </w:rPr>
        <w:t>17.投标文件的</w:t>
      </w:r>
      <w:r>
        <w:rPr>
          <w:b/>
          <w:sz w:val="24"/>
          <w:lang w:val="en-US"/>
        </w:rPr>
        <w:t>补充、</w:t>
      </w:r>
      <w:r>
        <w:rPr>
          <w:b/>
          <w:sz w:val="24"/>
        </w:rPr>
        <w:t>修改</w:t>
      </w:r>
      <w:r>
        <w:rPr>
          <w:b/>
          <w:sz w:val="24"/>
          <w:lang w:val="en-US"/>
        </w:rPr>
        <w:t>与</w:t>
      </w:r>
      <w:r>
        <w:rPr>
          <w:b/>
          <w:sz w:val="24"/>
        </w:rPr>
        <w:t>撤回</w:t>
      </w:r>
      <w:bookmarkEnd w:id="171"/>
      <w:bookmarkEnd w:id="172"/>
      <w:bookmarkEnd w:id="173"/>
      <w:bookmarkEnd w:id="174"/>
      <w:bookmarkEnd w:id="175"/>
    </w:p>
    <w:p>
      <w:pPr>
        <w:pStyle w:val="125"/>
        <w:snapToGrid w:val="0"/>
        <w:spacing w:line="360" w:lineRule="auto"/>
        <w:textAlignment w:val="baseline"/>
        <w:rPr>
          <w:rFonts w:ascii="宋体" w:hAnsi="宋体"/>
          <w:sz w:val="24"/>
        </w:rPr>
      </w:pPr>
      <w:r>
        <w:rPr>
          <w:rFonts w:hint="eastAsia" w:ascii="宋体" w:hAnsi="宋体"/>
          <w:sz w:val="24"/>
        </w:rPr>
        <w:t>17.1投标人在投标截止时间前，可以对所递交的投标文件进行补充、修改或者撤回，并书面通知采购人或者采购代理机构。</w:t>
      </w:r>
    </w:p>
    <w:p>
      <w:pPr>
        <w:pStyle w:val="125"/>
        <w:snapToGrid w:val="0"/>
        <w:spacing w:line="360" w:lineRule="auto"/>
        <w:textAlignment w:val="baseline"/>
        <w:rPr>
          <w:rFonts w:ascii="宋体" w:hAnsi="宋体"/>
          <w:sz w:val="24"/>
        </w:rPr>
      </w:pPr>
      <w:r>
        <w:rPr>
          <w:rFonts w:hint="eastAsia" w:ascii="宋体" w:hAnsi="宋体"/>
          <w:sz w:val="24"/>
        </w:rPr>
        <w:t>17.2补充、修改的内容应当按照招标文件要求签署、盖章、密封后，作为投标文件的组成部分。</w:t>
      </w:r>
    </w:p>
    <w:p>
      <w:pPr>
        <w:pStyle w:val="125"/>
        <w:snapToGrid w:val="0"/>
        <w:spacing w:line="360" w:lineRule="auto"/>
        <w:textAlignment w:val="baseline"/>
        <w:rPr>
          <w:rFonts w:ascii="宋体" w:hAnsi="宋体"/>
          <w:b/>
          <w:sz w:val="24"/>
        </w:rPr>
      </w:pPr>
      <w:r>
        <w:rPr>
          <w:rFonts w:hint="eastAsia" w:ascii="宋体" w:hAnsi="宋体"/>
          <w:sz w:val="24"/>
        </w:rPr>
        <w:t>17.3在投标截止时间之后，投标人不得对其投标文件做任何修改。</w:t>
      </w:r>
    </w:p>
    <w:p>
      <w:pPr>
        <w:pStyle w:val="6"/>
        <w:tabs>
          <w:tab w:val="left" w:pos="900"/>
        </w:tabs>
        <w:snapToGrid w:val="0"/>
        <w:spacing w:line="360" w:lineRule="auto"/>
        <w:jc w:val="center"/>
        <w:textAlignment w:val="baseline"/>
        <w:rPr>
          <w:rFonts w:hint="default"/>
          <w:sz w:val="24"/>
        </w:rPr>
      </w:pPr>
      <w:bookmarkStart w:id="176" w:name="_Toc5895188"/>
      <w:bookmarkStart w:id="177" w:name="_Toc40110913"/>
      <w:bookmarkStart w:id="178" w:name="_Toc24209"/>
      <w:bookmarkStart w:id="179" w:name="_Toc32619"/>
      <w:bookmarkStart w:id="180" w:name="_Toc520356163"/>
      <w:bookmarkStart w:id="181" w:name="_Toc310195714"/>
      <w:r>
        <w:rPr>
          <w:sz w:val="24"/>
        </w:rPr>
        <w:t>五 开标及评标</w:t>
      </w:r>
      <w:bookmarkEnd w:id="176"/>
      <w:bookmarkEnd w:id="177"/>
      <w:bookmarkEnd w:id="178"/>
      <w:bookmarkEnd w:id="179"/>
      <w:bookmarkEnd w:id="180"/>
      <w:bookmarkEnd w:id="181"/>
    </w:p>
    <w:p>
      <w:pPr>
        <w:pStyle w:val="6"/>
        <w:snapToGrid w:val="0"/>
        <w:spacing w:line="360" w:lineRule="auto"/>
        <w:textAlignment w:val="baseline"/>
        <w:rPr>
          <w:rFonts w:hint="default"/>
          <w:b/>
          <w:sz w:val="24"/>
        </w:rPr>
      </w:pPr>
      <w:bookmarkStart w:id="182" w:name="_Toc40110914"/>
      <w:bookmarkStart w:id="183" w:name="_Toc520356164"/>
      <w:bookmarkStart w:id="184" w:name="_Toc25111"/>
      <w:bookmarkStart w:id="185" w:name="_Toc5895189"/>
      <w:bookmarkStart w:id="186" w:name="_Toc310195715"/>
      <w:r>
        <w:rPr>
          <w:b/>
          <w:sz w:val="24"/>
        </w:rPr>
        <w:t>18.开标</w:t>
      </w:r>
      <w:bookmarkEnd w:id="182"/>
      <w:bookmarkEnd w:id="183"/>
      <w:bookmarkEnd w:id="184"/>
      <w:bookmarkEnd w:id="185"/>
      <w:bookmarkEnd w:id="186"/>
    </w:p>
    <w:p>
      <w:pPr>
        <w:pStyle w:val="125"/>
        <w:snapToGrid w:val="0"/>
        <w:spacing w:line="360" w:lineRule="auto"/>
        <w:textAlignment w:val="baseline"/>
        <w:rPr>
          <w:rFonts w:ascii="宋体" w:hAnsi="宋体"/>
          <w:sz w:val="24"/>
        </w:rPr>
      </w:pPr>
      <w:r>
        <w:rPr>
          <w:rFonts w:hint="eastAsia" w:ascii="宋体" w:hAnsi="宋体"/>
          <w:sz w:val="24"/>
        </w:rPr>
        <w:t>18.1采购代理机构应当按招标公告或投标邀请书的规定，在投标截止时间的同一时间和预先确定的地点组织公开开标。所有投标人应派法定代表人或授权代表参加开标会，并签到以证明其出席。</w:t>
      </w:r>
    </w:p>
    <w:p>
      <w:pPr>
        <w:pStyle w:val="125"/>
        <w:snapToGrid w:val="0"/>
        <w:spacing w:line="360" w:lineRule="auto"/>
        <w:textAlignment w:val="baseline"/>
        <w:rPr>
          <w:rFonts w:ascii="宋体" w:hAnsi="宋体"/>
          <w:sz w:val="24"/>
        </w:rPr>
      </w:pPr>
      <w:r>
        <w:rPr>
          <w:rFonts w:hint="eastAsia" w:ascii="宋体" w:hAnsi="宋体"/>
          <w:sz w:val="24"/>
        </w:rPr>
        <w:t>18.2开标时，由公证员（如有）、监标人（如有）、</w:t>
      </w:r>
      <w:r>
        <w:rPr>
          <w:rFonts w:hint="eastAsia"/>
          <w:sz w:val="24"/>
        </w:rPr>
        <w:t>投标人或者其推选的代表检查投标文件的密封情况。</w:t>
      </w:r>
    </w:p>
    <w:p>
      <w:pPr>
        <w:snapToGrid w:val="0"/>
        <w:spacing w:line="360" w:lineRule="auto"/>
        <w:textAlignment w:val="baseline"/>
        <w:rPr>
          <w:rFonts w:ascii="宋体" w:hAnsi="宋体"/>
          <w:bCs/>
          <w:sz w:val="24"/>
        </w:rPr>
      </w:pPr>
      <w:bookmarkStart w:id="187" w:name="_Toc310195716"/>
      <w:bookmarkStart w:id="188" w:name="_Toc5895190"/>
      <w:r>
        <w:rPr>
          <w:rFonts w:hint="eastAsia" w:ascii="宋体" w:hAnsi="宋体"/>
          <w:bCs/>
          <w:sz w:val="24"/>
        </w:rPr>
        <w:t>18.3开标时，</w:t>
      </w:r>
      <w:r>
        <w:rPr>
          <w:rFonts w:hint="eastAsia"/>
          <w:sz w:val="24"/>
        </w:rPr>
        <w:t>采购代理机构工作人员当众拆封，宣布投标人名称、投标价格和招标文件规定的需要宣布的其他内容。</w:t>
      </w:r>
    </w:p>
    <w:p>
      <w:pPr>
        <w:snapToGrid w:val="0"/>
        <w:spacing w:line="360" w:lineRule="auto"/>
        <w:textAlignment w:val="baseline"/>
        <w:rPr>
          <w:rFonts w:ascii="宋体" w:hAnsi="宋体"/>
          <w:bCs/>
          <w:sz w:val="24"/>
        </w:rPr>
      </w:pPr>
      <w:r>
        <w:rPr>
          <w:rFonts w:ascii="宋体" w:hAnsi="宋体"/>
          <w:bCs/>
          <w:sz w:val="24"/>
        </w:rPr>
        <w:t>18.4开标过程应当由采购代理机构负责记录，由公证员（如有）、监标人（如有）、参加开标的各投标人代表和相关工作人员签字。</w:t>
      </w:r>
    </w:p>
    <w:p>
      <w:pPr>
        <w:pStyle w:val="6"/>
        <w:snapToGrid w:val="0"/>
        <w:spacing w:line="360" w:lineRule="auto"/>
        <w:textAlignment w:val="baseline"/>
        <w:rPr>
          <w:rFonts w:hint="default"/>
          <w:b/>
          <w:sz w:val="24"/>
          <w:lang w:val="en-US"/>
        </w:rPr>
      </w:pPr>
      <w:bookmarkStart w:id="189" w:name="_Toc780"/>
      <w:bookmarkStart w:id="190" w:name="_Toc40110915"/>
      <w:r>
        <w:rPr>
          <w:b/>
          <w:sz w:val="24"/>
        </w:rPr>
        <w:t>19.评标委员会</w:t>
      </w:r>
      <w:bookmarkEnd w:id="187"/>
      <w:r>
        <w:rPr>
          <w:b/>
          <w:sz w:val="24"/>
          <w:lang w:val="en-US"/>
        </w:rPr>
        <w:t>组建</w:t>
      </w:r>
      <w:bookmarkEnd w:id="188"/>
      <w:bookmarkEnd w:id="189"/>
      <w:bookmarkEnd w:id="190"/>
    </w:p>
    <w:p>
      <w:pPr>
        <w:pStyle w:val="125"/>
        <w:snapToGrid w:val="0"/>
        <w:spacing w:line="360" w:lineRule="auto"/>
        <w:textAlignment w:val="baseline"/>
        <w:rPr>
          <w:rFonts w:ascii="宋体" w:hAnsi="宋体"/>
          <w:sz w:val="24"/>
        </w:rPr>
      </w:pPr>
      <w:r>
        <w:rPr>
          <w:rFonts w:hint="eastAsia" w:ascii="宋体" w:hAnsi="宋体"/>
          <w:sz w:val="24"/>
        </w:rPr>
        <w:t>19.1采购人或者采购代理机构应当从省级以上财政部门设立的政府采购评审专家库中，通过随机方式抽取评审专家。</w:t>
      </w:r>
    </w:p>
    <w:p>
      <w:pPr>
        <w:pStyle w:val="125"/>
        <w:snapToGrid w:val="0"/>
        <w:spacing w:line="360" w:lineRule="auto"/>
        <w:textAlignment w:val="baseline"/>
        <w:rPr>
          <w:rFonts w:ascii="宋体" w:hAnsi="宋体"/>
          <w:sz w:val="24"/>
        </w:rPr>
      </w:pPr>
      <w:r>
        <w:rPr>
          <w:rFonts w:hint="eastAsia" w:ascii="宋体" w:hAnsi="宋体"/>
          <w:sz w:val="24"/>
        </w:rPr>
        <w:t>19.2对技术复杂、专业性强的采购项目，通过随机方式难以确定合适评审专家的，经主管预算单位同意，采购人可以自行选定相应专业领域的评审专家。</w:t>
      </w:r>
    </w:p>
    <w:p>
      <w:pPr>
        <w:pStyle w:val="125"/>
        <w:snapToGrid w:val="0"/>
        <w:spacing w:line="360" w:lineRule="auto"/>
        <w:textAlignment w:val="baseline"/>
        <w:rPr>
          <w:rFonts w:ascii="宋体" w:hAnsi="宋体"/>
          <w:sz w:val="24"/>
        </w:rPr>
      </w:pPr>
      <w:r>
        <w:rPr>
          <w:rFonts w:hint="eastAsia" w:ascii="宋体" w:hAnsi="宋体"/>
          <w:sz w:val="24"/>
        </w:rPr>
        <w:t>19.3评标工作由评标委员会负责。</w:t>
      </w:r>
    </w:p>
    <w:p>
      <w:pPr>
        <w:pStyle w:val="6"/>
        <w:snapToGrid w:val="0"/>
        <w:spacing w:line="360" w:lineRule="auto"/>
        <w:textAlignment w:val="baseline"/>
        <w:rPr>
          <w:rFonts w:hint="default"/>
          <w:b/>
          <w:sz w:val="24"/>
        </w:rPr>
      </w:pPr>
      <w:bookmarkStart w:id="191" w:name="_Toc310195717"/>
      <w:bookmarkStart w:id="192" w:name="_Toc5895191"/>
      <w:bookmarkStart w:id="193" w:name="_Toc520356166"/>
      <w:bookmarkStart w:id="194" w:name="_Toc40110916"/>
      <w:bookmarkStart w:id="195" w:name="_Toc16943"/>
      <w:r>
        <w:rPr>
          <w:b/>
          <w:sz w:val="24"/>
        </w:rPr>
        <w:t>2</w:t>
      </w:r>
      <w:r>
        <w:rPr>
          <w:rFonts w:hint="default"/>
          <w:b/>
          <w:sz w:val="24"/>
        </w:rPr>
        <w:t>0.</w:t>
      </w:r>
      <w:r>
        <w:rPr>
          <w:b/>
          <w:sz w:val="24"/>
        </w:rPr>
        <w:t>投标文件的</w:t>
      </w:r>
      <w:bookmarkEnd w:id="191"/>
      <w:bookmarkEnd w:id="192"/>
      <w:bookmarkEnd w:id="193"/>
      <w:r>
        <w:rPr>
          <w:b/>
          <w:sz w:val="24"/>
        </w:rPr>
        <w:t>审查</w:t>
      </w:r>
      <w:bookmarkEnd w:id="194"/>
      <w:bookmarkEnd w:id="195"/>
    </w:p>
    <w:p>
      <w:pPr>
        <w:pStyle w:val="125"/>
        <w:snapToGrid w:val="0"/>
        <w:spacing w:line="360" w:lineRule="auto"/>
        <w:textAlignment w:val="baseline"/>
        <w:rPr>
          <w:rFonts w:ascii="宋体" w:hAnsi="宋体"/>
          <w:sz w:val="24"/>
        </w:rPr>
      </w:pPr>
      <w:r>
        <w:rPr>
          <w:rFonts w:hint="eastAsia" w:ascii="宋体" w:hAnsi="宋体"/>
          <w:sz w:val="24"/>
        </w:rPr>
        <w:t>20.1资格性审查。公开招标采购项目开标结束后，采购人或者采购代理机构应当依法对投标人的资格进行审查，以确定投标人是否具备投标资格。</w:t>
      </w:r>
    </w:p>
    <w:p>
      <w:pPr>
        <w:pStyle w:val="125"/>
        <w:snapToGrid w:val="0"/>
        <w:spacing w:line="360" w:lineRule="auto"/>
        <w:textAlignment w:val="baseline"/>
        <w:rPr>
          <w:rFonts w:ascii="宋体" w:hAnsi="宋体"/>
          <w:sz w:val="24"/>
        </w:rPr>
      </w:pPr>
      <w:r>
        <w:rPr>
          <w:rFonts w:hint="eastAsia" w:ascii="宋体" w:hAnsi="宋体"/>
          <w:sz w:val="24"/>
        </w:rPr>
        <w:t>20.2符合性审查：评标委员会应当对符合资格的投标人的投标文件进行符合性审查，以确定其是否满足招标文件的实质性要求。</w:t>
      </w:r>
    </w:p>
    <w:p>
      <w:pPr>
        <w:pStyle w:val="125"/>
        <w:snapToGrid w:val="0"/>
        <w:spacing w:line="360" w:lineRule="auto"/>
        <w:textAlignment w:val="baseline"/>
        <w:rPr>
          <w:rFonts w:ascii="宋体" w:hAnsi="宋体"/>
          <w:sz w:val="24"/>
        </w:rPr>
      </w:pPr>
      <w:r>
        <w:rPr>
          <w:rFonts w:hint="eastAsia" w:ascii="宋体" w:hAnsi="宋体"/>
          <w:sz w:val="24"/>
        </w:rPr>
        <w:t>20.3评标时算术错误将按以下方法更正（有明显错误的情况除外）：</w:t>
      </w:r>
    </w:p>
    <w:p>
      <w:pPr>
        <w:pStyle w:val="125"/>
        <w:snapToGrid w:val="0"/>
        <w:spacing w:line="360" w:lineRule="auto"/>
        <w:textAlignment w:val="baseline"/>
        <w:rPr>
          <w:rFonts w:ascii="宋体" w:hAnsi="宋体"/>
          <w:sz w:val="24"/>
        </w:rPr>
      </w:pPr>
      <w:r>
        <w:rPr>
          <w:rFonts w:hint="eastAsia" w:ascii="宋体" w:hAnsi="宋体"/>
          <w:sz w:val="24"/>
        </w:rPr>
        <w:t>20.3.1投标文件中开标一览表（报价表）内容与投标文件中相应内容不一致的，以开标一览表（报价表）为准；</w:t>
      </w:r>
    </w:p>
    <w:p>
      <w:pPr>
        <w:pStyle w:val="125"/>
        <w:snapToGrid w:val="0"/>
        <w:spacing w:line="360" w:lineRule="auto"/>
        <w:textAlignment w:val="baseline"/>
        <w:rPr>
          <w:rFonts w:ascii="宋体" w:hAnsi="宋体"/>
          <w:sz w:val="24"/>
        </w:rPr>
      </w:pPr>
      <w:r>
        <w:rPr>
          <w:rFonts w:hint="eastAsia" w:ascii="宋体" w:hAnsi="宋体"/>
          <w:sz w:val="24"/>
        </w:rPr>
        <w:t>20.3.2大写金额和小写金额不一致的，以大写金额为准；</w:t>
      </w:r>
    </w:p>
    <w:p>
      <w:pPr>
        <w:pStyle w:val="125"/>
        <w:snapToGrid w:val="0"/>
        <w:spacing w:line="360" w:lineRule="auto"/>
        <w:textAlignment w:val="baseline"/>
        <w:rPr>
          <w:rFonts w:ascii="宋体" w:hAnsi="宋体"/>
          <w:sz w:val="24"/>
        </w:rPr>
      </w:pPr>
      <w:r>
        <w:rPr>
          <w:rFonts w:hint="eastAsia" w:ascii="宋体" w:hAnsi="宋体"/>
          <w:sz w:val="24"/>
        </w:rPr>
        <w:t>20.3.3单价金额小数点或者百分比有明显错位的，以开标一览表的总价为准，并修改单价；</w:t>
      </w:r>
    </w:p>
    <w:p>
      <w:pPr>
        <w:pStyle w:val="125"/>
        <w:snapToGrid w:val="0"/>
        <w:spacing w:line="360" w:lineRule="auto"/>
        <w:textAlignment w:val="baseline"/>
        <w:rPr>
          <w:rFonts w:ascii="宋体" w:hAnsi="宋体"/>
          <w:sz w:val="24"/>
        </w:rPr>
      </w:pPr>
      <w:r>
        <w:rPr>
          <w:rFonts w:hint="eastAsia" w:ascii="宋体" w:hAnsi="宋体"/>
          <w:sz w:val="24"/>
        </w:rPr>
        <w:t>20.3.4总价金额与按单价汇总金额不一致的，以单价金额计算结果为准。</w:t>
      </w:r>
    </w:p>
    <w:p>
      <w:pPr>
        <w:pStyle w:val="125"/>
        <w:snapToGrid w:val="0"/>
        <w:spacing w:line="360" w:lineRule="auto"/>
        <w:textAlignment w:val="baseline"/>
        <w:rPr>
          <w:rFonts w:ascii="宋体" w:hAnsi="宋体"/>
          <w:sz w:val="24"/>
        </w:rPr>
      </w:pPr>
      <w:r>
        <w:rPr>
          <w:rFonts w:hint="eastAsia" w:ascii="宋体" w:hAnsi="宋体"/>
          <w:sz w:val="24"/>
        </w:rPr>
        <w:t>20.3.5同时出现两种以上不一致的，按照20.3.1至20.3.4规定的顺序修正。</w:t>
      </w:r>
    </w:p>
    <w:p>
      <w:pPr>
        <w:pStyle w:val="125"/>
        <w:snapToGrid w:val="0"/>
        <w:spacing w:line="360" w:lineRule="auto"/>
        <w:textAlignment w:val="baseline"/>
        <w:rPr>
          <w:rFonts w:ascii="宋体" w:hAnsi="宋体"/>
          <w:sz w:val="24"/>
        </w:rPr>
      </w:pPr>
      <w:r>
        <w:rPr>
          <w:rFonts w:hint="eastAsia" w:ascii="宋体" w:hAnsi="宋体"/>
          <w:sz w:val="24"/>
        </w:rPr>
        <w:t>20.3.6对不同文字文本投标文件解释发生异议的，以中文文本为准。</w:t>
      </w:r>
    </w:p>
    <w:p>
      <w:pPr>
        <w:pStyle w:val="125"/>
        <w:snapToGrid w:val="0"/>
        <w:spacing w:line="360" w:lineRule="auto"/>
        <w:textAlignment w:val="baseline"/>
        <w:rPr>
          <w:rFonts w:ascii="宋体" w:hAnsi="宋体"/>
          <w:sz w:val="24"/>
        </w:rPr>
      </w:pPr>
      <w:r>
        <w:rPr>
          <w:rFonts w:ascii="宋体" w:hAnsi="宋体"/>
          <w:sz w:val="24"/>
        </w:rPr>
        <w:t xml:space="preserve">20.4 </w:t>
      </w:r>
      <w:r>
        <w:rPr>
          <w:rFonts w:hint="eastAsia" w:ascii="宋体" w:hAnsi="宋体"/>
          <w:sz w:val="24"/>
        </w:rPr>
        <w:t>在评标之前，评标委员会须审查每份投标文件《商务技术册》是否实质性响应了招标文件的要求。实质性响应的投标应该是《商务技术册》完整的、与招标文件要求的全部条款、条件和规格相符的，没有重大偏离的投标。对关键条文，例如关于投标保证金、投标有效期、适用法律等内容的偏离、保留和反对将被认为是实质上的偏离。评标委员会决定投标的响应性只根据投标文件本身的内容，而不依靠外部证据。</w:t>
      </w:r>
    </w:p>
    <w:p>
      <w:pPr>
        <w:pStyle w:val="125"/>
        <w:snapToGrid w:val="0"/>
        <w:spacing w:line="360" w:lineRule="auto"/>
        <w:textAlignment w:val="baseline"/>
        <w:rPr>
          <w:rFonts w:ascii="宋体" w:hAnsi="宋体"/>
          <w:b/>
          <w:sz w:val="24"/>
        </w:rPr>
      </w:pPr>
      <w:r>
        <w:rPr>
          <w:rFonts w:hint="eastAsia" w:ascii="宋体" w:hAnsi="宋体"/>
          <w:b/>
          <w:sz w:val="24"/>
        </w:rPr>
        <w:t>20.5 在招标采购中，出现下列情形之一的，应予废标：</w:t>
      </w:r>
    </w:p>
    <w:p>
      <w:pPr>
        <w:pStyle w:val="125"/>
        <w:snapToGrid w:val="0"/>
        <w:spacing w:line="360" w:lineRule="auto"/>
        <w:textAlignment w:val="baseline"/>
        <w:rPr>
          <w:rFonts w:ascii="宋体" w:hAnsi="宋体"/>
          <w:b/>
          <w:sz w:val="24"/>
        </w:rPr>
      </w:pPr>
      <w:r>
        <w:rPr>
          <w:rFonts w:hint="eastAsia" w:ascii="宋体" w:hAnsi="宋体"/>
          <w:b/>
          <w:sz w:val="24"/>
        </w:rPr>
        <w:t>20.5.1符合专业条件的投标人或者对招标文件作实质响应的投标人不足三家的；</w:t>
      </w:r>
    </w:p>
    <w:p>
      <w:pPr>
        <w:pStyle w:val="125"/>
        <w:snapToGrid w:val="0"/>
        <w:spacing w:line="360" w:lineRule="auto"/>
        <w:textAlignment w:val="baseline"/>
        <w:rPr>
          <w:rFonts w:ascii="宋体" w:hAnsi="宋体"/>
          <w:b/>
          <w:sz w:val="24"/>
        </w:rPr>
      </w:pPr>
      <w:r>
        <w:rPr>
          <w:rFonts w:hint="eastAsia" w:ascii="宋体" w:hAnsi="宋体"/>
          <w:b/>
          <w:sz w:val="24"/>
        </w:rPr>
        <w:t>20.5.2出现影响采购公正的违法、违规行为的；</w:t>
      </w:r>
    </w:p>
    <w:p>
      <w:pPr>
        <w:pStyle w:val="125"/>
        <w:snapToGrid w:val="0"/>
        <w:spacing w:line="360" w:lineRule="auto"/>
        <w:textAlignment w:val="baseline"/>
        <w:rPr>
          <w:rFonts w:ascii="宋体" w:hAnsi="宋体"/>
          <w:b/>
          <w:sz w:val="24"/>
        </w:rPr>
      </w:pPr>
      <w:r>
        <w:rPr>
          <w:rFonts w:hint="eastAsia" w:ascii="宋体" w:hAnsi="宋体"/>
          <w:b/>
          <w:sz w:val="24"/>
        </w:rPr>
        <w:t>20.5.3投标人的报价均超过了采购预算，采购人不能支付的；</w:t>
      </w:r>
    </w:p>
    <w:p>
      <w:pPr>
        <w:pStyle w:val="125"/>
        <w:snapToGrid w:val="0"/>
        <w:spacing w:line="360" w:lineRule="auto"/>
        <w:textAlignment w:val="baseline"/>
        <w:rPr>
          <w:rFonts w:ascii="宋体" w:hAnsi="宋体"/>
          <w:b/>
          <w:sz w:val="24"/>
        </w:rPr>
      </w:pPr>
      <w:r>
        <w:rPr>
          <w:rFonts w:hint="eastAsia" w:ascii="宋体" w:hAnsi="宋体"/>
          <w:b/>
          <w:sz w:val="24"/>
        </w:rPr>
        <w:t>20.5.4因重大变故，采购任务取消的。</w:t>
      </w:r>
    </w:p>
    <w:p>
      <w:pPr>
        <w:pStyle w:val="125"/>
        <w:snapToGrid w:val="0"/>
        <w:spacing w:line="360" w:lineRule="auto"/>
        <w:textAlignment w:val="baseline"/>
        <w:rPr>
          <w:rFonts w:ascii="宋体" w:hAnsi="宋体"/>
          <w:b/>
          <w:sz w:val="24"/>
        </w:rPr>
      </w:pPr>
      <w:bookmarkStart w:id="196" w:name="_Toc5895192"/>
      <w:bookmarkStart w:id="197" w:name="_Toc310195718"/>
      <w:bookmarkStart w:id="198" w:name="_Toc520356167"/>
      <w:r>
        <w:rPr>
          <w:rFonts w:ascii="宋体" w:hAnsi="宋体"/>
          <w:b/>
          <w:sz w:val="24"/>
        </w:rPr>
        <w:t>20.6 投标文件属下列情况之一的，应当在资格性、符合性审查时按照无效投标处理：</w:t>
      </w:r>
    </w:p>
    <w:p>
      <w:pPr>
        <w:pStyle w:val="125"/>
        <w:snapToGrid w:val="0"/>
        <w:spacing w:line="360" w:lineRule="auto"/>
        <w:textAlignment w:val="baseline"/>
        <w:rPr>
          <w:rFonts w:ascii="宋体" w:hAnsi="宋体"/>
          <w:sz w:val="24"/>
        </w:rPr>
      </w:pPr>
      <w:r>
        <w:rPr>
          <w:rFonts w:hint="eastAsia" w:ascii="宋体" w:hAnsi="宋体"/>
          <w:sz w:val="24"/>
        </w:rPr>
        <w:t>20.6.1未按照招标文件的规定提交投标保证金的；</w:t>
      </w:r>
    </w:p>
    <w:p>
      <w:pPr>
        <w:pStyle w:val="125"/>
        <w:snapToGrid w:val="0"/>
        <w:spacing w:line="360" w:lineRule="auto"/>
        <w:textAlignment w:val="baseline"/>
        <w:rPr>
          <w:rFonts w:ascii="宋体" w:hAnsi="宋体"/>
          <w:sz w:val="24"/>
        </w:rPr>
      </w:pPr>
      <w:r>
        <w:rPr>
          <w:rFonts w:hint="eastAsia" w:ascii="宋体" w:hAnsi="宋体"/>
          <w:sz w:val="24"/>
        </w:rPr>
        <w:t>20.6.2投标文件未按招标文件要求装订、签署、盖章的；</w:t>
      </w:r>
    </w:p>
    <w:p>
      <w:pPr>
        <w:pStyle w:val="125"/>
        <w:snapToGrid w:val="0"/>
        <w:spacing w:line="360" w:lineRule="auto"/>
        <w:textAlignment w:val="baseline"/>
        <w:rPr>
          <w:rFonts w:ascii="宋体" w:hAnsi="宋体"/>
          <w:sz w:val="24"/>
        </w:rPr>
      </w:pPr>
      <w:r>
        <w:rPr>
          <w:rFonts w:hint="eastAsia" w:ascii="宋体" w:hAnsi="宋体"/>
          <w:sz w:val="24"/>
        </w:rPr>
        <w:t>20.6.3不具备招标文件中规定的资格要求的；</w:t>
      </w:r>
    </w:p>
    <w:p>
      <w:pPr>
        <w:pStyle w:val="125"/>
        <w:snapToGrid w:val="0"/>
        <w:spacing w:line="360" w:lineRule="auto"/>
        <w:textAlignment w:val="baseline"/>
        <w:rPr>
          <w:rFonts w:ascii="宋体" w:hAnsi="宋体"/>
          <w:sz w:val="24"/>
        </w:rPr>
      </w:pPr>
      <w:r>
        <w:rPr>
          <w:rFonts w:hint="eastAsia" w:ascii="宋体" w:hAnsi="宋体"/>
          <w:sz w:val="24"/>
        </w:rPr>
        <w:t>20.6.4报价超过招标文件中规定的预算金额或者最高限价的；</w:t>
      </w:r>
    </w:p>
    <w:p>
      <w:pPr>
        <w:pStyle w:val="125"/>
        <w:snapToGrid w:val="0"/>
        <w:spacing w:line="360" w:lineRule="auto"/>
        <w:textAlignment w:val="baseline"/>
        <w:rPr>
          <w:rFonts w:ascii="宋体" w:hAnsi="宋体"/>
          <w:sz w:val="24"/>
        </w:rPr>
      </w:pPr>
      <w:r>
        <w:rPr>
          <w:rFonts w:hint="eastAsia" w:ascii="宋体" w:hAnsi="宋体"/>
          <w:sz w:val="24"/>
        </w:rPr>
        <w:t>20.6.5投标文件含有采购人不能接受的附加条件的；</w:t>
      </w:r>
    </w:p>
    <w:p>
      <w:pPr>
        <w:pStyle w:val="125"/>
        <w:snapToGrid w:val="0"/>
        <w:spacing w:line="360" w:lineRule="auto"/>
        <w:textAlignment w:val="baseline"/>
        <w:rPr>
          <w:rFonts w:ascii="宋体" w:hAnsi="宋体"/>
          <w:sz w:val="24"/>
        </w:rPr>
      </w:pPr>
      <w:r>
        <w:rPr>
          <w:rFonts w:hint="eastAsia" w:ascii="宋体" w:hAnsi="宋体"/>
          <w:sz w:val="24"/>
        </w:rPr>
        <w:t>20.6.6不同投标人的投标文件由同一单位或者个人编制；</w:t>
      </w:r>
    </w:p>
    <w:p>
      <w:pPr>
        <w:pStyle w:val="125"/>
        <w:snapToGrid w:val="0"/>
        <w:spacing w:line="360" w:lineRule="auto"/>
        <w:textAlignment w:val="baseline"/>
        <w:rPr>
          <w:rFonts w:ascii="宋体" w:hAnsi="宋体"/>
          <w:sz w:val="24"/>
        </w:rPr>
      </w:pPr>
      <w:r>
        <w:rPr>
          <w:rFonts w:hint="eastAsia" w:ascii="宋体" w:hAnsi="宋体"/>
          <w:sz w:val="24"/>
        </w:rPr>
        <w:t>20.6.7不同投标人委托同一单位或者个人办理投标事宜；</w:t>
      </w:r>
    </w:p>
    <w:p>
      <w:pPr>
        <w:pStyle w:val="125"/>
        <w:snapToGrid w:val="0"/>
        <w:spacing w:line="360" w:lineRule="auto"/>
        <w:textAlignment w:val="baseline"/>
        <w:rPr>
          <w:rFonts w:ascii="宋体" w:hAnsi="宋体"/>
          <w:sz w:val="24"/>
        </w:rPr>
      </w:pPr>
      <w:r>
        <w:rPr>
          <w:rFonts w:hint="eastAsia" w:ascii="宋体" w:hAnsi="宋体"/>
          <w:sz w:val="24"/>
        </w:rPr>
        <w:t>20.6.8不同投标人的投标文件载明的项目管理成员或者联系人员为同一人；</w:t>
      </w:r>
    </w:p>
    <w:p>
      <w:pPr>
        <w:pStyle w:val="125"/>
        <w:snapToGrid w:val="0"/>
        <w:spacing w:line="360" w:lineRule="auto"/>
        <w:textAlignment w:val="baseline"/>
        <w:rPr>
          <w:rFonts w:ascii="宋体" w:hAnsi="宋体"/>
          <w:sz w:val="24"/>
        </w:rPr>
      </w:pPr>
      <w:r>
        <w:rPr>
          <w:rFonts w:hint="eastAsia" w:ascii="宋体" w:hAnsi="宋体"/>
          <w:sz w:val="24"/>
        </w:rPr>
        <w:t>20.6.9不同投标人的投标文件异常一致或者投标报价呈规律性差异；</w:t>
      </w:r>
    </w:p>
    <w:p>
      <w:pPr>
        <w:pStyle w:val="125"/>
        <w:snapToGrid w:val="0"/>
        <w:spacing w:line="360" w:lineRule="auto"/>
        <w:textAlignment w:val="baseline"/>
        <w:rPr>
          <w:rFonts w:ascii="宋体" w:hAnsi="宋体"/>
          <w:sz w:val="24"/>
        </w:rPr>
      </w:pPr>
      <w:r>
        <w:rPr>
          <w:rFonts w:hint="eastAsia" w:ascii="宋体" w:hAnsi="宋体"/>
          <w:sz w:val="24"/>
        </w:rPr>
        <w:t>20.6.10不同投标人的投标文件相互混装；</w:t>
      </w:r>
    </w:p>
    <w:p>
      <w:pPr>
        <w:pStyle w:val="125"/>
        <w:snapToGrid w:val="0"/>
        <w:spacing w:line="360" w:lineRule="auto"/>
        <w:textAlignment w:val="baseline"/>
        <w:rPr>
          <w:rFonts w:ascii="宋体" w:hAnsi="宋体"/>
          <w:sz w:val="24"/>
        </w:rPr>
      </w:pPr>
      <w:r>
        <w:rPr>
          <w:rFonts w:hint="eastAsia" w:ascii="宋体" w:hAnsi="宋体"/>
          <w:sz w:val="24"/>
        </w:rPr>
        <w:t>20.6.11不同投标人的投标保证金从同一单位或者个人的账户转出；</w:t>
      </w:r>
    </w:p>
    <w:p>
      <w:pPr>
        <w:pStyle w:val="125"/>
        <w:snapToGrid w:val="0"/>
        <w:spacing w:line="360" w:lineRule="auto"/>
        <w:textAlignment w:val="baseline"/>
        <w:rPr>
          <w:rFonts w:ascii="宋体" w:hAnsi="宋体"/>
          <w:sz w:val="24"/>
        </w:rPr>
      </w:pPr>
      <w:r>
        <w:rPr>
          <w:rFonts w:hint="eastAsia" w:ascii="宋体" w:hAnsi="宋体"/>
          <w:sz w:val="24"/>
        </w:rPr>
        <w:t>20.6.12按照20.3.1至20.3.4规定顺序修正，修正后的报价按照招标文件第21.2条的规定经投标人确认后产生约束力，投标人不确认的；</w:t>
      </w:r>
    </w:p>
    <w:p>
      <w:pPr>
        <w:pStyle w:val="125"/>
        <w:snapToGrid w:val="0"/>
        <w:spacing w:line="360" w:lineRule="auto"/>
        <w:textAlignment w:val="baseline"/>
        <w:rPr>
          <w:rFonts w:ascii="宋体" w:hAnsi="宋体"/>
          <w:sz w:val="24"/>
        </w:rPr>
      </w:pPr>
      <w:r>
        <w:rPr>
          <w:rFonts w:hint="eastAsia" w:ascii="宋体" w:hAnsi="宋体"/>
          <w:sz w:val="24"/>
        </w:rPr>
        <w:t>20.6.13联合体各方在同一项目中以自己名义单独投标或者参加其他联合体投标的；</w:t>
      </w:r>
    </w:p>
    <w:p>
      <w:pPr>
        <w:pStyle w:val="125"/>
        <w:snapToGrid w:val="0"/>
        <w:spacing w:line="360" w:lineRule="auto"/>
        <w:textAlignment w:val="baseline"/>
        <w:rPr>
          <w:rFonts w:ascii="宋体" w:hAnsi="宋体"/>
          <w:sz w:val="24"/>
        </w:rPr>
      </w:pPr>
      <w:r>
        <w:rPr>
          <w:rFonts w:hint="eastAsia" w:ascii="宋体" w:hAnsi="宋体"/>
          <w:sz w:val="24"/>
        </w:rPr>
        <w:t>20.6.14若投标人须知资料表中未写明允许采购进口产品，投标人所投产品为进口产品的；</w:t>
      </w:r>
    </w:p>
    <w:p>
      <w:pPr>
        <w:pStyle w:val="125"/>
        <w:snapToGrid w:val="0"/>
        <w:spacing w:line="360" w:lineRule="auto"/>
        <w:textAlignment w:val="baseline"/>
        <w:rPr>
          <w:rFonts w:ascii="宋体" w:hAnsi="宋体"/>
          <w:sz w:val="24"/>
        </w:rPr>
      </w:pPr>
      <w:r>
        <w:rPr>
          <w:rFonts w:hint="eastAsia" w:ascii="宋体" w:hAnsi="宋体"/>
          <w:sz w:val="24"/>
        </w:rPr>
        <w:t>20.6.15投标人在投标过程中向采购人、采购代理机构行贿或者提供其他不正当利益的；</w:t>
      </w:r>
    </w:p>
    <w:p>
      <w:pPr>
        <w:pStyle w:val="125"/>
        <w:snapToGrid w:val="0"/>
        <w:spacing w:line="360" w:lineRule="auto"/>
        <w:textAlignment w:val="baseline"/>
        <w:rPr>
          <w:rFonts w:ascii="宋体" w:hAnsi="宋体"/>
          <w:sz w:val="24"/>
        </w:rPr>
      </w:pPr>
      <w:r>
        <w:rPr>
          <w:rFonts w:hint="eastAsia" w:ascii="宋体" w:hAnsi="宋体"/>
          <w:sz w:val="24"/>
        </w:rPr>
        <w:t>20.6.16投标有效期不满足招标要求；</w:t>
      </w:r>
    </w:p>
    <w:p>
      <w:pPr>
        <w:pStyle w:val="125"/>
        <w:snapToGrid w:val="0"/>
        <w:spacing w:line="360" w:lineRule="auto"/>
        <w:textAlignment w:val="baseline"/>
        <w:rPr>
          <w:rFonts w:ascii="宋体" w:hAnsi="宋体"/>
          <w:sz w:val="24"/>
        </w:rPr>
      </w:pPr>
      <w:r>
        <w:rPr>
          <w:rFonts w:hint="eastAsia" w:ascii="宋体" w:hAnsi="宋体"/>
          <w:sz w:val="24"/>
        </w:rPr>
        <w:t>20.6.17“采购需求”中“★”指标的；</w:t>
      </w:r>
    </w:p>
    <w:p>
      <w:pPr>
        <w:pStyle w:val="125"/>
        <w:snapToGrid w:val="0"/>
        <w:spacing w:line="360" w:lineRule="auto"/>
        <w:textAlignment w:val="baseline"/>
        <w:rPr>
          <w:rFonts w:ascii="宋体" w:hAnsi="宋体"/>
          <w:sz w:val="24"/>
        </w:rPr>
      </w:pPr>
      <w:r>
        <w:rPr>
          <w:rFonts w:hint="eastAsia" w:ascii="宋体" w:hAnsi="宋体"/>
          <w:sz w:val="24"/>
        </w:rPr>
        <w:t>20.6.18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25"/>
        <w:snapToGrid w:val="0"/>
        <w:spacing w:line="360" w:lineRule="auto"/>
        <w:textAlignment w:val="baseline"/>
        <w:rPr>
          <w:rFonts w:ascii="宋体" w:hAnsi="宋体"/>
          <w:sz w:val="24"/>
        </w:rPr>
      </w:pPr>
      <w:r>
        <w:rPr>
          <w:rFonts w:hint="eastAsia" w:ascii="宋体" w:hAnsi="宋体"/>
          <w:sz w:val="24"/>
        </w:rPr>
        <w:t>20.6.19在评标过程中发现投标人未遵循公平竞争的原则，恶意串通，妨碍其他投标人的竞争行为，损害采购人或者其他投标人的合法权益的；</w:t>
      </w:r>
    </w:p>
    <w:p>
      <w:pPr>
        <w:pStyle w:val="125"/>
        <w:snapToGrid w:val="0"/>
        <w:spacing w:line="360" w:lineRule="auto"/>
        <w:textAlignment w:val="baseline"/>
        <w:rPr>
          <w:rFonts w:ascii="宋体" w:hAnsi="宋体"/>
          <w:sz w:val="24"/>
        </w:rPr>
      </w:pPr>
      <w:r>
        <w:rPr>
          <w:rFonts w:hint="eastAsia" w:ascii="宋体" w:hAnsi="宋体"/>
          <w:sz w:val="24"/>
        </w:rPr>
        <w:t>20.6.20法律、法规和招标文件规定的其他无效情形。</w:t>
      </w:r>
    </w:p>
    <w:p>
      <w:pPr>
        <w:pStyle w:val="6"/>
        <w:snapToGrid w:val="0"/>
        <w:spacing w:line="360" w:lineRule="auto"/>
        <w:textAlignment w:val="baseline"/>
        <w:rPr>
          <w:rFonts w:hint="default"/>
          <w:b/>
        </w:rPr>
      </w:pPr>
      <w:bookmarkStart w:id="199" w:name="_Toc26612"/>
      <w:bookmarkStart w:id="200" w:name="_Toc40110917"/>
      <w:r>
        <w:rPr>
          <w:b/>
          <w:bCs/>
          <w:sz w:val="24"/>
          <w:szCs w:val="24"/>
        </w:rPr>
        <w:t>21. 投标文件的澄清</w:t>
      </w:r>
      <w:bookmarkEnd w:id="196"/>
      <w:bookmarkEnd w:id="197"/>
      <w:bookmarkEnd w:id="199"/>
      <w:bookmarkEnd w:id="200"/>
    </w:p>
    <w:p>
      <w:pPr>
        <w:pStyle w:val="125"/>
        <w:snapToGrid w:val="0"/>
        <w:spacing w:line="360" w:lineRule="auto"/>
        <w:textAlignment w:val="baseline"/>
        <w:rPr>
          <w:rFonts w:ascii="宋体" w:hAnsi="宋体"/>
          <w:sz w:val="24"/>
        </w:rPr>
      </w:pPr>
      <w:r>
        <w:rPr>
          <w:rFonts w:hint="eastAsia" w:ascii="宋体" w:hAnsi="宋体"/>
          <w:sz w:val="24"/>
        </w:rPr>
        <w:t>21.1对于投标文件中含义不明确、同类问题表述不一致或者有明显文字和计算错误的内容，评标委员会应当以书面形式要求投标人作出必要的澄清、说明或者补正。</w:t>
      </w:r>
    </w:p>
    <w:p>
      <w:pPr>
        <w:pStyle w:val="125"/>
        <w:snapToGrid w:val="0"/>
        <w:spacing w:line="360" w:lineRule="auto"/>
        <w:textAlignment w:val="baseline"/>
        <w:rPr>
          <w:rFonts w:ascii="宋体" w:hAnsi="宋体"/>
          <w:sz w:val="24"/>
        </w:rPr>
      </w:pPr>
      <w:r>
        <w:rPr>
          <w:rFonts w:hint="eastAsia" w:ascii="宋体" w:hAnsi="宋体"/>
          <w:sz w:val="24"/>
        </w:rPr>
        <w:t>21.2投标人的澄清、说明或者补正应当采用书面形式，并加盖公章，或者由法定代表人或其授权的代表签字。投标人的澄清、说明或者补正不得超出投标文件的范围或者改变投标文件的实质性内容。</w:t>
      </w:r>
    </w:p>
    <w:p>
      <w:pPr>
        <w:pStyle w:val="125"/>
        <w:snapToGrid w:val="0"/>
        <w:spacing w:line="360" w:lineRule="auto"/>
        <w:textAlignment w:val="baseline"/>
      </w:pPr>
      <w:r>
        <w:rPr>
          <w:rFonts w:hint="eastAsia" w:ascii="宋体" w:hAnsi="宋体"/>
          <w:sz w:val="24"/>
        </w:rPr>
        <w:t>21.3澄清文件将作为投标文件内容的一部分。</w:t>
      </w:r>
    </w:p>
    <w:bookmarkEnd w:id="198"/>
    <w:p>
      <w:pPr>
        <w:pStyle w:val="6"/>
        <w:snapToGrid w:val="0"/>
        <w:spacing w:line="360" w:lineRule="auto"/>
        <w:textAlignment w:val="baseline"/>
        <w:rPr>
          <w:rFonts w:hint="default"/>
          <w:b/>
          <w:sz w:val="24"/>
        </w:rPr>
      </w:pPr>
      <w:bookmarkStart w:id="201" w:name="_Toc12680"/>
      <w:bookmarkStart w:id="202" w:name="_Toc40110918"/>
      <w:bookmarkStart w:id="203" w:name="_Toc310195719"/>
      <w:bookmarkStart w:id="204" w:name="_Toc5895193"/>
      <w:r>
        <w:rPr>
          <w:b/>
          <w:sz w:val="24"/>
        </w:rPr>
        <w:t>22. 评标</w:t>
      </w:r>
      <w:bookmarkEnd w:id="201"/>
      <w:bookmarkEnd w:id="202"/>
      <w:bookmarkEnd w:id="203"/>
      <w:bookmarkEnd w:id="204"/>
    </w:p>
    <w:p>
      <w:pPr>
        <w:pStyle w:val="125"/>
        <w:snapToGrid w:val="0"/>
        <w:spacing w:line="360" w:lineRule="auto"/>
        <w:textAlignment w:val="baseline"/>
        <w:rPr>
          <w:rFonts w:ascii="宋体" w:hAnsi="宋体"/>
          <w:sz w:val="24"/>
        </w:rPr>
      </w:pPr>
      <w:r>
        <w:rPr>
          <w:rFonts w:hint="eastAsia" w:ascii="宋体" w:hAnsi="宋体"/>
          <w:sz w:val="24"/>
        </w:rPr>
        <w:t>22.1评标委员会负责具体评标事务，并独立履行下列职责：</w:t>
      </w:r>
    </w:p>
    <w:p>
      <w:pPr>
        <w:pStyle w:val="125"/>
        <w:snapToGrid w:val="0"/>
        <w:spacing w:line="360" w:lineRule="auto"/>
        <w:textAlignment w:val="baseline"/>
        <w:rPr>
          <w:rFonts w:ascii="宋体" w:hAnsi="宋体"/>
          <w:sz w:val="24"/>
        </w:rPr>
      </w:pPr>
      <w:r>
        <w:rPr>
          <w:rFonts w:hint="eastAsia" w:ascii="宋体" w:hAnsi="宋体"/>
          <w:sz w:val="24"/>
        </w:rPr>
        <w:t>22.1.1审查、评价投标文件是否符合招标文件的商务、技术等实质性要求；</w:t>
      </w:r>
    </w:p>
    <w:p>
      <w:pPr>
        <w:pStyle w:val="125"/>
        <w:snapToGrid w:val="0"/>
        <w:spacing w:line="360" w:lineRule="auto"/>
        <w:textAlignment w:val="baseline"/>
        <w:rPr>
          <w:rFonts w:ascii="宋体" w:hAnsi="宋体"/>
          <w:sz w:val="24"/>
        </w:rPr>
      </w:pPr>
      <w:r>
        <w:rPr>
          <w:rFonts w:hint="eastAsia" w:ascii="宋体" w:hAnsi="宋体"/>
          <w:sz w:val="24"/>
        </w:rPr>
        <w:t>22.1.2要求投标人对投标文件有关事项作出澄清或者说明；</w:t>
      </w:r>
    </w:p>
    <w:p>
      <w:pPr>
        <w:pStyle w:val="125"/>
        <w:snapToGrid w:val="0"/>
        <w:spacing w:line="360" w:lineRule="auto"/>
        <w:textAlignment w:val="baseline"/>
        <w:rPr>
          <w:rFonts w:ascii="宋体" w:hAnsi="宋体"/>
          <w:sz w:val="24"/>
        </w:rPr>
      </w:pPr>
      <w:r>
        <w:rPr>
          <w:rFonts w:hint="eastAsia" w:ascii="宋体" w:hAnsi="宋体"/>
          <w:sz w:val="24"/>
        </w:rPr>
        <w:t>22.1.3对投标文件进行比较和评价；</w:t>
      </w:r>
    </w:p>
    <w:p>
      <w:pPr>
        <w:pStyle w:val="125"/>
        <w:snapToGrid w:val="0"/>
        <w:spacing w:line="360" w:lineRule="auto"/>
        <w:textAlignment w:val="baseline"/>
        <w:rPr>
          <w:rFonts w:ascii="宋体" w:hAnsi="宋体"/>
          <w:sz w:val="24"/>
        </w:rPr>
      </w:pPr>
      <w:r>
        <w:rPr>
          <w:rFonts w:hint="eastAsia" w:ascii="宋体" w:hAnsi="宋体"/>
          <w:sz w:val="24"/>
        </w:rPr>
        <w:t>22.1.4确定中标候选人名单，以及根据采购人委托直接确定中标人；</w:t>
      </w:r>
    </w:p>
    <w:p>
      <w:pPr>
        <w:pStyle w:val="125"/>
        <w:snapToGrid w:val="0"/>
        <w:spacing w:line="360" w:lineRule="auto"/>
        <w:textAlignment w:val="baseline"/>
        <w:rPr>
          <w:rFonts w:ascii="宋体" w:hAnsi="宋体"/>
          <w:sz w:val="24"/>
        </w:rPr>
      </w:pPr>
      <w:r>
        <w:rPr>
          <w:rFonts w:hint="eastAsia" w:ascii="宋体" w:hAnsi="宋体"/>
          <w:sz w:val="24"/>
        </w:rPr>
        <w:t>22.1.5向采购人、采购代理机构或者有关部门报告评标中发现的违法行为。</w:t>
      </w:r>
    </w:p>
    <w:p>
      <w:pPr>
        <w:pStyle w:val="125"/>
        <w:snapToGrid w:val="0"/>
        <w:spacing w:line="360" w:lineRule="auto"/>
        <w:textAlignment w:val="baseline"/>
        <w:rPr>
          <w:rFonts w:ascii="宋体" w:hAnsi="宋体"/>
          <w:sz w:val="24"/>
        </w:rPr>
      </w:pPr>
      <w:r>
        <w:rPr>
          <w:rFonts w:hint="eastAsia" w:ascii="宋体" w:hAnsi="宋体"/>
          <w:sz w:val="24"/>
        </w:rPr>
        <w:t>22.2评标委员会应当按照招标文件中规定的评标方法和标准，对符合性审查合格的投标文件进行商务和技术评估，综合比较与评价。</w:t>
      </w:r>
    </w:p>
    <w:p>
      <w:pPr>
        <w:pStyle w:val="125"/>
        <w:snapToGrid w:val="0"/>
        <w:spacing w:line="360" w:lineRule="auto"/>
        <w:textAlignment w:val="baseline"/>
        <w:rPr>
          <w:rFonts w:ascii="宋体" w:hAnsi="宋体"/>
          <w:sz w:val="24"/>
        </w:rPr>
      </w:pPr>
      <w:r>
        <w:rPr>
          <w:rFonts w:hint="eastAsia" w:ascii="宋体" w:hAnsi="宋体"/>
          <w:sz w:val="24"/>
        </w:rPr>
        <w:t>22.3综合评分法：</w:t>
      </w:r>
    </w:p>
    <w:p>
      <w:pPr>
        <w:pStyle w:val="125"/>
        <w:snapToGrid w:val="0"/>
        <w:spacing w:line="360" w:lineRule="auto"/>
        <w:textAlignment w:val="baseline"/>
        <w:rPr>
          <w:rFonts w:ascii="宋体" w:hAnsi="宋体"/>
          <w:sz w:val="24"/>
        </w:rPr>
      </w:pPr>
      <w:r>
        <w:rPr>
          <w:rFonts w:hint="eastAsia" w:ascii="宋体" w:hAnsi="宋体"/>
          <w:sz w:val="24"/>
        </w:rPr>
        <w:t>综合评分法，是指投标文件满足招标文件全部实质性要求，且按照评审因素的量化指标评审得分最高的投标人为中标候选人的评标方法。</w:t>
      </w:r>
    </w:p>
    <w:p>
      <w:pPr>
        <w:pStyle w:val="125"/>
        <w:snapToGrid w:val="0"/>
        <w:spacing w:line="360" w:lineRule="auto"/>
        <w:textAlignment w:val="baseline"/>
        <w:rPr>
          <w:rFonts w:ascii="宋体" w:hAnsi="宋体"/>
          <w:sz w:val="24"/>
        </w:rPr>
      </w:pPr>
      <w:r>
        <w:rPr>
          <w:rFonts w:hint="eastAsia" w:ascii="宋体" w:hAnsi="宋体"/>
          <w:sz w:val="24"/>
        </w:rPr>
        <w:t>22.4评标时，评标委员会各成员应当独立对每个投标人的投标文件进行评价，并汇总每个投标人的得分。</w:t>
      </w:r>
    </w:p>
    <w:p>
      <w:pPr>
        <w:pStyle w:val="6"/>
        <w:snapToGrid w:val="0"/>
        <w:spacing w:line="360" w:lineRule="auto"/>
        <w:textAlignment w:val="baseline"/>
        <w:rPr>
          <w:rFonts w:hint="default"/>
          <w:b/>
          <w:sz w:val="24"/>
        </w:rPr>
      </w:pPr>
      <w:bookmarkStart w:id="205" w:name="_Toc520356168"/>
      <w:bookmarkStart w:id="206" w:name="_Toc5895194"/>
      <w:bookmarkStart w:id="207" w:name="_Toc310195720"/>
      <w:bookmarkStart w:id="208" w:name="_Toc40110919"/>
      <w:bookmarkStart w:id="209" w:name="_Toc14030"/>
      <w:r>
        <w:rPr>
          <w:b/>
          <w:sz w:val="24"/>
        </w:rPr>
        <w:t>2</w:t>
      </w:r>
      <w:bookmarkEnd w:id="205"/>
      <w:r>
        <w:rPr>
          <w:b/>
          <w:sz w:val="24"/>
        </w:rPr>
        <w:t>3.评标过程及保密原则</w:t>
      </w:r>
      <w:bookmarkEnd w:id="206"/>
      <w:bookmarkEnd w:id="207"/>
      <w:bookmarkEnd w:id="208"/>
      <w:bookmarkEnd w:id="209"/>
    </w:p>
    <w:p>
      <w:pPr>
        <w:pStyle w:val="125"/>
        <w:snapToGrid w:val="0"/>
        <w:spacing w:line="360" w:lineRule="auto"/>
        <w:textAlignment w:val="baseline"/>
        <w:rPr>
          <w:rFonts w:ascii="宋体" w:hAnsi="宋体"/>
          <w:sz w:val="24"/>
        </w:rPr>
      </w:pPr>
      <w:r>
        <w:rPr>
          <w:rFonts w:hint="eastAsia" w:ascii="宋体" w:hAnsi="宋体"/>
          <w:sz w:val="24"/>
        </w:rPr>
        <w:t>23.1政府采购评审专家应当遵守评审工作纪律，不得泄露评审文件、评审情况和评审中获悉的商业秘密。</w:t>
      </w:r>
    </w:p>
    <w:p>
      <w:pPr>
        <w:pStyle w:val="125"/>
        <w:snapToGrid w:val="0"/>
        <w:spacing w:line="360" w:lineRule="auto"/>
        <w:textAlignment w:val="baseline"/>
        <w:rPr>
          <w:rFonts w:ascii="宋体" w:hAnsi="宋体"/>
          <w:sz w:val="24"/>
        </w:rPr>
      </w:pPr>
      <w:r>
        <w:rPr>
          <w:rFonts w:hint="eastAsia" w:ascii="宋体" w:hAnsi="宋体"/>
          <w:sz w:val="24"/>
        </w:rPr>
        <w:t>23.2评标委员会成员名单在评标结果公告前应当保密。</w:t>
      </w:r>
    </w:p>
    <w:p>
      <w:pPr>
        <w:pStyle w:val="125"/>
        <w:snapToGrid w:val="0"/>
        <w:spacing w:line="360" w:lineRule="auto"/>
        <w:textAlignment w:val="baseline"/>
        <w:rPr>
          <w:rFonts w:ascii="宋体" w:hAnsi="宋体"/>
          <w:sz w:val="24"/>
        </w:rPr>
      </w:pPr>
      <w:r>
        <w:rPr>
          <w:rFonts w:hint="eastAsia" w:ascii="宋体" w:hAnsi="宋体"/>
          <w:sz w:val="24"/>
        </w:rPr>
        <w:t>23.3采购人、采购代理机构应当采取必要措施，保证评标在严格保密的情况下进行。除采购人代表、评标现场组织人员外，采购人的其他工作人员以及与评标工作无关的人员不得进入评标现场。</w:t>
      </w:r>
    </w:p>
    <w:p>
      <w:pPr>
        <w:pStyle w:val="125"/>
        <w:snapToGrid w:val="0"/>
        <w:spacing w:line="360" w:lineRule="auto"/>
        <w:textAlignment w:val="baseline"/>
        <w:rPr>
          <w:rFonts w:ascii="宋体" w:hAnsi="宋体"/>
          <w:sz w:val="24"/>
        </w:rPr>
      </w:pPr>
      <w:r>
        <w:rPr>
          <w:rFonts w:hint="eastAsia" w:ascii="宋体" w:hAnsi="宋体"/>
          <w:sz w:val="24"/>
        </w:rPr>
        <w:t>23.4有关人员对评标情况以及在评标过程中获悉的国家秘密、商业秘密负有保密责任。</w:t>
      </w:r>
    </w:p>
    <w:p>
      <w:pPr>
        <w:pStyle w:val="125"/>
        <w:snapToGrid w:val="0"/>
        <w:spacing w:line="360" w:lineRule="auto"/>
        <w:jc w:val="center"/>
        <w:textAlignment w:val="baseline"/>
        <w:rPr>
          <w:rFonts w:ascii="宋体" w:hAnsi="宋体"/>
          <w:sz w:val="24"/>
        </w:rPr>
      </w:pPr>
      <w:r>
        <w:rPr>
          <w:rFonts w:hint="eastAsia" w:ascii="宋体" w:hAnsi="宋体"/>
          <w:sz w:val="24"/>
        </w:rPr>
        <w:t xml:space="preserve">                                   </w:t>
      </w:r>
    </w:p>
    <w:p>
      <w:pPr>
        <w:pStyle w:val="6"/>
        <w:tabs>
          <w:tab w:val="left" w:pos="900"/>
        </w:tabs>
        <w:snapToGrid w:val="0"/>
        <w:spacing w:line="360" w:lineRule="auto"/>
        <w:jc w:val="center"/>
        <w:textAlignment w:val="baseline"/>
        <w:rPr>
          <w:rFonts w:hint="default"/>
          <w:sz w:val="24"/>
        </w:rPr>
      </w:pPr>
      <w:bookmarkStart w:id="210" w:name="_Toc520356169"/>
      <w:bookmarkStart w:id="211" w:name="_Toc5895195"/>
      <w:bookmarkStart w:id="212" w:name="_Toc40110920"/>
      <w:bookmarkStart w:id="213" w:name="_Toc21580"/>
      <w:bookmarkStart w:id="214" w:name="_Toc2280"/>
      <w:bookmarkStart w:id="215" w:name="_Toc310195721"/>
      <w:r>
        <w:rPr>
          <w:sz w:val="24"/>
        </w:rPr>
        <w:t>六</w:t>
      </w:r>
      <w:bookmarkEnd w:id="210"/>
      <w:r>
        <w:rPr>
          <w:sz w:val="24"/>
        </w:rPr>
        <w:t xml:space="preserve"> 确定中标</w:t>
      </w:r>
      <w:bookmarkEnd w:id="211"/>
      <w:bookmarkEnd w:id="212"/>
      <w:bookmarkEnd w:id="213"/>
      <w:bookmarkEnd w:id="214"/>
      <w:bookmarkEnd w:id="215"/>
    </w:p>
    <w:p>
      <w:pPr>
        <w:pStyle w:val="6"/>
        <w:snapToGrid w:val="0"/>
        <w:spacing w:line="360" w:lineRule="auto"/>
        <w:textAlignment w:val="baseline"/>
        <w:rPr>
          <w:rFonts w:hint="default"/>
          <w:b/>
          <w:sz w:val="24"/>
        </w:rPr>
      </w:pPr>
      <w:bookmarkStart w:id="216" w:name="_Toc40110921"/>
      <w:bookmarkStart w:id="217" w:name="_Ref467307010"/>
      <w:bookmarkStart w:id="218" w:name="_Toc310195722"/>
      <w:bookmarkStart w:id="219" w:name="_Toc5381"/>
      <w:bookmarkStart w:id="220" w:name="_Toc520356170"/>
      <w:bookmarkStart w:id="221" w:name="_Toc5895196"/>
      <w:r>
        <w:rPr>
          <w:b/>
          <w:sz w:val="24"/>
        </w:rPr>
        <w:t>24.中标人的确定标准</w:t>
      </w:r>
      <w:bookmarkEnd w:id="216"/>
      <w:bookmarkEnd w:id="217"/>
      <w:bookmarkEnd w:id="218"/>
      <w:bookmarkEnd w:id="219"/>
      <w:bookmarkEnd w:id="220"/>
      <w:bookmarkEnd w:id="221"/>
    </w:p>
    <w:p>
      <w:pPr>
        <w:pStyle w:val="125"/>
        <w:snapToGrid w:val="0"/>
        <w:spacing w:line="360" w:lineRule="auto"/>
        <w:textAlignment w:val="baseline"/>
        <w:rPr>
          <w:rFonts w:ascii="宋体" w:hAnsi="宋体"/>
          <w:sz w:val="24"/>
        </w:rPr>
      </w:pPr>
      <w:r>
        <w:rPr>
          <w:rFonts w:hint="eastAsia" w:ascii="宋体" w:hAnsi="宋体"/>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25"/>
        <w:snapToGrid w:val="0"/>
        <w:spacing w:line="360" w:lineRule="auto"/>
        <w:textAlignment w:val="baseline"/>
        <w:rPr>
          <w:rFonts w:ascii="宋体" w:hAnsi="宋体"/>
          <w:sz w:val="24"/>
        </w:rPr>
      </w:pPr>
      <w:r>
        <w:rPr>
          <w:rFonts w:hint="eastAsia" w:ascii="宋体" w:hAnsi="宋体"/>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25"/>
        <w:snapToGrid w:val="0"/>
        <w:spacing w:line="360" w:lineRule="auto"/>
        <w:textAlignment w:val="baseline"/>
        <w:rPr>
          <w:rFonts w:ascii="宋体" w:hAnsi="宋体"/>
          <w:sz w:val="24"/>
        </w:rPr>
      </w:pPr>
      <w:r>
        <w:rPr>
          <w:rFonts w:hint="eastAsia" w:ascii="宋体" w:hAnsi="宋体"/>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pStyle w:val="6"/>
        <w:snapToGrid w:val="0"/>
        <w:spacing w:line="360" w:lineRule="auto"/>
        <w:textAlignment w:val="baseline"/>
        <w:rPr>
          <w:rFonts w:hint="default"/>
          <w:b/>
          <w:sz w:val="24"/>
        </w:rPr>
      </w:pPr>
      <w:bookmarkStart w:id="222" w:name="_Toc310195723"/>
      <w:bookmarkStart w:id="223" w:name="_Toc5895197"/>
      <w:bookmarkStart w:id="224" w:name="_Ref467306874"/>
      <w:bookmarkStart w:id="225" w:name="_Toc40110922"/>
      <w:bookmarkStart w:id="226" w:name="_Toc12509"/>
      <w:bookmarkStart w:id="227" w:name="_Toc520356173"/>
      <w:r>
        <w:rPr>
          <w:b/>
          <w:sz w:val="24"/>
        </w:rPr>
        <w:t>25.接受</w:t>
      </w:r>
      <w:r>
        <w:rPr>
          <w:b/>
          <w:sz w:val="24"/>
          <w:lang w:val="en-US"/>
        </w:rPr>
        <w:t>或</w:t>
      </w:r>
      <w:r>
        <w:rPr>
          <w:b/>
          <w:sz w:val="24"/>
        </w:rPr>
        <w:t>拒绝任何投标的权利</w:t>
      </w:r>
      <w:bookmarkEnd w:id="222"/>
      <w:bookmarkEnd w:id="223"/>
      <w:bookmarkEnd w:id="224"/>
      <w:bookmarkEnd w:id="225"/>
      <w:bookmarkEnd w:id="226"/>
      <w:bookmarkEnd w:id="227"/>
    </w:p>
    <w:p>
      <w:pPr>
        <w:pStyle w:val="125"/>
        <w:snapToGrid w:val="0"/>
        <w:spacing w:line="360" w:lineRule="auto"/>
        <w:textAlignment w:val="baseline"/>
        <w:rPr>
          <w:rFonts w:ascii="宋体" w:hAnsi="宋体"/>
          <w:sz w:val="24"/>
        </w:rPr>
      </w:pPr>
      <w:r>
        <w:rPr>
          <w:rFonts w:ascii="宋体" w:hAnsi="宋体"/>
          <w:sz w:val="24"/>
        </w:rPr>
        <w:t>25.1为维护国家和社会公共利益，采购人和采购代理机构保留在授标之前任何时候接受或拒绝任何投标的权利，且对受影响的投标人</w:t>
      </w:r>
      <w:r>
        <w:rPr>
          <w:rFonts w:hint="eastAsia" w:ascii="宋体" w:hAnsi="宋体"/>
          <w:sz w:val="24"/>
        </w:rPr>
        <w:t>不承担任何责任。</w:t>
      </w:r>
    </w:p>
    <w:p>
      <w:pPr>
        <w:pStyle w:val="125"/>
        <w:snapToGrid w:val="0"/>
        <w:spacing w:line="360" w:lineRule="auto"/>
        <w:textAlignment w:val="baseline"/>
        <w:rPr>
          <w:rFonts w:ascii="宋体" w:hAnsi="宋体"/>
          <w:sz w:val="24"/>
        </w:rPr>
      </w:pPr>
      <w:r>
        <w:rPr>
          <w:rFonts w:ascii="宋体" w:hAnsi="宋体"/>
          <w:sz w:val="24"/>
        </w:rPr>
        <w:t>25.2因不可抗力或中标人自身原因不能履约等情形，采购人保留与其他候选人签订合同的权利。</w:t>
      </w:r>
    </w:p>
    <w:p>
      <w:pPr>
        <w:pStyle w:val="6"/>
        <w:snapToGrid w:val="0"/>
        <w:spacing w:line="360" w:lineRule="auto"/>
        <w:textAlignment w:val="baseline"/>
        <w:rPr>
          <w:rFonts w:hint="default"/>
          <w:b/>
          <w:sz w:val="24"/>
          <w:lang w:val="en-US"/>
        </w:rPr>
      </w:pPr>
      <w:bookmarkStart w:id="228" w:name="_Toc310195724"/>
      <w:bookmarkStart w:id="229" w:name="_Toc520356174"/>
      <w:bookmarkStart w:id="230" w:name="_Toc5895198"/>
      <w:bookmarkStart w:id="231" w:name="_Toc1658"/>
      <w:bookmarkStart w:id="232" w:name="_Toc40110923"/>
      <w:r>
        <w:rPr>
          <w:b/>
          <w:sz w:val="24"/>
        </w:rPr>
        <w:t>26.中标通知书</w:t>
      </w:r>
      <w:bookmarkEnd w:id="228"/>
      <w:bookmarkEnd w:id="229"/>
      <w:r>
        <w:rPr>
          <w:b/>
          <w:sz w:val="24"/>
          <w:lang w:val="en-US"/>
        </w:rPr>
        <w:t>和结果</w:t>
      </w:r>
      <w:r>
        <w:rPr>
          <w:b/>
          <w:sz w:val="24"/>
        </w:rPr>
        <w:t>通知</w:t>
      </w:r>
      <w:bookmarkEnd w:id="230"/>
      <w:bookmarkEnd w:id="231"/>
      <w:bookmarkEnd w:id="232"/>
    </w:p>
    <w:p>
      <w:pPr>
        <w:pStyle w:val="125"/>
        <w:snapToGrid w:val="0"/>
        <w:spacing w:line="360" w:lineRule="auto"/>
        <w:textAlignment w:val="baseline"/>
        <w:rPr>
          <w:rFonts w:ascii="宋体" w:hAnsi="宋体"/>
          <w:sz w:val="24"/>
        </w:rPr>
      </w:pPr>
      <w:bookmarkStart w:id="233" w:name="_Ref467307062"/>
      <w:bookmarkStart w:id="234" w:name="_Ref467307204"/>
      <w:bookmarkStart w:id="235" w:name="_Toc520356175"/>
      <w:bookmarkStart w:id="236" w:name="_Toc5895199"/>
      <w:bookmarkStart w:id="237" w:name="_Toc310195725"/>
      <w:bookmarkStart w:id="238" w:name="_Ref467306377"/>
      <w:bookmarkStart w:id="239" w:name="_Ref467306978"/>
      <w:r>
        <w:rPr>
          <w:rFonts w:hint="eastAsia" w:ascii="宋体" w:hAnsi="宋体"/>
          <w:sz w:val="24"/>
        </w:rPr>
        <w:t>26.1采购人或者采购代理机构应当自中标人确定之日起2个工作日内，在省级以上财政部门指定的媒体上公告中标结果，招标文件应当随中标结果同时公告。</w:t>
      </w:r>
    </w:p>
    <w:p>
      <w:pPr>
        <w:pStyle w:val="125"/>
        <w:snapToGrid w:val="0"/>
        <w:spacing w:line="360" w:lineRule="auto"/>
        <w:textAlignment w:val="baseline"/>
        <w:rPr>
          <w:rFonts w:ascii="宋体" w:hAnsi="宋体"/>
          <w:sz w:val="24"/>
        </w:rPr>
      </w:pPr>
      <w:r>
        <w:rPr>
          <w:rFonts w:hint="eastAsia" w:ascii="宋体" w:hAnsi="宋体"/>
          <w:sz w:val="24"/>
        </w:rPr>
        <w:t>26.2中标公告期限为1个工作日。</w:t>
      </w:r>
    </w:p>
    <w:p>
      <w:pPr>
        <w:pStyle w:val="125"/>
        <w:snapToGrid w:val="0"/>
        <w:spacing w:line="360" w:lineRule="auto"/>
        <w:textAlignment w:val="baseline"/>
        <w:rPr>
          <w:rFonts w:ascii="宋体" w:hAnsi="宋体"/>
          <w:sz w:val="24"/>
        </w:rPr>
      </w:pPr>
      <w:r>
        <w:rPr>
          <w:rFonts w:hint="eastAsia" w:ascii="宋体" w:hAnsi="宋体"/>
          <w:sz w:val="24"/>
        </w:rPr>
        <w:t>26.3中标通知书是合同的组成部分。</w:t>
      </w:r>
    </w:p>
    <w:p>
      <w:pPr>
        <w:pStyle w:val="125"/>
        <w:snapToGrid w:val="0"/>
        <w:spacing w:line="360" w:lineRule="auto"/>
        <w:textAlignment w:val="baseline"/>
        <w:rPr>
          <w:rFonts w:ascii="宋体" w:hAnsi="宋体"/>
          <w:sz w:val="24"/>
        </w:rPr>
      </w:pPr>
      <w:r>
        <w:rPr>
          <w:rFonts w:hint="eastAsia" w:ascii="宋体" w:hAnsi="宋体"/>
          <w:sz w:val="24"/>
        </w:rPr>
        <w:t>26.4未中标的投标人应当在中标结果公示后5个工作日内领取结果通知书。</w:t>
      </w:r>
    </w:p>
    <w:p>
      <w:pPr>
        <w:pStyle w:val="6"/>
        <w:snapToGrid w:val="0"/>
        <w:spacing w:line="360" w:lineRule="auto"/>
        <w:textAlignment w:val="baseline"/>
        <w:rPr>
          <w:rFonts w:hint="default"/>
          <w:b/>
          <w:color w:val="000000"/>
          <w:sz w:val="24"/>
        </w:rPr>
      </w:pPr>
      <w:bookmarkStart w:id="240" w:name="_Toc40110924"/>
      <w:bookmarkStart w:id="241" w:name="_Toc3367"/>
      <w:r>
        <w:rPr>
          <w:b/>
          <w:color w:val="000000"/>
          <w:sz w:val="24"/>
        </w:rPr>
        <w:t>27. 签订合同</w:t>
      </w:r>
      <w:bookmarkEnd w:id="233"/>
      <w:bookmarkEnd w:id="234"/>
      <w:bookmarkEnd w:id="235"/>
      <w:bookmarkEnd w:id="236"/>
      <w:bookmarkEnd w:id="237"/>
      <w:bookmarkEnd w:id="238"/>
      <w:bookmarkEnd w:id="239"/>
      <w:bookmarkEnd w:id="240"/>
      <w:bookmarkEnd w:id="241"/>
    </w:p>
    <w:p>
      <w:pPr>
        <w:pStyle w:val="125"/>
        <w:snapToGrid w:val="0"/>
        <w:spacing w:line="360" w:lineRule="auto"/>
        <w:textAlignment w:val="baseline"/>
        <w:rPr>
          <w:rFonts w:ascii="宋体" w:hAnsi="宋体"/>
          <w:sz w:val="24"/>
        </w:rPr>
      </w:pPr>
      <w:bookmarkStart w:id="242" w:name="_Toc5895200"/>
      <w:bookmarkStart w:id="243" w:name="_Toc310195726"/>
      <w:r>
        <w:rPr>
          <w:rFonts w:hint="eastAsia" w:ascii="宋体" w:hAnsi="宋体"/>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Style w:val="125"/>
        <w:snapToGrid w:val="0"/>
        <w:spacing w:line="360" w:lineRule="auto"/>
        <w:textAlignment w:val="baseline"/>
        <w:rPr>
          <w:rFonts w:ascii="宋体" w:hAnsi="宋体"/>
          <w:sz w:val="24"/>
        </w:rPr>
      </w:pPr>
      <w:r>
        <w:rPr>
          <w:rFonts w:hint="eastAsia" w:ascii="宋体" w:hAnsi="宋体"/>
          <w:sz w:val="24"/>
        </w:rPr>
        <w:t>27.2招标文件、中标人的投标文件及其澄清文件等，均为签订合同的依据。</w:t>
      </w:r>
    </w:p>
    <w:p>
      <w:pPr>
        <w:pStyle w:val="6"/>
        <w:snapToGrid w:val="0"/>
        <w:spacing w:line="360" w:lineRule="auto"/>
        <w:textAlignment w:val="baseline"/>
        <w:rPr>
          <w:rFonts w:hint="default"/>
          <w:b/>
          <w:color w:val="000000"/>
          <w:sz w:val="24"/>
        </w:rPr>
      </w:pPr>
      <w:bookmarkStart w:id="244" w:name="_Toc6596"/>
      <w:bookmarkStart w:id="245" w:name="_Toc40110925"/>
      <w:r>
        <w:rPr>
          <w:b/>
          <w:color w:val="000000"/>
          <w:sz w:val="24"/>
        </w:rPr>
        <w:t>28.履约保证金</w:t>
      </w:r>
      <w:bookmarkEnd w:id="242"/>
      <w:bookmarkEnd w:id="243"/>
      <w:bookmarkEnd w:id="244"/>
      <w:bookmarkEnd w:id="245"/>
    </w:p>
    <w:p>
      <w:pPr>
        <w:snapToGrid w:val="0"/>
        <w:spacing w:before="120" w:line="360" w:lineRule="auto"/>
        <w:textAlignment w:val="baseline"/>
        <w:rPr>
          <w:rFonts w:ascii="宋体" w:hAnsi="宋体"/>
          <w:sz w:val="24"/>
        </w:rPr>
      </w:pPr>
      <w:bookmarkStart w:id="246" w:name="_Toc518803443"/>
      <w:bookmarkStart w:id="247" w:name="_Toc520647611"/>
      <w:bookmarkStart w:id="248" w:name="_Toc520424502"/>
      <w:r>
        <w:rPr>
          <w:rFonts w:hint="eastAsia" w:ascii="宋体" w:hAnsi="宋体"/>
          <w:sz w:val="24"/>
        </w:rPr>
        <w:t>28.1提交履约保证金的时间：详见投标人须知资料表。</w:t>
      </w:r>
    </w:p>
    <w:p>
      <w:pPr>
        <w:snapToGrid w:val="0"/>
        <w:spacing w:before="120" w:line="360" w:lineRule="auto"/>
        <w:textAlignment w:val="baseline"/>
        <w:rPr>
          <w:rFonts w:ascii="宋体" w:hAnsi="宋体"/>
          <w:sz w:val="24"/>
        </w:rPr>
      </w:pPr>
      <w:r>
        <w:rPr>
          <w:rFonts w:hint="eastAsia" w:ascii="宋体" w:hAnsi="宋体"/>
          <w:sz w:val="24"/>
        </w:rPr>
        <w:t>28.1.1履约保证金用于补偿采购人因中标人不能履行其合同义务而蒙受的损失。</w:t>
      </w:r>
    </w:p>
    <w:p>
      <w:pPr>
        <w:snapToGrid w:val="0"/>
        <w:spacing w:before="120" w:line="360" w:lineRule="auto"/>
        <w:textAlignment w:val="baseline"/>
        <w:rPr>
          <w:rFonts w:ascii="宋体" w:hAnsi="宋体"/>
          <w:sz w:val="24"/>
        </w:rPr>
      </w:pPr>
      <w:r>
        <w:rPr>
          <w:rFonts w:hint="eastAsia" w:ascii="宋体" w:hAnsi="宋体"/>
          <w:sz w:val="24"/>
        </w:rPr>
        <w:t xml:space="preserve">28.1.2提交履约保证金形式：支票、汇票、本票或者金融机构、担保机构出具的保函等非现金形式。 </w:t>
      </w:r>
    </w:p>
    <w:p>
      <w:pPr>
        <w:snapToGrid w:val="0"/>
        <w:spacing w:before="120" w:line="360" w:lineRule="auto"/>
        <w:textAlignment w:val="baseline"/>
        <w:rPr>
          <w:rFonts w:ascii="宋体" w:hAnsi="宋体"/>
          <w:sz w:val="24"/>
        </w:rPr>
      </w:pPr>
      <w:r>
        <w:rPr>
          <w:rFonts w:hint="eastAsia" w:ascii="宋体" w:hAnsi="宋体"/>
          <w:sz w:val="24"/>
        </w:rPr>
        <w:t>28.1.3履约保证金在法定的服务质量保证期期满前应完全有效。</w:t>
      </w:r>
    </w:p>
    <w:p>
      <w:pPr>
        <w:snapToGrid w:val="0"/>
        <w:spacing w:before="120" w:line="360" w:lineRule="auto"/>
        <w:textAlignment w:val="baseline"/>
        <w:rPr>
          <w:rFonts w:ascii="宋体" w:hAnsi="宋体"/>
          <w:sz w:val="24"/>
        </w:rPr>
      </w:pPr>
      <w:r>
        <w:rPr>
          <w:rFonts w:hint="eastAsia" w:ascii="宋体" w:hAnsi="宋体"/>
          <w:sz w:val="24"/>
        </w:rPr>
        <w:t>28.1.4如果中标人未能按合同规定履行其义务，采购人有权从履约保证金中取得补偿。</w:t>
      </w:r>
    </w:p>
    <w:p>
      <w:pPr>
        <w:snapToGrid w:val="0"/>
        <w:spacing w:before="120" w:line="360" w:lineRule="auto"/>
        <w:textAlignment w:val="baseline"/>
        <w:rPr>
          <w:rFonts w:ascii="宋体" w:hAnsi="宋体"/>
          <w:sz w:val="24"/>
        </w:rPr>
      </w:pPr>
      <w:r>
        <w:rPr>
          <w:rFonts w:hint="eastAsia" w:ascii="宋体" w:hAnsi="宋体"/>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pPr>
        <w:pStyle w:val="6"/>
        <w:snapToGrid w:val="0"/>
        <w:spacing w:line="360" w:lineRule="auto"/>
        <w:ind w:left="899" w:hanging="899"/>
        <w:jc w:val="center"/>
        <w:textAlignment w:val="baseline"/>
        <w:rPr>
          <w:rFonts w:hint="default"/>
          <w:sz w:val="24"/>
        </w:rPr>
      </w:pPr>
      <w:bookmarkStart w:id="249" w:name="_Toc40110926"/>
      <w:bookmarkStart w:id="250" w:name="_Toc5895201"/>
      <w:bookmarkStart w:id="251" w:name="_Toc20259"/>
      <w:bookmarkStart w:id="252" w:name="_Toc310195727"/>
      <w:bookmarkStart w:id="253" w:name="_Toc11376"/>
      <w:r>
        <w:rPr>
          <w:sz w:val="24"/>
        </w:rPr>
        <w:t>七 中标服务费</w:t>
      </w:r>
      <w:bookmarkEnd w:id="246"/>
      <w:bookmarkEnd w:id="247"/>
      <w:bookmarkEnd w:id="248"/>
      <w:bookmarkEnd w:id="249"/>
      <w:bookmarkEnd w:id="250"/>
      <w:bookmarkEnd w:id="251"/>
      <w:bookmarkEnd w:id="252"/>
      <w:bookmarkEnd w:id="253"/>
    </w:p>
    <w:p>
      <w:pPr>
        <w:pStyle w:val="6"/>
        <w:snapToGrid w:val="0"/>
        <w:spacing w:line="360" w:lineRule="auto"/>
        <w:textAlignment w:val="baseline"/>
        <w:rPr>
          <w:rFonts w:hint="default"/>
          <w:b/>
          <w:sz w:val="24"/>
        </w:rPr>
      </w:pPr>
      <w:bookmarkStart w:id="254" w:name="_Toc518803444"/>
      <w:bookmarkStart w:id="255" w:name="_Ref467306463"/>
      <w:bookmarkStart w:id="256" w:name="_Toc520424503"/>
      <w:bookmarkStart w:id="257" w:name="_Toc5895202"/>
      <w:bookmarkStart w:id="258" w:name="_Toc15248"/>
      <w:bookmarkStart w:id="259" w:name="_Toc40110927"/>
      <w:bookmarkStart w:id="260" w:name="_Toc310195728"/>
      <w:bookmarkStart w:id="261" w:name="_Toc520647612"/>
      <w:r>
        <w:rPr>
          <w:b/>
          <w:sz w:val="24"/>
        </w:rPr>
        <w:t>29.中标服务费</w:t>
      </w:r>
      <w:bookmarkEnd w:id="254"/>
      <w:bookmarkEnd w:id="255"/>
      <w:bookmarkEnd w:id="256"/>
      <w:bookmarkEnd w:id="257"/>
      <w:bookmarkEnd w:id="258"/>
      <w:bookmarkEnd w:id="259"/>
      <w:bookmarkEnd w:id="260"/>
      <w:bookmarkEnd w:id="261"/>
    </w:p>
    <w:p>
      <w:pPr>
        <w:pStyle w:val="125"/>
        <w:snapToGrid w:val="0"/>
        <w:spacing w:line="360" w:lineRule="auto"/>
        <w:textAlignment w:val="baseline"/>
        <w:rPr>
          <w:rFonts w:ascii="宋体" w:hAnsi="宋体"/>
          <w:sz w:val="24"/>
        </w:rPr>
      </w:pPr>
      <w:bookmarkStart w:id="262" w:name="_Ref467307288"/>
      <w:bookmarkStart w:id="263" w:name="_Toc5895203"/>
      <w:bookmarkStart w:id="264" w:name="_Toc40110928"/>
      <w:r>
        <w:rPr>
          <w:rFonts w:hint="eastAsia" w:ascii="宋体" w:hAnsi="宋体"/>
          <w:sz w:val="24"/>
        </w:rPr>
        <w:t>29.1</w:t>
      </w:r>
      <w:bookmarkEnd w:id="262"/>
      <w:r>
        <w:rPr>
          <w:rFonts w:hint="eastAsia" w:ascii="宋体" w:hAnsi="宋体"/>
          <w:sz w:val="24"/>
        </w:rPr>
        <w:t>采购代理机构参照原计价格[2002]1980号文、</w:t>
      </w:r>
      <w:r>
        <w:rPr>
          <w:rFonts w:hint="eastAsia" w:ascii="宋体" w:hAnsi="宋体" w:cs="宋体"/>
          <w:kern w:val="0"/>
          <w:sz w:val="24"/>
        </w:rPr>
        <w:t>发改办价格[2003]857号文及</w:t>
      </w:r>
      <w:r>
        <w:rPr>
          <w:rFonts w:ascii="宋体" w:hAnsi="宋体" w:cs="宋体"/>
          <w:kern w:val="0"/>
          <w:sz w:val="24"/>
        </w:rPr>
        <w:t>发改价格</w:t>
      </w:r>
      <w:r>
        <w:rPr>
          <w:rFonts w:ascii="宋体" w:hAnsi="宋体"/>
          <w:kern w:val="0"/>
          <w:sz w:val="24"/>
        </w:rPr>
        <w:t>[2011]534</w:t>
      </w:r>
      <w:r>
        <w:rPr>
          <w:rFonts w:ascii="宋体" w:hAnsi="宋体" w:cs="宋体"/>
          <w:kern w:val="0"/>
          <w:sz w:val="24"/>
        </w:rPr>
        <w:t>号</w:t>
      </w:r>
      <w:r>
        <w:rPr>
          <w:rFonts w:hint="eastAsia" w:ascii="宋体" w:hAnsi="宋体" w:cs="宋体"/>
          <w:kern w:val="0"/>
          <w:sz w:val="24"/>
        </w:rPr>
        <w:t>文有关规定向中标人收取</w:t>
      </w:r>
      <w:r>
        <w:rPr>
          <w:rFonts w:hint="eastAsia" w:ascii="宋体" w:hAnsi="宋体"/>
          <w:sz w:val="24"/>
        </w:rPr>
        <w:t>中标服务费用。此项费用不单独开列而应计入投标价。</w:t>
      </w:r>
    </w:p>
    <w:p>
      <w:pPr>
        <w:pStyle w:val="125"/>
        <w:snapToGrid w:val="0"/>
        <w:spacing w:line="360" w:lineRule="auto"/>
        <w:textAlignment w:val="baseline"/>
        <w:rPr>
          <w:rFonts w:ascii="宋体" w:hAnsi="宋体"/>
          <w:sz w:val="24"/>
        </w:rPr>
      </w:pPr>
      <w:bookmarkStart w:id="265" w:name="_Ref467307311"/>
      <w:r>
        <w:rPr>
          <w:rFonts w:hint="eastAsia" w:ascii="宋体" w:hAnsi="宋体"/>
          <w:sz w:val="24"/>
        </w:rPr>
        <w:t>29.2中标人在领取中标通知书时向采购代理机构一次性缴付中标服务费。</w:t>
      </w:r>
      <w:bookmarkEnd w:id="265"/>
    </w:p>
    <w:p>
      <w:pPr>
        <w:pStyle w:val="125"/>
        <w:snapToGrid w:val="0"/>
        <w:spacing w:line="360" w:lineRule="auto"/>
        <w:textAlignment w:val="baseline"/>
        <w:rPr>
          <w:rFonts w:ascii="宋体" w:hAnsi="宋体"/>
          <w:sz w:val="24"/>
        </w:rPr>
      </w:pPr>
      <w:r>
        <w:rPr>
          <w:rFonts w:hint="eastAsia" w:ascii="宋体" w:hAnsi="宋体"/>
          <w:sz w:val="24"/>
        </w:rPr>
        <w:t>29.3中标服务费将以支票或电汇的方式收取。</w:t>
      </w:r>
    </w:p>
    <w:p>
      <w:pPr>
        <w:pStyle w:val="125"/>
        <w:snapToGrid w:val="0"/>
        <w:spacing w:line="360" w:lineRule="auto"/>
        <w:textAlignment w:val="baseline"/>
      </w:pPr>
      <w:r>
        <w:rPr>
          <w:rFonts w:hint="eastAsia" w:ascii="宋体" w:hAnsi="宋体"/>
          <w:sz w:val="24"/>
        </w:rPr>
        <w:t>29.4在投标时，投标人应提供中标服务费承诺书。</w:t>
      </w:r>
    </w:p>
    <w:p>
      <w:pPr>
        <w:pStyle w:val="6"/>
        <w:snapToGrid w:val="0"/>
        <w:spacing w:line="360" w:lineRule="auto"/>
        <w:ind w:left="899" w:hanging="899"/>
        <w:jc w:val="center"/>
        <w:textAlignment w:val="baseline"/>
        <w:rPr>
          <w:rFonts w:hint="default"/>
          <w:sz w:val="24"/>
          <w:szCs w:val="24"/>
        </w:rPr>
      </w:pPr>
      <w:bookmarkStart w:id="266" w:name="_Toc16567"/>
      <w:bookmarkStart w:id="267" w:name="_Toc9912"/>
      <w:r>
        <w:rPr>
          <w:sz w:val="24"/>
          <w:szCs w:val="24"/>
        </w:rPr>
        <w:t>八 履约验收</w:t>
      </w:r>
      <w:bookmarkEnd w:id="263"/>
      <w:bookmarkEnd w:id="264"/>
      <w:bookmarkEnd w:id="266"/>
      <w:bookmarkEnd w:id="267"/>
    </w:p>
    <w:p>
      <w:pPr>
        <w:pStyle w:val="6"/>
        <w:snapToGrid w:val="0"/>
        <w:spacing w:line="360" w:lineRule="auto"/>
        <w:textAlignment w:val="baseline"/>
        <w:rPr>
          <w:rFonts w:hint="default"/>
          <w:b/>
          <w:sz w:val="24"/>
        </w:rPr>
      </w:pPr>
      <w:bookmarkStart w:id="268" w:name="_Toc40110929"/>
      <w:bookmarkStart w:id="269" w:name="_Toc5895204"/>
      <w:bookmarkStart w:id="270" w:name="_Toc4569"/>
      <w:r>
        <w:rPr>
          <w:b/>
          <w:sz w:val="24"/>
        </w:rPr>
        <w:t>30.履约验收</w:t>
      </w:r>
      <w:bookmarkEnd w:id="268"/>
      <w:bookmarkEnd w:id="269"/>
      <w:bookmarkEnd w:id="270"/>
    </w:p>
    <w:p>
      <w:pPr>
        <w:pStyle w:val="125"/>
        <w:snapToGrid w:val="0"/>
        <w:spacing w:line="360" w:lineRule="auto"/>
        <w:textAlignment w:val="baseline"/>
        <w:rPr>
          <w:bCs/>
          <w:sz w:val="24"/>
        </w:rPr>
      </w:pPr>
      <w:r>
        <w:rPr>
          <w:rFonts w:hint="eastAsia"/>
          <w:bCs/>
          <w:sz w:val="24"/>
          <w:lang w:val="zh-CN"/>
        </w:rPr>
        <w:t>30.1</w:t>
      </w:r>
      <w:r>
        <w:rPr>
          <w:rFonts w:hint="eastAsia"/>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125"/>
        <w:snapToGrid w:val="0"/>
        <w:spacing w:line="360" w:lineRule="auto"/>
        <w:textAlignment w:val="baseline"/>
        <w:rPr>
          <w:bCs/>
          <w:sz w:val="24"/>
        </w:rPr>
      </w:pPr>
      <w:r>
        <w:rPr>
          <w:rFonts w:hint="eastAsia"/>
          <w:bCs/>
          <w:sz w:val="24"/>
        </w:rPr>
        <w:t>30.2采购人或者采购代理机构应当按照政府采购合同规定的技术、服务、安全标准组织对投标人履约情况进行验收，并出具验收书。验收书应当包括每一项技术、服务、安全标准的履约情况。</w:t>
      </w:r>
    </w:p>
    <w:p>
      <w:pPr>
        <w:pStyle w:val="6"/>
        <w:snapToGrid w:val="0"/>
        <w:spacing w:line="360" w:lineRule="auto"/>
        <w:ind w:left="899" w:hanging="899"/>
        <w:jc w:val="center"/>
        <w:textAlignment w:val="baseline"/>
        <w:rPr>
          <w:rFonts w:hint="default"/>
          <w:sz w:val="24"/>
          <w:szCs w:val="24"/>
        </w:rPr>
      </w:pPr>
      <w:bookmarkStart w:id="271" w:name="_Toc40110930"/>
      <w:bookmarkStart w:id="272" w:name="_Toc5895205"/>
      <w:bookmarkStart w:id="273" w:name="_Toc529197212"/>
      <w:bookmarkStart w:id="274" w:name="_Toc10267"/>
      <w:bookmarkStart w:id="275" w:name="_Toc8995"/>
      <w:r>
        <w:rPr>
          <w:sz w:val="24"/>
          <w:szCs w:val="24"/>
        </w:rPr>
        <w:t>九 询问与质疑</w:t>
      </w:r>
      <w:bookmarkEnd w:id="271"/>
      <w:bookmarkEnd w:id="272"/>
      <w:bookmarkEnd w:id="273"/>
      <w:bookmarkEnd w:id="274"/>
      <w:bookmarkEnd w:id="275"/>
    </w:p>
    <w:p>
      <w:pPr>
        <w:pStyle w:val="6"/>
        <w:snapToGrid w:val="0"/>
        <w:spacing w:line="360" w:lineRule="auto"/>
        <w:textAlignment w:val="baseline"/>
        <w:rPr>
          <w:rFonts w:hint="default"/>
          <w:b/>
          <w:sz w:val="24"/>
        </w:rPr>
      </w:pPr>
      <w:bookmarkStart w:id="276" w:name="_Toc40110931"/>
      <w:bookmarkStart w:id="277" w:name="_Toc5895206"/>
      <w:bookmarkStart w:id="278" w:name="_Toc1555"/>
      <w:r>
        <w:rPr>
          <w:b/>
          <w:sz w:val="24"/>
        </w:rPr>
        <w:t>31.询问</w:t>
      </w:r>
      <w:bookmarkEnd w:id="276"/>
      <w:bookmarkEnd w:id="277"/>
      <w:bookmarkEnd w:id="278"/>
    </w:p>
    <w:p>
      <w:pPr>
        <w:pStyle w:val="125"/>
        <w:snapToGrid w:val="0"/>
        <w:spacing w:line="360" w:lineRule="auto"/>
        <w:ind w:firstLine="480" w:firstLineChars="200"/>
        <w:textAlignment w:val="baseline"/>
        <w:rPr>
          <w:bCs/>
          <w:color w:val="000000"/>
          <w:sz w:val="24"/>
        </w:rPr>
      </w:pPr>
      <w:r>
        <w:rPr>
          <w:rFonts w:hint="eastAsia"/>
          <w:bCs/>
          <w:color w:val="000000"/>
          <w:sz w:val="24"/>
        </w:rPr>
        <w:t>投标人对政府采购活动事项有疑问的，可以向采购代理机构提出询问，采购代理机构应当在</w:t>
      </w:r>
      <w:r>
        <w:rPr>
          <w:bCs/>
          <w:color w:val="000000"/>
          <w:sz w:val="24"/>
        </w:rPr>
        <w:t>3个工作日内对</w:t>
      </w:r>
      <w:r>
        <w:rPr>
          <w:rFonts w:hint="eastAsia"/>
          <w:bCs/>
          <w:color w:val="000000"/>
          <w:sz w:val="24"/>
        </w:rPr>
        <w:t>投标人依法提出的询问作出答复，但答复的内容不得涉及商业秘密。</w:t>
      </w:r>
    </w:p>
    <w:p>
      <w:pPr>
        <w:pStyle w:val="6"/>
        <w:snapToGrid w:val="0"/>
        <w:spacing w:line="360" w:lineRule="auto"/>
        <w:textAlignment w:val="baseline"/>
        <w:rPr>
          <w:rFonts w:hint="default"/>
          <w:b/>
          <w:sz w:val="24"/>
        </w:rPr>
      </w:pPr>
      <w:bookmarkStart w:id="279" w:name="_Toc5895207"/>
      <w:bookmarkStart w:id="280" w:name="_Toc40110932"/>
      <w:bookmarkStart w:id="281" w:name="_Toc21218"/>
      <w:r>
        <w:rPr>
          <w:b/>
          <w:sz w:val="24"/>
        </w:rPr>
        <w:t>32.质疑</w:t>
      </w:r>
      <w:bookmarkEnd w:id="279"/>
      <w:bookmarkEnd w:id="280"/>
      <w:bookmarkEnd w:id="281"/>
    </w:p>
    <w:p>
      <w:pPr>
        <w:pStyle w:val="125"/>
        <w:snapToGrid w:val="0"/>
        <w:spacing w:line="360" w:lineRule="auto"/>
        <w:textAlignment w:val="baseline"/>
        <w:rPr>
          <w:bCs/>
          <w:color w:val="000000"/>
          <w:sz w:val="24"/>
        </w:rPr>
      </w:pPr>
      <w:r>
        <w:rPr>
          <w:rFonts w:hint="eastAsia"/>
          <w:bCs/>
          <w:color w:val="000000"/>
          <w:sz w:val="24"/>
        </w:rPr>
        <w:t>3</w:t>
      </w:r>
      <w:r>
        <w:rPr>
          <w:bCs/>
          <w:color w:val="000000"/>
          <w:sz w:val="24"/>
        </w:rPr>
        <w:t>2.1</w:t>
      </w:r>
      <w:r>
        <w:rPr>
          <w:rFonts w:hint="eastAsia"/>
          <w:bCs/>
          <w:color w:val="000000"/>
          <w:sz w:val="24"/>
        </w:rPr>
        <w:t>投标人认为招标文件、采购过程、中标结果使自己的权益受到损害的，可以在知道或者应知其权益受到损害之日起7个工作日内，以书面形式向采购人、采购代理机构提出质疑。</w:t>
      </w:r>
    </w:p>
    <w:p>
      <w:pPr>
        <w:pStyle w:val="125"/>
        <w:snapToGrid w:val="0"/>
        <w:spacing w:line="360" w:lineRule="auto"/>
        <w:textAlignment w:val="baseline"/>
        <w:rPr>
          <w:bCs/>
          <w:color w:val="000000"/>
          <w:sz w:val="24"/>
        </w:rPr>
      </w:pPr>
      <w:r>
        <w:rPr>
          <w:rFonts w:hint="eastAsia"/>
          <w:bCs/>
          <w:color w:val="000000"/>
          <w:sz w:val="24"/>
        </w:rPr>
        <w:t>3</w:t>
      </w:r>
      <w:r>
        <w:rPr>
          <w:bCs/>
          <w:color w:val="000000"/>
          <w:sz w:val="24"/>
        </w:rPr>
        <w:t>2.2</w:t>
      </w:r>
      <w:r>
        <w:rPr>
          <w:rFonts w:hint="eastAsia"/>
          <w:bCs/>
          <w:color w:val="000000"/>
          <w:sz w:val="24"/>
        </w:rPr>
        <w:t>投标人应在法定质疑期内一次性提出针对同一采购程序环节的质疑。</w:t>
      </w:r>
    </w:p>
    <w:p>
      <w:pPr>
        <w:pStyle w:val="125"/>
        <w:snapToGrid w:val="0"/>
        <w:spacing w:line="360" w:lineRule="auto"/>
        <w:textAlignment w:val="baseline"/>
        <w:rPr>
          <w:bCs/>
          <w:color w:val="000000"/>
          <w:sz w:val="24"/>
        </w:rPr>
      </w:pPr>
      <w:r>
        <w:rPr>
          <w:bCs/>
          <w:color w:val="000000"/>
          <w:sz w:val="24"/>
        </w:rPr>
        <w:t>32.3</w:t>
      </w:r>
      <w:r>
        <w:rPr>
          <w:rFonts w:hint="eastAsia"/>
          <w:bCs/>
          <w:color w:val="000000"/>
          <w:sz w:val="24"/>
        </w:rPr>
        <w:t>投标人提出质疑应当提交质疑函和必要的证明材料。</w:t>
      </w:r>
    </w:p>
    <w:p>
      <w:pPr>
        <w:pStyle w:val="125"/>
        <w:snapToGrid w:val="0"/>
        <w:spacing w:line="360" w:lineRule="auto"/>
        <w:textAlignment w:val="baseline"/>
        <w:rPr>
          <w:bCs/>
          <w:color w:val="000000"/>
          <w:sz w:val="24"/>
        </w:rPr>
      </w:pPr>
      <w:r>
        <w:rPr>
          <w:bCs/>
          <w:color w:val="000000"/>
          <w:sz w:val="24"/>
        </w:rPr>
        <w:t>32.</w:t>
      </w:r>
      <w:r>
        <w:rPr>
          <w:rFonts w:hint="eastAsia"/>
          <w:bCs/>
          <w:color w:val="000000"/>
          <w:sz w:val="24"/>
        </w:rPr>
        <w:t>4投标人进行质疑时，应当书面提交质疑函正本一份、副本一份及电子版一份（word版）。</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质疑函应当采用政府采购供应商质疑函范本格式，应当包括下列主要内容：</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.1 投标人的姓名或者名称、地址、邮编、联系人及联系电话；</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.2质疑项目的名称、编号；</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.3具体、明确的质疑事项和与质疑事项相关的请求；</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.4事实依据；</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.5必要的法律依据；</w:t>
      </w:r>
    </w:p>
    <w:p>
      <w:pPr>
        <w:pStyle w:val="125"/>
        <w:snapToGrid w:val="0"/>
        <w:spacing w:line="360" w:lineRule="auto"/>
        <w:textAlignment w:val="baseline"/>
        <w:rPr>
          <w:bCs/>
          <w:color w:val="000000"/>
          <w:sz w:val="24"/>
        </w:rPr>
      </w:pPr>
      <w:r>
        <w:rPr>
          <w:bCs/>
          <w:color w:val="000000"/>
          <w:sz w:val="24"/>
        </w:rPr>
        <w:t>32.5</w:t>
      </w:r>
      <w:r>
        <w:rPr>
          <w:rFonts w:hint="eastAsia"/>
          <w:bCs/>
          <w:color w:val="000000"/>
          <w:sz w:val="24"/>
        </w:rPr>
        <w:t>.6提出质疑的日期。</w:t>
      </w:r>
    </w:p>
    <w:p>
      <w:pPr>
        <w:pStyle w:val="125"/>
        <w:snapToGrid w:val="0"/>
        <w:spacing w:line="360" w:lineRule="auto"/>
        <w:textAlignment w:val="baseline"/>
        <w:rPr>
          <w:bCs/>
          <w:color w:val="000000"/>
          <w:sz w:val="24"/>
        </w:rPr>
      </w:pPr>
      <w:r>
        <w:rPr>
          <w:bCs/>
          <w:color w:val="000000"/>
          <w:sz w:val="24"/>
        </w:rPr>
        <w:t>32.</w:t>
      </w:r>
      <w:r>
        <w:rPr>
          <w:rFonts w:hint="eastAsia"/>
          <w:bCs/>
          <w:color w:val="000000"/>
          <w:sz w:val="24"/>
        </w:rPr>
        <w:t>6投标人为自然人的，应当由本人签字；投标人为法人或者其他组织的，应当由法定代表人、主要负责人，或者其授权代表签字或者盖章，并加盖公章。</w:t>
      </w:r>
    </w:p>
    <w:p>
      <w:pPr>
        <w:pStyle w:val="125"/>
        <w:snapToGrid w:val="0"/>
        <w:spacing w:line="360" w:lineRule="auto"/>
        <w:textAlignment w:val="baseline"/>
        <w:rPr>
          <w:bCs/>
          <w:color w:val="000000"/>
          <w:sz w:val="24"/>
        </w:rPr>
      </w:pPr>
      <w:r>
        <w:rPr>
          <w:bCs/>
          <w:color w:val="000000"/>
          <w:sz w:val="24"/>
        </w:rPr>
        <w:t>32.7</w:t>
      </w:r>
      <w:r>
        <w:rPr>
          <w:rFonts w:hint="eastAsia"/>
          <w:bCs/>
          <w:color w:val="000000"/>
          <w:sz w:val="24"/>
        </w:rPr>
        <w:t>质疑投标人进行虚假、恶意质疑的，采购代理机构将向财政主管部门进行汇报。</w:t>
      </w:r>
    </w:p>
    <w:p>
      <w:pPr>
        <w:pStyle w:val="125"/>
        <w:snapToGrid w:val="0"/>
        <w:spacing w:line="360" w:lineRule="auto"/>
        <w:textAlignment w:val="baseline"/>
        <w:rPr>
          <w:bCs/>
          <w:color w:val="000000"/>
          <w:sz w:val="24"/>
        </w:rPr>
      </w:pPr>
      <w:r>
        <w:rPr>
          <w:rFonts w:hint="eastAsia"/>
          <w:bCs/>
          <w:color w:val="000000"/>
          <w:sz w:val="24"/>
        </w:rPr>
        <w:t>32.8接收质疑函的方式：书面形式</w:t>
      </w:r>
    </w:p>
    <w:p>
      <w:pPr>
        <w:pStyle w:val="125"/>
        <w:snapToGrid w:val="0"/>
        <w:spacing w:line="360" w:lineRule="auto"/>
        <w:textAlignment w:val="baseline"/>
        <w:rPr>
          <w:rFonts w:ascii="宋体" w:hAnsi="宋体" w:cs="宋体"/>
          <w:bCs/>
          <w:color w:val="000000"/>
          <w:sz w:val="24"/>
        </w:rPr>
      </w:pPr>
      <w:r>
        <w:rPr>
          <w:rFonts w:hint="eastAsia"/>
          <w:bCs/>
          <w:color w:val="000000"/>
          <w:sz w:val="24"/>
        </w:rPr>
        <w:t>联系部门：华采招标集团有限公司</w:t>
      </w:r>
    </w:p>
    <w:p>
      <w:pPr>
        <w:pStyle w:val="125"/>
        <w:snapToGrid w:val="0"/>
        <w:spacing w:line="360" w:lineRule="auto"/>
        <w:textAlignment w:val="baseline"/>
        <w:rPr>
          <w:rFonts w:ascii="宋体" w:hAnsi="宋体" w:cs="宋体"/>
          <w:bCs/>
          <w:color w:val="000000"/>
          <w:sz w:val="24"/>
        </w:rPr>
      </w:pPr>
      <w:r>
        <w:rPr>
          <w:rFonts w:hint="eastAsia" w:ascii="宋体" w:hAnsi="宋体" w:cs="宋体"/>
          <w:bCs/>
          <w:color w:val="000000"/>
          <w:sz w:val="24"/>
        </w:rPr>
        <w:t>通讯地址：北京市丰台区广安路9号国投财富广场6号楼1601室</w:t>
      </w:r>
    </w:p>
    <w:p>
      <w:pPr>
        <w:pStyle w:val="125"/>
        <w:snapToGrid w:val="0"/>
        <w:spacing w:line="360" w:lineRule="auto"/>
        <w:textAlignment w:val="baseline"/>
        <w:rPr>
          <w:rFonts w:ascii="宋体" w:hAnsi="宋体" w:cs="宋体"/>
          <w:bCs/>
          <w:color w:val="000000"/>
          <w:sz w:val="24"/>
        </w:rPr>
      </w:pPr>
      <w:r>
        <w:rPr>
          <w:rFonts w:hint="eastAsia" w:ascii="宋体" w:hAnsi="宋体" w:cs="宋体"/>
          <w:bCs/>
          <w:color w:val="000000"/>
          <w:sz w:val="24"/>
        </w:rPr>
        <w:t>联系电话：010-63509799-</w:t>
      </w:r>
      <w:r>
        <w:rPr>
          <w:rFonts w:hint="eastAsia" w:ascii="宋体" w:hAnsi="宋体" w:cs="??"/>
          <w:sz w:val="24"/>
        </w:rPr>
        <w:t>8112/8024</w:t>
      </w:r>
    </w:p>
    <w:p>
      <w:pPr>
        <w:pStyle w:val="125"/>
        <w:snapToGrid w:val="0"/>
        <w:spacing w:line="360" w:lineRule="auto"/>
        <w:textAlignment w:val="baseline"/>
        <w:rPr>
          <w:rFonts w:ascii="宋体" w:hAnsi="宋体" w:cs="宋体"/>
          <w:bCs/>
          <w:color w:val="000000"/>
          <w:sz w:val="24"/>
        </w:rPr>
      </w:pPr>
      <w:r>
        <w:rPr>
          <w:rFonts w:hint="eastAsia" w:ascii="宋体" w:hAnsi="宋体" w:cs="宋体"/>
          <w:bCs/>
          <w:color w:val="000000"/>
          <w:sz w:val="24"/>
        </w:rPr>
        <w:t>邮    箱：hczb104@163.com</w:t>
      </w:r>
    </w:p>
    <w:p>
      <w:pPr>
        <w:pStyle w:val="125"/>
        <w:snapToGrid w:val="0"/>
        <w:spacing w:line="360" w:lineRule="auto"/>
        <w:textAlignment w:val="baseline"/>
        <w:rPr>
          <w:bCs/>
          <w:color w:val="000000"/>
          <w:sz w:val="24"/>
        </w:rPr>
      </w:pPr>
      <w:r>
        <w:rPr>
          <w:rFonts w:hint="eastAsia"/>
          <w:bCs/>
          <w:color w:val="000000"/>
          <w:sz w:val="24"/>
        </w:rPr>
        <w:t>联 系 人： 贾东敏、蒲晓芳</w:t>
      </w:r>
    </w:p>
    <w:p>
      <w:pPr>
        <w:widowControl/>
        <w:snapToGrid w:val="0"/>
        <w:spacing w:line="360" w:lineRule="auto"/>
        <w:textAlignment w:val="baseline"/>
        <w:rPr>
          <w:bCs/>
          <w:color w:val="000000"/>
          <w:sz w:val="24"/>
        </w:rPr>
      </w:pPr>
      <w:r>
        <w:rPr>
          <w:bCs/>
          <w:color w:val="000000"/>
          <w:sz w:val="24"/>
        </w:rPr>
        <w:br w:type="page"/>
      </w:r>
    </w:p>
    <w:p>
      <w:pPr>
        <w:pStyle w:val="3"/>
        <w:numPr>
          <w:ilvl w:val="0"/>
          <w:numId w:val="4"/>
        </w:numPr>
        <w:snapToGrid w:val="0"/>
        <w:textAlignment w:val="baseline"/>
      </w:pPr>
      <w:bookmarkStart w:id="282" w:name="_Toc5895208"/>
      <w:bookmarkStart w:id="283" w:name="_Toc421633338"/>
      <w:bookmarkStart w:id="284" w:name="_Toc310195729"/>
      <w:r>
        <w:rPr>
          <w:rFonts w:hint="eastAsia"/>
          <w:lang w:val="en-US"/>
        </w:rPr>
        <w:t xml:space="preserve"> </w:t>
      </w:r>
      <w:bookmarkStart w:id="285" w:name="_Toc32284"/>
      <w:bookmarkStart w:id="286" w:name="_Toc40110933"/>
      <w:bookmarkStart w:id="287" w:name="_Toc7551"/>
      <w:r>
        <w:rPr>
          <w:rFonts w:hint="eastAsia"/>
          <w:lang w:val="en-US"/>
        </w:rPr>
        <w:t>采购需求</w:t>
      </w:r>
      <w:bookmarkEnd w:id="282"/>
      <w:bookmarkEnd w:id="285"/>
      <w:bookmarkEnd w:id="286"/>
      <w:bookmarkEnd w:id="287"/>
    </w:p>
    <w:p>
      <w:pPr>
        <w:spacing w:line="360" w:lineRule="auto"/>
        <w:jc w:val="center"/>
        <w:rPr>
          <w:rFonts w:asciiTheme="majorEastAsia" w:hAnsiTheme="majorEastAsia" w:eastAsiaTheme="majorEastAsia"/>
          <w:b/>
          <w:bCs/>
          <w:sz w:val="24"/>
        </w:rPr>
      </w:pPr>
      <w:bookmarkStart w:id="288" w:name="_Toc5895209"/>
      <w:bookmarkStart w:id="289" w:name="_Toc40111023"/>
      <w:bookmarkStart w:id="290" w:name="_Toc23873"/>
    </w:p>
    <w:p>
      <w:pPr>
        <w:spacing w:line="360" w:lineRule="auto"/>
        <w:jc w:val="left"/>
        <w:rPr>
          <w:rFonts w:asciiTheme="majorEastAsia" w:hAnsiTheme="majorEastAsia" w:eastAsiaTheme="majorEastAsia"/>
          <w:b/>
          <w:bCs/>
          <w:sz w:val="24"/>
        </w:rPr>
      </w:pPr>
      <w:r>
        <w:rPr>
          <w:rFonts w:hint="eastAsia" w:asciiTheme="majorEastAsia" w:hAnsiTheme="majorEastAsia" w:eastAsiaTheme="majorEastAsia"/>
          <w:b/>
          <w:bCs/>
          <w:sz w:val="24"/>
        </w:rPr>
        <w:t>第一部分 商务要求</w:t>
      </w:r>
    </w:p>
    <w:p>
      <w:pPr>
        <w:spacing w:line="360" w:lineRule="auto"/>
        <w:ind w:right="600"/>
        <w:rPr>
          <w:rFonts w:asciiTheme="minorEastAsia" w:hAnsiTheme="minorEastAsia" w:eastAsiaTheme="minorEastAsia"/>
          <w:color w:val="000000"/>
          <w:sz w:val="24"/>
        </w:rPr>
      </w:pPr>
      <w:r>
        <w:rPr>
          <w:rFonts w:asciiTheme="minorEastAsia" w:hAnsiTheme="minorEastAsia" w:eastAsiaTheme="minorEastAsia"/>
          <w:color w:val="000000"/>
          <w:sz w:val="24"/>
        </w:rPr>
        <w:t>项目名称：</w:t>
      </w:r>
      <w:r>
        <w:rPr>
          <w:rFonts w:hint="eastAsia" w:asciiTheme="minorEastAsia" w:hAnsiTheme="minorEastAsia" w:eastAsiaTheme="minorEastAsia"/>
          <w:color w:val="000000"/>
          <w:sz w:val="24"/>
        </w:rPr>
        <w:t>华北电力大学教三楼</w:t>
      </w:r>
      <w:r>
        <w:rPr>
          <w:rFonts w:asciiTheme="minorEastAsia" w:hAnsiTheme="minorEastAsia" w:eastAsiaTheme="minorEastAsia"/>
          <w:color w:val="000000"/>
          <w:sz w:val="24"/>
        </w:rPr>
        <w:t>物业服务</w:t>
      </w:r>
      <w:r>
        <w:rPr>
          <w:rFonts w:hint="eastAsia" w:asciiTheme="minorEastAsia" w:hAnsiTheme="minorEastAsia" w:eastAsiaTheme="minorEastAsia"/>
          <w:color w:val="000000"/>
          <w:sz w:val="24"/>
        </w:rPr>
        <w:t>外包</w:t>
      </w:r>
      <w:r>
        <w:rPr>
          <w:rFonts w:asciiTheme="minorEastAsia" w:hAnsiTheme="minorEastAsia" w:eastAsiaTheme="minorEastAsia"/>
          <w:color w:val="000000"/>
          <w:sz w:val="24"/>
        </w:rPr>
        <w:t>项目</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商务要求：主要工作为教三楼物业楼宇管理服务，包含公共区域楼道门厅管理，卫生间卫生打扫，教室管理、教室开关门以及教室打扫，联络属地所在部门相关物业服务需求。</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一、服务参数：</w:t>
      </w:r>
    </w:p>
    <w:p>
      <w:pPr>
        <w:spacing w:line="360" w:lineRule="auto"/>
        <w:ind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我校教三楼现有教室数量86间，教学面积8500平方米，公共卫生面积9415.27平方米(含卫生间)。</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服务周期：一年</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预算总金额：650000元/年</w:t>
      </w:r>
    </w:p>
    <w:p>
      <w:pPr>
        <w:numPr>
          <w:ilvl w:val="0"/>
          <w:numId w:val="5"/>
        </w:numPr>
        <w:spacing w:line="360" w:lineRule="auto"/>
        <w:ind w:right="600"/>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付款方式：每季度支付一次。合同签订后，甲方在每季度开始的第一个月15日工作日内支付合同总金额的四分之一。</w:t>
      </w:r>
    </w:p>
    <w:p>
      <w:pPr>
        <w:pStyle w:val="2"/>
        <w:numPr>
          <w:ilvl w:val="0"/>
          <w:numId w:val="0"/>
        </w:numPr>
        <w:spacing w:line="360" w:lineRule="auto"/>
        <w:rPr>
          <w:rFonts w:hint="default" w:cs="宋体" w:asciiTheme="minorEastAsia" w:hAnsiTheme="minorEastAsia" w:eastAsiaTheme="minorEastAsia"/>
          <w:smallCaps w:val="0"/>
          <w:color w:val="000000"/>
          <w:kern w:val="2"/>
          <w:sz w:val="24"/>
          <w:szCs w:val="24"/>
          <w:lang w:val="en-US" w:eastAsia="zh-CN" w:bidi="ar-SA"/>
        </w:rPr>
      </w:pPr>
      <w:r>
        <w:rPr>
          <w:rFonts w:hint="eastAsia" w:cs="宋体" w:asciiTheme="minorEastAsia" w:hAnsiTheme="minorEastAsia" w:eastAsiaTheme="minorEastAsia"/>
          <w:smallCaps w:val="0"/>
          <w:color w:val="000000"/>
          <w:kern w:val="2"/>
          <w:sz w:val="24"/>
          <w:szCs w:val="24"/>
          <w:lang w:val="en-US" w:eastAsia="zh-CN" w:bidi="ar-SA"/>
        </w:rPr>
        <w:t>三、其他内容：人员配备：投标人为本项目配备的人员不少于11人，学校不包食宿。</w:t>
      </w:r>
    </w:p>
    <w:p>
      <w:pPr>
        <w:spacing w:line="360" w:lineRule="auto"/>
        <w:rPr>
          <w:rFonts w:asciiTheme="majorEastAsia" w:hAnsiTheme="majorEastAsia" w:eastAsiaTheme="majorEastAsia"/>
          <w:b/>
          <w:bCs/>
          <w:sz w:val="24"/>
        </w:rPr>
      </w:pPr>
      <w:r>
        <w:rPr>
          <w:rFonts w:hint="eastAsia" w:asciiTheme="majorEastAsia" w:hAnsiTheme="majorEastAsia" w:eastAsiaTheme="majorEastAsia"/>
          <w:b/>
          <w:bCs/>
          <w:sz w:val="24"/>
        </w:rPr>
        <w:t>第二部分 技术要求</w:t>
      </w: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 xml:space="preserve">一、服务质量标准及作业要求 </w:t>
      </w: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（一）质量标准</w:t>
      </w: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1、教室、实验室、办公楼及公共环境卫生、大厅、走廊保洁标准：</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1）桌椅、家具：无积尘、洁净、按时消毒，并做好记录；</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2）地面：表面洁净、光亮、无积尘、无污迹、无水迹、无烟头、无油迹及</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3）无垃圾；</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4）讲台、黑板：表面洁净、无积尘、无陈旧污迹、无水迹、无胶印及无垃圾；</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5）墙面：无积尘、无陈旧污迹、及时清理不当的张贴；</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6）天花板：无积尘、无蛛网、无污迹；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电梯：无积尘、轿厢壁光亮洁净、无陈旧印迹、按键面板无积尘、无陈旧印迹；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7）照明灯具：无厚积尘土；</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8）各房间门、通道门：无陈旧污迹、光亮、手摸无明显的尘迹；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9）不锈钢表面：光亮、无陈旧污迹；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10）装饰物：表面无积尘；</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11）玻璃：洁净、无陈旧污渍、无水迹、晶莹透亮；</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12）宣传栏、展示柜及其他设备设施：无陈旧手印、无积尘、无陈旧污渍；</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13）垃圾桶：无垃圾爆满、表面无痰渍、无污渍、按规范消毒；</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14）消防设备等：无积尘；</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15）楼梯：扶手无积尘、立面无积渍；</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16）窗户、窗台：玻璃明亮、窗台无积灰；</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17）各类标识：保持干净，无不当张贴物；</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18）开水房：无积尘、无陈旧污迹、无水迹、无烟头及无垃圾；</w:t>
      </w: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2、卫生间保洁标准：</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1）卫生间内：无异味；</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2）地面：无积尘、碎纸、垃圾、烟头、无积水、无尿迹、污迹；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3）洗手池：池壁无污垢、无痰迹及头发等不洁物；</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4）水龙头：无积尘、无污物、按规范消毒；</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5）洗手池台面：无积尘、无污物、按规范消毒；</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6）便器：无尿碱水锈印迹（黄迹）、无污垢、喷水嘴应洁净、按规范消毒；</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7）纸篓：污物量不超过 2/3，内外表干净；</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8）墙面：无积尘、污迹；</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9）天花板：无积尘、污迹、无蛛网；</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10）隔板：无积尘、烟头、痰迹及垃圾杂物，扶手无积尘；</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11）污水池：无砂泥、无污渍；</w:t>
      </w: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3、因天气遇大风、下雨、下雪等特殊情况：</w:t>
      </w:r>
    </w:p>
    <w:p>
      <w:pPr>
        <w:spacing w:line="360" w:lineRule="auto"/>
        <w:ind w:right="600" w:firstLine="480" w:firstLineChars="200"/>
        <w:rPr>
          <w:rFonts w:asciiTheme="minorEastAsia" w:hAnsiTheme="minorEastAsia" w:eastAsiaTheme="minorEastAsia"/>
          <w:color w:val="000000"/>
          <w:sz w:val="24"/>
        </w:rPr>
      </w:pPr>
      <w:r>
        <w:rPr>
          <w:rFonts w:hint="eastAsia" w:asciiTheme="minorEastAsia" w:hAnsiTheme="minorEastAsia" w:eastAsiaTheme="minorEastAsia"/>
          <w:color w:val="000000"/>
          <w:sz w:val="24"/>
        </w:rPr>
        <w:t>各楼门口实行门前三包，及时清扫门前积雪及校园道路积雪；大风及有扬尘天气要及时关窗，防止玻璃破碎；春、冬季传染性疾病高发期，根据采购人要求，加强对桌椅、卫生间的消毒，加强教室空气流通。</w:t>
      </w:r>
    </w:p>
    <w:p>
      <w:pPr>
        <w:numPr>
          <w:ilvl w:val="0"/>
          <w:numId w:val="6"/>
        </w:num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如遇国家和学校各类考试、大型活动、工作检查等情况，供应商有义务无条件配合学校各项工作。</w:t>
      </w:r>
    </w:p>
    <w:p>
      <w:pPr>
        <w:spacing w:line="360" w:lineRule="auto"/>
        <w:ind w:right="600"/>
        <w:rPr>
          <w:rFonts w:asciiTheme="minorEastAsia" w:hAnsiTheme="minorEastAsia" w:eastAsiaTheme="minorEastAsia"/>
          <w:b/>
          <w:bCs/>
          <w:color w:val="000000"/>
          <w:sz w:val="24"/>
        </w:rPr>
      </w:pPr>
    </w:p>
    <w:p>
      <w:pPr>
        <w:pStyle w:val="2"/>
      </w:pPr>
    </w:p>
    <w:p/>
    <w:p>
      <w:pPr>
        <w:pStyle w:val="2"/>
      </w:pPr>
    </w:p>
    <w:p/>
    <w:p>
      <w:pPr>
        <w:pStyle w:val="2"/>
      </w:pPr>
    </w:p>
    <w:p>
      <w:pPr>
        <w:spacing w:line="360" w:lineRule="auto"/>
        <w:ind w:right="600"/>
        <w:rPr>
          <w:rFonts w:asciiTheme="minorEastAsia" w:hAnsiTheme="minorEastAsia" w:eastAsiaTheme="minorEastAsia"/>
          <w:b/>
          <w:bCs/>
          <w:color w:val="000000"/>
          <w:sz w:val="24"/>
        </w:rPr>
      </w:pPr>
      <w:r>
        <w:rPr>
          <w:rFonts w:hint="eastAsia" w:asciiTheme="minorEastAsia" w:hAnsiTheme="minorEastAsia" w:eastAsiaTheme="minorEastAsia"/>
          <w:b/>
          <w:bCs/>
          <w:color w:val="000000"/>
          <w:sz w:val="24"/>
        </w:rPr>
        <w:t>（二）作业要求</w:t>
      </w:r>
    </w:p>
    <w:p>
      <w:pPr>
        <w:spacing w:line="360" w:lineRule="auto"/>
        <w:ind w:leftChars="-200" w:right="600" w:hanging="400" w:hangingChars="200"/>
        <w:rPr>
          <w:rFonts w:asciiTheme="minorEastAsia" w:hAnsiTheme="minorEastAsia" w:eastAsiaTheme="minorEastAsia"/>
          <w:color w:val="000000"/>
          <w:sz w:val="24"/>
        </w:rPr>
      </w:pPr>
      <w:r>
        <w:drawing>
          <wp:anchor distT="0" distB="0" distL="114300" distR="114300" simplePos="0" relativeHeight="251661312" behindDoc="0" locked="0" layoutInCell="1" allowOverlap="1">
            <wp:simplePos x="0" y="0"/>
            <wp:positionH relativeFrom="column">
              <wp:posOffset>184785</wp:posOffset>
            </wp:positionH>
            <wp:positionV relativeFrom="paragraph">
              <wp:posOffset>93345</wp:posOffset>
            </wp:positionV>
            <wp:extent cx="5665470" cy="4100195"/>
            <wp:effectExtent l="0" t="0" r="11430" b="1460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665470" cy="4100195"/>
                    </a:xfrm>
                    <a:prstGeom prst="rect">
                      <a:avLst/>
                    </a:prstGeom>
                    <a:noFill/>
                    <a:ln>
                      <a:noFill/>
                    </a:ln>
                  </pic:spPr>
                </pic:pic>
              </a:graphicData>
            </a:graphic>
          </wp:anchor>
        </w:drawing>
      </w: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p>
    <w:p>
      <w:pPr>
        <w:spacing w:line="360" w:lineRule="auto"/>
        <w:ind w:right="600"/>
        <w:rPr>
          <w:rFonts w:asciiTheme="minorEastAsia" w:hAnsiTheme="minorEastAsia" w:eastAsiaTheme="minorEastAsia"/>
          <w:color w:val="000000"/>
          <w:sz w:val="24"/>
        </w:rPr>
      </w:pPr>
      <w:r>
        <w:drawing>
          <wp:inline distT="0" distB="0" distL="114300" distR="114300">
            <wp:extent cx="5781675" cy="7398385"/>
            <wp:effectExtent l="0" t="0" r="9525" b="1206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1"/>
                    <a:stretch>
                      <a:fillRect/>
                    </a:stretch>
                  </pic:blipFill>
                  <pic:spPr>
                    <a:xfrm>
                      <a:off x="0" y="0"/>
                      <a:ext cx="5781675" cy="7398385"/>
                    </a:xfrm>
                    <a:prstGeom prst="rect">
                      <a:avLst/>
                    </a:prstGeom>
                    <a:noFill/>
                    <a:ln>
                      <a:noFill/>
                    </a:ln>
                  </pic:spPr>
                </pic:pic>
              </a:graphicData>
            </a:graphic>
          </wp:inline>
        </w:drawing>
      </w:r>
    </w:p>
    <w:p/>
    <w:p/>
    <w:p>
      <w:pPr>
        <w:pStyle w:val="54"/>
        <w:snapToGrid w:val="0"/>
        <w:ind w:left="0" w:leftChars="0" w:firstLine="240" w:firstLineChars="100"/>
        <w:textAlignment w:val="baseline"/>
        <w:rPr>
          <w:rFonts w:ascii="宋体" w:hAnsi="宋体"/>
          <w:sz w:val="24"/>
          <w:szCs w:val="24"/>
          <w:lang w:val="en-US"/>
        </w:rPr>
      </w:pPr>
    </w:p>
    <w:p>
      <w:pPr>
        <w:pStyle w:val="54"/>
        <w:snapToGrid w:val="0"/>
        <w:ind w:left="400"/>
        <w:textAlignment w:val="baseline"/>
      </w:pPr>
    </w:p>
    <w:p>
      <w:pPr>
        <w:snapToGrid w:val="0"/>
        <w:textAlignment w:val="baseline"/>
      </w:pPr>
      <w:r>
        <w:drawing>
          <wp:anchor distT="0" distB="0" distL="114300" distR="114300" simplePos="0" relativeHeight="251662336" behindDoc="0" locked="0" layoutInCell="1" allowOverlap="1">
            <wp:simplePos x="0" y="0"/>
            <wp:positionH relativeFrom="column">
              <wp:posOffset>219075</wp:posOffset>
            </wp:positionH>
            <wp:positionV relativeFrom="paragraph">
              <wp:posOffset>6001385</wp:posOffset>
            </wp:positionV>
            <wp:extent cx="5734050" cy="120015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22"/>
                    <a:stretch>
                      <a:fillRect/>
                    </a:stretch>
                  </pic:blipFill>
                  <pic:spPr>
                    <a:xfrm>
                      <a:off x="0" y="0"/>
                      <a:ext cx="5734050" cy="1200150"/>
                    </a:xfrm>
                    <a:prstGeom prst="rect">
                      <a:avLst/>
                    </a:prstGeom>
                    <a:noFill/>
                    <a:ln>
                      <a:noFill/>
                    </a:ln>
                  </pic:spPr>
                </pic:pic>
              </a:graphicData>
            </a:graphic>
          </wp:anchor>
        </w:drawing>
      </w:r>
      <w:r>
        <w:rPr>
          <w:rFonts w:hint="eastAsia"/>
        </w:rPr>
        <w:br w:type="page"/>
      </w:r>
    </w:p>
    <w:p>
      <w:pPr>
        <w:pStyle w:val="3"/>
        <w:snapToGrid w:val="0"/>
        <w:textAlignment w:val="baseline"/>
      </w:pPr>
      <w:bookmarkStart w:id="291" w:name="_Toc15099"/>
      <w:r>
        <w:rPr>
          <w:rFonts w:hint="eastAsia"/>
        </w:rPr>
        <w:t xml:space="preserve">第五章 </w:t>
      </w:r>
      <w:bookmarkEnd w:id="283"/>
      <w:bookmarkEnd w:id="288"/>
      <w:r>
        <w:rPr>
          <w:rFonts w:hint="eastAsia"/>
        </w:rPr>
        <w:t>评标方法和评标标准</w:t>
      </w:r>
      <w:bookmarkEnd w:id="289"/>
      <w:bookmarkEnd w:id="290"/>
      <w:bookmarkEnd w:id="291"/>
    </w:p>
    <w:p>
      <w:pPr>
        <w:pStyle w:val="4"/>
        <w:snapToGrid w:val="0"/>
        <w:textAlignment w:val="baseline"/>
      </w:pPr>
      <w:bookmarkStart w:id="292" w:name="_Toc40114223"/>
      <w:bookmarkStart w:id="293" w:name="_Toc40111024"/>
      <w:bookmarkStart w:id="294" w:name="_Toc22496"/>
      <w:bookmarkStart w:id="295" w:name="_Toc31037"/>
      <w:r>
        <w:rPr>
          <w:rFonts w:hint="eastAsia"/>
        </w:rPr>
        <w:t>一、投标文件资格册审查</w:t>
      </w:r>
      <w:bookmarkEnd w:id="292"/>
      <w:bookmarkEnd w:id="293"/>
      <w:bookmarkEnd w:id="294"/>
      <w:bookmarkEnd w:id="295"/>
    </w:p>
    <w:p>
      <w:pPr>
        <w:snapToGrid w:val="0"/>
        <w:spacing w:line="360" w:lineRule="auto"/>
        <w:textAlignment w:val="baseline"/>
        <w:rPr>
          <w:rFonts w:ascii="宋体" w:hAnsi="宋体"/>
          <w:sz w:val="24"/>
        </w:rPr>
      </w:pPr>
      <w:r>
        <w:rPr>
          <w:rFonts w:hint="eastAsia" w:ascii="宋体" w:hAnsi="宋体"/>
          <w:sz w:val="24"/>
        </w:rPr>
        <w:t>项目名称：                       项目代理编号：</w:t>
      </w:r>
    </w:p>
    <w:p>
      <w:pPr>
        <w:snapToGrid w:val="0"/>
        <w:spacing w:line="360" w:lineRule="auto"/>
        <w:textAlignment w:val="baseline"/>
        <w:rPr>
          <w:rFonts w:ascii="宋体" w:hAnsi="宋体"/>
          <w:sz w:val="24"/>
        </w:rPr>
      </w:pPr>
      <w:r>
        <w:rPr>
          <w:rFonts w:hint="eastAsia" w:ascii="宋体" w:hAnsi="宋体"/>
          <w:sz w:val="24"/>
        </w:rPr>
        <w:t>评标地点：                       评标日期：</w:t>
      </w:r>
    </w:p>
    <w:tbl>
      <w:tblPr>
        <w:tblStyle w:val="55"/>
        <w:tblW w:w="9198" w:type="dxa"/>
        <w:jc w:val="center"/>
        <w:tblLayout w:type="fixed"/>
        <w:tblCellMar>
          <w:top w:w="0" w:type="dxa"/>
          <w:left w:w="108" w:type="dxa"/>
          <w:bottom w:w="0" w:type="dxa"/>
          <w:right w:w="108" w:type="dxa"/>
        </w:tblCellMar>
      </w:tblPr>
      <w:tblGrid>
        <w:gridCol w:w="668"/>
        <w:gridCol w:w="4366"/>
        <w:gridCol w:w="858"/>
        <w:gridCol w:w="814"/>
        <w:gridCol w:w="869"/>
        <w:gridCol w:w="807"/>
        <w:gridCol w:w="816"/>
      </w:tblGrid>
      <w:tr>
        <w:tblPrEx>
          <w:tblCellMar>
            <w:top w:w="0" w:type="dxa"/>
            <w:left w:w="108" w:type="dxa"/>
            <w:bottom w:w="0" w:type="dxa"/>
            <w:right w:w="108" w:type="dxa"/>
          </w:tblCellMar>
        </w:tblPrEx>
        <w:trPr>
          <w:jc w:val="center"/>
        </w:trPr>
        <w:tc>
          <w:tcPr>
            <w:tcW w:w="66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评议内容</w:t>
            </w:r>
          </w:p>
        </w:tc>
        <w:tc>
          <w:tcPr>
            <w:tcW w:w="858"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投标人名称</w:t>
            </w:r>
          </w:p>
        </w:tc>
        <w:tc>
          <w:tcPr>
            <w:tcW w:w="81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投标人名称</w:t>
            </w:r>
          </w:p>
        </w:tc>
        <w:tc>
          <w:tcPr>
            <w:tcW w:w="86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投标人名称</w:t>
            </w:r>
          </w:p>
        </w:tc>
        <w:tc>
          <w:tcPr>
            <w:tcW w:w="807"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投标人名称</w:t>
            </w:r>
          </w:p>
        </w:tc>
        <w:tc>
          <w:tcPr>
            <w:tcW w:w="81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sz w:val="24"/>
              </w:rPr>
            </w:pPr>
            <w:r>
              <w:rPr>
                <w:rFonts w:hint="eastAsia"/>
                <w:sz w:val="24"/>
              </w:rPr>
              <w:t>.....</w:t>
            </w:r>
          </w:p>
        </w:tc>
      </w:tr>
      <w:tr>
        <w:tblPrEx>
          <w:tblCellMar>
            <w:top w:w="0" w:type="dxa"/>
            <w:left w:w="108" w:type="dxa"/>
            <w:bottom w:w="0" w:type="dxa"/>
            <w:right w:w="108" w:type="dxa"/>
          </w:tblCellMar>
        </w:tblPrEx>
        <w:trPr>
          <w:jc w:val="center"/>
        </w:trPr>
        <w:tc>
          <w:tcPr>
            <w:tcW w:w="668" w:type="dxa"/>
            <w:vMerge w:val="restart"/>
            <w:tcBorders>
              <w:top w:val="single" w:color="auto" w:sz="4" w:space="0"/>
              <w:left w:val="single" w:color="auto" w:sz="4" w:space="0"/>
              <w:right w:val="single" w:color="auto" w:sz="4" w:space="0"/>
            </w:tcBorders>
          </w:tcPr>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p>
          <w:p>
            <w:pPr>
              <w:snapToGrid w:val="0"/>
              <w:spacing w:line="360" w:lineRule="auto"/>
              <w:textAlignment w:val="baseline"/>
              <w:rPr>
                <w:sz w:val="24"/>
              </w:rPr>
            </w:pPr>
            <w:r>
              <w:rPr>
                <w:rFonts w:hint="eastAsia"/>
                <w:sz w:val="24"/>
              </w:rPr>
              <w:t>资</w:t>
            </w:r>
          </w:p>
          <w:p>
            <w:pPr>
              <w:snapToGrid w:val="0"/>
              <w:spacing w:line="360" w:lineRule="auto"/>
              <w:textAlignment w:val="baseline"/>
              <w:rPr>
                <w:sz w:val="24"/>
              </w:rPr>
            </w:pPr>
            <w:r>
              <w:rPr>
                <w:rFonts w:hint="eastAsia"/>
                <w:sz w:val="24"/>
              </w:rPr>
              <w:t>格</w:t>
            </w:r>
          </w:p>
          <w:p>
            <w:pPr>
              <w:snapToGrid w:val="0"/>
              <w:spacing w:line="360" w:lineRule="auto"/>
              <w:textAlignment w:val="baseline"/>
              <w:rPr>
                <w:sz w:val="24"/>
              </w:rPr>
            </w:pPr>
            <w:r>
              <w:rPr>
                <w:rFonts w:hint="eastAsia"/>
                <w:sz w:val="24"/>
              </w:rPr>
              <w:t>性</w:t>
            </w:r>
          </w:p>
          <w:p>
            <w:pPr>
              <w:snapToGrid w:val="0"/>
              <w:spacing w:line="360" w:lineRule="auto"/>
              <w:textAlignment w:val="baseline"/>
              <w:rPr>
                <w:sz w:val="24"/>
              </w:rPr>
            </w:pPr>
            <w:r>
              <w:rPr>
                <w:rFonts w:hint="eastAsia"/>
                <w:sz w:val="24"/>
              </w:rPr>
              <w:t>审</w:t>
            </w:r>
          </w:p>
          <w:p>
            <w:pPr>
              <w:snapToGrid w:val="0"/>
              <w:spacing w:line="360" w:lineRule="auto"/>
              <w:textAlignment w:val="baseline"/>
              <w:rPr>
                <w:sz w:val="24"/>
              </w:rPr>
            </w:pPr>
            <w:r>
              <w:rPr>
                <w:rFonts w:hint="eastAsia"/>
                <w:sz w:val="24"/>
              </w:rPr>
              <w:t>查</w:t>
            </w: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r>
              <w:rPr>
                <w:rFonts w:hint="eastAsia"/>
                <w:sz w:val="24"/>
              </w:rPr>
              <w:t>三证合一的营业执照或事业单位法人证书复印件；投标人是自然人的，应提供其有效的自然身份证明复印件</w:t>
            </w:r>
          </w:p>
          <w:p>
            <w:pPr>
              <w:snapToGrid w:val="0"/>
              <w:spacing w:line="360" w:lineRule="auto"/>
              <w:textAlignment w:val="baseline"/>
              <w:rPr>
                <w:sz w:val="24"/>
              </w:rPr>
            </w:pPr>
            <w:r>
              <w:rPr>
                <w:rFonts w:hint="eastAsia"/>
                <w:sz w:val="24"/>
              </w:rPr>
              <w:t>注：①事业人单位提供《事业单位法人证书》、民办非企业单位提供《民办非企业单位登记证书》复印件。</w:t>
            </w:r>
          </w:p>
          <w:p>
            <w:pPr>
              <w:snapToGrid w:val="0"/>
              <w:spacing w:line="360" w:lineRule="auto"/>
              <w:textAlignment w:val="baseline"/>
              <w:rPr>
                <w:sz w:val="24"/>
              </w:rPr>
            </w:pPr>
            <w:r>
              <w:rPr>
                <w:rFonts w:hint="eastAsia"/>
                <w:sz w:val="24"/>
              </w:rPr>
              <w:t>②提供的复印件须加盖本单位公章。</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r>
              <w:rPr>
                <w:rFonts w:hint="eastAsia"/>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trHeight w:val="1746" w:hRule="atLeast"/>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highlight w:val="yellow"/>
              </w:rPr>
            </w:pPr>
            <w:r>
              <w:rPr>
                <w:rFonts w:hint="eastAsia"/>
                <w:sz w:val="24"/>
              </w:rPr>
              <w:t>投标人是否提供经会计师事务所出具的近一年度的财务审计报告（须包含资产负债表、利润表、现金流量表及财务报表附注）复印件并加盖本单位公章。</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r>
              <w:rPr>
                <w:rFonts w:hint="eastAsia"/>
                <w:sz w:val="24"/>
              </w:rPr>
              <w:t>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pPr>
              <w:snapToGrid w:val="0"/>
              <w:spacing w:line="360" w:lineRule="auto"/>
              <w:textAlignment w:val="baseline"/>
              <w:rPr>
                <w:sz w:val="24"/>
              </w:rPr>
            </w:pPr>
            <w:r>
              <w:rPr>
                <w:rFonts w:hint="eastAsia"/>
                <w:sz w:val="24"/>
              </w:rPr>
              <w:t>注：依法不需要缴纳社会保障资金的投标人，须提供相应文件证明。</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r>
              <w:rPr>
                <w:rFonts w:hint="eastAsia"/>
                <w:sz w:val="24"/>
              </w:rPr>
              <w:t>有依法缴纳税收的良好记录（投标人提供参加本次政府采购活动近半年内任意一个月由银行出具的缴纳凭证复印件（须加盖本单位公章）</w:t>
            </w:r>
          </w:p>
          <w:p>
            <w:pPr>
              <w:snapToGrid w:val="0"/>
              <w:spacing w:line="360" w:lineRule="auto"/>
              <w:textAlignment w:val="baseline"/>
              <w:rPr>
                <w:sz w:val="24"/>
              </w:rPr>
            </w:pPr>
            <w:r>
              <w:rPr>
                <w:rFonts w:hint="eastAsia"/>
                <w:sz w:val="24"/>
              </w:rPr>
              <w:t>注：依法免税或零报税的投标人，须提供相应文件证明。</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r>
              <w:rPr>
                <w:rFonts w:hint="eastAsia"/>
                <w:sz w:val="24"/>
              </w:rPr>
              <w:t>参加本次政府采购活动前三年内，在经营活动中没有重大违法记录的声明（投标人须提供此声明，法定代表人或其授权代表签字，并加盖本单位公章）</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kern w:val="0"/>
                <w:sz w:val="24"/>
              </w:rPr>
            </w:pPr>
            <w:r>
              <w:rPr>
                <w:rFonts w:hint="eastAsia" w:ascii="宋体" w:hAnsi="宋体"/>
                <w:kern w:val="0"/>
                <w:sz w:val="24"/>
              </w:rPr>
              <w:t>投标人须承诺不同投标人的法人、单位负责人不是同一人也不存在直接控股、管理关系，并加盖本单位公章（格式自拟）</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trHeight w:val="1245" w:hRule="atLeast"/>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sz w:val="24"/>
              </w:rPr>
            </w:pPr>
            <w:r>
              <w:rPr>
                <w:rFonts w:hint="eastAsia" w:ascii="宋体" w:hAnsi="宋体"/>
                <w:kern w:val="0"/>
                <w:sz w:val="24"/>
              </w:rPr>
              <w:t>投标人须承诺已向采购代理机构购买招标文件并登记备案，并加盖本单位公章（格式自拟）</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trHeight w:val="3360" w:hRule="atLeast"/>
          <w:jc w:val="center"/>
        </w:trPr>
        <w:tc>
          <w:tcPr>
            <w:tcW w:w="668" w:type="dxa"/>
            <w:vMerge w:val="continue"/>
            <w:tcBorders>
              <w:left w:val="single" w:color="auto" w:sz="4" w:space="0"/>
              <w:right w:val="single" w:color="auto" w:sz="4" w:space="0"/>
            </w:tcBorders>
          </w:tcPr>
          <w:p>
            <w:pPr>
              <w:snapToGrid w:val="0"/>
              <w:spacing w:line="360" w:lineRule="auto"/>
              <w:textAlignment w:val="baseline"/>
              <w:rPr>
                <w:sz w:val="24"/>
              </w:rPr>
            </w:pPr>
          </w:p>
        </w:tc>
        <w:tc>
          <w:tcPr>
            <w:tcW w:w="43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kern w:val="0"/>
                <w:sz w:val="24"/>
              </w:rPr>
            </w:pPr>
            <w:r>
              <w:rPr>
                <w:rFonts w:hint="eastAsia" w:ascii="宋体" w:hAnsi="宋体"/>
                <w:kern w:val="0"/>
                <w:sz w:val="24"/>
              </w:rPr>
              <w:t>未被列入“信用中国”网站（www.creditchina.gov.cn）、中国政府采购网（www.ccgp.gov.cn）信用记录失信被执行人、重大税收违法案件当事人名单、政府采购严重违法失信行为记录名单。</w:t>
            </w:r>
          </w:p>
          <w:p>
            <w:pPr>
              <w:pStyle w:val="22"/>
              <w:snapToGrid w:val="0"/>
              <w:textAlignment w:val="baseline"/>
            </w:pPr>
            <w:r>
              <w:rPr>
                <w:rFonts w:hint="eastAsia" w:ascii="宋体" w:hAnsi="宋体"/>
                <w:kern w:val="0"/>
                <w:sz w:val="24"/>
              </w:rPr>
              <w:t>注：采购代理机构开标后查询结果页面打印并存档。</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r>
        <w:tblPrEx>
          <w:tblCellMar>
            <w:top w:w="0" w:type="dxa"/>
            <w:left w:w="108" w:type="dxa"/>
            <w:bottom w:w="0" w:type="dxa"/>
            <w:right w:w="108" w:type="dxa"/>
          </w:tblCellMar>
        </w:tblPrEx>
        <w:trPr>
          <w:jc w:val="center"/>
        </w:trPr>
        <w:tc>
          <w:tcPr>
            <w:tcW w:w="5034" w:type="dxa"/>
            <w:gridSpan w:val="2"/>
            <w:tcBorders>
              <w:top w:val="single" w:color="auto" w:sz="4" w:space="0"/>
              <w:left w:val="single" w:color="auto" w:sz="4" w:space="0"/>
              <w:bottom w:val="single" w:color="auto" w:sz="4" w:space="0"/>
              <w:right w:val="single" w:color="auto" w:sz="4" w:space="0"/>
            </w:tcBorders>
          </w:tcPr>
          <w:p>
            <w:pPr>
              <w:snapToGrid w:val="0"/>
              <w:spacing w:line="360" w:lineRule="auto"/>
              <w:jc w:val="center"/>
              <w:textAlignment w:val="baseline"/>
              <w:rPr>
                <w:sz w:val="24"/>
              </w:rPr>
            </w:pPr>
            <w:r>
              <w:rPr>
                <w:rFonts w:hint="eastAsia"/>
                <w:sz w:val="24"/>
              </w:rPr>
              <w:t>结论</w:t>
            </w:r>
          </w:p>
        </w:tc>
        <w:tc>
          <w:tcPr>
            <w:tcW w:w="858"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4"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69"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07"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c>
          <w:tcPr>
            <w:tcW w:w="81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sz w:val="24"/>
              </w:rPr>
            </w:pPr>
          </w:p>
        </w:tc>
      </w:tr>
    </w:tbl>
    <w:p>
      <w:pPr>
        <w:snapToGrid w:val="0"/>
        <w:spacing w:line="360" w:lineRule="auto"/>
        <w:textAlignment w:val="baseline"/>
        <w:rPr>
          <w:rFonts w:ascii="宋体" w:hAnsi="宋体"/>
          <w:b/>
          <w:bCs/>
          <w:sz w:val="24"/>
        </w:rPr>
      </w:pPr>
    </w:p>
    <w:p>
      <w:pPr>
        <w:snapToGrid w:val="0"/>
        <w:spacing w:line="360" w:lineRule="auto"/>
        <w:textAlignment w:val="baseline"/>
        <w:rPr>
          <w:rFonts w:ascii="宋体" w:hAnsi="宋体" w:cs="仿宋_GB2312"/>
          <w:b/>
          <w:color w:val="000000"/>
          <w:kern w:val="0"/>
          <w:sz w:val="24"/>
        </w:rPr>
      </w:pPr>
      <w:r>
        <w:rPr>
          <w:rFonts w:hint="eastAsia" w:ascii="宋体" w:hAnsi="宋体"/>
          <w:sz w:val="24"/>
        </w:rPr>
        <w:t>采购代理机构签字：</w:t>
      </w:r>
    </w:p>
    <w:p>
      <w:pPr>
        <w:snapToGrid w:val="0"/>
        <w:spacing w:line="360" w:lineRule="auto"/>
        <w:jc w:val="left"/>
        <w:textAlignment w:val="baseline"/>
        <w:rPr>
          <w:rFonts w:ascii="宋体" w:hAnsi="宋体" w:cs="仿宋_GB2312"/>
          <w:b/>
          <w:color w:val="000000"/>
          <w:kern w:val="0"/>
          <w:sz w:val="24"/>
        </w:rPr>
      </w:pPr>
      <w:r>
        <w:rPr>
          <w:rFonts w:hint="eastAsia" w:ascii="宋体" w:hAnsi="宋体" w:cs="仿宋_GB2312"/>
          <w:b/>
          <w:color w:val="000000"/>
          <w:kern w:val="0"/>
          <w:sz w:val="24"/>
        </w:rPr>
        <w:t>注：1、投标人资格审查均以投标人在资格册所提供的证明材料为准。若投标人未按要求提交证明材料，所造成的后果由投标人自行承担； </w:t>
      </w:r>
    </w:p>
    <w:p>
      <w:pPr>
        <w:snapToGrid w:val="0"/>
        <w:spacing w:line="360" w:lineRule="auto"/>
        <w:ind w:firstLine="482" w:firstLineChars="200"/>
        <w:jc w:val="left"/>
        <w:textAlignment w:val="baseline"/>
        <w:rPr>
          <w:rFonts w:ascii="宋体" w:hAnsi="宋体" w:cs="仿宋_GB2312"/>
          <w:b/>
          <w:color w:val="000000"/>
          <w:kern w:val="0"/>
          <w:sz w:val="24"/>
        </w:rPr>
      </w:pPr>
      <w:r>
        <w:rPr>
          <w:rFonts w:hint="eastAsia" w:ascii="宋体" w:hAnsi="宋体" w:cs="仿宋_GB2312"/>
          <w:b/>
          <w:color w:val="000000"/>
          <w:kern w:val="0"/>
          <w:sz w:val="24"/>
        </w:rPr>
        <w:t>2、审查内容具体要求及格式详见第七章附件。</w:t>
      </w:r>
    </w:p>
    <w:p>
      <w:pPr>
        <w:snapToGrid w:val="0"/>
        <w:textAlignment w:val="baseline"/>
      </w:pPr>
    </w:p>
    <w:p>
      <w:pPr>
        <w:snapToGrid w:val="0"/>
        <w:textAlignment w:val="baseline"/>
      </w:pPr>
      <w:bookmarkStart w:id="296" w:name="_Toc40114224"/>
      <w:bookmarkStart w:id="297" w:name="_Toc40111025"/>
      <w:r>
        <w:rPr>
          <w:rFonts w:hint="eastAsia"/>
        </w:rPr>
        <w:br w:type="page"/>
      </w:r>
    </w:p>
    <w:p>
      <w:pPr>
        <w:pStyle w:val="4"/>
        <w:snapToGrid w:val="0"/>
        <w:textAlignment w:val="baseline"/>
      </w:pPr>
      <w:bookmarkStart w:id="298" w:name="_Toc3657"/>
      <w:bookmarkStart w:id="299" w:name="_Toc32587"/>
      <w:r>
        <w:rPr>
          <w:rFonts w:hint="eastAsia"/>
        </w:rPr>
        <w:t>二、投标文件商务技术册审查</w:t>
      </w:r>
      <w:bookmarkEnd w:id="296"/>
      <w:bookmarkEnd w:id="297"/>
      <w:bookmarkEnd w:id="298"/>
      <w:bookmarkEnd w:id="299"/>
    </w:p>
    <w:p>
      <w:pPr>
        <w:snapToGrid w:val="0"/>
        <w:spacing w:line="360" w:lineRule="auto"/>
        <w:textAlignment w:val="baseline"/>
        <w:rPr>
          <w:rFonts w:ascii="宋体" w:hAnsi="宋体"/>
          <w:sz w:val="24"/>
        </w:rPr>
      </w:pPr>
      <w:r>
        <w:rPr>
          <w:rFonts w:hint="eastAsia" w:ascii="宋体" w:hAnsi="宋体"/>
          <w:sz w:val="24"/>
        </w:rPr>
        <w:t>项目名称：                      项目代理编号：</w:t>
      </w:r>
    </w:p>
    <w:p>
      <w:pPr>
        <w:snapToGrid w:val="0"/>
        <w:spacing w:line="360" w:lineRule="auto"/>
        <w:textAlignment w:val="baseline"/>
        <w:rPr>
          <w:rFonts w:ascii="宋体" w:hAnsi="宋体"/>
          <w:sz w:val="24"/>
        </w:rPr>
      </w:pPr>
      <w:r>
        <w:rPr>
          <w:rFonts w:hint="eastAsia" w:ascii="宋体" w:hAnsi="宋体"/>
          <w:sz w:val="24"/>
        </w:rPr>
        <w:t>评标地点：                      评标日期：</w:t>
      </w:r>
    </w:p>
    <w:tbl>
      <w:tblPr>
        <w:tblStyle w:val="56"/>
        <w:tblW w:w="9181"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26"/>
        <w:gridCol w:w="4084"/>
        <w:gridCol w:w="967"/>
        <w:gridCol w:w="967"/>
        <w:gridCol w:w="968"/>
        <w:gridCol w:w="66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restart"/>
            <w:vAlign w:val="center"/>
          </w:tcPr>
          <w:p>
            <w:pPr>
              <w:snapToGrid w:val="0"/>
              <w:spacing w:line="360" w:lineRule="auto"/>
              <w:jc w:val="center"/>
              <w:textAlignment w:val="baseline"/>
              <w:rPr>
                <w:sz w:val="24"/>
              </w:rPr>
            </w:pPr>
            <w:r>
              <w:rPr>
                <w:rFonts w:hint="eastAsia"/>
                <w:sz w:val="24"/>
              </w:rPr>
              <w:t>符合性审查</w:t>
            </w:r>
          </w:p>
        </w:tc>
        <w:tc>
          <w:tcPr>
            <w:tcW w:w="4084" w:type="dxa"/>
            <w:vAlign w:val="center"/>
          </w:tcPr>
          <w:p>
            <w:pPr>
              <w:snapToGrid w:val="0"/>
              <w:spacing w:line="360" w:lineRule="auto"/>
              <w:jc w:val="center"/>
              <w:textAlignment w:val="baseline"/>
              <w:rPr>
                <w:sz w:val="24"/>
              </w:rPr>
            </w:pPr>
            <w:r>
              <w:rPr>
                <w:rFonts w:hint="eastAsia"/>
                <w:sz w:val="24"/>
              </w:rPr>
              <w:t>评审内容</w:t>
            </w:r>
          </w:p>
        </w:tc>
        <w:tc>
          <w:tcPr>
            <w:tcW w:w="967" w:type="dxa"/>
          </w:tcPr>
          <w:p>
            <w:pPr>
              <w:snapToGrid w:val="0"/>
              <w:spacing w:line="360" w:lineRule="auto"/>
              <w:textAlignment w:val="baseline"/>
              <w:rPr>
                <w:sz w:val="24"/>
              </w:rPr>
            </w:pPr>
            <w:r>
              <w:rPr>
                <w:rFonts w:hint="eastAsia"/>
                <w:sz w:val="24"/>
              </w:rPr>
              <w:t>投标人名称</w:t>
            </w:r>
          </w:p>
        </w:tc>
        <w:tc>
          <w:tcPr>
            <w:tcW w:w="967" w:type="dxa"/>
          </w:tcPr>
          <w:p>
            <w:pPr>
              <w:snapToGrid w:val="0"/>
              <w:spacing w:line="360" w:lineRule="auto"/>
              <w:textAlignment w:val="baseline"/>
              <w:rPr>
                <w:sz w:val="24"/>
              </w:rPr>
            </w:pPr>
            <w:r>
              <w:rPr>
                <w:rFonts w:hint="eastAsia"/>
                <w:sz w:val="24"/>
              </w:rPr>
              <w:t>投标人名称</w:t>
            </w:r>
          </w:p>
        </w:tc>
        <w:tc>
          <w:tcPr>
            <w:tcW w:w="968" w:type="dxa"/>
          </w:tcPr>
          <w:p>
            <w:pPr>
              <w:snapToGrid w:val="0"/>
              <w:spacing w:line="360" w:lineRule="auto"/>
              <w:textAlignment w:val="baseline"/>
              <w:rPr>
                <w:sz w:val="24"/>
              </w:rPr>
            </w:pPr>
            <w:r>
              <w:rPr>
                <w:rFonts w:hint="eastAsia"/>
                <w:sz w:val="24"/>
              </w:rPr>
              <w:t>投标人名称</w:t>
            </w:r>
          </w:p>
        </w:tc>
        <w:tc>
          <w:tcPr>
            <w:tcW w:w="669" w:type="dxa"/>
          </w:tcPr>
          <w:p>
            <w:pPr>
              <w:snapToGrid w:val="0"/>
              <w:spacing w:line="360" w:lineRule="auto"/>
              <w:textAlignment w:val="baseline"/>
              <w:rPr>
                <w:sz w:val="24"/>
              </w:rPr>
            </w:pPr>
            <w:r>
              <w:rPr>
                <w:sz w:val="24"/>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投标报价是否超预算</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文件签署、盖章</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文件完整性、有效性</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投标有效期</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投标保证金</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是否对招标文件进行了实质性响应</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526" w:type="dxa"/>
            <w:vMerge w:val="continue"/>
          </w:tcPr>
          <w:p>
            <w:pPr>
              <w:snapToGrid w:val="0"/>
              <w:spacing w:line="360" w:lineRule="auto"/>
              <w:textAlignment w:val="baseline"/>
              <w:rPr>
                <w:sz w:val="24"/>
              </w:rPr>
            </w:pPr>
          </w:p>
        </w:tc>
        <w:tc>
          <w:tcPr>
            <w:tcW w:w="4084" w:type="dxa"/>
          </w:tcPr>
          <w:p>
            <w:pPr>
              <w:snapToGrid w:val="0"/>
              <w:spacing w:line="360" w:lineRule="auto"/>
              <w:textAlignment w:val="baseline"/>
              <w:rPr>
                <w:sz w:val="24"/>
              </w:rPr>
            </w:pPr>
            <w:r>
              <w:rPr>
                <w:rFonts w:hint="eastAsia"/>
                <w:sz w:val="24"/>
              </w:rPr>
              <w:t>其他商务条款</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5610" w:type="dxa"/>
            <w:gridSpan w:val="2"/>
            <w:vAlign w:val="center"/>
          </w:tcPr>
          <w:p>
            <w:pPr>
              <w:snapToGrid w:val="0"/>
              <w:spacing w:line="360" w:lineRule="auto"/>
              <w:jc w:val="center"/>
              <w:textAlignment w:val="baseline"/>
              <w:rPr>
                <w:sz w:val="24"/>
              </w:rPr>
            </w:pPr>
            <w:r>
              <w:rPr>
                <w:rFonts w:hint="eastAsia"/>
                <w:sz w:val="24"/>
              </w:rPr>
              <w:t>结论</w:t>
            </w:r>
          </w:p>
        </w:tc>
        <w:tc>
          <w:tcPr>
            <w:tcW w:w="967" w:type="dxa"/>
          </w:tcPr>
          <w:p>
            <w:pPr>
              <w:snapToGrid w:val="0"/>
              <w:spacing w:line="360" w:lineRule="auto"/>
              <w:textAlignment w:val="baseline"/>
              <w:rPr>
                <w:sz w:val="24"/>
              </w:rPr>
            </w:pPr>
          </w:p>
        </w:tc>
        <w:tc>
          <w:tcPr>
            <w:tcW w:w="967" w:type="dxa"/>
          </w:tcPr>
          <w:p>
            <w:pPr>
              <w:snapToGrid w:val="0"/>
              <w:spacing w:line="360" w:lineRule="auto"/>
              <w:textAlignment w:val="baseline"/>
              <w:rPr>
                <w:sz w:val="24"/>
              </w:rPr>
            </w:pPr>
          </w:p>
        </w:tc>
        <w:tc>
          <w:tcPr>
            <w:tcW w:w="968" w:type="dxa"/>
          </w:tcPr>
          <w:p>
            <w:pPr>
              <w:snapToGrid w:val="0"/>
              <w:spacing w:line="360" w:lineRule="auto"/>
              <w:textAlignment w:val="baseline"/>
              <w:rPr>
                <w:sz w:val="24"/>
              </w:rPr>
            </w:pPr>
          </w:p>
        </w:tc>
        <w:tc>
          <w:tcPr>
            <w:tcW w:w="669" w:type="dxa"/>
          </w:tcPr>
          <w:p>
            <w:pPr>
              <w:snapToGrid w:val="0"/>
              <w:spacing w:line="360" w:lineRule="auto"/>
              <w:textAlignment w:val="baseline"/>
              <w:rPr>
                <w:sz w:val="24"/>
              </w:rPr>
            </w:pPr>
          </w:p>
        </w:tc>
      </w:tr>
    </w:tbl>
    <w:p>
      <w:pPr>
        <w:snapToGrid w:val="0"/>
        <w:spacing w:line="360" w:lineRule="auto"/>
        <w:textAlignment w:val="baseline"/>
        <w:rPr>
          <w:rFonts w:ascii="宋体" w:hAnsi="宋体"/>
          <w:sz w:val="24"/>
        </w:rPr>
      </w:pPr>
      <w:r>
        <w:rPr>
          <w:rFonts w:hint="eastAsia" w:ascii="宋体" w:hAnsi="宋体"/>
          <w:sz w:val="24"/>
        </w:rPr>
        <w:t>评标委员会签字：</w:t>
      </w:r>
    </w:p>
    <w:p>
      <w:pPr>
        <w:snapToGrid w:val="0"/>
        <w:spacing w:line="360" w:lineRule="auto"/>
        <w:textAlignment w:val="baseline"/>
        <w:rPr>
          <w:rFonts w:ascii="宋体" w:hAnsi="宋体"/>
          <w:b/>
          <w:sz w:val="24"/>
        </w:rPr>
      </w:pPr>
    </w:p>
    <w:p>
      <w:pPr>
        <w:widowControl/>
        <w:snapToGrid w:val="0"/>
        <w:jc w:val="left"/>
        <w:textAlignment w:val="baseline"/>
        <w:rPr>
          <w:rFonts w:ascii="宋体" w:hAnsi="宋体"/>
          <w:b/>
          <w:sz w:val="24"/>
        </w:rPr>
      </w:pPr>
      <w:r>
        <w:rPr>
          <w:rFonts w:ascii="宋体" w:hAnsi="宋体"/>
          <w:b/>
          <w:sz w:val="24"/>
        </w:rPr>
        <w:br w:type="page"/>
      </w:r>
    </w:p>
    <w:p>
      <w:pPr>
        <w:pStyle w:val="4"/>
        <w:snapToGrid w:val="0"/>
        <w:textAlignment w:val="baseline"/>
      </w:pPr>
      <w:bookmarkStart w:id="300" w:name="_Toc4646"/>
      <w:bookmarkStart w:id="301" w:name="_Toc40114225"/>
      <w:bookmarkStart w:id="302" w:name="_Toc40111026"/>
      <w:bookmarkStart w:id="303" w:name="_Toc25563"/>
      <w:r>
        <w:rPr>
          <w:rFonts w:hint="eastAsia"/>
        </w:rPr>
        <w:t>三、评标办法</w:t>
      </w:r>
      <w:bookmarkEnd w:id="300"/>
      <w:bookmarkEnd w:id="301"/>
      <w:bookmarkEnd w:id="302"/>
      <w:bookmarkEnd w:id="303"/>
    </w:p>
    <w:bookmarkEnd w:id="284"/>
    <w:p>
      <w:pPr>
        <w:snapToGrid w:val="0"/>
        <w:spacing w:line="360" w:lineRule="auto"/>
        <w:textAlignment w:val="baseline"/>
        <w:rPr>
          <w:rFonts w:ascii="宋体" w:hAnsi="宋体"/>
          <w:sz w:val="24"/>
        </w:rPr>
      </w:pPr>
      <w:bookmarkStart w:id="304" w:name="_Toc5895210"/>
      <w:bookmarkStart w:id="305" w:name="_Toc310195758"/>
      <w:bookmarkStart w:id="306" w:name="_Toc491790582"/>
      <w:bookmarkStart w:id="307" w:name="_Toc310195761"/>
      <w:r>
        <w:rPr>
          <w:rFonts w:hint="eastAsia" w:ascii="宋体" w:hAnsi="宋体"/>
          <w:sz w:val="24"/>
        </w:rPr>
        <w:t>（一）综合评分法，是指投标文件满足招标文件全部实质性要求，且按照评审因素的量化指标评审得分最高的投标人为中标候选人的评标方法。</w:t>
      </w:r>
    </w:p>
    <w:p>
      <w:pPr>
        <w:snapToGrid w:val="0"/>
        <w:spacing w:line="360" w:lineRule="auto"/>
        <w:textAlignment w:val="baseline"/>
        <w:rPr>
          <w:rFonts w:ascii="宋体" w:hAnsi="宋体"/>
          <w:sz w:val="24"/>
        </w:rPr>
      </w:pPr>
      <w:r>
        <w:rPr>
          <w:rFonts w:hint="eastAsia" w:ascii="宋体" w:hAnsi="宋体"/>
          <w:sz w:val="24"/>
        </w:rPr>
        <w:t>（二）评标时，评标委员会各成员应当独立对每个投标人的投标文件进行评价，并汇总每个投标人的得分。</w:t>
      </w:r>
    </w:p>
    <w:p>
      <w:pPr>
        <w:snapToGrid w:val="0"/>
        <w:spacing w:line="360" w:lineRule="auto"/>
        <w:textAlignment w:val="baseline"/>
        <w:rPr>
          <w:rFonts w:ascii="宋体" w:hAnsi="宋体"/>
          <w:sz w:val="24"/>
        </w:rPr>
      </w:pPr>
      <w:r>
        <w:rPr>
          <w:rFonts w:hint="eastAsia" w:ascii="宋体" w:hAnsi="宋体"/>
          <w:sz w:val="24"/>
        </w:rPr>
        <w:t>（三）价格分应当采用低价优先法计算，即满足招标文件要求且投标价格最低的投标报价为评标基准价，其价格分为满分。其他投标人的价格分统一按照下列公式计算：</w:t>
      </w:r>
    </w:p>
    <w:p>
      <w:pPr>
        <w:snapToGrid w:val="0"/>
        <w:spacing w:line="360" w:lineRule="auto"/>
        <w:textAlignment w:val="baseline"/>
        <w:rPr>
          <w:rFonts w:ascii="宋体" w:hAnsi="宋体"/>
          <w:sz w:val="24"/>
        </w:rPr>
      </w:pPr>
      <w:r>
        <w:rPr>
          <w:rFonts w:ascii="宋体" w:hAnsi="宋体"/>
          <w:sz w:val="24"/>
        </w:rPr>
        <w:t>1.投标报价得分＝（评标基准价／投标报价）×100</w:t>
      </w:r>
    </w:p>
    <w:p>
      <w:pPr>
        <w:snapToGrid w:val="0"/>
        <w:spacing w:line="360" w:lineRule="auto"/>
        <w:textAlignment w:val="baseline"/>
        <w:rPr>
          <w:rFonts w:ascii="宋体" w:hAnsi="宋体"/>
          <w:sz w:val="24"/>
        </w:rPr>
      </w:pPr>
      <w:r>
        <w:rPr>
          <w:rFonts w:ascii="宋体" w:hAnsi="宋体"/>
          <w:sz w:val="24"/>
        </w:rPr>
        <w:t>2.评标总得分＝F1×A1＋F2×A2＋……＋Fn</w:t>
      </w:r>
      <w:r>
        <w:rPr>
          <w:rFonts w:hint="eastAsia" w:ascii="宋体" w:hAnsi="宋体"/>
          <w:sz w:val="24"/>
        </w:rPr>
        <w:t>×</w:t>
      </w:r>
      <w:r>
        <w:rPr>
          <w:rFonts w:ascii="宋体" w:hAnsi="宋体"/>
          <w:sz w:val="24"/>
        </w:rPr>
        <w:t>An</w:t>
      </w:r>
    </w:p>
    <w:p>
      <w:pPr>
        <w:snapToGrid w:val="0"/>
        <w:spacing w:line="360" w:lineRule="auto"/>
        <w:textAlignment w:val="baseline"/>
        <w:rPr>
          <w:rFonts w:ascii="宋体" w:hAnsi="宋体"/>
          <w:sz w:val="24"/>
        </w:rPr>
      </w:pPr>
      <w:r>
        <w:rPr>
          <w:rFonts w:ascii="宋体" w:hAnsi="宋体"/>
          <w:sz w:val="24"/>
        </w:rPr>
        <w:t>3. F1、F2……Fn</w:t>
      </w:r>
      <w:r>
        <w:rPr>
          <w:rFonts w:hint="eastAsia" w:ascii="宋体" w:hAnsi="宋体"/>
          <w:sz w:val="24"/>
        </w:rPr>
        <w:t>分别为各项评审因素的得分；</w:t>
      </w:r>
    </w:p>
    <w:p>
      <w:pPr>
        <w:snapToGrid w:val="0"/>
        <w:spacing w:line="360" w:lineRule="auto"/>
        <w:textAlignment w:val="baseline"/>
        <w:rPr>
          <w:rFonts w:ascii="宋体" w:hAnsi="宋体"/>
          <w:sz w:val="24"/>
        </w:rPr>
      </w:pPr>
      <w:r>
        <w:rPr>
          <w:rFonts w:ascii="宋体" w:hAnsi="宋体"/>
          <w:sz w:val="24"/>
        </w:rPr>
        <w:t xml:space="preserve">4.A1、A2、……An </w:t>
      </w:r>
      <w:r>
        <w:rPr>
          <w:rFonts w:hint="eastAsia" w:ascii="宋体" w:hAnsi="宋体"/>
          <w:sz w:val="24"/>
        </w:rPr>
        <w:t>分别为各项评审因素所占的权重（</w:t>
      </w:r>
      <w:r>
        <w:rPr>
          <w:rFonts w:ascii="宋体" w:hAnsi="宋体"/>
          <w:sz w:val="24"/>
        </w:rPr>
        <w:t>A1＋A2＋……＋An＝1）。</w:t>
      </w:r>
    </w:p>
    <w:p>
      <w:pPr>
        <w:snapToGrid w:val="0"/>
        <w:spacing w:line="360" w:lineRule="auto"/>
        <w:textAlignment w:val="baseline"/>
        <w:rPr>
          <w:rFonts w:ascii="宋体" w:hAnsi="宋体"/>
          <w:sz w:val="24"/>
        </w:rPr>
      </w:pPr>
      <w:r>
        <w:rPr>
          <w:rFonts w:hint="eastAsia" w:ascii="宋体" w:hAnsi="宋体"/>
          <w:sz w:val="24"/>
        </w:rPr>
        <w:t>5.评标过程中，不得去掉报价中的最高报价和最低报价。</w:t>
      </w:r>
    </w:p>
    <w:p>
      <w:pPr>
        <w:snapToGrid w:val="0"/>
        <w:spacing w:line="360" w:lineRule="auto"/>
        <w:textAlignment w:val="baseline"/>
        <w:rPr>
          <w:bCs/>
          <w:color w:val="000000"/>
          <w:sz w:val="24"/>
          <w:u w:val="single" w:color="000000"/>
        </w:rPr>
      </w:pPr>
      <w:r>
        <w:rPr>
          <w:rFonts w:hint="eastAsia" w:ascii="宋体" w:hAnsi="宋体"/>
          <w:sz w:val="24"/>
        </w:rPr>
        <w:t>6.因落实政府采购政策进行价格调整的，以调整后的价格计算评标基准价和投标报价。（四）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b/>
          <w:color w:val="000000"/>
          <w:sz w:val="24"/>
        </w:rPr>
        <w:t>（非单一产品采购项目，采购人应当根据采购项目技术构成、产品价格比重等合理确定核心产品，并在招标文件中载明。多家投标人提供的核心产品品牌相同的，按前两款规定处理）。</w:t>
      </w:r>
    </w:p>
    <w:p>
      <w:pPr>
        <w:snapToGrid w:val="0"/>
        <w:spacing w:line="360" w:lineRule="auto"/>
        <w:textAlignment w:val="baseline"/>
      </w:pPr>
      <w:r>
        <w:rPr>
          <w:rFonts w:hint="eastAsia" w:ascii="宋体" w:hAnsi="宋体"/>
          <w:sz w:val="24"/>
        </w:rPr>
        <w:t>（五）中标人拒绝与采购人签订合同的，采购人可以按照评审报告推荐的中标候选人名单排序，确定下一候选人为中标人，也可以重新开展政府采购活动。</w:t>
      </w:r>
    </w:p>
    <w:p>
      <w:pPr>
        <w:snapToGrid w:val="0"/>
        <w:spacing w:line="360" w:lineRule="auto"/>
        <w:textAlignment w:val="baseline"/>
        <w:rPr>
          <w:rFonts w:ascii="宋体" w:hAnsi="宋体"/>
          <w:b/>
          <w:sz w:val="24"/>
        </w:rPr>
      </w:pPr>
      <w:r>
        <w:rPr>
          <w:rFonts w:ascii="宋体" w:hAnsi="宋体"/>
          <w:b/>
          <w:sz w:val="24"/>
        </w:rPr>
        <w:t>评</w:t>
      </w:r>
      <w:r>
        <w:rPr>
          <w:rFonts w:hint="eastAsia" w:ascii="宋体" w:hAnsi="宋体"/>
          <w:b/>
          <w:sz w:val="24"/>
        </w:rPr>
        <w:t>标标准</w:t>
      </w:r>
      <w:r>
        <w:rPr>
          <w:rFonts w:ascii="宋体" w:hAnsi="宋体"/>
          <w:b/>
          <w:sz w:val="24"/>
        </w:rPr>
        <w:t>：</w:t>
      </w:r>
    </w:p>
    <w:p>
      <w:pPr>
        <w:spacing w:line="360" w:lineRule="auto"/>
        <w:rPr>
          <w:rFonts w:ascii="宋体" w:hAnsi="宋体"/>
          <w:sz w:val="24"/>
          <w:lang w:val="zh-CN"/>
        </w:rPr>
      </w:pPr>
      <w:r>
        <w:rPr>
          <w:rFonts w:ascii="宋体" w:hAnsi="宋体"/>
          <w:sz w:val="24"/>
          <w:lang w:val="zh-CN"/>
        </w:rPr>
        <w:t>1. 评分因素以及分值</w:t>
      </w:r>
    </w:p>
    <w:tbl>
      <w:tblPr>
        <w:tblStyle w:val="55"/>
        <w:tblW w:w="9961" w:type="dxa"/>
        <w:jc w:val="center"/>
        <w:tblLayout w:type="fixed"/>
        <w:tblCellMar>
          <w:top w:w="0" w:type="dxa"/>
          <w:left w:w="108" w:type="dxa"/>
          <w:bottom w:w="0" w:type="dxa"/>
          <w:right w:w="108" w:type="dxa"/>
        </w:tblCellMar>
      </w:tblPr>
      <w:tblGrid>
        <w:gridCol w:w="4802"/>
        <w:gridCol w:w="5159"/>
      </w:tblGrid>
      <w:tr>
        <w:tblPrEx>
          <w:tblCellMar>
            <w:top w:w="0" w:type="dxa"/>
            <w:left w:w="108" w:type="dxa"/>
            <w:bottom w:w="0" w:type="dxa"/>
            <w:right w:w="108" w:type="dxa"/>
          </w:tblCellMar>
        </w:tblPrEx>
        <w:trPr>
          <w:trHeight w:val="454" w:hRule="atLeast"/>
          <w:jc w:val="center"/>
        </w:trPr>
        <w:tc>
          <w:tcPr>
            <w:tcW w:w="4802" w:type="dxa"/>
            <w:tcBorders>
              <w:top w:val="single" w:color="auto" w:sz="4" w:space="0"/>
              <w:left w:val="single" w:color="auto" w:sz="4" w:space="0"/>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ascii="宋体" w:hAnsi="宋体"/>
                <w:sz w:val="24"/>
                <w:lang w:val="zh-CN"/>
              </w:rPr>
              <w:t>评分因素</w:t>
            </w:r>
          </w:p>
        </w:tc>
        <w:tc>
          <w:tcPr>
            <w:tcW w:w="5159" w:type="dxa"/>
            <w:tcBorders>
              <w:top w:val="single" w:color="auto" w:sz="4" w:space="0"/>
              <w:left w:val="nil"/>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ascii="宋体" w:hAnsi="宋体"/>
                <w:sz w:val="24"/>
                <w:lang w:val="zh-CN"/>
              </w:rPr>
              <w:t>分值分配</w:t>
            </w:r>
          </w:p>
        </w:tc>
      </w:tr>
      <w:tr>
        <w:tblPrEx>
          <w:tblCellMar>
            <w:top w:w="0" w:type="dxa"/>
            <w:left w:w="108" w:type="dxa"/>
            <w:bottom w:w="0" w:type="dxa"/>
            <w:right w:w="108" w:type="dxa"/>
          </w:tblCellMar>
        </w:tblPrEx>
        <w:trPr>
          <w:trHeight w:val="454" w:hRule="atLeast"/>
          <w:jc w:val="center"/>
        </w:trPr>
        <w:tc>
          <w:tcPr>
            <w:tcW w:w="4802" w:type="dxa"/>
            <w:tcBorders>
              <w:top w:val="nil"/>
              <w:left w:val="single" w:color="auto" w:sz="4" w:space="0"/>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lang w:val="zh-CN"/>
              </w:rPr>
              <w:t>报价</w:t>
            </w:r>
            <w:r>
              <w:rPr>
                <w:rFonts w:ascii="宋体" w:hAnsi="宋体"/>
                <w:sz w:val="24"/>
                <w:lang w:val="zh-CN"/>
              </w:rPr>
              <w:t>部分</w:t>
            </w:r>
          </w:p>
        </w:tc>
        <w:tc>
          <w:tcPr>
            <w:tcW w:w="5159" w:type="dxa"/>
            <w:tcBorders>
              <w:top w:val="nil"/>
              <w:left w:val="nil"/>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rPr>
              <w:t>2</w:t>
            </w:r>
            <w:r>
              <w:rPr>
                <w:rFonts w:ascii="宋体" w:hAnsi="宋体"/>
                <w:sz w:val="24"/>
                <w:lang w:val="zh-CN"/>
              </w:rPr>
              <w:t>0分</w:t>
            </w:r>
          </w:p>
        </w:tc>
      </w:tr>
      <w:tr>
        <w:tblPrEx>
          <w:tblCellMar>
            <w:top w:w="0" w:type="dxa"/>
            <w:left w:w="108" w:type="dxa"/>
            <w:bottom w:w="0" w:type="dxa"/>
            <w:right w:w="108" w:type="dxa"/>
          </w:tblCellMar>
        </w:tblPrEx>
        <w:trPr>
          <w:trHeight w:val="454" w:hRule="atLeast"/>
          <w:jc w:val="center"/>
        </w:trPr>
        <w:tc>
          <w:tcPr>
            <w:tcW w:w="4802" w:type="dxa"/>
            <w:tcBorders>
              <w:top w:val="nil"/>
              <w:left w:val="single" w:color="auto" w:sz="4" w:space="0"/>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lang w:val="zh-CN"/>
              </w:rPr>
              <w:t>商务</w:t>
            </w:r>
            <w:r>
              <w:rPr>
                <w:rFonts w:ascii="宋体" w:hAnsi="宋体"/>
                <w:sz w:val="24"/>
                <w:lang w:val="zh-CN"/>
              </w:rPr>
              <w:t>部分</w:t>
            </w:r>
          </w:p>
        </w:tc>
        <w:tc>
          <w:tcPr>
            <w:tcW w:w="5159" w:type="dxa"/>
            <w:tcBorders>
              <w:top w:val="nil"/>
              <w:left w:val="nil"/>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rPr>
              <w:t>30</w:t>
            </w:r>
            <w:r>
              <w:rPr>
                <w:rFonts w:ascii="宋体" w:hAnsi="宋体"/>
                <w:sz w:val="24"/>
                <w:lang w:val="zh-CN"/>
              </w:rPr>
              <w:t>分</w:t>
            </w:r>
          </w:p>
        </w:tc>
      </w:tr>
      <w:tr>
        <w:tblPrEx>
          <w:tblCellMar>
            <w:top w:w="0" w:type="dxa"/>
            <w:left w:w="108" w:type="dxa"/>
            <w:bottom w:w="0" w:type="dxa"/>
            <w:right w:w="108" w:type="dxa"/>
          </w:tblCellMar>
        </w:tblPrEx>
        <w:trPr>
          <w:trHeight w:val="454" w:hRule="atLeast"/>
          <w:jc w:val="center"/>
        </w:trPr>
        <w:tc>
          <w:tcPr>
            <w:tcW w:w="4802" w:type="dxa"/>
            <w:tcBorders>
              <w:top w:val="nil"/>
              <w:left w:val="single" w:color="auto" w:sz="4" w:space="0"/>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lang w:val="zh-CN"/>
              </w:rPr>
              <w:t>技术</w:t>
            </w:r>
            <w:r>
              <w:rPr>
                <w:rFonts w:ascii="宋体" w:hAnsi="宋体"/>
                <w:sz w:val="24"/>
                <w:lang w:val="zh-CN"/>
              </w:rPr>
              <w:t>部分</w:t>
            </w:r>
          </w:p>
        </w:tc>
        <w:tc>
          <w:tcPr>
            <w:tcW w:w="5159" w:type="dxa"/>
            <w:tcBorders>
              <w:top w:val="nil"/>
              <w:left w:val="nil"/>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hint="eastAsia" w:ascii="宋体" w:hAnsi="宋体"/>
                <w:sz w:val="24"/>
              </w:rPr>
              <w:t>50</w:t>
            </w:r>
            <w:r>
              <w:rPr>
                <w:rFonts w:ascii="宋体" w:hAnsi="宋体"/>
                <w:sz w:val="24"/>
                <w:lang w:val="zh-CN"/>
              </w:rPr>
              <w:t>分</w:t>
            </w:r>
          </w:p>
        </w:tc>
      </w:tr>
      <w:tr>
        <w:tblPrEx>
          <w:tblCellMar>
            <w:top w:w="0" w:type="dxa"/>
            <w:left w:w="108" w:type="dxa"/>
            <w:bottom w:w="0" w:type="dxa"/>
            <w:right w:w="108" w:type="dxa"/>
          </w:tblCellMar>
        </w:tblPrEx>
        <w:trPr>
          <w:trHeight w:val="472" w:hRule="atLeast"/>
          <w:jc w:val="center"/>
        </w:trPr>
        <w:tc>
          <w:tcPr>
            <w:tcW w:w="4802" w:type="dxa"/>
            <w:tcBorders>
              <w:top w:val="nil"/>
              <w:left w:val="single" w:color="auto" w:sz="4" w:space="0"/>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ascii="宋体" w:hAnsi="宋体"/>
                <w:sz w:val="24"/>
                <w:lang w:val="zh-CN"/>
              </w:rPr>
              <w:t>合计</w:t>
            </w:r>
          </w:p>
        </w:tc>
        <w:tc>
          <w:tcPr>
            <w:tcW w:w="5159" w:type="dxa"/>
            <w:tcBorders>
              <w:top w:val="nil"/>
              <w:left w:val="nil"/>
              <w:bottom w:val="single" w:color="auto" w:sz="4" w:space="0"/>
              <w:right w:val="single" w:color="auto" w:sz="4" w:space="0"/>
            </w:tcBorders>
            <w:vAlign w:val="center"/>
          </w:tcPr>
          <w:p>
            <w:pPr>
              <w:tabs>
                <w:tab w:val="left" w:pos="6480"/>
              </w:tabs>
              <w:autoSpaceDE w:val="0"/>
              <w:autoSpaceDN w:val="0"/>
              <w:ind w:left="873" w:right="-317" w:hanging="1049"/>
              <w:jc w:val="center"/>
              <w:rPr>
                <w:rFonts w:ascii="宋体" w:hAnsi="宋体"/>
                <w:sz w:val="24"/>
                <w:lang w:val="zh-CN"/>
              </w:rPr>
            </w:pPr>
            <w:r>
              <w:rPr>
                <w:rFonts w:ascii="宋体" w:hAnsi="宋体"/>
                <w:sz w:val="24"/>
                <w:lang w:val="zh-CN"/>
              </w:rPr>
              <w:t>100分</w:t>
            </w:r>
          </w:p>
        </w:tc>
      </w:tr>
    </w:tbl>
    <w:p>
      <w:pPr>
        <w:autoSpaceDE w:val="0"/>
        <w:autoSpaceDN w:val="0"/>
        <w:spacing w:line="360" w:lineRule="auto"/>
        <w:rPr>
          <w:rFonts w:ascii="宋体" w:hAnsi="宋体"/>
          <w:sz w:val="24"/>
          <w:lang w:val="zh-CN"/>
        </w:rPr>
      </w:pPr>
    </w:p>
    <w:p>
      <w:pPr>
        <w:spacing w:line="360" w:lineRule="auto"/>
        <w:rPr>
          <w:rFonts w:ascii="宋体" w:hAnsi="宋体"/>
          <w:sz w:val="24"/>
        </w:rPr>
      </w:pPr>
      <w:r>
        <w:rPr>
          <w:rFonts w:ascii="宋体" w:hAnsi="宋体"/>
          <w:sz w:val="24"/>
          <w:lang w:val="zh-CN"/>
        </w:rPr>
        <w:t>2.</w:t>
      </w:r>
      <w:r>
        <w:rPr>
          <w:rFonts w:ascii="宋体" w:hAnsi="宋体"/>
          <w:sz w:val="24"/>
        </w:rPr>
        <w:t>技术部分权重50%，商务权重共</w:t>
      </w:r>
      <w:r>
        <w:rPr>
          <w:rFonts w:hint="eastAsia" w:ascii="宋体" w:hAnsi="宋体"/>
          <w:sz w:val="24"/>
        </w:rPr>
        <w:t>3</w:t>
      </w:r>
      <w:r>
        <w:rPr>
          <w:rFonts w:ascii="宋体" w:hAnsi="宋体"/>
          <w:sz w:val="24"/>
        </w:rPr>
        <w:t>0%，包括提供的服务方案、资质证书、获奖证书、类似业绩等评分项。（满分</w:t>
      </w:r>
      <w:r>
        <w:rPr>
          <w:rFonts w:hint="eastAsia" w:ascii="宋体" w:hAnsi="宋体"/>
          <w:sz w:val="24"/>
        </w:rPr>
        <w:t>8</w:t>
      </w:r>
      <w:r>
        <w:rPr>
          <w:rFonts w:ascii="宋体" w:hAnsi="宋体"/>
          <w:sz w:val="24"/>
        </w:rPr>
        <w:t>0分）</w:t>
      </w:r>
    </w:p>
    <w:tbl>
      <w:tblPr>
        <w:tblStyle w:val="55"/>
        <w:tblW w:w="4984"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88"/>
        <w:gridCol w:w="1014"/>
        <w:gridCol w:w="798"/>
        <w:gridCol w:w="712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1009" w:type="pct"/>
            <w:gridSpan w:val="2"/>
            <w:tcBorders>
              <w:top w:val="single" w:color="auto" w:sz="6" w:space="0"/>
              <w:left w:val="single" w:color="auto" w:sz="6" w:space="0"/>
              <w:bottom w:val="single" w:color="auto" w:sz="6" w:space="0"/>
              <w:right w:val="single" w:color="auto" w:sz="6" w:space="0"/>
            </w:tcBorders>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评分因素</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分数</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评分标准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98" w:type="pct"/>
            <w:tcBorders>
              <w:top w:val="single" w:color="auto" w:sz="4" w:space="0"/>
              <w:left w:val="single" w:color="auto" w:sz="6" w:space="0"/>
              <w:bottom w:val="single" w:color="auto" w:sz="4" w:space="0"/>
              <w:right w:val="single" w:color="auto" w:sz="6" w:space="0"/>
            </w:tcBorders>
            <w:vAlign w:val="center"/>
          </w:tcPr>
          <w:p>
            <w:pPr>
              <w:autoSpaceDE w:val="0"/>
              <w:autoSpaceDN w:val="0"/>
              <w:jc w:val="center"/>
              <w:rPr>
                <w:rFonts w:asciiTheme="minorEastAsia" w:hAnsiTheme="minorEastAsia" w:eastAsiaTheme="minorEastAsia"/>
                <w:b/>
                <w:color w:val="000000" w:themeColor="text1"/>
                <w:kern w:val="1"/>
                <w:sz w:val="24"/>
                <w14:textFill>
                  <w14:solidFill>
                    <w14:schemeClr w14:val="tx1"/>
                  </w14:solidFill>
                </w14:textFill>
              </w:rPr>
            </w:pPr>
            <w:r>
              <w:rPr>
                <w:rFonts w:asciiTheme="minorEastAsia" w:hAnsiTheme="minorEastAsia" w:eastAsiaTheme="minorEastAsia"/>
                <w:b/>
                <w:color w:val="000000" w:themeColor="text1"/>
                <w:kern w:val="1"/>
                <w:sz w:val="24"/>
                <w14:textFill>
                  <w14:solidFill>
                    <w14:schemeClr w14:val="tx1"/>
                  </w14:solidFill>
                </w14:textFill>
              </w:rPr>
              <w:t>报价部分</w:t>
            </w:r>
          </w:p>
          <w:p>
            <w:pPr>
              <w:autoSpaceDE w:val="0"/>
              <w:autoSpaceDN w:val="0"/>
              <w:jc w:val="center"/>
              <w:rPr>
                <w:rFonts w:asciiTheme="minorEastAsia" w:hAnsiTheme="minorEastAsia" w:eastAsiaTheme="minorEastAsia"/>
                <w:b/>
                <w:color w:val="000000" w:themeColor="text1"/>
                <w:kern w:val="1"/>
                <w:sz w:val="24"/>
                <w14:textFill>
                  <w14:solidFill>
                    <w14:schemeClr w14:val="tx1"/>
                  </w14:solidFill>
                </w14:textFill>
              </w:rPr>
            </w:pPr>
            <w:r>
              <w:rPr>
                <w:rFonts w:hint="eastAsia" w:asciiTheme="minorEastAsia" w:hAnsiTheme="minorEastAsia" w:eastAsiaTheme="minorEastAsia"/>
                <w:b/>
                <w:color w:val="000000" w:themeColor="text1"/>
                <w:kern w:val="1"/>
                <w:sz w:val="24"/>
                <w14:textFill>
                  <w14:solidFill>
                    <w14:schemeClr w14:val="tx1"/>
                  </w14:solidFill>
                </w14:textFill>
              </w:rPr>
              <w:t>20分</w:t>
            </w: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投标报价</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Theme="minorEastAsia" w:hAnsiTheme="minorEastAsia" w:eastAsiaTheme="minorEastAsia"/>
                <w:color w:val="000000" w:themeColor="text1"/>
                <w:kern w:val="1"/>
                <w:sz w:val="24"/>
                <w14:textFill>
                  <w14:solidFill>
                    <w14:schemeClr w14:val="tx1"/>
                  </w14:solidFill>
                </w14:textFill>
              </w:rPr>
              <w:t>2</w:t>
            </w:r>
            <w:r>
              <w:rPr>
                <w:rFonts w:asciiTheme="minorEastAsia" w:hAnsiTheme="minorEastAsia" w:eastAsiaTheme="minorEastAsia"/>
                <w:color w:val="000000" w:themeColor="text1"/>
                <w:kern w:val="1"/>
                <w:sz w:val="24"/>
                <w14:textFill>
                  <w14:solidFill>
                    <w14:schemeClr w14:val="tx1"/>
                  </w14:solidFill>
                </w14:textFill>
              </w:rPr>
              <w:t>0分</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cs="仿宋" w:asciiTheme="minorEastAsia" w:hAnsiTheme="minorEastAsia" w:eastAsiaTheme="minorEastAsia"/>
                <w:color w:val="000000" w:themeColor="text1"/>
                <w:sz w:val="24"/>
                <w:lang w:val="zh-CN"/>
                <w14:textFill>
                  <w14:solidFill>
                    <w14:schemeClr w14:val="tx1"/>
                  </w14:solidFill>
                </w14:textFill>
              </w:rPr>
            </w:pPr>
            <w:r>
              <w:rPr>
                <w:rFonts w:cs="仿宋" w:asciiTheme="minorEastAsia" w:hAnsiTheme="minorEastAsia" w:eastAsiaTheme="minorEastAsia"/>
                <w:color w:val="000000" w:themeColor="text1"/>
                <w:sz w:val="24"/>
                <w:lang w:val="zh-CN"/>
                <w14:textFill>
                  <w14:solidFill>
                    <w14:schemeClr w14:val="tx1"/>
                  </w14:solidFill>
                </w14:textFill>
              </w:rPr>
              <w:t>以满足采购文件要求且投标价格最低的投标报价为评标基准价，其价格分为满分</w:t>
            </w:r>
            <w:r>
              <w:rPr>
                <w:rFonts w:hint="eastAsia" w:cs="仿宋" w:asciiTheme="minorEastAsia" w:hAnsiTheme="minorEastAsia" w:eastAsiaTheme="minorEastAsia"/>
                <w:color w:val="000000" w:themeColor="text1"/>
                <w:sz w:val="24"/>
                <w14:textFill>
                  <w14:solidFill>
                    <w14:schemeClr w14:val="tx1"/>
                  </w14:solidFill>
                </w14:textFill>
              </w:rPr>
              <w:t>2</w:t>
            </w:r>
            <w:r>
              <w:rPr>
                <w:rFonts w:cs="仿宋" w:asciiTheme="minorEastAsia" w:hAnsiTheme="minorEastAsia" w:eastAsiaTheme="minorEastAsia"/>
                <w:color w:val="000000" w:themeColor="text1"/>
                <w:sz w:val="24"/>
                <w14:textFill>
                  <w14:solidFill>
                    <w14:schemeClr w14:val="tx1"/>
                  </w14:solidFill>
                </w14:textFill>
              </w:rPr>
              <w:t>0</w:t>
            </w:r>
            <w:r>
              <w:rPr>
                <w:rFonts w:cs="仿宋" w:asciiTheme="minorEastAsia" w:hAnsiTheme="minorEastAsia" w:eastAsiaTheme="minorEastAsia"/>
                <w:color w:val="000000" w:themeColor="text1"/>
                <w:sz w:val="24"/>
                <w:lang w:val="zh-CN"/>
                <w14:textFill>
                  <w14:solidFill>
                    <w14:schemeClr w14:val="tx1"/>
                  </w14:solidFill>
                </w14:textFill>
              </w:rPr>
              <w:t>分，其他投标人的价格分按照下列公式计算：投标报价得分=（评标基准价/投标报价）×100%×</w:t>
            </w:r>
            <w:r>
              <w:rPr>
                <w:rFonts w:hint="eastAsia" w:cs="仿宋" w:asciiTheme="minorEastAsia" w:hAnsiTheme="minorEastAsia" w:eastAsiaTheme="minorEastAsia"/>
                <w:color w:val="000000" w:themeColor="text1"/>
                <w:sz w:val="24"/>
                <w14:textFill>
                  <w14:solidFill>
                    <w14:schemeClr w14:val="tx1"/>
                  </w14:solidFill>
                </w14:textFill>
              </w:rPr>
              <w:t>2</w:t>
            </w:r>
            <w:r>
              <w:rPr>
                <w:rFonts w:cs="仿宋" w:asciiTheme="minorEastAsia" w:hAnsiTheme="minorEastAsia" w:eastAsiaTheme="minorEastAsia"/>
                <w:color w:val="000000" w:themeColor="text1"/>
                <w:sz w:val="24"/>
                <w14:textFill>
                  <w14:solidFill>
                    <w14:schemeClr w14:val="tx1"/>
                  </w14:solidFill>
                </w14:textFill>
              </w:rPr>
              <w:t>0</w:t>
            </w:r>
            <w:r>
              <w:rPr>
                <w:rFonts w:cs="仿宋" w:asciiTheme="minorEastAsia" w:hAnsiTheme="minorEastAsia" w:eastAsiaTheme="minorEastAsia"/>
                <w:color w:val="000000" w:themeColor="text1"/>
                <w:sz w:val="24"/>
                <w:lang w:val="zh-CN"/>
                <w14:textFill>
                  <w14:solidFill>
                    <w14:schemeClr w14:val="tx1"/>
                  </w14:solidFill>
                </w14:textFill>
              </w:rPr>
              <w:t xml:space="preserve"> ，超出招标控制价的投标报价为无效报价。</w:t>
            </w:r>
          </w:p>
          <w:p>
            <w:pPr>
              <w:rPr>
                <w:rFonts w:cs="仿宋" w:asciiTheme="minorEastAsia" w:hAnsiTheme="minorEastAsia" w:eastAsiaTheme="minorEastAsia"/>
                <w:color w:val="000000" w:themeColor="text1"/>
                <w:sz w:val="24"/>
                <w:lang w:val="zh-CN"/>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t>注：评标委员会根据审查各投标人的报价测算分析的情况，给出评审意见，评标委员会三分之二及以上成员认为其明显低于市场成本</w:t>
            </w:r>
            <w:r>
              <w:rPr>
                <w:rFonts w:cs="仿宋" w:asciiTheme="minorEastAsia" w:hAnsiTheme="minorEastAsia" w:eastAsiaTheme="minorEastAsia"/>
                <w:color w:val="000000" w:themeColor="text1"/>
                <w:sz w:val="24"/>
                <w:lang w:val="zh-CN"/>
                <w14:textFill>
                  <w14:solidFill>
                    <w14:schemeClr w14:val="tx1"/>
                  </w14:solidFill>
                </w14:textFill>
              </w:rPr>
              <w:t>为无效报价</w:t>
            </w:r>
            <w:r>
              <w:rPr>
                <w:rFonts w:cs="仿宋" w:asciiTheme="minorEastAsia" w:hAnsiTheme="minorEastAsia" w:eastAsiaTheme="minorEastAsia"/>
                <w:color w:val="000000" w:themeColor="text1"/>
                <w:sz w:val="24"/>
                <w14:textFill>
                  <w14:solidFill>
                    <w14:schemeClr w14:val="tx1"/>
                  </w14:solidFill>
                </w14:textFill>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98" w:type="pct"/>
            <w:vMerge w:val="restart"/>
            <w:tcBorders>
              <w:top w:val="single" w:color="auto" w:sz="4" w:space="0"/>
              <w:left w:val="single" w:color="auto" w:sz="6" w:space="0"/>
              <w:bottom w:val="single" w:color="auto" w:sz="6" w:space="0"/>
              <w:right w:val="single" w:color="auto" w:sz="6" w:space="0"/>
            </w:tcBorders>
            <w:vAlign w:val="center"/>
          </w:tcPr>
          <w:p>
            <w:pPr>
              <w:autoSpaceDE w:val="0"/>
              <w:autoSpaceDN w:val="0"/>
              <w:jc w:val="center"/>
              <w:rPr>
                <w:rFonts w:asciiTheme="minorEastAsia" w:hAnsiTheme="minorEastAsia" w:eastAsiaTheme="minorEastAsia"/>
                <w:b/>
                <w:color w:val="000000" w:themeColor="text1"/>
                <w:kern w:val="1"/>
                <w:sz w:val="24"/>
                <w14:textFill>
                  <w14:solidFill>
                    <w14:schemeClr w14:val="tx1"/>
                  </w14:solidFill>
                </w14:textFill>
              </w:rPr>
            </w:pPr>
            <w:r>
              <w:rPr>
                <w:rFonts w:asciiTheme="minorEastAsia" w:hAnsiTheme="minorEastAsia" w:eastAsiaTheme="minorEastAsia"/>
                <w:b/>
                <w:color w:val="000000" w:themeColor="text1"/>
                <w:kern w:val="1"/>
                <w:sz w:val="24"/>
                <w14:textFill>
                  <w14:solidFill>
                    <w14:schemeClr w14:val="tx1"/>
                  </w14:solidFill>
                </w14:textFill>
              </w:rPr>
              <w:t>商务部分</w:t>
            </w:r>
          </w:p>
          <w:p>
            <w:pPr>
              <w:autoSpaceDE w:val="0"/>
              <w:autoSpaceDN w:val="0"/>
              <w:jc w:val="center"/>
              <w:rPr>
                <w:rFonts w:asciiTheme="minorEastAsia" w:hAnsiTheme="minorEastAsia" w:eastAsiaTheme="minorEastAsia"/>
                <w:b/>
                <w:color w:val="000000" w:themeColor="text1"/>
                <w:kern w:val="1"/>
                <w:sz w:val="24"/>
                <w14:textFill>
                  <w14:solidFill>
                    <w14:schemeClr w14:val="tx1"/>
                  </w14:solidFill>
                </w14:textFill>
              </w:rPr>
            </w:pPr>
            <w:r>
              <w:rPr>
                <w:rFonts w:hint="eastAsia" w:asciiTheme="minorEastAsia" w:hAnsiTheme="minorEastAsia" w:eastAsiaTheme="minorEastAsia"/>
                <w:b/>
                <w:color w:val="000000" w:themeColor="text1"/>
                <w:kern w:val="1"/>
                <w:sz w:val="24"/>
                <w14:textFill>
                  <w14:solidFill>
                    <w14:schemeClr w14:val="tx1"/>
                  </w14:solidFill>
                </w14:textFill>
              </w:rPr>
              <w:t>3</w:t>
            </w:r>
            <w:r>
              <w:rPr>
                <w:rFonts w:asciiTheme="minorEastAsia" w:hAnsiTheme="minorEastAsia" w:eastAsiaTheme="minorEastAsia"/>
                <w:b/>
                <w:color w:val="000000" w:themeColor="text1"/>
                <w:kern w:val="1"/>
                <w:sz w:val="24"/>
                <w14:textFill>
                  <w14:solidFill>
                    <w14:schemeClr w14:val="tx1"/>
                  </w14:solidFill>
                </w14:textFill>
              </w:rPr>
              <w:t>0分</w:t>
            </w: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企业</w:t>
            </w:r>
            <w:r>
              <w:rPr>
                <w:rFonts w:hint="eastAsia" w:asciiTheme="minorEastAsia" w:hAnsiTheme="minorEastAsia" w:eastAsiaTheme="minorEastAsia"/>
                <w:color w:val="000000" w:themeColor="text1"/>
                <w:kern w:val="1"/>
                <w:sz w:val="24"/>
                <w14:textFill>
                  <w14:solidFill>
                    <w14:schemeClr w14:val="tx1"/>
                  </w14:solidFill>
                </w14:textFill>
              </w:rPr>
              <w:t>类似</w:t>
            </w:r>
            <w:r>
              <w:rPr>
                <w:rFonts w:asciiTheme="minorEastAsia" w:hAnsiTheme="minorEastAsia" w:eastAsiaTheme="minorEastAsia"/>
                <w:color w:val="000000" w:themeColor="text1"/>
                <w:kern w:val="1"/>
                <w:sz w:val="24"/>
                <w14:textFill>
                  <w14:solidFill>
                    <w14:schemeClr w14:val="tx1"/>
                  </w14:solidFill>
                </w14:textFill>
              </w:rPr>
              <w:t>业绩</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Theme="minorEastAsia" w:hAnsiTheme="minorEastAsia" w:eastAsiaTheme="minorEastAsia"/>
                <w:color w:val="000000" w:themeColor="text1"/>
                <w:kern w:val="1"/>
                <w:sz w:val="24"/>
                <w14:textFill>
                  <w14:solidFill>
                    <w14:schemeClr w14:val="tx1"/>
                  </w14:solidFill>
                </w14:textFill>
              </w:rPr>
              <w:t>10</w:t>
            </w:r>
            <w:r>
              <w:rPr>
                <w:rFonts w:asciiTheme="minorEastAsia" w:hAnsiTheme="minorEastAsia" w:eastAsiaTheme="minorEastAsia"/>
                <w:color w:val="000000" w:themeColor="text1"/>
                <w:kern w:val="1"/>
                <w:sz w:val="24"/>
                <w14:textFill>
                  <w14:solidFill>
                    <w14:schemeClr w14:val="tx1"/>
                  </w14:solidFill>
                </w14:textFill>
              </w:rPr>
              <w:t>分</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1</w:t>
            </w:r>
            <w:r>
              <w:rPr>
                <w:rFonts w:ascii="宋体" w:hAnsi="宋体" w:cs="仿宋"/>
                <w:color w:val="000000" w:themeColor="text1"/>
                <w:sz w:val="24"/>
                <w:lang w:val="zh-CN"/>
                <w14:textFill>
                  <w14:solidFill>
                    <w14:schemeClr w14:val="tx1"/>
                  </w14:solidFill>
                </w14:textFill>
              </w:rPr>
              <w:t>.投标人</w:t>
            </w:r>
            <w:r>
              <w:rPr>
                <w:rFonts w:hint="eastAsia" w:ascii="宋体" w:hAnsi="宋体" w:cs="仿宋"/>
                <w:color w:val="000000" w:themeColor="text1"/>
                <w:sz w:val="24"/>
                <w:lang w:val="zh-CN"/>
                <w14:textFill>
                  <w14:solidFill>
                    <w14:schemeClr w14:val="tx1"/>
                  </w14:solidFill>
                </w14:textFill>
              </w:rPr>
              <w:t>提供</w:t>
            </w:r>
            <w:r>
              <w:rPr>
                <w:rFonts w:ascii="宋体" w:hAnsi="宋体" w:cs="仿宋"/>
                <w:color w:val="000000" w:themeColor="text1"/>
                <w:sz w:val="24"/>
                <w:lang w:val="zh-CN"/>
                <w14:textFill>
                  <w14:solidFill>
                    <w14:schemeClr w14:val="tx1"/>
                  </w14:solidFill>
                </w14:textFill>
              </w:rPr>
              <w:t>自2017年1月1日至今</w:t>
            </w:r>
            <w:r>
              <w:rPr>
                <w:rFonts w:hint="eastAsia" w:ascii="宋体" w:hAnsi="宋体" w:cs="仿宋"/>
                <w:color w:val="000000" w:themeColor="text1"/>
                <w:sz w:val="24"/>
                <w:lang w:val="zh-CN"/>
                <w14:textFill>
                  <w14:solidFill>
                    <w14:schemeClr w14:val="tx1"/>
                  </w14:solidFill>
                </w14:textFill>
              </w:rPr>
              <w:t>（以合同签订时间为准）</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不同业主的</w:t>
            </w:r>
            <w:r>
              <w:rPr>
                <w:rFonts w:hint="eastAsia" w:ascii="宋体" w:hAnsi="宋体" w:cs="仿宋"/>
                <w:color w:val="000000" w:themeColor="text1"/>
                <w:sz w:val="24"/>
                <w14:textFill>
                  <w14:solidFill>
                    <w14:schemeClr w14:val="tx1"/>
                  </w14:solidFill>
                </w14:textFill>
              </w:rPr>
              <w:t>类似</w:t>
            </w:r>
            <w:r>
              <w:rPr>
                <w:rFonts w:ascii="宋体" w:hAnsi="宋体" w:cs="仿宋"/>
                <w:color w:val="000000" w:themeColor="text1"/>
                <w:sz w:val="24"/>
                <w:lang w:val="zh-CN"/>
                <w14:textFill>
                  <w14:solidFill>
                    <w14:schemeClr w14:val="tx1"/>
                  </w14:solidFill>
                </w14:textFill>
              </w:rPr>
              <w:t>项目</w:t>
            </w:r>
            <w:r>
              <w:rPr>
                <w:rFonts w:hint="eastAsia" w:ascii="宋体" w:hAnsi="宋体" w:cs="仿宋"/>
                <w:color w:val="000000" w:themeColor="text1"/>
                <w:sz w:val="24"/>
                <w:lang w:val="zh-CN"/>
                <w14:textFill>
                  <w14:solidFill>
                    <w14:schemeClr w14:val="tx1"/>
                  </w14:solidFill>
                </w14:textFill>
              </w:rPr>
              <w:t>业绩（至少包含保洁服务）</w:t>
            </w:r>
            <w:r>
              <w:rPr>
                <w:rFonts w:ascii="宋体" w:hAnsi="宋体" w:cs="仿宋"/>
                <w:color w:val="000000" w:themeColor="text1"/>
                <w:sz w:val="24"/>
                <w14:textFill>
                  <w14:solidFill>
                    <w14:schemeClr w14:val="tx1"/>
                  </w14:solidFill>
                </w14:textFill>
              </w:rPr>
              <w:t>，每提供一个得</w:t>
            </w:r>
            <w:r>
              <w:rPr>
                <w:rFonts w:hint="eastAsia" w:ascii="宋体" w:hAnsi="宋体" w:cs="仿宋"/>
                <w:color w:val="000000" w:themeColor="text1"/>
                <w:sz w:val="24"/>
                <w14:textFill>
                  <w14:solidFill>
                    <w14:schemeClr w14:val="tx1"/>
                  </w14:solidFill>
                </w14:textFill>
              </w:rPr>
              <w:t>1</w:t>
            </w:r>
            <w:r>
              <w:rPr>
                <w:rFonts w:ascii="宋体" w:hAnsi="宋体" w:cs="仿宋"/>
                <w:color w:val="000000" w:themeColor="text1"/>
                <w:sz w:val="24"/>
                <w14:textFill>
                  <w14:solidFill>
                    <w14:schemeClr w14:val="tx1"/>
                  </w14:solidFill>
                </w14:textFill>
              </w:rPr>
              <w:t>分，最高得</w:t>
            </w:r>
            <w:r>
              <w:rPr>
                <w:rFonts w:hint="eastAsia" w:ascii="宋体" w:hAnsi="宋体" w:cs="仿宋"/>
                <w:color w:val="000000" w:themeColor="text1"/>
                <w:sz w:val="24"/>
                <w14:textFill>
                  <w14:solidFill>
                    <w14:schemeClr w14:val="tx1"/>
                  </w14:solidFill>
                </w14:textFill>
              </w:rPr>
              <w:t>5</w:t>
            </w:r>
            <w:r>
              <w:rPr>
                <w:rFonts w:ascii="宋体" w:hAnsi="宋体" w:cs="仿宋"/>
                <w:color w:val="000000" w:themeColor="text1"/>
                <w:sz w:val="24"/>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2</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投标人提供</w:t>
            </w:r>
            <w:r>
              <w:rPr>
                <w:rFonts w:ascii="宋体" w:hAnsi="宋体" w:cs="仿宋"/>
                <w:color w:val="000000" w:themeColor="text1"/>
                <w:sz w:val="24"/>
                <w:lang w:val="zh-CN"/>
                <w14:textFill>
                  <w14:solidFill>
                    <w14:schemeClr w14:val="tx1"/>
                  </w14:solidFill>
                </w14:textFill>
              </w:rPr>
              <w:t>自2017年1月1日至今</w:t>
            </w:r>
            <w:r>
              <w:rPr>
                <w:rFonts w:hint="eastAsia" w:ascii="宋体" w:hAnsi="宋体" w:cs="仿宋"/>
                <w:color w:val="000000" w:themeColor="text1"/>
                <w:sz w:val="24"/>
                <w:lang w:val="zh-CN"/>
                <w14:textFill>
                  <w14:solidFill>
                    <w14:schemeClr w14:val="tx1"/>
                  </w14:solidFill>
                </w14:textFill>
              </w:rPr>
              <w:t>同一业主的</w:t>
            </w:r>
            <w:r>
              <w:rPr>
                <w:rFonts w:hint="eastAsia" w:ascii="宋体" w:hAnsi="宋体" w:cs="仿宋"/>
                <w:color w:val="000000" w:themeColor="text1"/>
                <w:sz w:val="24"/>
                <w14:textFill>
                  <w14:solidFill>
                    <w14:schemeClr w14:val="tx1"/>
                  </w14:solidFill>
                </w14:textFill>
              </w:rPr>
              <w:t>类似</w:t>
            </w:r>
            <w:r>
              <w:rPr>
                <w:rFonts w:hint="eastAsia" w:ascii="宋体" w:hAnsi="宋体" w:cs="仿宋"/>
                <w:color w:val="000000" w:themeColor="text1"/>
                <w:sz w:val="24"/>
                <w:lang w:val="zh-CN"/>
                <w14:textFill>
                  <w14:solidFill>
                    <w14:schemeClr w14:val="tx1"/>
                  </w14:solidFill>
                </w14:textFill>
              </w:rPr>
              <w:t>项目业绩（至少包含保洁服务），每提供一个得</w:t>
            </w:r>
            <w:r>
              <w:rPr>
                <w:rFonts w:hint="eastAsia" w:ascii="宋体" w:hAnsi="宋体" w:cs="仿宋"/>
                <w:color w:val="000000" w:themeColor="text1"/>
                <w:sz w:val="24"/>
                <w14:textFill>
                  <w14:solidFill>
                    <w14:schemeClr w14:val="tx1"/>
                  </w14:solidFill>
                </w14:textFill>
              </w:rPr>
              <w:t>1</w:t>
            </w:r>
            <w:r>
              <w:rPr>
                <w:rFonts w:hint="eastAsia" w:ascii="宋体" w:hAnsi="宋体" w:cs="仿宋"/>
                <w:color w:val="000000" w:themeColor="text1"/>
                <w:sz w:val="24"/>
                <w:lang w:val="zh-CN"/>
                <w14:textFill>
                  <w14:solidFill>
                    <w14:schemeClr w14:val="tx1"/>
                  </w14:solidFill>
                </w14:textFill>
              </w:rPr>
              <w:t>分（以合同签订个数为准），最高得</w:t>
            </w:r>
            <w:r>
              <w:rPr>
                <w:rFonts w:hint="eastAsia" w:ascii="宋体" w:hAnsi="宋体" w:cs="仿宋"/>
                <w:color w:val="000000" w:themeColor="text1"/>
                <w:sz w:val="24"/>
                <w14:textFill>
                  <w14:solidFill>
                    <w14:schemeClr w14:val="tx1"/>
                  </w14:solidFill>
                </w14:textFill>
              </w:rPr>
              <w:t>5</w:t>
            </w:r>
            <w:r>
              <w:rPr>
                <w:rFonts w:hint="eastAsia" w:ascii="宋体" w:hAnsi="宋体" w:cs="仿宋"/>
                <w:color w:val="000000" w:themeColor="text1"/>
                <w:sz w:val="24"/>
                <w:lang w:val="zh-CN"/>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注：以上业绩需提供相关合同复印件并加盖供应商公章</w:t>
            </w:r>
          </w:p>
          <w:p>
            <w:pPr>
              <w:pStyle w:val="2"/>
              <w:rPr>
                <w:rFonts w:hint="eastAsia"/>
                <w:lang w:val="zh-CN"/>
              </w:rPr>
            </w:pPr>
            <w:r>
              <w:rPr>
                <w:rFonts w:hint="eastAsia"/>
                <w:lang w:val="zh-CN"/>
              </w:rPr>
              <w:t xml:space="preserve"> </w:t>
            </w:r>
            <w:r>
              <w:rPr>
                <w:lang w:val="zh-CN"/>
              </w:rPr>
              <w:t xml:space="preserve">  </w:t>
            </w:r>
            <w:r>
              <w:rPr>
                <w:rFonts w:ascii="宋体" w:hAnsi="宋体" w:cs="仿宋"/>
                <w:smallCaps w:val="0"/>
                <w:color w:val="000000" w:themeColor="text1"/>
                <w:sz w:val="24"/>
                <w:szCs w:val="24"/>
                <w:lang w:val="zh-CN"/>
                <w14:textFill>
                  <w14:solidFill>
                    <w14:schemeClr w14:val="tx1"/>
                  </w14:solidFill>
                </w14:textFill>
              </w:rPr>
              <w:t>业绩内容可以重复积分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498" w:type="pct"/>
            <w:vMerge w:val="continue"/>
            <w:tcBorders>
              <w:left w:val="single" w:color="auto" w:sz="6" w:space="0"/>
              <w:right w:val="single" w:color="auto" w:sz="6" w:space="0"/>
            </w:tcBorders>
            <w:vAlign w:val="center"/>
          </w:tcPr>
          <w:p>
            <w:pPr>
              <w:autoSpaceDE w:val="0"/>
              <w:autoSpaceDN w:val="0"/>
              <w:jc w:val="center"/>
              <w:rPr>
                <w:rFonts w:asciiTheme="minorEastAsia" w:hAnsiTheme="minorEastAsia" w:eastAsiaTheme="minorEastAsia"/>
                <w:b/>
                <w:color w:val="000000" w:themeColor="text1"/>
                <w:kern w:val="1"/>
                <w:sz w:val="24"/>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Theme="minorEastAsia" w:hAnsiTheme="minorEastAsia" w:eastAsiaTheme="minorEastAsia"/>
                <w:color w:val="000000" w:themeColor="text1"/>
                <w:kern w:val="1"/>
                <w:sz w:val="24"/>
                <w14:textFill>
                  <w14:solidFill>
                    <w14:schemeClr w14:val="tx1"/>
                  </w14:solidFill>
                </w14:textFill>
              </w:rPr>
              <w:t>业主评价表</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6分</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sz w:val="21"/>
                <w:highlight w:val="yellow"/>
                <w:lang w:val="zh-CN"/>
              </w:rPr>
            </w:pPr>
            <w:r>
              <w:rPr>
                <w:rFonts w:hint="eastAsia" w:ascii="宋体" w:hAnsi="宋体" w:cs="仿宋"/>
                <w:color w:val="000000" w:themeColor="text1"/>
                <w:sz w:val="24"/>
                <w:lang w:val="zh-CN"/>
                <w14:textFill>
                  <w14:solidFill>
                    <w14:schemeClr w14:val="tx1"/>
                  </w14:solidFill>
                </w14:textFill>
              </w:rPr>
              <w:t>根据最近2019至2021年内招标人对投标人的评价结果进行评分；按投标人提供的招标人业主评价证明材料（满意度调查表、业主评价表等），提供服务质量为满意或合格的，每份得2分，最高得6分。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top w:val="single" w:color="auto" w:sz="6" w:space="0"/>
              <w:left w:val="single" w:color="auto" w:sz="6" w:space="0"/>
              <w:bottom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cs="仿宋" w:asciiTheme="minorEastAsia" w:hAnsiTheme="minorEastAsia" w:eastAsiaTheme="minorEastAsia"/>
                <w:color w:val="000000" w:themeColor="text1"/>
                <w:sz w:val="24"/>
                <w:lang w:val="zh-CN"/>
                <w14:textFill>
                  <w14:solidFill>
                    <w14:schemeClr w14:val="tx1"/>
                  </w14:solidFill>
                </w14:textFill>
              </w:rPr>
              <w:t>企业荣誉</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asciiTheme="minorEastAsia" w:hAnsiTheme="minorEastAsia" w:eastAsiaTheme="minorEastAsia"/>
                <w:color w:val="000000" w:themeColor="text1"/>
                <w:kern w:val="1"/>
                <w:sz w:val="24"/>
                <w14:textFill>
                  <w14:solidFill>
                    <w14:schemeClr w14:val="tx1"/>
                  </w14:solidFill>
                </w14:textFill>
              </w:rPr>
              <w:t>1</w:t>
            </w:r>
            <w:r>
              <w:rPr>
                <w:rFonts w:hint="eastAsia" w:asciiTheme="minorEastAsia" w:hAnsiTheme="minorEastAsia" w:eastAsiaTheme="minorEastAsia"/>
                <w:color w:val="000000" w:themeColor="text1"/>
                <w:kern w:val="1"/>
                <w:sz w:val="24"/>
                <w14:textFill>
                  <w14:solidFill>
                    <w14:schemeClr w14:val="tx1"/>
                  </w14:solidFill>
                </w14:textFill>
              </w:rPr>
              <w:t>4</w:t>
            </w:r>
            <w:r>
              <w:rPr>
                <w:rFonts w:asciiTheme="minorEastAsia" w:hAnsiTheme="minorEastAsia" w:eastAsiaTheme="minorEastAsia"/>
                <w:color w:val="000000" w:themeColor="text1"/>
                <w:kern w:val="1"/>
                <w:sz w:val="24"/>
                <w14:textFill>
                  <w14:solidFill>
                    <w14:schemeClr w14:val="tx1"/>
                  </w14:solidFill>
                </w14:textFill>
              </w:rPr>
              <w:t>分</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numPr>
                <w:ilvl w:val="255"/>
                <w:numId w:val="0"/>
              </w:numPr>
              <w:rPr>
                <w:rFonts w:cs="仿宋" w:asciiTheme="minorEastAsia" w:hAnsiTheme="minorEastAsia" w:eastAsiaTheme="minorEastAsia"/>
                <w:color w:val="000000" w:themeColor="text1"/>
                <w:sz w:val="24"/>
                <w:lang w:val="zh-CN"/>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1.</w:t>
            </w:r>
            <w:r>
              <w:rPr>
                <w:rFonts w:hint="eastAsia" w:cs="仿宋" w:asciiTheme="minorEastAsia" w:hAnsiTheme="minorEastAsia" w:eastAsiaTheme="minorEastAsia"/>
                <w:color w:val="000000" w:themeColor="text1"/>
                <w:sz w:val="24"/>
                <w:lang w:val="zh-CN"/>
                <w14:textFill>
                  <w14:solidFill>
                    <w14:schemeClr w14:val="tx1"/>
                  </w14:solidFill>
                </w14:textFill>
              </w:rPr>
              <w:t>企业综合实力，相关荣誉证书，企业信誉，执行能力等综合考察，综合实力强得</w:t>
            </w:r>
            <w:r>
              <w:rPr>
                <w:rFonts w:cs="仿宋" w:asciiTheme="minorEastAsia" w:hAnsiTheme="minorEastAsia" w:eastAsiaTheme="minorEastAsia"/>
                <w:color w:val="000000" w:themeColor="text1"/>
                <w:sz w:val="24"/>
                <w:lang w:val="zh-CN"/>
                <w14:textFill>
                  <w14:solidFill>
                    <w14:schemeClr w14:val="tx1"/>
                  </w14:solidFill>
                </w14:textFill>
              </w:rPr>
              <w:t>5</w:t>
            </w:r>
            <w:r>
              <w:rPr>
                <w:rFonts w:hint="eastAsia" w:cs="仿宋" w:asciiTheme="minorEastAsia" w:hAnsiTheme="minorEastAsia" w:eastAsiaTheme="minorEastAsia"/>
                <w:color w:val="000000" w:themeColor="text1"/>
                <w:sz w:val="24"/>
                <w:lang w:val="zh-CN"/>
                <w14:textFill>
                  <w14:solidFill>
                    <w14:schemeClr w14:val="tx1"/>
                  </w14:solidFill>
                </w14:textFill>
              </w:rPr>
              <w:t>分，一般得3分，综合实力弱得1分。</w:t>
            </w:r>
          </w:p>
          <w:p>
            <w:pPr>
              <w:numPr>
                <w:ilvl w:val="255"/>
                <w:numId w:val="0"/>
              </w:numPr>
              <w:rPr>
                <w:rFonts w:cs="仿宋" w:asciiTheme="minorEastAsia" w:hAnsiTheme="minorEastAsia" w:eastAsiaTheme="minorEastAsia"/>
                <w:color w:val="000000" w:themeColor="text1"/>
                <w:sz w:val="24"/>
                <w:lang w:val="zh-CN"/>
                <w14:textFill>
                  <w14:solidFill>
                    <w14:schemeClr w14:val="tx1"/>
                  </w14:solidFill>
                </w14:textFill>
              </w:rPr>
            </w:pPr>
            <w:r>
              <w:rPr>
                <w:rFonts w:cs="仿宋" w:asciiTheme="minorEastAsia" w:hAnsiTheme="minorEastAsia" w:eastAsiaTheme="minorEastAsia"/>
                <w:color w:val="000000" w:themeColor="text1"/>
                <w:sz w:val="24"/>
                <w14:textFill>
                  <w14:solidFill>
                    <w14:schemeClr w14:val="tx1"/>
                  </w14:solidFill>
                </w14:textFill>
              </w:rPr>
              <w:t>2</w:t>
            </w:r>
            <w:r>
              <w:rPr>
                <w:rFonts w:hint="eastAsia" w:cs="仿宋" w:asciiTheme="minorEastAsia" w:hAnsiTheme="minorEastAsia" w:eastAsiaTheme="minorEastAsia"/>
                <w:color w:val="000000" w:themeColor="text1"/>
                <w:sz w:val="24"/>
                <w14:textFill>
                  <w14:solidFill>
                    <w14:schemeClr w14:val="tx1"/>
                  </w14:solidFill>
                </w14:textFill>
              </w:rPr>
              <w:t>.</w:t>
            </w:r>
            <w:r>
              <w:rPr>
                <w:rFonts w:cs="仿宋" w:asciiTheme="minorEastAsia" w:hAnsiTheme="minorEastAsia" w:eastAsiaTheme="minorEastAsia"/>
                <w:color w:val="000000" w:themeColor="text1"/>
                <w:sz w:val="24"/>
                <w:lang w:val="zh-CN"/>
                <w14:textFill>
                  <w14:solidFill>
                    <w14:schemeClr w14:val="tx1"/>
                  </w14:solidFill>
                </w14:textFill>
              </w:rPr>
              <w:t>投标企业具有质量管理体系（ISO9001）认证、环境管理体系（ISO14001）认证、职业健康安全管理体系（GB/T28001）认证</w:t>
            </w:r>
            <w:r>
              <w:rPr>
                <w:rFonts w:hint="eastAsia" w:cs="仿宋" w:asciiTheme="minorEastAsia" w:hAnsiTheme="minorEastAsia" w:eastAsiaTheme="minorEastAsia"/>
                <w:color w:val="000000" w:themeColor="text1"/>
                <w:sz w:val="24"/>
                <w:lang w:val="zh-CN"/>
                <w14:textFill>
                  <w14:solidFill>
                    <w14:schemeClr w14:val="tx1"/>
                  </w14:solidFill>
                </w14:textFill>
              </w:rPr>
              <w:t>，具备一个</w:t>
            </w:r>
            <w:r>
              <w:rPr>
                <w:rFonts w:cs="仿宋" w:asciiTheme="minorEastAsia" w:hAnsiTheme="minorEastAsia" w:eastAsiaTheme="minorEastAsia"/>
                <w:color w:val="000000" w:themeColor="text1"/>
                <w:sz w:val="24"/>
                <w:lang w:val="zh-CN"/>
                <w14:textFill>
                  <w14:solidFill>
                    <w14:schemeClr w14:val="tx1"/>
                  </w14:solidFill>
                </w14:textFill>
              </w:rPr>
              <w:t>得</w:t>
            </w:r>
            <w:r>
              <w:rPr>
                <w:rFonts w:hint="eastAsia" w:cs="仿宋" w:asciiTheme="minorEastAsia" w:hAnsiTheme="minorEastAsia" w:eastAsiaTheme="minorEastAsia"/>
                <w:color w:val="000000" w:themeColor="text1"/>
                <w:sz w:val="24"/>
                <w:lang w:val="zh-CN"/>
                <w14:textFill>
                  <w14:solidFill>
                    <w14:schemeClr w14:val="tx1"/>
                  </w14:solidFill>
                </w14:textFill>
              </w:rPr>
              <w:t>3分</w:t>
            </w:r>
            <w:r>
              <w:rPr>
                <w:rFonts w:cs="仿宋" w:asciiTheme="minorEastAsia" w:hAnsiTheme="minorEastAsia" w:eastAsiaTheme="minorEastAsia"/>
                <w:color w:val="000000" w:themeColor="text1"/>
                <w:sz w:val="24"/>
                <w:lang w:val="zh-CN"/>
                <w14:textFill>
                  <w14:solidFill>
                    <w14:schemeClr w14:val="tx1"/>
                  </w14:solidFill>
                </w14:textFill>
              </w:rPr>
              <w:t>，</w:t>
            </w:r>
            <w:r>
              <w:rPr>
                <w:rFonts w:hint="eastAsia" w:cs="仿宋" w:asciiTheme="minorEastAsia" w:hAnsiTheme="minorEastAsia" w:eastAsiaTheme="minorEastAsia"/>
                <w:color w:val="000000" w:themeColor="text1"/>
                <w:sz w:val="24"/>
                <w:lang w:val="zh-CN"/>
                <w14:textFill>
                  <w14:solidFill>
                    <w14:schemeClr w14:val="tx1"/>
                  </w14:solidFill>
                </w14:textFill>
              </w:rPr>
              <w:t>最高得</w:t>
            </w:r>
            <w:r>
              <w:rPr>
                <w:rFonts w:cs="仿宋" w:asciiTheme="minorEastAsia" w:hAnsiTheme="minorEastAsia" w:eastAsiaTheme="minorEastAsia"/>
                <w:color w:val="000000" w:themeColor="text1"/>
                <w:sz w:val="24"/>
                <w:lang w:val="zh-CN"/>
                <w14:textFill>
                  <w14:solidFill>
                    <w14:schemeClr w14:val="tx1"/>
                  </w14:solidFill>
                </w14:textFill>
              </w:rPr>
              <w:t>得</w:t>
            </w:r>
            <w:r>
              <w:rPr>
                <w:rFonts w:hint="eastAsia" w:ascii="宋体" w:hAnsi="宋体" w:eastAsia="宋体" w:cs="宋体"/>
                <w:b w:val="0"/>
                <w:bCs w:val="0"/>
                <w:color w:val="000000" w:themeColor="text1"/>
                <w:sz w:val="24"/>
                <w14:textFill>
                  <w14:solidFill>
                    <w14:schemeClr w14:val="tx1"/>
                  </w14:solidFill>
                </w14:textFill>
              </w:rPr>
              <w:t>9</w:t>
            </w:r>
            <w:r>
              <w:rPr>
                <w:rFonts w:hint="eastAsia" w:ascii="宋体" w:hAnsi="宋体" w:eastAsia="宋体" w:cs="宋体"/>
                <w:b w:val="0"/>
                <w:bCs w:val="0"/>
                <w:color w:val="000000" w:themeColor="text1"/>
                <w:sz w:val="24"/>
                <w:lang w:val="zh-CN"/>
                <w14:textFill>
                  <w14:solidFill>
                    <w14:schemeClr w14:val="tx1"/>
                  </w14:solidFill>
                </w14:textFill>
              </w:rPr>
              <w:t>分</w:t>
            </w:r>
            <w:r>
              <w:rPr>
                <w:rFonts w:cs="仿宋" w:asciiTheme="minorEastAsia" w:hAnsiTheme="minorEastAsia" w:eastAsiaTheme="minorEastAsia"/>
                <w:color w:val="000000" w:themeColor="text1"/>
                <w:sz w:val="24"/>
                <w:lang w:val="zh-CN"/>
                <w14:textFill>
                  <w14:solidFill>
                    <w14:schemeClr w14:val="tx1"/>
                  </w14:solidFill>
                </w14:textFill>
              </w:rPr>
              <w:t>。（投标人开标时</w:t>
            </w:r>
            <w:r>
              <w:rPr>
                <w:rFonts w:cs="仿宋" w:asciiTheme="minorEastAsia" w:hAnsiTheme="minorEastAsia" w:eastAsiaTheme="minorEastAsia"/>
                <w:color w:val="000000" w:themeColor="text1"/>
                <w:sz w:val="24"/>
                <w14:textFill>
                  <w14:solidFill>
                    <w14:schemeClr w14:val="tx1"/>
                  </w14:solidFill>
                </w14:textFill>
              </w:rPr>
              <w:t>需</w:t>
            </w:r>
            <w:r>
              <w:rPr>
                <w:rFonts w:cs="仿宋" w:asciiTheme="minorEastAsia" w:hAnsiTheme="minorEastAsia" w:eastAsiaTheme="minorEastAsia"/>
                <w:color w:val="000000" w:themeColor="text1"/>
                <w:sz w:val="24"/>
                <w:lang w:val="zh-CN"/>
                <w14:textFill>
                  <w14:solidFill>
                    <w14:schemeClr w14:val="tx1"/>
                  </w14:solidFill>
                </w14:textFill>
              </w:rPr>
              <w:t>须提供经年检有效的认证证书原件</w:t>
            </w:r>
            <w:r>
              <w:rPr>
                <w:rFonts w:cs="仿宋" w:asciiTheme="minorEastAsia" w:hAnsiTheme="minorEastAsia" w:eastAsiaTheme="minorEastAsia"/>
                <w:color w:val="000000" w:themeColor="text1"/>
                <w:sz w:val="24"/>
                <w14:textFill>
                  <w14:solidFill>
                    <w14:schemeClr w14:val="tx1"/>
                  </w14:solidFill>
                </w14:textFill>
              </w:rPr>
              <w:t>核验</w:t>
            </w:r>
            <w:r>
              <w:rPr>
                <w:rFonts w:cs="仿宋" w:asciiTheme="minorEastAsia" w:hAnsiTheme="minorEastAsia" w:eastAsiaTheme="minorEastAsia"/>
                <w:color w:val="000000" w:themeColor="text1"/>
                <w:sz w:val="24"/>
                <w:lang w:val="zh-CN"/>
                <w14:textFill>
                  <w14:solidFill>
                    <w14:schemeClr w14:val="tx1"/>
                  </w14:solidFill>
                </w14:textFill>
              </w:rPr>
              <w:t>，并将复印件制作在投标文件中，否则不予计分。）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restart"/>
            <w:tcBorders>
              <w:top w:val="single" w:color="auto" w:sz="6" w:space="0"/>
              <w:left w:val="single" w:color="auto" w:sz="6" w:space="0"/>
              <w:right w:val="single" w:color="auto" w:sz="6" w:space="0"/>
            </w:tcBorders>
          </w:tcPr>
          <w:p>
            <w:pPr>
              <w:autoSpaceDE w:val="0"/>
              <w:autoSpaceDN w:val="0"/>
              <w:jc w:val="cente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rPr>
                <w:color w:val="000000" w:themeColor="text1"/>
                <w:lang w:val="zh-CN"/>
                <w14:textFill>
                  <w14:solidFill>
                    <w14:schemeClr w14:val="tx1"/>
                  </w14:solidFill>
                </w14:textFill>
              </w:rPr>
            </w:pPr>
          </w:p>
          <w:p>
            <w:pPr>
              <w:jc w:val="left"/>
              <w:rPr>
                <w:color w:val="000000" w:themeColor="text1"/>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技术部分5</w:t>
            </w:r>
            <w:r>
              <w:rPr>
                <w:rFonts w:ascii="宋体" w:hAnsi="宋体" w:cs="仿宋"/>
                <w:color w:val="000000" w:themeColor="text1"/>
                <w:sz w:val="24"/>
                <w:lang w:val="zh-CN"/>
                <w14:textFill>
                  <w14:solidFill>
                    <w14:schemeClr w14:val="tx1"/>
                  </w14:solidFill>
                </w14:textFill>
              </w:rPr>
              <w:t>0</w:t>
            </w:r>
            <w:r>
              <w:rPr>
                <w:rFonts w:hint="eastAsia" w:ascii="宋体" w:hAnsi="宋体" w:cs="仿宋"/>
                <w:color w:val="000000" w:themeColor="text1"/>
                <w:sz w:val="24"/>
                <w:lang w:val="zh-CN"/>
                <w14:textFill>
                  <w14:solidFill>
                    <w14:schemeClr w14:val="tx1"/>
                  </w14:solidFill>
                </w14:textFill>
              </w:rPr>
              <w:t>分</w:t>
            </w: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项目服务及实施方案</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宋体" w:hAnsi="宋体"/>
                <w:color w:val="000000" w:themeColor="text1"/>
                <w:kern w:val="1"/>
                <w:sz w:val="24"/>
                <w14:textFill>
                  <w14:solidFill>
                    <w14:schemeClr w14:val="tx1"/>
                  </w14:solidFill>
                </w14:textFill>
              </w:rPr>
              <w:t>1</w:t>
            </w:r>
            <w:r>
              <w:rPr>
                <w:rFonts w:ascii="宋体" w:hAnsi="宋体"/>
                <w:color w:val="000000" w:themeColor="text1"/>
                <w:kern w:val="1"/>
                <w:sz w:val="24"/>
                <w14:textFill>
                  <w14:solidFill>
                    <w14:schemeClr w14:val="tx1"/>
                  </w14:solidFill>
                </w14:textFill>
              </w:rPr>
              <w:t>0</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pStyle w:val="99"/>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服务方案内容清晰完整、详细科学与采购人实际需求契合度高，服务进度、适用性、针对性程度高，完全满足服务需求得</w:t>
            </w:r>
            <w:r>
              <w:rPr>
                <w:rFonts w:ascii="宋体" w:hAnsi="宋体"/>
                <w:color w:val="000000" w:themeColor="text1"/>
                <w14:textFill>
                  <w14:solidFill>
                    <w14:schemeClr w14:val="tx1"/>
                  </w14:solidFill>
                </w14:textFill>
              </w:rPr>
              <w:t>10</w:t>
            </w:r>
            <w:r>
              <w:rPr>
                <w:rFonts w:hint="eastAsia" w:ascii="宋体" w:hAnsi="宋体"/>
                <w:color w:val="000000" w:themeColor="text1"/>
                <w14:textFill>
                  <w14:solidFill>
                    <w14:schemeClr w14:val="tx1"/>
                  </w14:solidFill>
                </w14:textFill>
              </w:rPr>
              <w:t>分；</w:t>
            </w:r>
          </w:p>
          <w:p>
            <w:pPr>
              <w:pStyle w:val="99"/>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服务方案内容基本完整、科学合理与采购人实际需求契合度较高，服务进度，有一定的适用性、针对性，并满足服务需求，但存在部分非核心工作表述不清晰，得</w:t>
            </w:r>
            <w:r>
              <w:rPr>
                <w:rFonts w:ascii="宋体" w:hAnsi="宋体"/>
                <w:color w:val="000000" w:themeColor="text1"/>
                <w14:textFill>
                  <w14:solidFill>
                    <w14:schemeClr w14:val="tx1"/>
                  </w14:solidFill>
                </w14:textFill>
              </w:rPr>
              <w:t>7</w:t>
            </w:r>
            <w:r>
              <w:rPr>
                <w:rFonts w:hint="eastAsia" w:ascii="宋体" w:hAnsi="宋体"/>
                <w:color w:val="000000" w:themeColor="text1"/>
                <w14:textFill>
                  <w14:solidFill>
                    <w14:schemeClr w14:val="tx1"/>
                  </w14:solidFill>
                </w14:textFill>
              </w:rPr>
              <w:t>分；</w:t>
            </w:r>
          </w:p>
          <w:p>
            <w:pPr>
              <w:pStyle w:val="99"/>
              <w:jc w:val="both"/>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方案内容基本完整，有基本的流程，并基本满足服务需求，但存在部分核心性关键性内容表述不完整，得</w:t>
            </w:r>
            <w:r>
              <w:rPr>
                <w:rFonts w:ascii="宋体" w:hAnsi="宋体"/>
                <w:color w:val="000000" w:themeColor="text1"/>
                <w14:textFill>
                  <w14:solidFill>
                    <w14:schemeClr w14:val="tx1"/>
                  </w14:solidFill>
                </w14:textFill>
              </w:rPr>
              <w:t>4</w:t>
            </w:r>
            <w:r>
              <w:rPr>
                <w:rFonts w:hint="eastAsia" w:ascii="宋体" w:hAnsi="宋体"/>
                <w:color w:val="000000" w:themeColor="text1"/>
                <w14:textFill>
                  <w14:solidFill>
                    <w14:schemeClr w14:val="tx1"/>
                  </w14:solidFill>
                </w14:textFill>
              </w:rPr>
              <w:t>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未提供本项内容得0分。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left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人员配备</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宋体" w:hAnsi="宋体"/>
                <w:color w:val="000000" w:themeColor="text1"/>
                <w:kern w:val="1"/>
                <w:sz w:val="24"/>
                <w14:textFill>
                  <w14:solidFill>
                    <w14:schemeClr w14:val="tx1"/>
                  </w14:solidFill>
                </w14:textFill>
              </w:rPr>
              <w:t>1</w:t>
            </w:r>
            <w:r>
              <w:rPr>
                <w:rFonts w:ascii="宋体" w:hAnsi="宋体"/>
                <w:color w:val="000000" w:themeColor="text1"/>
                <w:kern w:val="1"/>
                <w:sz w:val="24"/>
                <w14:textFill>
                  <w14:solidFill>
                    <w14:schemeClr w14:val="tx1"/>
                  </w14:solidFill>
                </w14:textFill>
              </w:rPr>
              <w:t>0</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1</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拟投入本项目清洁负责人（1人）</w:t>
            </w:r>
          </w:p>
          <w:p>
            <w:pPr>
              <w:ind w:firstLine="480" w:firstLineChars="200"/>
              <w:rPr>
                <w:rFonts w:ascii="宋体" w:hAnsi="宋体" w:cs="仿宋"/>
                <w:color w:val="000000" w:themeColor="text1"/>
                <w:sz w:val="24"/>
                <w:lang w:val="zh-CN"/>
                <w14:textFill>
                  <w14:solidFill>
                    <w14:schemeClr w14:val="tx1"/>
                  </w14:solidFill>
                </w14:textFill>
              </w:rPr>
            </w:pPr>
            <w:r>
              <w:rPr>
                <w:rFonts w:ascii="宋体" w:hAnsi="宋体" w:cs="仿宋"/>
                <w:color w:val="000000" w:themeColor="text1"/>
                <w:sz w:val="24"/>
                <w:lang w:val="zh-CN"/>
                <w14:textFill>
                  <w14:solidFill>
                    <w14:schemeClr w14:val="tx1"/>
                  </w14:solidFill>
                </w14:textFill>
              </w:rPr>
              <w:t>45</w:t>
            </w:r>
            <w:r>
              <w:rPr>
                <w:rFonts w:hint="eastAsia" w:ascii="宋体" w:hAnsi="宋体" w:cs="仿宋"/>
                <w:color w:val="000000" w:themeColor="text1"/>
                <w:sz w:val="24"/>
                <w:lang w:val="zh-CN"/>
                <w14:textFill>
                  <w14:solidFill>
                    <w14:schemeClr w14:val="tx1"/>
                  </w14:solidFill>
                </w14:textFill>
              </w:rPr>
              <w:t>周岁以下，具有大专或以上学历，具有高级清洁管理师及有害生物防制相关资格或培训证书，全部满足得</w:t>
            </w:r>
            <w:r>
              <w:rPr>
                <w:rFonts w:ascii="宋体" w:hAnsi="宋体" w:cs="仿宋"/>
                <w:color w:val="000000" w:themeColor="text1"/>
                <w:sz w:val="24"/>
                <w:lang w:val="zh-CN"/>
                <w14:textFill>
                  <w14:solidFill>
                    <w14:schemeClr w14:val="tx1"/>
                  </w14:solidFill>
                </w14:textFill>
              </w:rPr>
              <w:t>5</w:t>
            </w:r>
            <w:r>
              <w:rPr>
                <w:rFonts w:hint="eastAsia" w:ascii="宋体" w:hAnsi="宋体" w:cs="仿宋"/>
                <w:color w:val="000000" w:themeColor="text1"/>
                <w:sz w:val="24"/>
                <w:lang w:val="zh-CN"/>
                <w14:textFill>
                  <w14:solidFill>
                    <w14:schemeClr w14:val="tx1"/>
                  </w14:solidFill>
                </w14:textFill>
              </w:rPr>
              <w:t>分，否则不得分；</w:t>
            </w:r>
          </w:p>
          <w:p>
            <w:pPr>
              <w:rPr>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2</w:t>
            </w:r>
            <w:r>
              <w:rPr>
                <w:rFonts w:ascii="宋体" w:hAnsi="宋体" w:cs="仿宋"/>
                <w:color w:val="000000" w:themeColor="text1"/>
                <w:sz w:val="24"/>
                <w:lang w:val="zh-CN"/>
                <w14:textFill>
                  <w14:solidFill>
                    <w14:schemeClr w14:val="tx1"/>
                  </w14:solidFill>
                </w14:textFill>
              </w:rPr>
              <w:t>.</w:t>
            </w:r>
            <w:r>
              <w:rPr>
                <w:rFonts w:hint="eastAsia"/>
                <w:color w:val="000000" w:themeColor="text1"/>
                <w:sz w:val="24"/>
                <w14:textFill>
                  <w14:solidFill>
                    <w14:schemeClr w14:val="tx1"/>
                  </w14:solidFill>
                </w14:textFill>
              </w:rPr>
              <w:t>拟投入本项目清洁主管（1人）</w:t>
            </w:r>
          </w:p>
          <w:p>
            <w:pPr>
              <w:ind w:firstLine="480" w:firstLineChars="200"/>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45周岁或以下，大专或以上学历，具有中华人民共和国人力资源和社会保障部颁发的三级（含）或以上有害生物防制员证书，全部满足得3分，否则不得分。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3</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拟投入本项目清洁人员具有垃圾处理分类工程师证书的每人得1分，满分2分。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注：1</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提供身份证、学历证、职称证或资格证复印件，加盖投标人公章；2</w:t>
            </w:r>
            <w:r>
              <w:rPr>
                <w:rFonts w:ascii="宋体" w:hAnsi="宋体" w:cs="仿宋"/>
                <w:color w:val="000000" w:themeColor="text1"/>
                <w:sz w:val="24"/>
                <w:lang w:val="zh-CN"/>
                <w14:textFill>
                  <w14:solidFill>
                    <w14:schemeClr w14:val="tx1"/>
                  </w14:solidFill>
                </w14:textFill>
              </w:rPr>
              <w:t>.</w:t>
            </w:r>
            <w:r>
              <w:rPr>
                <w:rFonts w:hint="eastAsia" w:ascii="宋体" w:hAnsi="宋体" w:cs="仿宋"/>
                <w:color w:val="000000" w:themeColor="text1"/>
                <w:sz w:val="24"/>
                <w:lang w:val="zh-CN"/>
                <w14:textFill>
                  <w14:solidFill>
                    <w14:schemeClr w14:val="tx1"/>
                  </w14:solidFill>
                </w14:textFill>
              </w:rPr>
              <w:t>提供其在投标单位近三个月任意连续</w:t>
            </w:r>
            <w:r>
              <w:rPr>
                <w:rFonts w:ascii="宋体" w:hAnsi="宋体" w:cs="仿宋"/>
                <w:color w:val="000000" w:themeColor="text1"/>
                <w:sz w:val="24"/>
                <w:lang w:val="zh-CN"/>
                <w14:textFill>
                  <w14:solidFill>
                    <w14:schemeClr w14:val="tx1"/>
                  </w14:solidFill>
                </w14:textFill>
              </w:rPr>
              <w:t>2</w:t>
            </w:r>
            <w:r>
              <w:rPr>
                <w:rFonts w:hint="eastAsia" w:ascii="宋体" w:hAnsi="宋体" w:cs="仿宋"/>
                <w:color w:val="000000" w:themeColor="text1"/>
                <w:sz w:val="24"/>
                <w:lang w:val="zh-CN"/>
                <w14:textFill>
                  <w14:solidFill>
                    <w14:schemeClr w14:val="tx1"/>
                  </w14:solidFill>
                </w14:textFill>
              </w:rPr>
              <w:t>个月的社保证明及能证明物业管理经验年限的相关材料。</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left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管理制度</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宋体" w:hAnsi="宋体"/>
                <w:color w:val="000000" w:themeColor="text1"/>
                <w:kern w:val="1"/>
                <w:sz w:val="24"/>
                <w14:textFill>
                  <w14:solidFill>
                    <w14:schemeClr w14:val="tx1"/>
                  </w14:solidFill>
                </w14:textFill>
              </w:rPr>
              <w:t>1</w:t>
            </w:r>
            <w:r>
              <w:rPr>
                <w:rFonts w:ascii="宋体" w:hAnsi="宋体"/>
                <w:color w:val="000000" w:themeColor="text1"/>
                <w:kern w:val="1"/>
                <w:sz w:val="24"/>
                <w14:textFill>
                  <w14:solidFill>
                    <w14:schemeClr w14:val="tx1"/>
                  </w14:solidFill>
                </w14:textFill>
              </w:rPr>
              <w:t>0</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岗位纪律合理、全面、有针对性，得</w:t>
            </w:r>
            <w:r>
              <w:rPr>
                <w:rFonts w:ascii="宋体" w:hAnsi="宋体" w:cs="仿宋"/>
                <w:color w:val="000000" w:themeColor="text1"/>
                <w:sz w:val="24"/>
                <w:lang w:val="zh-CN"/>
                <w14:textFill>
                  <w14:solidFill>
                    <w14:schemeClr w14:val="tx1"/>
                  </w14:solidFill>
                </w14:textFill>
              </w:rPr>
              <w:t>10</w:t>
            </w:r>
            <w:r>
              <w:rPr>
                <w:rFonts w:hint="eastAsia" w:ascii="宋体" w:hAnsi="宋体" w:cs="仿宋"/>
                <w:color w:val="000000" w:themeColor="text1"/>
                <w:sz w:val="24"/>
                <w:lang w:val="zh-CN"/>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岗位纪律较合理、较全面，得</w:t>
            </w:r>
            <w:r>
              <w:rPr>
                <w:rFonts w:ascii="宋体" w:hAnsi="宋体" w:cs="仿宋"/>
                <w:color w:val="000000" w:themeColor="text1"/>
                <w:sz w:val="24"/>
                <w:lang w:val="zh-CN"/>
                <w14:textFill>
                  <w14:solidFill>
                    <w14:schemeClr w14:val="tx1"/>
                  </w14:solidFill>
                </w14:textFill>
              </w:rPr>
              <w:t>7</w:t>
            </w:r>
            <w:r>
              <w:rPr>
                <w:rFonts w:hint="eastAsia" w:ascii="宋体" w:hAnsi="宋体" w:cs="仿宋"/>
                <w:color w:val="000000" w:themeColor="text1"/>
                <w:sz w:val="24"/>
                <w:lang w:val="zh-CN"/>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 xml:space="preserve">岗位纪律不合理、不全面，得 </w:t>
            </w:r>
            <w:r>
              <w:rPr>
                <w:rFonts w:ascii="宋体" w:hAnsi="宋体" w:cs="仿宋"/>
                <w:color w:val="000000" w:themeColor="text1"/>
                <w:sz w:val="24"/>
                <w:lang w:val="zh-CN"/>
                <w14:textFill>
                  <w14:solidFill>
                    <w14:schemeClr w14:val="tx1"/>
                  </w14:solidFill>
                </w14:textFill>
              </w:rPr>
              <w:t>4</w:t>
            </w:r>
            <w:r>
              <w:rPr>
                <w:rFonts w:hint="eastAsia" w:ascii="宋体" w:hAnsi="宋体" w:cs="仿宋"/>
                <w:color w:val="000000" w:themeColor="text1"/>
                <w:sz w:val="24"/>
                <w:lang w:val="zh-CN"/>
                <w14:textFill>
                  <w14:solidFill>
                    <w14:schemeClr w14:val="tx1"/>
                  </w14:solidFill>
                </w14:textFill>
              </w:rPr>
              <w:t>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未提供本项内容得0分。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left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hint="eastAsia" w:ascii="宋体" w:hAnsi="宋体"/>
                <w:color w:val="000000" w:themeColor="text1"/>
                <w:kern w:val="1"/>
                <w:sz w:val="24"/>
                <w14:textFill>
                  <w14:solidFill>
                    <w14:schemeClr w14:val="tx1"/>
                  </w14:solidFill>
                </w14:textFill>
              </w:rPr>
              <w:t>服务质量保障措施</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宋体" w:hAnsi="宋体"/>
                <w:color w:val="000000" w:themeColor="text1"/>
                <w:kern w:val="1"/>
                <w:sz w:val="24"/>
                <w14:textFill>
                  <w14:solidFill>
                    <w14:schemeClr w14:val="tx1"/>
                  </w14:solidFill>
                </w14:textFill>
              </w:rPr>
              <w:t>1</w:t>
            </w:r>
            <w:r>
              <w:rPr>
                <w:rFonts w:ascii="宋体" w:hAnsi="宋体"/>
                <w:color w:val="000000" w:themeColor="text1"/>
                <w:kern w:val="1"/>
                <w:sz w:val="24"/>
                <w14:textFill>
                  <w14:solidFill>
                    <w14:schemeClr w14:val="tx1"/>
                  </w14:solidFill>
                </w14:textFill>
              </w:rPr>
              <w:t>0</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服务质量保障措施合理、科学可行，服务保证体系完备，得10分；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服务质量保障措施粗略，可行性一般，得</w:t>
            </w:r>
            <w:r>
              <w:rPr>
                <w:rFonts w:ascii="宋体" w:hAnsi="宋体" w:cs="仿宋"/>
                <w:color w:val="000000" w:themeColor="text1"/>
                <w:sz w:val="24"/>
                <w:lang w:val="zh-CN"/>
                <w14:textFill>
                  <w14:solidFill>
                    <w14:schemeClr w14:val="tx1"/>
                  </w14:solidFill>
                </w14:textFill>
              </w:rPr>
              <w:t>7</w:t>
            </w:r>
            <w:r>
              <w:rPr>
                <w:rFonts w:hint="eastAsia" w:ascii="宋体" w:hAnsi="宋体" w:cs="仿宋"/>
                <w:color w:val="000000" w:themeColor="text1"/>
                <w:sz w:val="24"/>
                <w:lang w:val="zh-CN"/>
                <w14:textFill>
                  <w14:solidFill>
                    <w14:schemeClr w14:val="tx1"/>
                  </w14:solidFill>
                </w14:textFill>
              </w:rPr>
              <w:t>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服务质量保障措施内容上有较大欠缺，缺乏可行性，得</w:t>
            </w:r>
            <w:r>
              <w:rPr>
                <w:rFonts w:ascii="宋体" w:hAnsi="宋体" w:cs="仿宋"/>
                <w:color w:val="000000" w:themeColor="text1"/>
                <w:sz w:val="24"/>
                <w:lang w:val="zh-CN"/>
                <w14:textFill>
                  <w14:solidFill>
                    <w14:schemeClr w14:val="tx1"/>
                  </w14:solidFill>
                </w14:textFill>
              </w:rPr>
              <w:t>4</w:t>
            </w:r>
            <w:r>
              <w:rPr>
                <w:rFonts w:hint="eastAsia" w:ascii="宋体" w:hAnsi="宋体" w:cs="仿宋"/>
                <w:color w:val="000000" w:themeColor="text1"/>
                <w:sz w:val="24"/>
                <w:lang w:val="zh-CN"/>
                <w14:textFill>
                  <w14:solidFill>
                    <w14:schemeClr w14:val="tx1"/>
                  </w14:solidFill>
                </w14:textFill>
              </w:rPr>
              <w:t>分；未提供本项内容得0分。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left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ascii="宋体" w:hAnsi="宋体"/>
                <w:color w:val="000000" w:themeColor="text1"/>
                <w:kern w:val="1"/>
                <w:sz w:val="24"/>
                <w14:textFill>
                  <w14:solidFill>
                    <w14:schemeClr w14:val="tx1"/>
                  </w14:solidFill>
                </w14:textFill>
              </w:rPr>
              <w:t>应急</w:t>
            </w:r>
            <w:r>
              <w:rPr>
                <w:rFonts w:hint="eastAsia" w:ascii="宋体" w:hAnsi="宋体"/>
                <w:color w:val="000000" w:themeColor="text1"/>
                <w:kern w:val="1"/>
                <w:sz w:val="24"/>
                <w14:textFill>
                  <w14:solidFill>
                    <w14:schemeClr w14:val="tx1"/>
                  </w14:solidFill>
                </w14:textFill>
              </w:rPr>
              <w:t>方案</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jc w:val="center"/>
              <w:rPr>
                <w:rFonts w:asciiTheme="minorEastAsia" w:hAnsiTheme="minorEastAsia" w:eastAsiaTheme="minorEastAsia"/>
                <w:color w:val="000000" w:themeColor="text1"/>
                <w:kern w:val="1"/>
                <w:sz w:val="24"/>
                <w14:textFill>
                  <w14:solidFill>
                    <w14:schemeClr w14:val="tx1"/>
                  </w14:solidFill>
                </w14:textFill>
              </w:rPr>
            </w:pPr>
            <w:r>
              <w:rPr>
                <w:rFonts w:ascii="宋体" w:hAnsi="宋体" w:cs="仿宋"/>
                <w:color w:val="000000" w:themeColor="text1"/>
                <w:sz w:val="24"/>
                <w:lang w:val="zh-CN"/>
                <w14:textFill>
                  <w14:solidFill>
                    <w14:schemeClr w14:val="tx1"/>
                  </w14:solidFill>
                </w14:textFill>
              </w:rPr>
              <w:t>5</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根据各供应商是否有重大或突发事件应急保障措施（如节假日、突发事件、自然灾害等）且是否及时、合理、有效进行综合评比：</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应急管理预案详细全面，分工明确，应急处理经验丰富的，得</w:t>
            </w:r>
            <w:r>
              <w:rPr>
                <w:rFonts w:ascii="宋体" w:hAnsi="宋体" w:cs="仿宋"/>
                <w:color w:val="000000" w:themeColor="text1"/>
                <w:sz w:val="24"/>
                <w:lang w:val="zh-CN"/>
                <w14:textFill>
                  <w14:solidFill>
                    <w14:schemeClr w14:val="tx1"/>
                  </w14:solidFill>
                </w14:textFill>
              </w:rPr>
              <w:t>5</w:t>
            </w:r>
            <w:r>
              <w:rPr>
                <w:rFonts w:hint="eastAsia" w:ascii="宋体" w:hAnsi="宋体" w:cs="仿宋"/>
                <w:color w:val="000000" w:themeColor="text1"/>
                <w:sz w:val="24"/>
                <w:lang w:val="zh-CN"/>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应急管理预案较全面，分工较明确，应急处理较经验丰富的，得</w:t>
            </w:r>
            <w:r>
              <w:rPr>
                <w:rFonts w:ascii="宋体" w:hAnsi="宋体" w:cs="仿宋"/>
                <w:color w:val="000000" w:themeColor="text1"/>
                <w:sz w:val="24"/>
                <w:lang w:val="zh-CN"/>
                <w14:textFill>
                  <w14:solidFill>
                    <w14:schemeClr w14:val="tx1"/>
                  </w14:solidFill>
                </w14:textFill>
              </w:rPr>
              <w:t>3</w:t>
            </w:r>
            <w:r>
              <w:rPr>
                <w:rFonts w:hint="eastAsia" w:ascii="宋体" w:hAnsi="宋体" w:cs="仿宋"/>
                <w:color w:val="000000" w:themeColor="text1"/>
                <w:sz w:val="24"/>
                <w:lang w:val="zh-CN"/>
                <w14:textFill>
                  <w14:solidFill>
                    <w14:schemeClr w14:val="tx1"/>
                  </w14:solidFill>
                </w14:textFill>
              </w:rPr>
              <w:t>分；</w:t>
            </w:r>
          </w:p>
          <w:p>
            <w:pPr>
              <w:rPr>
                <w:rFonts w:ascii="宋体" w:hAnsi="宋体" w:cs="仿宋"/>
                <w:color w:val="000000" w:themeColor="text1"/>
                <w:sz w:val="24"/>
                <w:lang w:val="zh-CN"/>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应急管理预案欠缺，分工不明确，得</w:t>
            </w:r>
            <w:r>
              <w:rPr>
                <w:rFonts w:ascii="宋体" w:hAnsi="宋体" w:cs="仿宋"/>
                <w:color w:val="000000" w:themeColor="text1"/>
                <w:sz w:val="24"/>
                <w:lang w:val="zh-CN"/>
                <w14:textFill>
                  <w14:solidFill>
                    <w14:schemeClr w14:val="tx1"/>
                  </w14:solidFill>
                </w14:textFill>
              </w:rPr>
              <w:t>1</w:t>
            </w:r>
            <w:r>
              <w:rPr>
                <w:rFonts w:hint="eastAsia" w:ascii="宋体" w:hAnsi="宋体" w:cs="仿宋"/>
                <w:color w:val="000000" w:themeColor="text1"/>
                <w:sz w:val="24"/>
                <w:lang w:val="zh-CN"/>
                <w14:textFill>
                  <w14:solidFill>
                    <w14:schemeClr w14:val="tx1"/>
                  </w14:solidFill>
                </w14:textFill>
              </w:rPr>
              <w:t>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未提供本项内容得0分。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7" w:hRule="atLeast"/>
          <w:jc w:val="center"/>
        </w:trPr>
        <w:tc>
          <w:tcPr>
            <w:tcW w:w="498" w:type="pct"/>
            <w:vMerge w:val="continue"/>
            <w:tcBorders>
              <w:left w:val="single" w:color="auto" w:sz="6" w:space="0"/>
              <w:bottom w:val="single" w:color="auto" w:sz="6" w:space="0"/>
              <w:right w:val="single" w:color="auto" w:sz="6" w:space="0"/>
            </w:tcBorders>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p>
        </w:tc>
        <w:tc>
          <w:tcPr>
            <w:tcW w:w="510"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autoSpaceDE w:val="0"/>
              <w:autoSpaceDN w:val="0"/>
              <w:jc w:val="center"/>
              <w:rPr>
                <w:rFonts w:cs="仿宋" w:asciiTheme="minorEastAsia" w:hAnsiTheme="minorEastAsia" w:eastAsiaTheme="minorEastAsia"/>
                <w:color w:val="000000" w:themeColor="text1"/>
                <w:sz w:val="24"/>
                <w:lang w:val="zh-CN"/>
                <w14:textFill>
                  <w14:solidFill>
                    <w14:schemeClr w14:val="tx1"/>
                  </w14:solidFill>
                </w14:textFill>
              </w:rPr>
            </w:pPr>
            <w:r>
              <w:rPr>
                <w:rFonts w:hint="eastAsia" w:ascii="宋体" w:hAnsi="宋体"/>
                <w:color w:val="000000" w:themeColor="text1"/>
                <w:kern w:val="1"/>
                <w:sz w:val="24"/>
                <w14:textFill>
                  <w14:solidFill>
                    <w14:schemeClr w14:val="tx1"/>
                  </w14:solidFill>
                </w14:textFill>
              </w:rPr>
              <w:t>疫情防疫方案</w:t>
            </w:r>
          </w:p>
        </w:tc>
        <w:tc>
          <w:tcPr>
            <w:tcW w:w="402"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jc w:val="center"/>
              <w:rPr>
                <w:rFonts w:asciiTheme="minorEastAsia" w:hAnsiTheme="minorEastAsia" w:eastAsiaTheme="minorEastAsia"/>
                <w:color w:val="000000" w:themeColor="text1"/>
                <w:kern w:val="1"/>
                <w:sz w:val="24"/>
                <w14:textFill>
                  <w14:solidFill>
                    <w14:schemeClr w14:val="tx1"/>
                  </w14:solidFill>
                </w14:textFill>
              </w:rPr>
            </w:pPr>
            <w:r>
              <w:rPr>
                <w:rFonts w:hint="eastAsia" w:ascii="宋体" w:hAnsi="宋体"/>
                <w:color w:val="000000" w:themeColor="text1"/>
                <w:sz w:val="24"/>
                <w14:textFill>
                  <w14:solidFill>
                    <w14:schemeClr w14:val="tx1"/>
                  </w14:solidFill>
                </w14:textFill>
              </w:rPr>
              <w:t>5</w:t>
            </w:r>
          </w:p>
        </w:tc>
        <w:tc>
          <w:tcPr>
            <w:tcW w:w="3588" w:type="pct"/>
            <w:tcBorders>
              <w:top w:val="single" w:color="auto" w:sz="6" w:space="0"/>
              <w:left w:val="single" w:color="auto" w:sz="6" w:space="0"/>
              <w:bottom w:val="single" w:color="auto" w:sz="6" w:space="0"/>
              <w:right w:val="single" w:color="auto" w:sz="6" w:space="0"/>
            </w:tcBorders>
            <w:tcMar>
              <w:top w:w="100" w:type="dxa"/>
              <w:right w:w="100" w:type="dxa"/>
            </w:tcMar>
            <w:vAlign w:val="center"/>
          </w:tcPr>
          <w:p>
            <w:pPr>
              <w:widowControl/>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供应商所提供的防疫措施方案详细、完整合理、针对性高，符合采购人实际情况并完全满足服务要求，得</w:t>
            </w:r>
            <w:r>
              <w:rPr>
                <w:rFonts w:ascii="宋体" w:hAnsi="宋体"/>
                <w:color w:val="000000" w:themeColor="text1"/>
                <w:kern w:val="0"/>
                <w:sz w:val="24"/>
                <w14:textFill>
                  <w14:solidFill>
                    <w14:schemeClr w14:val="tx1"/>
                  </w14:solidFill>
                </w14:textFill>
              </w:rPr>
              <w:t>5</w:t>
            </w:r>
            <w:r>
              <w:rPr>
                <w:rFonts w:hint="eastAsia" w:ascii="宋体" w:hAnsi="宋体"/>
                <w:color w:val="000000" w:themeColor="text1"/>
                <w:kern w:val="0"/>
                <w:sz w:val="24"/>
                <w14:textFill>
                  <w14:solidFill>
                    <w14:schemeClr w14:val="tx1"/>
                  </w14:solidFill>
                </w14:textFill>
              </w:rPr>
              <w:t>分；</w:t>
            </w:r>
          </w:p>
          <w:p>
            <w:pPr>
              <w:widowControl/>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供应商所提供的防疫措施方案较完整、基本满足采购要求，得</w:t>
            </w:r>
            <w:r>
              <w:rPr>
                <w:rFonts w:ascii="宋体" w:hAnsi="宋体"/>
                <w:color w:val="000000" w:themeColor="text1"/>
                <w:kern w:val="0"/>
                <w:sz w:val="24"/>
                <w14:textFill>
                  <w14:solidFill>
                    <w14:schemeClr w14:val="tx1"/>
                  </w14:solidFill>
                </w14:textFill>
              </w:rPr>
              <w:t>3</w:t>
            </w:r>
            <w:r>
              <w:rPr>
                <w:rFonts w:hint="eastAsia" w:ascii="宋体" w:hAnsi="宋体"/>
                <w:color w:val="000000" w:themeColor="text1"/>
                <w:kern w:val="0"/>
                <w:sz w:val="24"/>
                <w14:textFill>
                  <w14:solidFill>
                    <w14:schemeClr w14:val="tx1"/>
                  </w14:solidFill>
                </w14:textFill>
              </w:rPr>
              <w:t>分；</w:t>
            </w:r>
          </w:p>
          <w:p>
            <w:pP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供应商所提供的防疫措施方案不完整，得</w:t>
            </w:r>
            <w:r>
              <w:rPr>
                <w:rFonts w:ascii="宋体" w:hAnsi="宋体"/>
                <w:color w:val="000000" w:themeColor="text1"/>
                <w:kern w:val="0"/>
                <w:sz w:val="24"/>
                <w14:textFill>
                  <w14:solidFill>
                    <w14:schemeClr w14:val="tx1"/>
                  </w14:solidFill>
                </w14:textFill>
              </w:rPr>
              <w:t>1</w:t>
            </w:r>
            <w:r>
              <w:rPr>
                <w:rFonts w:hint="eastAsia" w:ascii="宋体" w:hAnsi="宋体"/>
                <w:color w:val="000000" w:themeColor="text1"/>
                <w:kern w:val="0"/>
                <w:sz w:val="24"/>
                <w14:textFill>
                  <w14:solidFill>
                    <w14:schemeClr w14:val="tx1"/>
                  </w14:solidFill>
                </w14:textFill>
              </w:rPr>
              <w:t>分；</w:t>
            </w:r>
          </w:p>
          <w:p>
            <w:pPr>
              <w:rPr>
                <w:rFonts w:cs="仿宋" w:asciiTheme="minorEastAsia" w:hAnsiTheme="minorEastAsia" w:eastAsiaTheme="minorEastAsia"/>
                <w:color w:val="000000" w:themeColor="text1"/>
                <w:sz w:val="24"/>
                <w14:textFill>
                  <w14:solidFill>
                    <w14:schemeClr w14:val="tx1"/>
                  </w14:solidFill>
                </w14:textFill>
              </w:rPr>
            </w:pPr>
            <w:r>
              <w:rPr>
                <w:rFonts w:hint="eastAsia" w:ascii="宋体" w:hAnsi="宋体" w:cs="仿宋"/>
                <w:color w:val="000000" w:themeColor="text1"/>
                <w:sz w:val="24"/>
                <w:lang w:val="zh-CN"/>
                <w14:textFill>
                  <w14:solidFill>
                    <w14:schemeClr w14:val="tx1"/>
                  </w14:solidFill>
                </w14:textFill>
              </w:rPr>
              <w:t>未提供本项内容得0分。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3" w:hRule="atLeast"/>
          <w:jc w:val="center"/>
        </w:trPr>
        <w:tc>
          <w:tcPr>
            <w:tcW w:w="5000" w:type="pct"/>
            <w:gridSpan w:val="4"/>
            <w:tcBorders>
              <w:left w:val="single" w:color="auto" w:sz="6" w:space="0"/>
              <w:right w:val="single" w:color="auto" w:sz="6" w:space="0"/>
            </w:tcBorders>
          </w:tcPr>
          <w:p>
            <w:pPr>
              <w:autoSpaceDE w:val="0"/>
              <w:autoSpaceDN w:val="0"/>
              <w:rPr>
                <w:rFonts w:asciiTheme="minorEastAsia" w:hAnsiTheme="minorEastAsia" w:eastAsiaTheme="minorEastAsia"/>
                <w:color w:val="000000" w:themeColor="text1"/>
                <w:kern w:val="1"/>
                <w:sz w:val="24"/>
                <w14:textFill>
                  <w14:solidFill>
                    <w14:schemeClr w14:val="tx1"/>
                  </w14:solidFill>
                </w14:textFill>
              </w:rPr>
            </w:pPr>
            <w:r>
              <w:rPr>
                <w:rFonts w:hint="eastAsia" w:cs="仿宋" w:asciiTheme="minorEastAsia" w:hAnsiTheme="minorEastAsia" w:eastAsiaTheme="minorEastAsia"/>
                <w:color w:val="000000" w:themeColor="text1"/>
                <w:sz w:val="24"/>
                <w14:textFill>
                  <w14:solidFill>
                    <w14:schemeClr w14:val="tx1"/>
                  </w14:solidFill>
                </w14:textFill>
              </w:rPr>
              <w:t>合计（总分：100分）</w:t>
            </w:r>
          </w:p>
        </w:tc>
      </w:tr>
    </w:tbl>
    <w:p>
      <w:pPr>
        <w:snapToGrid w:val="0"/>
        <w:spacing w:line="360" w:lineRule="auto"/>
        <w:textAlignment w:val="baseline"/>
        <w:rPr>
          <w:rFonts w:ascii="宋体" w:hAnsi="宋体"/>
        </w:rPr>
      </w:pPr>
      <w:r>
        <w:rPr>
          <w:rFonts w:hint="eastAsia" w:ascii="宋体" w:hAnsi="宋体"/>
        </w:rPr>
        <w:t>注：(1)a.如投标人为小型、微型企业，对其所投货物为小型和微型企业产品的价格给予6%的扣除，用扣除后的价格参与评审； b.投标人应在投标分项报价表中明示具体哪项产品属于小型和微型企业产品，列明单价及小型和微型产品总价，并如实按照附件格式要求填写“中小企业声明函”，并对声明的真实性负责；c.对未在分项报价表中列明或未按招标文件要求填写“中小企业声明函”或分项报价表与“中小企业声明函”内容不一致的，在价格评审时不予考虑。</w:t>
      </w:r>
    </w:p>
    <w:p>
      <w:pPr>
        <w:snapToGrid w:val="0"/>
        <w:spacing w:line="360" w:lineRule="auto"/>
        <w:textAlignment w:val="baseline"/>
        <w:rPr>
          <w:rFonts w:ascii="宋体" w:hAnsi="宋体"/>
        </w:rPr>
      </w:pPr>
      <w:r>
        <w:rPr>
          <w:rFonts w:hint="eastAsia" w:ascii="宋体" w:hAnsi="宋体"/>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pPr>
        <w:snapToGrid w:val="0"/>
        <w:spacing w:line="360" w:lineRule="auto"/>
        <w:textAlignment w:val="baseline"/>
        <w:rPr>
          <w:rFonts w:ascii="宋体" w:hAnsi="宋体"/>
        </w:rPr>
      </w:pPr>
      <w:r>
        <w:rPr>
          <w:rFonts w:hint="eastAsia" w:ascii="宋体" w:hAnsi="宋体"/>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pPr>
        <w:snapToGrid w:val="0"/>
        <w:spacing w:line="360" w:lineRule="auto"/>
        <w:textAlignment w:val="baseline"/>
        <w:rPr>
          <w:rFonts w:ascii="宋体" w:hAnsi="宋体"/>
        </w:rPr>
      </w:pPr>
      <w:r>
        <w:rPr>
          <w:rFonts w:hint="eastAsia" w:ascii="宋体" w:hAnsi="宋体"/>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napToGrid w:val="0"/>
        <w:spacing w:line="360" w:lineRule="auto"/>
        <w:textAlignment w:val="baseline"/>
        <w:rPr>
          <w:rFonts w:ascii="宋体" w:hAnsi="宋体"/>
        </w:rPr>
      </w:pPr>
      <w:r>
        <w:rPr>
          <w:rFonts w:hint="eastAsia" w:ascii="宋体" w:hAnsi="宋体"/>
        </w:rPr>
        <w:t>一、如采购的产品属于强制采购的，投标人必须为投标产品出具由国家确定的认证机构出具的、处于有效期之内的认证证书，否则其投标将被视为无效投标。</w:t>
      </w:r>
    </w:p>
    <w:p>
      <w:pPr>
        <w:snapToGrid w:val="0"/>
        <w:spacing w:line="360" w:lineRule="auto"/>
        <w:textAlignment w:val="baseline"/>
        <w:rPr>
          <w:rFonts w:ascii="宋体" w:hAnsi="宋体"/>
        </w:rPr>
      </w:pPr>
      <w:r>
        <w:rPr>
          <w:rFonts w:hint="eastAsia" w:ascii="宋体" w:hAnsi="宋体"/>
        </w:rPr>
        <w:t>二、如采购的产品属于优先采购的，投标人可以为投标产品出具由国家确定的认证机构出具的、处于有效期之内的认证证书，在评审时作加分因素。</w:t>
      </w:r>
    </w:p>
    <w:p>
      <w:pPr>
        <w:snapToGrid w:val="0"/>
        <w:spacing w:line="360" w:lineRule="auto"/>
        <w:textAlignment w:val="baseline"/>
        <w:rPr>
          <w:rFonts w:ascii="宋体" w:hAnsi="宋体"/>
        </w:rPr>
      </w:pPr>
      <w:r>
        <w:rPr>
          <w:rFonts w:hint="eastAsia" w:ascii="宋体" w:hAnsi="宋体"/>
        </w:rPr>
        <w:t>三、节能产品政府采购品目清单及环境标志产品政府采购品目清单，投标人可在“中国政府采购网”相关栏目中查询。</w:t>
      </w:r>
    </w:p>
    <w:p>
      <w:pPr>
        <w:snapToGrid w:val="0"/>
        <w:spacing w:line="360" w:lineRule="auto"/>
        <w:textAlignment w:val="baseline"/>
        <w:rPr>
          <w:rFonts w:hAnsi="宋体"/>
          <w:bCs/>
          <w:kern w:val="44"/>
          <w:sz w:val="24"/>
          <w:lang w:val="zh-CN"/>
        </w:rPr>
        <w:sectPr>
          <w:footerReference r:id="rId9" w:type="default"/>
          <w:pgSz w:w="11907" w:h="16840"/>
          <w:pgMar w:top="1440" w:right="1080" w:bottom="1440" w:left="1080" w:header="851" w:footer="1117" w:gutter="0"/>
          <w:pgNumType w:start="1"/>
          <w:cols w:space="720" w:num="1"/>
          <w:titlePg/>
          <w:docGrid w:linePitch="312" w:charSpace="0"/>
        </w:sectPr>
      </w:pPr>
    </w:p>
    <w:p>
      <w:pPr>
        <w:pStyle w:val="3"/>
        <w:snapToGrid w:val="0"/>
        <w:spacing w:line="360" w:lineRule="auto"/>
        <w:textAlignment w:val="baseline"/>
        <w:rPr>
          <w:lang w:val="en-US"/>
        </w:rPr>
      </w:pPr>
      <w:bookmarkStart w:id="308" w:name="_Toc4467"/>
      <w:bookmarkStart w:id="309" w:name="_Toc39839383"/>
      <w:bookmarkStart w:id="310" w:name="_Toc22643"/>
      <w:r>
        <w:rPr>
          <w:rFonts w:hint="eastAsia"/>
        </w:rPr>
        <w:t>第</w:t>
      </w:r>
      <w:r>
        <w:rPr>
          <w:rFonts w:hint="eastAsia"/>
          <w:lang w:val="en-US"/>
        </w:rPr>
        <w:t>六</w:t>
      </w:r>
      <w:r>
        <w:rPr>
          <w:rFonts w:hint="eastAsia"/>
        </w:rPr>
        <w:t xml:space="preserve">章 </w:t>
      </w:r>
      <w:r>
        <w:rPr>
          <w:rFonts w:hint="eastAsia"/>
          <w:lang w:val="en-US"/>
        </w:rPr>
        <w:t xml:space="preserve"> 合同格式</w:t>
      </w:r>
      <w:bookmarkEnd w:id="308"/>
      <w:bookmarkEnd w:id="309"/>
      <w:bookmarkEnd w:id="310"/>
    </w:p>
    <w:p>
      <w:pPr>
        <w:snapToGrid w:val="0"/>
        <w:jc w:val="center"/>
        <w:textAlignment w:val="baseline"/>
        <w:rPr>
          <w:rFonts w:hAnsi="宋体"/>
          <w:b/>
          <w:sz w:val="24"/>
        </w:rPr>
      </w:pPr>
      <w:r>
        <w:rPr>
          <w:rFonts w:hAnsi="宋体"/>
          <w:b/>
          <w:sz w:val="24"/>
        </w:rPr>
        <w:t>采购合同格式</w:t>
      </w:r>
    </w:p>
    <w:p>
      <w:pPr>
        <w:snapToGrid w:val="0"/>
        <w:spacing w:line="360" w:lineRule="auto"/>
        <w:textAlignment w:val="baseline"/>
        <w:rPr>
          <w:rFonts w:ascii="宋体" w:hAnsi="宋体"/>
          <w:color w:val="000000"/>
          <w:sz w:val="24"/>
        </w:rPr>
      </w:pPr>
    </w:p>
    <w:p>
      <w:pPr>
        <w:pStyle w:val="5"/>
        <w:snapToGrid w:val="0"/>
        <w:spacing w:line="360" w:lineRule="auto"/>
        <w:ind w:firstLine="480"/>
        <w:jc w:val="center"/>
        <w:textAlignment w:val="baseline"/>
        <w:rPr>
          <w:rFonts w:hAnsi="宋体"/>
          <w:color w:val="000000"/>
        </w:rPr>
      </w:pPr>
      <w:r>
        <w:rPr>
          <w:rFonts w:hAnsi="宋体"/>
          <w:color w:val="000000"/>
        </w:rPr>
        <w:t xml:space="preserve"> (此为参考版本，以实际签订为准)</w:t>
      </w:r>
    </w:p>
    <w:p>
      <w:pPr>
        <w:snapToGrid w:val="0"/>
        <w:spacing w:line="360" w:lineRule="auto"/>
        <w:textAlignment w:val="baseline"/>
        <w:rPr>
          <w:rFonts w:ascii="宋体" w:hAnsi="宋体"/>
          <w:color w:val="000000"/>
          <w:sz w:val="24"/>
        </w:rPr>
      </w:pPr>
    </w:p>
    <w:p>
      <w:pPr>
        <w:snapToGrid w:val="0"/>
        <w:spacing w:line="360" w:lineRule="auto"/>
        <w:textAlignment w:val="baseline"/>
        <w:rPr>
          <w:rFonts w:ascii="宋体" w:hAnsi="宋体"/>
          <w:sz w:val="24"/>
        </w:rPr>
      </w:pPr>
      <w:bookmarkStart w:id="311" w:name="_Toc466997485"/>
      <w:r>
        <w:rPr>
          <w:rFonts w:hint="eastAsia" w:ascii="宋体" w:hAnsi="宋体"/>
          <w:sz w:val="24"/>
        </w:rPr>
        <w:t>合同编号：</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rPr>
      </w:pPr>
      <w:bookmarkStart w:id="312" w:name="_Hlt487972895"/>
      <w:bookmarkEnd w:id="312"/>
      <w:bookmarkStart w:id="313" w:name="_Toc487900382"/>
    </w:p>
    <w:p>
      <w:pPr>
        <w:snapToGrid w:val="0"/>
        <w:spacing w:line="360" w:lineRule="auto"/>
        <w:jc w:val="center"/>
        <w:textAlignment w:val="baseline"/>
        <w:rPr>
          <w:rFonts w:ascii="宋体" w:hAnsi="宋体"/>
          <w:b/>
          <w:sz w:val="24"/>
        </w:rPr>
      </w:pPr>
      <w:r>
        <w:rPr>
          <w:rFonts w:hint="eastAsia" w:ascii="宋体" w:hAnsi="宋体"/>
          <w:b/>
          <w:sz w:val="24"/>
        </w:rPr>
        <w:t>采购合同</w:t>
      </w:r>
      <w:bookmarkEnd w:id="313"/>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rPr>
      </w:pPr>
    </w:p>
    <w:p>
      <w:pPr>
        <w:snapToGrid w:val="0"/>
        <w:spacing w:before="120" w:line="360" w:lineRule="auto"/>
        <w:ind w:left="1440"/>
        <w:textAlignment w:val="baseline"/>
        <w:rPr>
          <w:rFonts w:ascii="宋体" w:hAnsi="宋体"/>
          <w:sz w:val="24"/>
        </w:rPr>
      </w:pPr>
      <w:r>
        <w:rPr>
          <w:rFonts w:hint="eastAsia" w:ascii="宋体" w:hAnsi="宋体"/>
          <w:sz w:val="24"/>
        </w:rPr>
        <w:t>项目名称：</w:t>
      </w:r>
    </w:p>
    <w:p>
      <w:pPr>
        <w:snapToGrid w:val="0"/>
        <w:spacing w:before="120" w:line="360" w:lineRule="auto"/>
        <w:textAlignment w:val="baseline"/>
        <w:rPr>
          <w:rFonts w:ascii="宋体" w:hAnsi="宋体"/>
          <w:sz w:val="24"/>
        </w:rPr>
      </w:pPr>
    </w:p>
    <w:p>
      <w:pPr>
        <w:snapToGrid w:val="0"/>
        <w:spacing w:before="120" w:line="360" w:lineRule="auto"/>
        <w:ind w:left="1440"/>
        <w:textAlignment w:val="baseline"/>
        <w:rPr>
          <w:rFonts w:ascii="宋体" w:hAnsi="宋体"/>
          <w:sz w:val="24"/>
          <w:u w:val="single"/>
        </w:rPr>
      </w:pPr>
      <w:r>
        <w:rPr>
          <w:rFonts w:hint="eastAsia" w:ascii="宋体" w:hAnsi="宋体"/>
          <w:sz w:val="24"/>
        </w:rPr>
        <w:t>货物名称：</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rPr>
      </w:pPr>
    </w:p>
    <w:p>
      <w:pPr>
        <w:snapToGrid w:val="0"/>
        <w:spacing w:before="120" w:line="360" w:lineRule="auto"/>
        <w:ind w:left="1440"/>
        <w:textAlignment w:val="baseline"/>
        <w:rPr>
          <w:rFonts w:ascii="宋体" w:hAnsi="宋体"/>
          <w:sz w:val="24"/>
        </w:rPr>
      </w:pPr>
      <w:r>
        <w:rPr>
          <w:rFonts w:hint="eastAsia" w:ascii="宋体" w:hAnsi="宋体"/>
          <w:sz w:val="24"/>
        </w:rPr>
        <w:t>买　　方：</w:t>
      </w:r>
    </w:p>
    <w:p>
      <w:pPr>
        <w:pStyle w:val="40"/>
        <w:snapToGrid w:val="0"/>
        <w:spacing w:before="120" w:line="360" w:lineRule="auto"/>
        <w:ind w:left="900" w:hanging="480"/>
        <w:textAlignment w:val="baseline"/>
        <w:rPr>
          <w:rFonts w:ascii="宋体" w:hAnsi="宋体"/>
          <w:sz w:val="24"/>
        </w:rPr>
      </w:pPr>
    </w:p>
    <w:p>
      <w:pPr>
        <w:snapToGrid w:val="0"/>
        <w:spacing w:before="120" w:line="360" w:lineRule="auto"/>
        <w:ind w:left="1440"/>
        <w:textAlignment w:val="baseline"/>
        <w:rPr>
          <w:rFonts w:ascii="宋体" w:hAnsi="宋体"/>
          <w:sz w:val="24"/>
          <w:u w:val="single"/>
        </w:rPr>
      </w:pPr>
      <w:r>
        <w:rPr>
          <w:rFonts w:hint="eastAsia" w:ascii="宋体" w:hAnsi="宋体"/>
          <w:sz w:val="24"/>
        </w:rPr>
        <w:t>卖　　方：</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rPr>
      </w:pPr>
    </w:p>
    <w:p>
      <w:pPr>
        <w:snapToGrid w:val="0"/>
        <w:spacing w:before="120" w:line="360" w:lineRule="auto"/>
        <w:ind w:left="1370" w:leftChars="685"/>
        <w:textAlignment w:val="baseline"/>
        <w:rPr>
          <w:rFonts w:ascii="宋体" w:hAnsi="宋体"/>
          <w:sz w:val="24"/>
          <w:u w:val="single"/>
        </w:rPr>
      </w:pPr>
      <w:r>
        <w:rPr>
          <w:rFonts w:hint="eastAsia" w:ascii="宋体" w:hAnsi="宋体"/>
          <w:sz w:val="24"/>
        </w:rPr>
        <w:t>签署日期：</w:t>
      </w:r>
    </w:p>
    <w:p>
      <w:pPr>
        <w:snapToGrid w:val="0"/>
        <w:spacing w:before="120" w:line="360" w:lineRule="auto"/>
        <w:textAlignment w:val="baseline"/>
        <w:rPr>
          <w:rFonts w:ascii="宋体" w:hAnsi="宋体"/>
          <w:sz w:val="24"/>
          <w:u w:val="single"/>
        </w:rPr>
      </w:pPr>
    </w:p>
    <w:p>
      <w:pPr>
        <w:snapToGrid w:val="0"/>
        <w:spacing w:before="120" w:line="360" w:lineRule="auto"/>
        <w:jc w:val="center"/>
        <w:textAlignment w:val="baseline"/>
        <w:rPr>
          <w:rFonts w:ascii="宋体" w:hAnsi="宋体"/>
          <w:b/>
          <w:sz w:val="24"/>
        </w:rPr>
      </w:pPr>
      <w:r>
        <w:rPr>
          <w:rFonts w:ascii="宋体" w:hAnsi="宋体"/>
          <w:sz w:val="24"/>
        </w:rPr>
        <w:br w:type="page"/>
      </w:r>
    </w:p>
    <w:p>
      <w:pPr>
        <w:snapToGrid w:val="0"/>
        <w:spacing w:before="120" w:line="360" w:lineRule="auto"/>
        <w:jc w:val="center"/>
        <w:textAlignment w:val="baseline"/>
        <w:rPr>
          <w:rFonts w:ascii="宋体" w:hAnsi="宋体"/>
          <w:b/>
          <w:sz w:val="24"/>
        </w:rPr>
      </w:pPr>
      <w:r>
        <w:rPr>
          <w:rFonts w:hint="eastAsia" w:ascii="宋体" w:hAnsi="宋体"/>
          <w:b/>
          <w:sz w:val="24"/>
        </w:rPr>
        <w:t>合　　　同　　　书</w:t>
      </w:r>
    </w:p>
    <w:p>
      <w:pPr>
        <w:snapToGrid w:val="0"/>
        <w:spacing w:before="120" w:line="360" w:lineRule="auto"/>
        <w:textAlignment w:val="baseline"/>
        <w:rPr>
          <w:rFonts w:ascii="宋体" w:hAnsi="宋体"/>
          <w:sz w:val="24"/>
        </w:rPr>
      </w:pPr>
    </w:p>
    <w:p>
      <w:pPr>
        <w:snapToGrid w:val="0"/>
        <w:spacing w:before="120" w:line="360" w:lineRule="auto"/>
        <w:ind w:firstLine="720"/>
        <w:textAlignment w:val="baseline"/>
        <w:rPr>
          <w:rFonts w:ascii="宋体" w:hAnsi="宋体"/>
          <w:sz w:val="24"/>
        </w:rPr>
      </w:pPr>
      <w:r>
        <w:rPr>
          <w:rFonts w:ascii="宋体" w:hAnsi="宋体"/>
          <w:sz w:val="24"/>
          <w:u w:val="single" w:color="000000"/>
        </w:rPr>
        <w:t xml:space="preserve">         　　　      </w:t>
      </w:r>
      <w:r>
        <w:rPr>
          <w:rFonts w:ascii="宋体" w:hAnsi="宋体"/>
          <w:sz w:val="24"/>
        </w:rPr>
        <w:t>(买方)</w:t>
      </w:r>
      <w:r>
        <w:rPr>
          <w:rFonts w:ascii="宋体" w:hAnsi="宋体"/>
          <w:sz w:val="24"/>
          <w:u w:val="single" w:color="000000"/>
        </w:rPr>
        <w:t xml:space="preserve">   　　　      　　　</w:t>
      </w:r>
      <w:r>
        <w:rPr>
          <w:rFonts w:ascii="宋体" w:hAnsi="宋体"/>
          <w:sz w:val="24"/>
        </w:rPr>
        <w:t>(项目名称)中所</w:t>
      </w:r>
    </w:p>
    <w:p>
      <w:pPr>
        <w:snapToGrid w:val="0"/>
        <w:spacing w:before="120" w:line="360" w:lineRule="auto"/>
        <w:textAlignment w:val="baseline"/>
        <w:rPr>
          <w:rFonts w:ascii="宋体" w:hAnsi="宋体"/>
          <w:sz w:val="24"/>
        </w:rPr>
      </w:pPr>
      <w:r>
        <w:rPr>
          <w:rFonts w:hint="eastAsia" w:ascii="宋体" w:hAnsi="宋体"/>
          <w:sz w:val="24"/>
        </w:rPr>
        <w:t>需</w:t>
      </w:r>
      <w:r>
        <w:rPr>
          <w:rFonts w:hint="eastAsia" w:ascii="宋体" w:hAnsi="宋体"/>
          <w:sz w:val="24"/>
          <w:u w:val="single" w:color="000000"/>
        </w:rPr>
        <w:t>　　　　　　　</w:t>
      </w:r>
      <w:r>
        <w:rPr>
          <w:rFonts w:ascii="宋体" w:hAnsi="宋体"/>
          <w:sz w:val="24"/>
        </w:rPr>
        <w:t>(</w:t>
      </w:r>
      <w:r>
        <w:rPr>
          <w:rFonts w:hint="eastAsia" w:ascii="宋体" w:hAnsi="宋体"/>
          <w:sz w:val="24"/>
        </w:rPr>
        <w:t>货物名称</w:t>
      </w:r>
      <w:r>
        <w:rPr>
          <w:rFonts w:ascii="宋体" w:hAnsi="宋体"/>
          <w:sz w:val="24"/>
        </w:rPr>
        <w:t>)经(采购代理机构)以</w:t>
      </w:r>
      <w:r>
        <w:rPr>
          <w:rFonts w:hint="eastAsia" w:ascii="宋体" w:hAnsi="宋体"/>
          <w:sz w:val="24"/>
          <w:u w:val="single" w:color="000000"/>
        </w:rPr>
        <w:t>　　　　　　　</w:t>
      </w:r>
      <w:r>
        <w:rPr>
          <w:rFonts w:hint="eastAsia" w:ascii="宋体" w:hAnsi="宋体"/>
          <w:sz w:val="24"/>
        </w:rPr>
        <w:t>号招标文件在国内</w:t>
      </w:r>
      <w:r>
        <w:rPr>
          <w:rFonts w:hint="eastAsia" w:ascii="宋体" w:hAnsi="宋体"/>
          <w:sz w:val="24"/>
          <w:u w:val="single" w:color="000000"/>
        </w:rPr>
        <w:t>　　　　</w:t>
      </w:r>
      <w:r>
        <w:rPr>
          <w:rFonts w:hint="eastAsia" w:ascii="宋体" w:hAnsi="宋体"/>
          <w:sz w:val="24"/>
        </w:rPr>
        <w:t>（公开</w:t>
      </w:r>
      <w:r>
        <w:rPr>
          <w:rFonts w:ascii="宋体" w:hAnsi="宋体"/>
          <w:sz w:val="24"/>
        </w:rPr>
        <w:t>/邀请）招标。经评标委员会评定</w:t>
      </w:r>
      <w:r>
        <w:rPr>
          <w:rFonts w:hint="eastAsia" w:ascii="宋体" w:hAnsi="宋体"/>
          <w:sz w:val="24"/>
          <w:u w:val="single" w:color="000000"/>
        </w:rPr>
        <w:t>　　　　　</w:t>
      </w:r>
      <w:r>
        <w:rPr>
          <w:rFonts w:ascii="宋体" w:hAnsi="宋体"/>
          <w:sz w:val="24"/>
        </w:rPr>
        <w:t>(卖方)为中标人。买、卖双方依据《中华人民共和国政府采购法》</w:t>
      </w:r>
      <w:r>
        <w:rPr>
          <w:rFonts w:hint="eastAsia" w:ascii="宋体" w:hAnsi="宋体"/>
          <w:sz w:val="24"/>
        </w:rPr>
        <w:t>等法律法规的有关规定，</w:t>
      </w:r>
      <w:r>
        <w:rPr>
          <w:rFonts w:ascii="宋体" w:hAnsi="宋体"/>
          <w:sz w:val="24"/>
        </w:rPr>
        <w:t>在平等自愿的基础上，同意按照下面的条款和条件，签署本合同。</w:t>
      </w:r>
    </w:p>
    <w:p>
      <w:pPr>
        <w:snapToGrid w:val="0"/>
        <w:spacing w:before="240" w:line="360" w:lineRule="auto"/>
        <w:textAlignment w:val="baseline"/>
        <w:rPr>
          <w:rFonts w:ascii="宋体" w:hAnsi="宋体"/>
          <w:b/>
          <w:sz w:val="24"/>
        </w:rPr>
      </w:pPr>
      <w:r>
        <w:rPr>
          <w:rFonts w:ascii="宋体" w:hAnsi="宋体"/>
          <w:b/>
          <w:sz w:val="24"/>
        </w:rPr>
        <w:t>1、合同文件</w:t>
      </w:r>
    </w:p>
    <w:p>
      <w:pPr>
        <w:snapToGrid w:val="0"/>
        <w:spacing w:before="120" w:line="360" w:lineRule="auto"/>
        <w:ind w:firstLine="720"/>
        <w:textAlignment w:val="baseline"/>
        <w:rPr>
          <w:rFonts w:ascii="宋体" w:hAnsi="宋体"/>
          <w:sz w:val="24"/>
        </w:rPr>
      </w:pPr>
      <w:r>
        <w:rPr>
          <w:rFonts w:hint="eastAsia" w:ascii="宋体" w:hAnsi="宋体"/>
          <w:sz w:val="24"/>
        </w:rPr>
        <w:t>下列文件构成本合同的组成部分，应该认为是一个整体，彼此相互解释，相互补充。为便于解释，组成合同的多个文件的优先支配地位的次序如下：</w:t>
      </w:r>
    </w:p>
    <w:p>
      <w:pPr>
        <w:snapToGrid w:val="0"/>
        <w:spacing w:before="120" w:line="360" w:lineRule="auto"/>
        <w:ind w:firstLine="540"/>
        <w:textAlignment w:val="baseline"/>
        <w:rPr>
          <w:rFonts w:ascii="宋体" w:hAnsi="宋体"/>
          <w:sz w:val="24"/>
        </w:rPr>
      </w:pPr>
      <w:r>
        <w:rPr>
          <w:rFonts w:ascii="宋体" w:hAnsi="宋体"/>
          <w:sz w:val="24"/>
        </w:rPr>
        <w:t>a.</w:t>
      </w:r>
      <w:r>
        <w:rPr>
          <w:rFonts w:ascii="宋体" w:hAnsi="宋体"/>
          <w:sz w:val="24"/>
        </w:rPr>
        <w:tab/>
      </w:r>
      <w:r>
        <w:rPr>
          <w:rFonts w:hint="eastAsia" w:ascii="宋体" w:hAnsi="宋体"/>
          <w:sz w:val="24"/>
        </w:rPr>
        <w:t>本合同书　</w:t>
      </w:r>
    </w:p>
    <w:p>
      <w:pPr>
        <w:snapToGrid w:val="0"/>
        <w:spacing w:before="120" w:line="360" w:lineRule="auto"/>
        <w:ind w:firstLine="540"/>
        <w:textAlignment w:val="baseline"/>
        <w:rPr>
          <w:rFonts w:ascii="宋体" w:hAnsi="宋体"/>
          <w:sz w:val="24"/>
        </w:rPr>
      </w:pPr>
      <w:r>
        <w:rPr>
          <w:rFonts w:ascii="宋体" w:hAnsi="宋体"/>
          <w:sz w:val="24"/>
        </w:rPr>
        <w:t>b.</w:t>
      </w:r>
      <w:r>
        <w:rPr>
          <w:rFonts w:ascii="宋体" w:hAnsi="宋体"/>
          <w:sz w:val="24"/>
        </w:rPr>
        <w:tab/>
      </w:r>
      <w:r>
        <w:rPr>
          <w:rFonts w:hint="eastAsia" w:ascii="宋体" w:hAnsi="宋体"/>
          <w:sz w:val="24"/>
        </w:rPr>
        <w:t>中标通知书</w:t>
      </w:r>
    </w:p>
    <w:p>
      <w:pPr>
        <w:snapToGrid w:val="0"/>
        <w:spacing w:before="120" w:line="360" w:lineRule="auto"/>
        <w:ind w:firstLine="540"/>
        <w:textAlignment w:val="baseline"/>
        <w:rPr>
          <w:rFonts w:ascii="宋体" w:hAnsi="宋体"/>
          <w:sz w:val="24"/>
        </w:rPr>
      </w:pPr>
      <w:r>
        <w:rPr>
          <w:rFonts w:ascii="宋体" w:hAnsi="宋体"/>
          <w:sz w:val="24"/>
        </w:rPr>
        <w:t>c.</w:t>
      </w:r>
      <w:r>
        <w:rPr>
          <w:rFonts w:ascii="宋体" w:hAnsi="宋体"/>
          <w:sz w:val="24"/>
        </w:rPr>
        <w:tab/>
      </w:r>
      <w:r>
        <w:rPr>
          <w:rFonts w:hint="eastAsia" w:ascii="宋体" w:hAnsi="宋体"/>
          <w:sz w:val="24"/>
        </w:rPr>
        <w:t>合同条款</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p>
    <w:p>
      <w:pPr>
        <w:snapToGrid w:val="0"/>
        <w:spacing w:before="120" w:line="360" w:lineRule="auto"/>
        <w:ind w:firstLine="540"/>
        <w:textAlignment w:val="baseline"/>
        <w:rPr>
          <w:rFonts w:ascii="宋体" w:hAnsi="宋体"/>
          <w:sz w:val="24"/>
        </w:rPr>
      </w:pPr>
      <w:r>
        <w:rPr>
          <w:rFonts w:ascii="宋体" w:hAnsi="宋体"/>
          <w:sz w:val="24"/>
        </w:rPr>
        <w:t>d.</w:t>
      </w:r>
      <w:r>
        <w:rPr>
          <w:rFonts w:ascii="宋体" w:hAnsi="宋体"/>
          <w:sz w:val="24"/>
        </w:rPr>
        <w:tab/>
      </w:r>
      <w:r>
        <w:rPr>
          <w:rFonts w:hint="eastAsia" w:ascii="宋体" w:hAnsi="宋体"/>
          <w:sz w:val="24"/>
        </w:rPr>
        <w:t>投标文件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(含澄清文件)</w:t>
      </w:r>
    </w:p>
    <w:p>
      <w:pPr>
        <w:snapToGrid w:val="0"/>
        <w:spacing w:before="120" w:line="360" w:lineRule="auto"/>
        <w:ind w:firstLine="540"/>
        <w:textAlignment w:val="baseline"/>
        <w:rPr>
          <w:rFonts w:ascii="宋体" w:hAnsi="宋体"/>
          <w:sz w:val="24"/>
        </w:rPr>
      </w:pPr>
      <w:r>
        <w:rPr>
          <w:rFonts w:ascii="宋体" w:hAnsi="宋体"/>
          <w:sz w:val="24"/>
        </w:rPr>
        <w:t>e.</w:t>
      </w:r>
      <w:r>
        <w:rPr>
          <w:rFonts w:ascii="宋体" w:hAnsi="宋体"/>
          <w:sz w:val="24"/>
        </w:rPr>
        <w:tab/>
      </w:r>
      <w:r>
        <w:rPr>
          <w:rFonts w:hint="eastAsia" w:ascii="宋体" w:hAnsi="宋体"/>
          <w:sz w:val="24"/>
        </w:rPr>
        <w:t>招标文件</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(含招标文件补充通知)</w:t>
      </w:r>
    </w:p>
    <w:p>
      <w:pPr>
        <w:snapToGrid w:val="0"/>
        <w:spacing w:before="240" w:line="360" w:lineRule="auto"/>
        <w:textAlignment w:val="baseline"/>
        <w:rPr>
          <w:rFonts w:ascii="宋体" w:hAnsi="宋体"/>
          <w:b/>
          <w:sz w:val="24"/>
        </w:rPr>
      </w:pPr>
      <w:r>
        <w:rPr>
          <w:rFonts w:ascii="宋体" w:hAnsi="宋体"/>
          <w:b/>
          <w:sz w:val="24"/>
        </w:rPr>
        <w:t>2、</w:t>
      </w:r>
      <w:r>
        <w:rPr>
          <w:rFonts w:hint="eastAsia" w:ascii="宋体" w:hAnsi="宋体"/>
          <w:b/>
          <w:sz w:val="24"/>
        </w:rPr>
        <w:t>货物和数量</w:t>
      </w:r>
    </w:p>
    <w:p>
      <w:pPr>
        <w:snapToGrid w:val="0"/>
        <w:spacing w:before="120" w:line="360" w:lineRule="auto"/>
        <w:ind w:firstLine="454"/>
        <w:textAlignment w:val="baseline"/>
        <w:rPr>
          <w:rFonts w:ascii="宋体" w:hAnsi="宋体"/>
          <w:sz w:val="24"/>
        </w:rPr>
      </w:pPr>
      <w:r>
        <w:rPr>
          <w:rFonts w:hint="eastAsia" w:ascii="宋体" w:hAnsi="宋体"/>
          <w:sz w:val="24"/>
        </w:rPr>
        <w:t>本合同货物：</w:t>
      </w:r>
      <w:r>
        <w:rPr>
          <w:rFonts w:hint="eastAsia" w:ascii="宋体" w:hAnsi="宋体"/>
          <w:sz w:val="24"/>
          <w:u w:val="single" w:color="000000"/>
        </w:rPr>
        <w:t>　　　　　　　　　　　　</w:t>
      </w:r>
    </w:p>
    <w:p>
      <w:pPr>
        <w:snapToGrid w:val="0"/>
        <w:spacing w:before="120" w:line="360" w:lineRule="auto"/>
        <w:ind w:firstLine="454"/>
        <w:textAlignment w:val="baseline"/>
        <w:rPr>
          <w:rFonts w:ascii="宋体" w:hAnsi="宋体"/>
          <w:sz w:val="24"/>
        </w:rPr>
      </w:pPr>
      <w:r>
        <w:rPr>
          <w:rFonts w:hint="eastAsia" w:ascii="宋体" w:hAnsi="宋体"/>
          <w:sz w:val="24"/>
        </w:rPr>
        <w:t>数量：</w:t>
      </w:r>
      <w:r>
        <w:rPr>
          <w:rFonts w:hint="eastAsia" w:ascii="宋体" w:hAnsi="宋体"/>
          <w:sz w:val="24"/>
          <w:u w:val="single" w:color="000000"/>
        </w:rPr>
        <w:t>　　　　　　　　　　　　　　　</w:t>
      </w:r>
    </w:p>
    <w:p>
      <w:pPr>
        <w:snapToGrid w:val="0"/>
        <w:spacing w:before="240" w:line="360" w:lineRule="auto"/>
        <w:textAlignment w:val="baseline"/>
        <w:rPr>
          <w:rFonts w:ascii="宋体" w:hAnsi="宋体"/>
          <w:b/>
          <w:sz w:val="24"/>
        </w:rPr>
      </w:pPr>
      <w:r>
        <w:rPr>
          <w:rFonts w:ascii="宋体" w:hAnsi="宋体"/>
          <w:b/>
          <w:sz w:val="24"/>
        </w:rPr>
        <w:t>3、合同总价</w:t>
      </w:r>
    </w:p>
    <w:p>
      <w:pPr>
        <w:snapToGrid w:val="0"/>
        <w:spacing w:before="120" w:line="360" w:lineRule="auto"/>
        <w:ind w:firstLine="454"/>
        <w:textAlignment w:val="baseline"/>
        <w:rPr>
          <w:rFonts w:ascii="宋体" w:hAnsi="宋体"/>
          <w:sz w:val="24"/>
        </w:rPr>
      </w:pPr>
      <w:r>
        <w:rPr>
          <w:rFonts w:hint="eastAsia" w:ascii="宋体" w:hAnsi="宋体"/>
          <w:sz w:val="24"/>
        </w:rPr>
        <w:t>本合同总价为</w:t>
      </w:r>
      <w:r>
        <w:rPr>
          <w:rFonts w:ascii="宋体" w:hAnsi="宋体"/>
          <w:sz w:val="24"/>
          <w:u w:val="single" w:color="000000"/>
        </w:rPr>
        <w:t xml:space="preserve">    　　   </w:t>
      </w:r>
      <w:r>
        <w:rPr>
          <w:rFonts w:hint="eastAsia" w:ascii="宋体" w:hAnsi="宋体"/>
          <w:sz w:val="24"/>
        </w:rPr>
        <w:t>元人民币。</w:t>
      </w:r>
    </w:p>
    <w:p>
      <w:pPr>
        <w:snapToGrid w:val="0"/>
        <w:spacing w:before="120" w:line="360" w:lineRule="auto"/>
        <w:ind w:firstLine="454"/>
        <w:textAlignment w:val="baseline"/>
        <w:rPr>
          <w:rFonts w:ascii="宋体" w:hAnsi="宋体"/>
          <w:sz w:val="24"/>
          <w:u w:val="single"/>
        </w:rPr>
      </w:pPr>
      <w:r>
        <w:rPr>
          <w:rFonts w:hint="eastAsia" w:ascii="宋体" w:hAnsi="宋体"/>
          <w:sz w:val="24"/>
        </w:rPr>
        <w:t>分项价格：</w:t>
      </w:r>
      <w:r>
        <w:rPr>
          <w:rFonts w:hint="eastAsia" w:ascii="宋体" w:hAnsi="宋体"/>
          <w:sz w:val="24"/>
          <w:u w:val="single" w:color="000000"/>
        </w:rPr>
        <w:t>　　　　　　　　　　　　</w:t>
      </w:r>
    </w:p>
    <w:p>
      <w:pPr>
        <w:snapToGrid w:val="0"/>
        <w:spacing w:before="240" w:line="360" w:lineRule="auto"/>
        <w:textAlignment w:val="baseline"/>
        <w:rPr>
          <w:rFonts w:ascii="宋体" w:hAnsi="宋体"/>
          <w:b/>
          <w:sz w:val="24"/>
        </w:rPr>
      </w:pPr>
      <w:r>
        <w:rPr>
          <w:rFonts w:ascii="宋体" w:hAnsi="宋体"/>
          <w:b/>
          <w:sz w:val="24"/>
        </w:rPr>
        <w:t>4、付款方式</w:t>
      </w:r>
    </w:p>
    <w:p>
      <w:pPr>
        <w:snapToGrid w:val="0"/>
        <w:spacing w:before="120" w:line="360" w:lineRule="auto"/>
        <w:ind w:firstLine="480"/>
        <w:textAlignment w:val="baseline"/>
        <w:rPr>
          <w:rFonts w:ascii="宋体" w:hAnsi="宋体"/>
          <w:sz w:val="24"/>
        </w:rPr>
      </w:pPr>
      <w:r>
        <w:rPr>
          <w:rFonts w:hint="eastAsia" w:ascii="宋体" w:hAnsi="宋体"/>
          <w:sz w:val="24"/>
        </w:rPr>
        <w:t>本合同的付款方式为：</w:t>
      </w:r>
      <w:r>
        <w:rPr>
          <w:rFonts w:hint="eastAsia" w:ascii="宋体" w:hAnsi="宋体"/>
          <w:sz w:val="24"/>
          <w:u w:val="single" w:color="000000"/>
        </w:rPr>
        <w:t>　　　　　　　　　　　　　　　</w:t>
      </w:r>
    </w:p>
    <w:p>
      <w:pPr>
        <w:snapToGrid w:val="0"/>
        <w:spacing w:before="240" w:line="360" w:lineRule="auto"/>
        <w:textAlignment w:val="baseline"/>
        <w:rPr>
          <w:rFonts w:ascii="宋体" w:hAnsi="宋体"/>
          <w:b/>
          <w:sz w:val="24"/>
        </w:rPr>
      </w:pPr>
      <w:r>
        <w:rPr>
          <w:rFonts w:ascii="宋体" w:hAnsi="宋体"/>
          <w:b/>
          <w:sz w:val="24"/>
        </w:rPr>
        <w:t>5</w:t>
      </w:r>
      <w:r>
        <w:rPr>
          <w:rFonts w:hint="eastAsia" w:ascii="宋体" w:hAnsi="宋体"/>
          <w:b/>
          <w:sz w:val="24"/>
        </w:rPr>
        <w:t>、本合同货物的交货时间及交货地点</w:t>
      </w:r>
    </w:p>
    <w:p>
      <w:pPr>
        <w:snapToGrid w:val="0"/>
        <w:spacing w:before="120" w:line="360" w:lineRule="auto"/>
        <w:ind w:firstLine="480"/>
        <w:textAlignment w:val="baseline"/>
        <w:rPr>
          <w:rFonts w:ascii="宋体" w:hAnsi="宋体"/>
          <w:sz w:val="24"/>
        </w:rPr>
      </w:pPr>
      <w:r>
        <w:rPr>
          <w:rFonts w:hint="eastAsia" w:ascii="宋体" w:hAnsi="宋体"/>
          <w:sz w:val="24"/>
        </w:rPr>
        <w:t>交货时间：</w:t>
      </w:r>
      <w:r>
        <w:rPr>
          <w:rFonts w:hint="eastAsia" w:ascii="宋体" w:hAnsi="宋体"/>
          <w:sz w:val="24"/>
          <w:u w:val="single" w:color="000000"/>
        </w:rPr>
        <w:t>　　　　　　　　　　　　　　　　</w:t>
      </w:r>
    </w:p>
    <w:p>
      <w:pPr>
        <w:snapToGrid w:val="0"/>
        <w:spacing w:before="120" w:line="360" w:lineRule="auto"/>
        <w:ind w:firstLine="480"/>
        <w:textAlignment w:val="baseline"/>
        <w:rPr>
          <w:rFonts w:ascii="宋体" w:hAnsi="宋体"/>
          <w:sz w:val="24"/>
        </w:rPr>
      </w:pPr>
      <w:r>
        <w:rPr>
          <w:rFonts w:hint="eastAsia" w:ascii="宋体" w:hAnsi="宋体"/>
          <w:sz w:val="24"/>
        </w:rPr>
        <w:t>交货地点：</w:t>
      </w:r>
      <w:r>
        <w:rPr>
          <w:rFonts w:hint="eastAsia" w:ascii="宋体" w:hAnsi="宋体"/>
          <w:sz w:val="24"/>
          <w:u w:val="single" w:color="000000"/>
        </w:rPr>
        <w:t>　　　　　　　　　　　　　　　　</w:t>
      </w:r>
    </w:p>
    <w:p>
      <w:pPr>
        <w:snapToGrid w:val="0"/>
        <w:spacing w:before="240" w:line="360" w:lineRule="auto"/>
        <w:textAlignment w:val="baseline"/>
        <w:rPr>
          <w:rFonts w:ascii="宋体" w:hAnsi="宋体"/>
          <w:b/>
          <w:sz w:val="24"/>
        </w:rPr>
      </w:pPr>
      <w:r>
        <w:rPr>
          <w:rFonts w:ascii="宋体" w:hAnsi="宋体"/>
          <w:b/>
          <w:sz w:val="24"/>
        </w:rPr>
        <w:t>6、合同的生效。</w:t>
      </w:r>
    </w:p>
    <w:p>
      <w:pPr>
        <w:snapToGrid w:val="0"/>
        <w:spacing w:before="120" w:line="360" w:lineRule="auto"/>
        <w:ind w:firstLine="454"/>
        <w:textAlignment w:val="baseline"/>
        <w:rPr>
          <w:rFonts w:ascii="宋体" w:hAnsi="宋体"/>
          <w:sz w:val="24"/>
        </w:rPr>
      </w:pPr>
      <w:r>
        <w:rPr>
          <w:rFonts w:hint="eastAsia" w:ascii="宋体" w:hAnsi="宋体"/>
          <w:sz w:val="24"/>
        </w:rPr>
        <w:t>本合同经双方全权代表签署、加盖单位印章生效。</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u w:val="single"/>
        </w:rPr>
      </w:pPr>
      <w:r>
        <w:rPr>
          <w:rFonts w:hint="eastAsia" w:ascii="宋体" w:hAnsi="宋体"/>
          <w:sz w:val="24"/>
        </w:rPr>
        <w:t>　　买　方：</w:t>
      </w:r>
      <w:r>
        <w:rPr>
          <w:rFonts w:ascii="宋体" w:hAnsi="宋体"/>
          <w:sz w:val="24"/>
        </w:rPr>
        <w:tab/>
      </w:r>
      <w:r>
        <w:rPr>
          <w:rFonts w:ascii="宋体" w:hAnsi="宋体"/>
          <w:sz w:val="24"/>
        </w:rPr>
        <w:tab/>
      </w:r>
      <w:r>
        <w:rPr>
          <w:rFonts w:ascii="宋体" w:hAnsi="宋体"/>
          <w:sz w:val="24"/>
        </w:rPr>
        <w:tab/>
      </w:r>
      <w:r>
        <w:rPr>
          <w:rFonts w:hint="eastAsia" w:ascii="宋体" w:hAnsi="宋体"/>
          <w:sz w:val="24"/>
        </w:rPr>
        <w:t>卖　方：</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rPr>
      </w:pPr>
      <w:r>
        <w:rPr>
          <w:rFonts w:hint="eastAsia" w:ascii="宋体" w:hAnsi="宋体"/>
          <w:sz w:val="24"/>
        </w:rPr>
        <w:t>　　名　称：</w:t>
      </w:r>
      <w:r>
        <w:rPr>
          <w:rFonts w:ascii="宋体" w:hAnsi="宋体"/>
          <w:sz w:val="24"/>
        </w:rPr>
        <w:t>(印章)　　　　　　　　　名　称：(印章)</w:t>
      </w:r>
    </w:p>
    <w:p>
      <w:pPr>
        <w:snapToGrid w:val="0"/>
        <w:spacing w:before="120" w:line="360" w:lineRule="auto"/>
        <w:textAlignment w:val="baseline"/>
        <w:rPr>
          <w:rFonts w:ascii="宋体" w:hAnsi="宋体"/>
          <w:sz w:val="24"/>
        </w:rPr>
      </w:pPr>
    </w:p>
    <w:p>
      <w:pPr>
        <w:snapToGrid w:val="0"/>
        <w:spacing w:before="120" w:line="360" w:lineRule="auto"/>
        <w:ind w:firstLine="480" w:firstLineChars="200"/>
        <w:textAlignment w:val="baseline"/>
        <w:rPr>
          <w:rFonts w:ascii="宋体" w:hAnsi="宋体"/>
          <w:sz w:val="24"/>
        </w:rPr>
      </w:pPr>
      <w:r>
        <w:rPr>
          <w:rFonts w:hint="eastAsia" w:ascii="宋体" w:hAnsi="宋体"/>
          <w:sz w:val="24"/>
        </w:rPr>
        <w:t>年　月　日　　　　　　　　　　　年　月　日</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u w:val="single"/>
        </w:rPr>
      </w:pPr>
      <w:r>
        <w:rPr>
          <w:rFonts w:hint="eastAsia" w:ascii="宋体" w:hAnsi="宋体"/>
          <w:sz w:val="24"/>
        </w:rPr>
        <w:t>　　授权代表</w:t>
      </w:r>
      <w:r>
        <w:rPr>
          <w:rFonts w:ascii="宋体" w:hAnsi="宋体"/>
          <w:sz w:val="24"/>
        </w:rPr>
        <w:t>(签字)：</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授权代表</w:t>
      </w:r>
      <w:r>
        <w:rPr>
          <w:rFonts w:ascii="宋体" w:hAnsi="宋体"/>
          <w:sz w:val="24"/>
        </w:rPr>
        <w:t>(签字)：</w:t>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u w:val="single"/>
        </w:rPr>
      </w:pPr>
      <w:r>
        <w:rPr>
          <w:rFonts w:hint="eastAsia" w:ascii="宋体" w:hAnsi="宋体"/>
          <w:sz w:val="24"/>
        </w:rPr>
        <w:t>　　地　　址：</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地　　址：</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u w:val="single"/>
        </w:rPr>
      </w:pPr>
      <w:r>
        <w:rPr>
          <w:rFonts w:hint="eastAsia" w:ascii="宋体" w:hAnsi="宋体"/>
          <w:sz w:val="24"/>
        </w:rPr>
        <w:t>　　邮政编码：</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邮政编码：</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rPr>
      </w:pPr>
    </w:p>
    <w:p>
      <w:pPr>
        <w:snapToGrid w:val="0"/>
        <w:spacing w:before="120" w:line="360" w:lineRule="auto"/>
        <w:textAlignment w:val="baseline"/>
        <w:rPr>
          <w:rFonts w:ascii="宋体" w:hAnsi="宋体"/>
          <w:sz w:val="24"/>
          <w:u w:val="single"/>
        </w:rPr>
      </w:pPr>
      <w:r>
        <w:rPr>
          <w:rFonts w:hint="eastAsia" w:ascii="宋体" w:hAnsi="宋体"/>
          <w:sz w:val="24"/>
        </w:rPr>
        <w:t>　　电　　话：</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电　　话：</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rPr>
      </w:pPr>
      <w:r>
        <w:rPr>
          <w:rFonts w:hint="eastAsia" w:ascii="宋体" w:hAnsi="宋体"/>
          <w:sz w:val="24"/>
        </w:rPr>
        <w:t>纳税人识别号：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hint="eastAsia" w:ascii="宋体" w:hAnsi="宋体"/>
          <w:sz w:val="24"/>
        </w:rPr>
        <w:t>纳税人识别号：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u w:val="single"/>
        </w:rPr>
      </w:pPr>
      <w:r>
        <w:rPr>
          <w:rFonts w:hint="eastAsia" w:ascii="宋体" w:hAnsi="宋体"/>
          <w:sz w:val="24"/>
        </w:rPr>
        <w:t>　　开户银行：</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开户银行：</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ind w:firstLine="480" w:firstLineChars="200"/>
        <w:textAlignment w:val="baseline"/>
        <w:rPr>
          <w:rFonts w:ascii="宋体" w:hAnsi="宋体"/>
          <w:sz w:val="24"/>
        </w:rPr>
      </w:pPr>
      <w:r>
        <w:rPr>
          <w:rFonts w:hint="eastAsia" w:ascii="宋体" w:hAnsi="宋体"/>
          <w:sz w:val="24"/>
        </w:rPr>
        <w:t>联行号：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hint="eastAsia" w:ascii="宋体" w:hAnsi="宋体"/>
          <w:sz w:val="24"/>
        </w:rPr>
        <w:t>联行号：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rPr>
      </w:pPr>
      <w:r>
        <w:rPr>
          <w:rFonts w:hint="eastAsia" w:ascii="宋体" w:hAnsi="宋体"/>
          <w:sz w:val="24"/>
        </w:rPr>
        <w:t>　　帐　　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帐　　号：</w:t>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r>
        <w:rPr>
          <w:rFonts w:ascii="宋体" w:hAnsi="宋体"/>
          <w:sz w:val="24"/>
          <w:u w:val="single" w:color="000000"/>
        </w:rPr>
        <w:tab/>
      </w:r>
    </w:p>
    <w:p>
      <w:pPr>
        <w:snapToGrid w:val="0"/>
        <w:spacing w:before="120" w:line="360" w:lineRule="auto"/>
        <w:textAlignment w:val="baseline"/>
        <w:rPr>
          <w:rFonts w:ascii="宋体" w:hAnsi="宋体"/>
          <w:sz w:val="24"/>
        </w:rPr>
        <w:sectPr>
          <w:footerReference r:id="rId11" w:type="first"/>
          <w:footerReference r:id="rId10" w:type="even"/>
          <w:pgSz w:w="11907" w:h="16840"/>
          <w:pgMar w:top="1400" w:right="1418" w:bottom="1089" w:left="1418" w:header="851" w:footer="794" w:gutter="0"/>
          <w:cols w:space="720" w:num="1"/>
          <w:titlePg/>
          <w:docGrid w:linePitch="312" w:charSpace="0"/>
        </w:sectPr>
      </w:pPr>
    </w:p>
    <w:p>
      <w:pPr>
        <w:pStyle w:val="3"/>
        <w:snapToGrid w:val="0"/>
        <w:spacing w:line="360" w:lineRule="auto"/>
        <w:textAlignment w:val="baseline"/>
        <w:rPr>
          <w:rFonts w:ascii="宋体" w:hAnsi="宋体"/>
          <w:sz w:val="24"/>
          <w:szCs w:val="24"/>
        </w:rPr>
      </w:pPr>
      <w:bookmarkStart w:id="314" w:name="_Toc16497"/>
      <w:bookmarkStart w:id="315" w:name="_Toc60313290"/>
      <w:bookmarkStart w:id="316" w:name="_Toc75519533"/>
      <w:r>
        <w:rPr>
          <w:rFonts w:hint="eastAsia" w:ascii="宋体" w:hAnsi="宋体"/>
          <w:sz w:val="24"/>
          <w:szCs w:val="24"/>
        </w:rPr>
        <w:t>合同一般条款</w:t>
      </w:r>
      <w:bookmarkEnd w:id="314"/>
      <w:bookmarkEnd w:id="315"/>
      <w:bookmarkEnd w:id="316"/>
    </w:p>
    <w:p>
      <w:pPr>
        <w:pStyle w:val="6"/>
        <w:snapToGrid w:val="0"/>
        <w:textAlignment w:val="baseline"/>
        <w:rPr>
          <w:rFonts w:hint="default"/>
        </w:rPr>
      </w:pPr>
      <w:bookmarkStart w:id="317" w:name="_Toc4072"/>
      <w:bookmarkStart w:id="318" w:name="_Toc163893420"/>
      <w:bookmarkStart w:id="319" w:name="_Toc3980"/>
      <w:bookmarkStart w:id="320" w:name="_Toc75519534"/>
      <w:bookmarkStart w:id="321" w:name="_Toc60313291"/>
      <w:bookmarkStart w:id="322" w:name="_Ref467379094"/>
      <w:bookmarkStart w:id="323" w:name="_Ref467378404"/>
      <w:bookmarkStart w:id="324" w:name="_Ref467379205"/>
      <w:bookmarkStart w:id="325" w:name="_Ref467378499"/>
      <w:bookmarkStart w:id="326" w:name="_Ref467378463"/>
      <w:bookmarkStart w:id="327" w:name="_Toc487900349"/>
      <w:bookmarkStart w:id="328" w:name="_Ref467379195"/>
      <w:bookmarkStart w:id="329" w:name="_Toc310195732"/>
      <w:bookmarkStart w:id="330" w:name="_Ref467379109"/>
      <w:bookmarkStart w:id="331" w:name="_Ref467379214"/>
      <w:bookmarkStart w:id="332" w:name="_Ref467379225"/>
      <w:bookmarkStart w:id="333" w:name="_Ref467379101"/>
      <w:r>
        <w:t>1 定义</w:t>
      </w:r>
      <w:bookmarkEnd w:id="317"/>
      <w:bookmarkEnd w:id="318"/>
      <w:bookmarkEnd w:id="319"/>
      <w:bookmarkEnd w:id="320"/>
      <w:bookmarkEnd w:id="321"/>
    </w:p>
    <w:p>
      <w:pPr>
        <w:tabs>
          <w:tab w:val="left" w:pos="900"/>
        </w:tabs>
        <w:snapToGrid w:val="0"/>
        <w:spacing w:line="360" w:lineRule="auto"/>
        <w:ind w:left="900"/>
        <w:textAlignment w:val="baseline"/>
        <w:rPr>
          <w:rFonts w:ascii="宋体" w:hAnsi="宋体"/>
          <w:sz w:val="24"/>
        </w:rPr>
      </w:pPr>
      <w:r>
        <w:rPr>
          <w:rFonts w:hint="eastAsia" w:ascii="宋体" w:hAnsi="宋体"/>
          <w:sz w:val="24"/>
        </w:rPr>
        <w:t>本合同中的下列术语应解释为：</w:t>
      </w:r>
    </w:p>
    <w:p>
      <w:pPr>
        <w:pStyle w:val="32"/>
        <w:snapToGrid w:val="0"/>
        <w:spacing w:line="360" w:lineRule="auto"/>
        <w:ind w:left="719" w:leftChars="1" w:hanging="717" w:hangingChars="299"/>
        <w:textAlignment w:val="baseline"/>
        <w:rPr>
          <w:rFonts w:ascii="宋体" w:hAnsi="宋体"/>
        </w:rPr>
      </w:pPr>
      <w:r>
        <w:rPr>
          <w:rFonts w:hint="eastAsia" w:ascii="宋体" w:hAnsi="宋体"/>
        </w:rPr>
        <w:t xml:space="preserve">1.1   </w:t>
      </w:r>
      <w:r>
        <w:rPr>
          <w:rFonts w:ascii="宋体" w:hAnsi="宋体"/>
        </w:rPr>
        <w:t>“</w:t>
      </w:r>
      <w:r>
        <w:rPr>
          <w:rFonts w:hint="eastAsia" w:ascii="宋体" w:hAnsi="宋体"/>
        </w:rPr>
        <w:t>合同”系指买卖双方签署的、合同格式中载明的买卖双方所达成的协议，包括所有的附件、附录和构成合同的其它文件。</w:t>
      </w:r>
    </w:p>
    <w:p>
      <w:pPr>
        <w:snapToGrid w:val="0"/>
        <w:spacing w:before="120" w:line="360" w:lineRule="auto"/>
        <w:ind w:left="960" w:hanging="960"/>
        <w:textAlignment w:val="baseline"/>
        <w:rPr>
          <w:rFonts w:ascii="宋体" w:hAnsi="宋体"/>
          <w:sz w:val="24"/>
        </w:rPr>
      </w:pPr>
      <w:r>
        <w:rPr>
          <w:rFonts w:hint="eastAsia" w:ascii="宋体" w:hAnsi="宋体"/>
          <w:sz w:val="24"/>
        </w:rPr>
        <w:t xml:space="preserve">1.2   </w:t>
      </w:r>
      <w:r>
        <w:rPr>
          <w:rFonts w:ascii="宋体" w:hAnsi="宋体"/>
          <w:sz w:val="24"/>
        </w:rPr>
        <w:t>“</w:t>
      </w:r>
      <w:r>
        <w:rPr>
          <w:rFonts w:hint="eastAsia" w:ascii="宋体" w:hAnsi="宋体"/>
          <w:sz w:val="24"/>
        </w:rPr>
        <w:t>合同价”系指根据合同约定，卖方在完全履行合同义务后买方应付给卖方的价格。</w:t>
      </w:r>
    </w:p>
    <w:p>
      <w:pPr>
        <w:snapToGrid w:val="0"/>
        <w:spacing w:before="120" w:line="360" w:lineRule="auto"/>
        <w:ind w:left="960" w:hanging="960"/>
        <w:textAlignment w:val="baseline"/>
        <w:rPr>
          <w:rFonts w:ascii="宋体" w:hAnsi="宋体"/>
          <w:sz w:val="24"/>
        </w:rPr>
      </w:pPr>
      <w:r>
        <w:rPr>
          <w:rFonts w:hint="eastAsia" w:ascii="宋体" w:hAnsi="宋体"/>
          <w:sz w:val="24"/>
        </w:rPr>
        <w:t>1.3   “货物”系指卖方根据合同约定须向买方提供的一切设备、机械、仪表、备件，包括工具、手册等其它相关资料。</w:t>
      </w:r>
    </w:p>
    <w:p>
      <w:pPr>
        <w:snapToGrid w:val="0"/>
        <w:spacing w:before="120" w:line="360" w:lineRule="auto"/>
        <w:ind w:left="960" w:hanging="960"/>
        <w:textAlignment w:val="baseline"/>
        <w:rPr>
          <w:rFonts w:ascii="宋体" w:hAnsi="宋体"/>
          <w:sz w:val="24"/>
        </w:rPr>
      </w:pPr>
      <w:r>
        <w:rPr>
          <w:rFonts w:hint="eastAsia" w:ascii="宋体" w:hAnsi="宋体"/>
          <w:sz w:val="24"/>
        </w:rPr>
        <w:t xml:space="preserve">1.4   </w:t>
      </w:r>
      <w:r>
        <w:rPr>
          <w:rFonts w:ascii="宋体" w:hAnsi="宋体"/>
          <w:sz w:val="24"/>
        </w:rPr>
        <w:t>“</w:t>
      </w:r>
      <w:r>
        <w:rPr>
          <w:rFonts w:hint="eastAsia" w:ascii="宋体" w:hAnsi="宋体"/>
          <w:sz w:val="24"/>
        </w:rPr>
        <w:t>服务”系指根据合同约定卖方承担与供货有关的辅助服务，如运输、保险及安装、调试、提供技术援助、培训和其他类似的服务。</w:t>
      </w:r>
    </w:p>
    <w:p>
      <w:pPr>
        <w:snapToGrid w:val="0"/>
        <w:spacing w:before="120" w:line="360" w:lineRule="auto"/>
        <w:textAlignment w:val="baseline"/>
        <w:rPr>
          <w:rFonts w:ascii="宋体" w:hAnsi="宋体"/>
          <w:sz w:val="24"/>
        </w:rPr>
      </w:pPr>
      <w:r>
        <w:rPr>
          <w:rFonts w:hint="eastAsia" w:ascii="宋体" w:hAnsi="宋体"/>
          <w:sz w:val="24"/>
        </w:rPr>
        <w:t xml:space="preserve">1.5   </w:t>
      </w:r>
      <w:r>
        <w:rPr>
          <w:rFonts w:ascii="宋体" w:hAnsi="宋体"/>
          <w:sz w:val="24"/>
        </w:rPr>
        <w:t>“</w:t>
      </w:r>
      <w:r>
        <w:rPr>
          <w:rFonts w:hint="eastAsia" w:ascii="宋体" w:hAnsi="宋体"/>
          <w:sz w:val="24"/>
        </w:rPr>
        <w:t>买方”系指与中标人签署供货合同的单位（含最终用户）。</w:t>
      </w:r>
    </w:p>
    <w:p>
      <w:pPr>
        <w:snapToGrid w:val="0"/>
        <w:spacing w:before="120" w:line="360" w:lineRule="auto"/>
        <w:ind w:left="960" w:hanging="960"/>
        <w:textAlignment w:val="baseline"/>
        <w:rPr>
          <w:rFonts w:ascii="宋体" w:hAnsi="宋体"/>
          <w:sz w:val="24"/>
        </w:rPr>
      </w:pPr>
      <w:r>
        <w:rPr>
          <w:rFonts w:hint="eastAsia" w:ascii="宋体" w:hAnsi="宋体"/>
          <w:sz w:val="24"/>
        </w:rPr>
        <w:t xml:space="preserve">1.6   </w:t>
      </w:r>
      <w:r>
        <w:rPr>
          <w:rFonts w:ascii="宋体" w:hAnsi="宋体"/>
          <w:sz w:val="24"/>
        </w:rPr>
        <w:t>“</w:t>
      </w:r>
      <w:r>
        <w:rPr>
          <w:rFonts w:hint="eastAsia" w:ascii="宋体" w:hAnsi="宋体"/>
          <w:sz w:val="24"/>
        </w:rPr>
        <w:t>卖方”系指根据合同约定提供货物及相关服务的中标人。</w:t>
      </w:r>
    </w:p>
    <w:p>
      <w:pPr>
        <w:tabs>
          <w:tab w:val="left" w:pos="900"/>
        </w:tabs>
        <w:snapToGrid w:val="0"/>
        <w:spacing w:before="120" w:line="360" w:lineRule="auto"/>
        <w:textAlignment w:val="baseline"/>
        <w:rPr>
          <w:rFonts w:ascii="宋体" w:hAnsi="宋体"/>
          <w:sz w:val="24"/>
        </w:rPr>
      </w:pPr>
      <w:r>
        <w:rPr>
          <w:rFonts w:hint="eastAsia" w:ascii="宋体" w:hAnsi="宋体"/>
          <w:sz w:val="24"/>
        </w:rPr>
        <w:t xml:space="preserve">1.7   </w:t>
      </w:r>
      <w:r>
        <w:rPr>
          <w:rFonts w:ascii="宋体" w:hAnsi="宋体"/>
          <w:sz w:val="24"/>
        </w:rPr>
        <w:t>“</w:t>
      </w:r>
      <w:r>
        <w:rPr>
          <w:rFonts w:hint="eastAsia" w:ascii="宋体" w:hAnsi="宋体"/>
          <w:sz w:val="24"/>
        </w:rPr>
        <w:t>现场”系指合同约定货物将要运至和安装的地点。</w:t>
      </w:r>
    </w:p>
    <w:p>
      <w:pPr>
        <w:snapToGrid w:val="0"/>
        <w:spacing w:before="120" w:line="360" w:lineRule="auto"/>
        <w:ind w:left="960" w:hanging="960"/>
        <w:textAlignment w:val="baseline"/>
        <w:rPr>
          <w:rFonts w:ascii="宋体" w:hAnsi="宋体"/>
          <w:sz w:val="24"/>
        </w:rPr>
      </w:pPr>
      <w:r>
        <w:rPr>
          <w:rFonts w:hint="eastAsia" w:ascii="宋体" w:hAnsi="宋体"/>
          <w:sz w:val="24"/>
        </w:rPr>
        <w:t xml:space="preserve">1.8   </w:t>
      </w:r>
      <w:r>
        <w:rPr>
          <w:rFonts w:ascii="宋体" w:hAnsi="宋体"/>
          <w:sz w:val="24"/>
        </w:rPr>
        <w:t>“</w:t>
      </w:r>
      <w:r>
        <w:rPr>
          <w:rFonts w:hint="eastAsia" w:ascii="宋体" w:hAnsi="宋体"/>
          <w:sz w:val="24"/>
        </w:rPr>
        <w:t>验收”系指合同双方依据强制性的国家技术质量规范和合同约定，确认合同项下的货物符合合同规定的活动。</w:t>
      </w:r>
    </w:p>
    <w:p>
      <w:pPr>
        <w:pStyle w:val="6"/>
        <w:snapToGrid w:val="0"/>
        <w:textAlignment w:val="baseline"/>
        <w:rPr>
          <w:rFonts w:hint="default"/>
        </w:rPr>
      </w:pPr>
      <w:bookmarkStart w:id="334" w:name="_Toc163893421"/>
      <w:bookmarkStart w:id="335" w:name="_Toc75519535"/>
      <w:bookmarkStart w:id="336" w:name="_Toc1927"/>
      <w:bookmarkStart w:id="337" w:name="_Toc60313292"/>
      <w:bookmarkStart w:id="338" w:name="_Toc10868"/>
      <w:r>
        <w:t>2 技术规范</w:t>
      </w:r>
      <w:bookmarkEnd w:id="334"/>
      <w:bookmarkEnd w:id="335"/>
      <w:bookmarkEnd w:id="336"/>
      <w:bookmarkEnd w:id="337"/>
      <w:bookmarkEnd w:id="338"/>
    </w:p>
    <w:p>
      <w:pPr>
        <w:tabs>
          <w:tab w:val="left" w:pos="900"/>
        </w:tabs>
        <w:snapToGrid w:val="0"/>
        <w:spacing w:before="120" w:line="360" w:lineRule="auto"/>
        <w:ind w:left="720" w:hanging="720"/>
        <w:textAlignment w:val="baseline"/>
        <w:rPr>
          <w:rFonts w:ascii="宋体" w:hAnsi="宋体"/>
          <w:sz w:val="24"/>
        </w:rPr>
      </w:pPr>
      <w:r>
        <w:rPr>
          <w:rFonts w:hint="eastAsia" w:ascii="宋体" w:hAnsi="宋体"/>
          <w:sz w:val="24"/>
        </w:rPr>
        <w:t>2.1   提交货物的技术规范应与招标文件规定的技术规范和技术规范附件</w:t>
      </w:r>
      <w:r>
        <w:rPr>
          <w:rFonts w:ascii="宋体" w:hAnsi="宋体"/>
          <w:sz w:val="24"/>
        </w:rPr>
        <w:t>(</w:t>
      </w:r>
      <w:r>
        <w:rPr>
          <w:rFonts w:hint="eastAsia" w:ascii="宋体" w:hAnsi="宋体"/>
          <w:sz w:val="24"/>
        </w:rPr>
        <w:t>如果有的话</w:t>
      </w:r>
      <w:r>
        <w:rPr>
          <w:rFonts w:ascii="宋体" w:hAnsi="宋体"/>
          <w:sz w:val="24"/>
        </w:rPr>
        <w:t>)</w:t>
      </w:r>
      <w:r>
        <w:rPr>
          <w:rFonts w:hint="eastAsia" w:ascii="宋体" w:hAnsi="宋体"/>
          <w:sz w:val="24"/>
        </w:rPr>
        <w:t>及其投标文件的技术规范偏差表</w:t>
      </w:r>
      <w:r>
        <w:rPr>
          <w:rFonts w:ascii="宋体" w:hAnsi="宋体"/>
          <w:sz w:val="24"/>
        </w:rPr>
        <w:t>(</w:t>
      </w:r>
      <w:r>
        <w:rPr>
          <w:rFonts w:hint="eastAsia" w:ascii="宋体" w:hAnsi="宋体"/>
          <w:sz w:val="24"/>
        </w:rPr>
        <w:t>如果被买方接受的话</w:t>
      </w:r>
      <w:r>
        <w:rPr>
          <w:rFonts w:ascii="宋体" w:hAnsi="宋体"/>
          <w:sz w:val="24"/>
        </w:rPr>
        <w:t>)</w:t>
      </w:r>
      <w:r>
        <w:rPr>
          <w:rFonts w:hint="eastAsia" w:ascii="宋体" w:hAnsi="宋体"/>
          <w:sz w:val="24"/>
        </w:rPr>
        <w:t>相一致。若技术规范中无相应说明，则以国家有关部门最新颁布的相应标准及规范为准。</w:t>
      </w:r>
    </w:p>
    <w:p>
      <w:pPr>
        <w:pStyle w:val="6"/>
        <w:snapToGrid w:val="0"/>
        <w:textAlignment w:val="baseline"/>
        <w:rPr>
          <w:rFonts w:hint="default"/>
        </w:rPr>
      </w:pPr>
      <w:bookmarkStart w:id="339" w:name="_Toc75519536"/>
      <w:bookmarkStart w:id="340" w:name="_Toc6409"/>
      <w:bookmarkStart w:id="341" w:name="_Toc60313293"/>
      <w:bookmarkStart w:id="342" w:name="_Toc163893422"/>
      <w:bookmarkStart w:id="343" w:name="_Toc8305"/>
      <w:r>
        <w:t>3 知识产权</w:t>
      </w:r>
      <w:bookmarkEnd w:id="339"/>
      <w:bookmarkEnd w:id="340"/>
      <w:bookmarkEnd w:id="341"/>
      <w:bookmarkEnd w:id="342"/>
      <w:bookmarkEnd w:id="343"/>
    </w:p>
    <w:p>
      <w:pPr>
        <w:snapToGrid w:val="0"/>
        <w:spacing w:before="120" w:line="360" w:lineRule="auto"/>
        <w:ind w:left="720" w:hanging="720"/>
        <w:textAlignment w:val="baseline"/>
        <w:rPr>
          <w:rFonts w:ascii="宋体" w:hAnsi="宋体"/>
          <w:sz w:val="24"/>
        </w:rPr>
      </w:pPr>
      <w:r>
        <w:rPr>
          <w:rFonts w:hint="eastAsia" w:ascii="宋体" w:hAnsi="宋体"/>
          <w:sz w:val="24"/>
        </w:rPr>
        <w:t>3.1   卖方应保证买方在使用该货物或其任何一部分时不受第三方提出的侵犯专利权、著作权、商标权和工业设计权等的起诉。如果任何第三方提出侵权指控，卖方须与第三方交涉并承担由此发生的一切责任、费用和经济赔偿。</w:t>
      </w:r>
    </w:p>
    <w:p>
      <w:pPr>
        <w:pStyle w:val="6"/>
        <w:snapToGrid w:val="0"/>
        <w:textAlignment w:val="baseline"/>
        <w:rPr>
          <w:rFonts w:hint="default"/>
        </w:rPr>
      </w:pPr>
      <w:bookmarkStart w:id="344" w:name="_Toc25674"/>
      <w:bookmarkStart w:id="345" w:name="_Toc60313294"/>
      <w:bookmarkStart w:id="346" w:name="_Toc19541"/>
      <w:bookmarkStart w:id="347" w:name="_Toc163893423"/>
      <w:bookmarkStart w:id="348" w:name="_Toc75519537"/>
      <w:r>
        <w:t>4 包装要求</w:t>
      </w:r>
      <w:bookmarkEnd w:id="344"/>
      <w:bookmarkEnd w:id="345"/>
      <w:bookmarkEnd w:id="346"/>
      <w:bookmarkEnd w:id="347"/>
      <w:bookmarkEnd w:id="348"/>
    </w:p>
    <w:p>
      <w:pPr>
        <w:snapToGrid w:val="0"/>
        <w:spacing w:before="120" w:line="360" w:lineRule="auto"/>
        <w:ind w:left="720" w:hanging="720"/>
        <w:textAlignment w:val="baseline"/>
        <w:rPr>
          <w:rFonts w:ascii="宋体" w:hAnsi="宋体"/>
          <w:sz w:val="24"/>
        </w:rPr>
      </w:pPr>
      <w:r>
        <w:rPr>
          <w:rFonts w:hint="eastAsia" w:ascii="宋体" w:hAnsi="宋体"/>
          <w:sz w:val="24"/>
        </w:rPr>
        <w:t>4.1   除合同另有约定外</w:t>
      </w:r>
      <w:r>
        <w:rPr>
          <w:rFonts w:ascii="宋体" w:hAnsi="宋体"/>
          <w:sz w:val="24"/>
        </w:rPr>
        <w:t>,</w:t>
      </w:r>
      <w:r>
        <w:rPr>
          <w:rFonts w:hint="eastAsia" w:ascii="宋体" w:hAnsi="宋体"/>
          <w:sz w:val="24"/>
        </w:rPr>
        <w:t>卖方提供的全部货物</w:t>
      </w:r>
      <w:r>
        <w:rPr>
          <w:rFonts w:ascii="宋体" w:hAnsi="宋体"/>
          <w:sz w:val="24"/>
        </w:rPr>
        <w:t>,</w:t>
      </w:r>
      <w:r>
        <w:rPr>
          <w:rFonts w:hint="eastAsia" w:ascii="宋体" w:hAnsi="宋体"/>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pPr>
        <w:snapToGrid w:val="0"/>
        <w:spacing w:before="120" w:line="360" w:lineRule="auto"/>
        <w:textAlignment w:val="baseline"/>
        <w:rPr>
          <w:rFonts w:ascii="宋体" w:hAnsi="宋体"/>
          <w:sz w:val="24"/>
        </w:rPr>
      </w:pPr>
      <w:r>
        <w:rPr>
          <w:rFonts w:hint="eastAsia" w:ascii="宋体" w:hAnsi="宋体"/>
          <w:sz w:val="24"/>
        </w:rPr>
        <w:t>4.2   每件包装箱内应附一份详细装箱单和质量合格证。</w:t>
      </w:r>
    </w:p>
    <w:p>
      <w:pPr>
        <w:pStyle w:val="6"/>
        <w:snapToGrid w:val="0"/>
        <w:textAlignment w:val="baseline"/>
        <w:rPr>
          <w:rFonts w:hint="default"/>
        </w:rPr>
      </w:pPr>
      <w:bookmarkStart w:id="349" w:name="_Toc60313295"/>
      <w:bookmarkStart w:id="350" w:name="_Toc163893424"/>
      <w:bookmarkStart w:id="351" w:name="_Toc18476"/>
      <w:bookmarkStart w:id="352" w:name="_Toc31107"/>
      <w:bookmarkStart w:id="353" w:name="_Toc75519538"/>
      <w:r>
        <w:t>5 装运标志</w:t>
      </w:r>
      <w:bookmarkEnd w:id="349"/>
      <w:bookmarkEnd w:id="350"/>
      <w:bookmarkEnd w:id="351"/>
      <w:bookmarkEnd w:id="352"/>
      <w:bookmarkEnd w:id="353"/>
    </w:p>
    <w:p>
      <w:pPr>
        <w:snapToGrid w:val="0"/>
        <w:spacing w:before="120" w:line="360" w:lineRule="auto"/>
        <w:ind w:left="720" w:hanging="720"/>
        <w:textAlignment w:val="baseline"/>
        <w:rPr>
          <w:rFonts w:ascii="宋体" w:hAnsi="宋体"/>
          <w:sz w:val="24"/>
        </w:rPr>
      </w:pPr>
      <w:r>
        <w:rPr>
          <w:rFonts w:hint="eastAsia" w:ascii="宋体" w:hAnsi="宋体"/>
          <w:sz w:val="24"/>
        </w:rPr>
        <w:t>5.1.  卖方应在每一包装箱的四侧用不褪色的油漆以醒目的中文字样做出下列标记：</w:t>
      </w:r>
    </w:p>
    <w:p>
      <w:pPr>
        <w:snapToGrid w:val="0"/>
        <w:spacing w:line="360" w:lineRule="auto"/>
        <w:ind w:left="1276"/>
        <w:textAlignment w:val="baseline"/>
        <w:rPr>
          <w:rFonts w:ascii="宋体" w:hAnsi="宋体"/>
          <w:sz w:val="24"/>
        </w:rPr>
      </w:pPr>
      <w:r>
        <w:rPr>
          <w:rFonts w:hint="eastAsia" w:ascii="宋体" w:hAnsi="宋体"/>
          <w:sz w:val="24"/>
        </w:rPr>
        <w:t>收货人：</w:t>
      </w:r>
    </w:p>
    <w:p>
      <w:pPr>
        <w:snapToGrid w:val="0"/>
        <w:spacing w:line="360" w:lineRule="auto"/>
        <w:ind w:left="1276"/>
        <w:textAlignment w:val="baseline"/>
        <w:rPr>
          <w:rFonts w:ascii="宋体" w:hAnsi="宋体"/>
          <w:sz w:val="24"/>
        </w:rPr>
      </w:pPr>
      <w:r>
        <w:rPr>
          <w:rFonts w:hint="eastAsia" w:ascii="宋体" w:hAnsi="宋体"/>
          <w:sz w:val="24"/>
        </w:rPr>
        <w:t>合同号：</w:t>
      </w:r>
    </w:p>
    <w:p>
      <w:pPr>
        <w:snapToGrid w:val="0"/>
        <w:spacing w:line="360" w:lineRule="auto"/>
        <w:ind w:left="1276"/>
        <w:textAlignment w:val="baseline"/>
        <w:rPr>
          <w:rFonts w:ascii="宋体" w:hAnsi="宋体"/>
          <w:sz w:val="24"/>
        </w:rPr>
      </w:pPr>
      <w:r>
        <w:rPr>
          <w:rFonts w:hint="eastAsia" w:ascii="宋体" w:hAnsi="宋体"/>
          <w:sz w:val="24"/>
        </w:rPr>
        <w:t>装运标志：</w:t>
      </w:r>
    </w:p>
    <w:p>
      <w:pPr>
        <w:snapToGrid w:val="0"/>
        <w:spacing w:line="360" w:lineRule="auto"/>
        <w:ind w:left="1276"/>
        <w:textAlignment w:val="baseline"/>
        <w:rPr>
          <w:rFonts w:ascii="宋体" w:hAnsi="宋体"/>
          <w:sz w:val="24"/>
        </w:rPr>
      </w:pPr>
      <w:r>
        <w:rPr>
          <w:rFonts w:hint="eastAsia" w:ascii="宋体" w:hAnsi="宋体"/>
          <w:sz w:val="24"/>
        </w:rPr>
        <w:t>收货人代号：</w:t>
      </w:r>
    </w:p>
    <w:p>
      <w:pPr>
        <w:snapToGrid w:val="0"/>
        <w:spacing w:line="360" w:lineRule="auto"/>
        <w:ind w:left="1276"/>
        <w:textAlignment w:val="baseline"/>
        <w:rPr>
          <w:rFonts w:ascii="宋体" w:hAnsi="宋体"/>
          <w:sz w:val="24"/>
        </w:rPr>
      </w:pPr>
      <w:r>
        <w:rPr>
          <w:rFonts w:hint="eastAsia" w:ascii="宋体" w:hAnsi="宋体"/>
          <w:sz w:val="24"/>
        </w:rPr>
        <w:t>目的地：</w:t>
      </w:r>
    </w:p>
    <w:p>
      <w:pPr>
        <w:snapToGrid w:val="0"/>
        <w:spacing w:line="360" w:lineRule="auto"/>
        <w:ind w:left="1276"/>
        <w:textAlignment w:val="baseline"/>
        <w:rPr>
          <w:rFonts w:ascii="宋体" w:hAnsi="宋体"/>
          <w:sz w:val="24"/>
        </w:rPr>
      </w:pPr>
      <w:r>
        <w:rPr>
          <w:rFonts w:hint="eastAsia" w:ascii="宋体" w:hAnsi="宋体"/>
          <w:sz w:val="24"/>
        </w:rPr>
        <w:t>货物名称、品目号和箱号：</w:t>
      </w:r>
    </w:p>
    <w:p>
      <w:pPr>
        <w:snapToGrid w:val="0"/>
        <w:spacing w:line="360" w:lineRule="auto"/>
        <w:ind w:left="1276"/>
        <w:textAlignment w:val="baseline"/>
        <w:rPr>
          <w:rFonts w:ascii="宋体" w:hAnsi="宋体"/>
          <w:sz w:val="24"/>
        </w:rPr>
      </w:pPr>
      <w:r>
        <w:rPr>
          <w:rFonts w:hint="eastAsia" w:ascii="宋体" w:hAnsi="宋体"/>
          <w:sz w:val="24"/>
        </w:rPr>
        <w:t>毛重／净重：</w:t>
      </w:r>
    </w:p>
    <w:p>
      <w:pPr>
        <w:snapToGrid w:val="0"/>
        <w:spacing w:line="360" w:lineRule="auto"/>
        <w:ind w:left="1276"/>
        <w:textAlignment w:val="baseline"/>
        <w:rPr>
          <w:rFonts w:ascii="宋体" w:hAnsi="宋体"/>
          <w:sz w:val="24"/>
        </w:rPr>
      </w:pPr>
      <w:r>
        <w:rPr>
          <w:rFonts w:hint="eastAsia" w:ascii="宋体" w:hAnsi="宋体"/>
          <w:sz w:val="24"/>
        </w:rPr>
        <w:t>尺寸</w:t>
      </w:r>
      <w:r>
        <w:rPr>
          <w:rFonts w:ascii="宋体" w:hAnsi="宋体"/>
          <w:sz w:val="24"/>
        </w:rPr>
        <w:t>(</w:t>
      </w:r>
      <w:r>
        <w:rPr>
          <w:rFonts w:hint="eastAsia" w:ascii="宋体" w:hAnsi="宋体"/>
          <w:sz w:val="24"/>
        </w:rPr>
        <w:t>长×宽×高以厘米计</w:t>
      </w:r>
      <w:r>
        <w:rPr>
          <w:rFonts w:ascii="宋体" w:hAnsi="宋体"/>
          <w:sz w:val="24"/>
        </w:rPr>
        <w:t>)</w:t>
      </w:r>
      <w:r>
        <w:rPr>
          <w:rFonts w:hint="eastAsia" w:ascii="宋体" w:hAnsi="宋体"/>
          <w:sz w:val="24"/>
        </w:rPr>
        <w:t>：</w:t>
      </w:r>
    </w:p>
    <w:p>
      <w:pPr>
        <w:snapToGrid w:val="0"/>
        <w:spacing w:before="120" w:line="360" w:lineRule="auto"/>
        <w:ind w:left="720" w:hanging="720"/>
        <w:textAlignment w:val="baseline"/>
        <w:rPr>
          <w:rFonts w:ascii="宋体" w:hAnsi="宋体"/>
          <w:sz w:val="24"/>
        </w:rPr>
      </w:pPr>
      <w:r>
        <w:rPr>
          <w:rFonts w:hint="eastAsia" w:ascii="宋体" w:hAnsi="宋体"/>
          <w:sz w:val="24"/>
        </w:rPr>
        <w:t>5.2   如果货物单件重量在</w:t>
      </w:r>
      <w:r>
        <w:rPr>
          <w:rFonts w:ascii="宋体" w:hAnsi="宋体"/>
          <w:sz w:val="24"/>
        </w:rPr>
        <w:t>2</w:t>
      </w:r>
      <w:r>
        <w:rPr>
          <w:rFonts w:hint="eastAsia" w:ascii="宋体" w:hAnsi="宋体"/>
          <w:sz w:val="24"/>
        </w:rPr>
        <w:t>吨或</w:t>
      </w:r>
      <w:r>
        <w:rPr>
          <w:rFonts w:ascii="宋体" w:hAnsi="宋体"/>
          <w:sz w:val="24"/>
        </w:rPr>
        <w:t>2</w:t>
      </w:r>
      <w:r>
        <w:rPr>
          <w:rFonts w:hint="eastAsia" w:ascii="宋体" w:hAnsi="宋体"/>
          <w:sz w:val="24"/>
        </w:rPr>
        <w:t>吨以上，卖方应在每件包装箱的两侧用中文和适当的运输标记，标明“重心”和“吊装点”，以便装卸和搬运。根据货物的特点和运输的不同要求，卖方应在包装箱上清楚地标有“小心轻放”、“防潮”、</w:t>
      </w:r>
      <w:r>
        <w:rPr>
          <w:rFonts w:ascii="宋体" w:hAnsi="宋体"/>
          <w:sz w:val="24"/>
        </w:rPr>
        <w:t xml:space="preserve"> “</w:t>
      </w:r>
      <w:r>
        <w:rPr>
          <w:rFonts w:hint="eastAsia" w:ascii="宋体" w:hAnsi="宋体"/>
          <w:sz w:val="24"/>
        </w:rPr>
        <w:t>勿倒置”等字样和其他适当的标志。</w:t>
      </w:r>
    </w:p>
    <w:p>
      <w:pPr>
        <w:pStyle w:val="6"/>
        <w:snapToGrid w:val="0"/>
        <w:textAlignment w:val="baseline"/>
        <w:rPr>
          <w:rFonts w:hint="default"/>
        </w:rPr>
      </w:pPr>
      <w:bookmarkStart w:id="354" w:name="_Toc75519539"/>
      <w:bookmarkStart w:id="355" w:name="_Toc27621"/>
      <w:bookmarkStart w:id="356" w:name="_Toc24828"/>
      <w:bookmarkStart w:id="357" w:name="_Toc60313296"/>
      <w:bookmarkStart w:id="358" w:name="_Toc163893425"/>
      <w:r>
        <w:t>6 交货方式</w:t>
      </w:r>
      <w:bookmarkEnd w:id="354"/>
      <w:bookmarkEnd w:id="355"/>
      <w:bookmarkEnd w:id="356"/>
      <w:bookmarkEnd w:id="357"/>
      <w:bookmarkEnd w:id="358"/>
    </w:p>
    <w:p>
      <w:pPr>
        <w:snapToGrid w:val="0"/>
        <w:spacing w:before="120" w:line="360" w:lineRule="auto"/>
        <w:textAlignment w:val="baseline"/>
        <w:rPr>
          <w:rFonts w:ascii="宋体" w:hAnsi="宋体"/>
          <w:sz w:val="24"/>
        </w:rPr>
      </w:pPr>
      <w:r>
        <w:rPr>
          <w:rFonts w:hint="eastAsia" w:ascii="宋体" w:hAnsi="宋体"/>
          <w:sz w:val="24"/>
        </w:rPr>
        <w:t>6.1   交货方式一般为下列其中一种，具体在合同特殊条款中规定。</w:t>
      </w:r>
    </w:p>
    <w:p>
      <w:pPr>
        <w:snapToGrid w:val="0"/>
        <w:spacing w:before="120" w:line="360" w:lineRule="auto"/>
        <w:ind w:left="960" w:hanging="960"/>
        <w:textAlignment w:val="baseline"/>
        <w:rPr>
          <w:rFonts w:ascii="宋体" w:hAnsi="宋体"/>
          <w:sz w:val="24"/>
        </w:rPr>
      </w:pPr>
      <w:r>
        <w:rPr>
          <w:rFonts w:hint="eastAsia" w:ascii="宋体" w:hAnsi="宋体"/>
          <w:sz w:val="24"/>
        </w:rPr>
        <w:t>6.1.1  现场交货：卖方负责办理运输和保险，将货物运抵现场。有关运输和保险的一切费用由卖方承担。</w:t>
      </w:r>
    </w:p>
    <w:p>
      <w:pPr>
        <w:snapToGrid w:val="0"/>
        <w:spacing w:before="120" w:line="360" w:lineRule="auto"/>
        <w:ind w:left="960" w:hanging="960"/>
        <w:textAlignment w:val="baseline"/>
        <w:rPr>
          <w:rFonts w:ascii="宋体" w:hAnsi="宋体"/>
          <w:sz w:val="24"/>
        </w:rPr>
      </w:pPr>
      <w:r>
        <w:rPr>
          <w:rFonts w:hint="eastAsia" w:ascii="宋体" w:hAnsi="宋体"/>
          <w:sz w:val="24"/>
        </w:rPr>
        <w:t>6.1.2   工厂交货：由卖方负责代办运输和保险事宜。运输费和保险费由买方承担。运输部门出具收据的日期为交货日期。</w:t>
      </w:r>
    </w:p>
    <w:p>
      <w:pPr>
        <w:snapToGrid w:val="0"/>
        <w:spacing w:before="120" w:line="360" w:lineRule="auto"/>
        <w:ind w:left="960" w:hanging="960"/>
        <w:textAlignment w:val="baseline"/>
        <w:rPr>
          <w:rFonts w:ascii="宋体" w:hAnsi="宋体"/>
          <w:sz w:val="24"/>
        </w:rPr>
      </w:pPr>
      <w:r>
        <w:rPr>
          <w:rFonts w:hint="eastAsia" w:ascii="宋体" w:hAnsi="宋体"/>
          <w:sz w:val="24"/>
        </w:rPr>
        <w:t>6.1.3   买方自提货物：由买方在合同规定地点自行办理提货。提单日期为交货日期。</w:t>
      </w:r>
    </w:p>
    <w:p>
      <w:pPr>
        <w:snapToGrid w:val="0"/>
        <w:spacing w:before="120" w:line="360" w:lineRule="auto"/>
        <w:ind w:left="900" w:hanging="900"/>
        <w:textAlignment w:val="baseline"/>
        <w:rPr>
          <w:rFonts w:ascii="宋体" w:hAnsi="宋体"/>
          <w:sz w:val="24"/>
        </w:rPr>
      </w:pPr>
      <w:r>
        <w:rPr>
          <w:rFonts w:hint="eastAsia" w:ascii="宋体" w:hAnsi="宋体"/>
          <w:sz w:val="24"/>
        </w:rPr>
        <w:t>6.2     卖方应在合同规定的交货期</w:t>
      </w:r>
      <w:r>
        <w:rPr>
          <w:rFonts w:hint="eastAsia" w:ascii="宋体" w:hAnsi="宋体"/>
          <w:sz w:val="24"/>
          <w:u w:val="single" w:color="000000"/>
        </w:rPr>
        <w:t xml:space="preserve"> 3 </w:t>
      </w:r>
      <w:r>
        <w:rPr>
          <w:rFonts w:hint="eastAsia" w:ascii="宋体" w:hAnsi="宋体"/>
          <w:sz w:val="24"/>
        </w:rPr>
        <w:t>天以前以电报或传真形式将合同号、货物名称、数量、包装箱件数、总毛重、总体积</w:t>
      </w:r>
      <w:r>
        <w:rPr>
          <w:rFonts w:ascii="宋体" w:hAnsi="宋体"/>
          <w:sz w:val="24"/>
        </w:rPr>
        <w:t>(</w:t>
      </w:r>
      <w:r>
        <w:rPr>
          <w:rFonts w:hint="eastAsia" w:ascii="宋体" w:hAnsi="宋体"/>
          <w:sz w:val="24"/>
        </w:rPr>
        <w:t>立方米</w:t>
      </w:r>
      <w:r>
        <w:rPr>
          <w:rFonts w:ascii="宋体" w:hAnsi="宋体"/>
          <w:sz w:val="24"/>
        </w:rPr>
        <w:t>)</w:t>
      </w:r>
      <w:r>
        <w:rPr>
          <w:rFonts w:hint="eastAsia" w:ascii="宋体" w:hAnsi="宋体"/>
          <w:sz w:val="24"/>
        </w:rPr>
        <w:t>和备妥交货日期通知买方。同时卖方应用挂号信将详细交货清单一式</w:t>
      </w:r>
      <w:r>
        <w:rPr>
          <w:rFonts w:ascii="宋体" w:hAnsi="宋体"/>
          <w:sz w:val="24"/>
        </w:rPr>
        <w:t>6</w:t>
      </w:r>
      <w:r>
        <w:rPr>
          <w:rFonts w:hint="eastAsia" w:ascii="宋体" w:hAnsi="宋体"/>
          <w:sz w:val="24"/>
        </w:rPr>
        <w:t>份包括合同号、货物名称、规格、数量、总毛重、总体积</w:t>
      </w:r>
      <w:r>
        <w:rPr>
          <w:rFonts w:ascii="宋体" w:hAnsi="宋体"/>
          <w:sz w:val="24"/>
        </w:rPr>
        <w:t>(</w:t>
      </w:r>
      <w:r>
        <w:rPr>
          <w:rFonts w:hint="eastAsia" w:ascii="宋体" w:hAnsi="宋体"/>
          <w:sz w:val="24"/>
        </w:rPr>
        <w:t>立方米</w:t>
      </w:r>
      <w:r>
        <w:rPr>
          <w:rFonts w:ascii="宋体" w:hAnsi="宋体"/>
          <w:sz w:val="24"/>
        </w:rPr>
        <w:t>)</w:t>
      </w:r>
      <w:r>
        <w:rPr>
          <w:rFonts w:hint="eastAsia" w:ascii="宋体" w:hAnsi="宋体"/>
          <w:sz w:val="24"/>
        </w:rPr>
        <w:t>、包装箱件数和每个包装箱的尺寸</w:t>
      </w:r>
      <w:r>
        <w:rPr>
          <w:rFonts w:ascii="宋体" w:hAnsi="宋体"/>
          <w:sz w:val="24"/>
        </w:rPr>
        <w:t>(</w:t>
      </w:r>
      <w:r>
        <w:rPr>
          <w:rFonts w:hint="eastAsia" w:ascii="宋体" w:hAnsi="宋体"/>
          <w:sz w:val="24"/>
        </w:rPr>
        <w:t>长×宽×高</w:t>
      </w:r>
      <w:r>
        <w:rPr>
          <w:rFonts w:ascii="宋体" w:hAnsi="宋体"/>
          <w:sz w:val="24"/>
        </w:rPr>
        <w:t>)</w:t>
      </w:r>
      <w:r>
        <w:rPr>
          <w:rFonts w:hint="eastAsia" w:ascii="宋体" w:hAnsi="宋体"/>
          <w:sz w:val="24"/>
        </w:rPr>
        <w:t>、货物总价和备妥待交日期以及对货物在运输和仓储的特殊要求和注意事项通知买方。</w:t>
      </w:r>
    </w:p>
    <w:p>
      <w:pPr>
        <w:tabs>
          <w:tab w:val="left" w:pos="720"/>
        </w:tabs>
        <w:snapToGrid w:val="0"/>
        <w:spacing w:before="120" w:line="360" w:lineRule="auto"/>
        <w:ind w:left="960" w:hanging="960"/>
        <w:textAlignment w:val="baseline"/>
        <w:rPr>
          <w:rFonts w:ascii="宋体" w:hAnsi="宋体"/>
          <w:sz w:val="24"/>
        </w:rPr>
      </w:pPr>
      <w:r>
        <w:rPr>
          <w:rFonts w:hint="eastAsia" w:ascii="宋体" w:hAnsi="宋体"/>
          <w:sz w:val="24"/>
        </w:rPr>
        <w:t>6.3     在现场交货和工厂交货条件下，卖方装运的货物不应超过合同规定的数量或重量。否则，卖方应对超运部分引起的一切后果负责。</w:t>
      </w:r>
    </w:p>
    <w:p>
      <w:pPr>
        <w:pStyle w:val="6"/>
        <w:snapToGrid w:val="0"/>
        <w:textAlignment w:val="baseline"/>
        <w:rPr>
          <w:rFonts w:hint="default"/>
        </w:rPr>
      </w:pPr>
      <w:bookmarkStart w:id="359" w:name="_Toc6353"/>
      <w:bookmarkStart w:id="360" w:name="_Toc60313297"/>
      <w:bookmarkStart w:id="361" w:name="_Toc75519540"/>
      <w:bookmarkStart w:id="362" w:name="_Toc29104"/>
      <w:bookmarkStart w:id="363" w:name="_Toc163893426"/>
      <w:r>
        <w:t>7 装运通知</w:t>
      </w:r>
      <w:bookmarkEnd w:id="359"/>
      <w:bookmarkEnd w:id="360"/>
      <w:bookmarkEnd w:id="361"/>
      <w:bookmarkEnd w:id="362"/>
      <w:bookmarkEnd w:id="363"/>
    </w:p>
    <w:p>
      <w:pPr>
        <w:snapToGrid w:val="0"/>
        <w:spacing w:before="120" w:line="360" w:lineRule="auto"/>
        <w:ind w:left="900" w:hanging="900"/>
        <w:textAlignment w:val="baseline"/>
        <w:rPr>
          <w:rFonts w:ascii="宋体" w:hAnsi="宋体"/>
          <w:sz w:val="24"/>
        </w:rPr>
      </w:pPr>
      <w:r>
        <w:rPr>
          <w:rFonts w:hint="eastAsia" w:ascii="宋体" w:hAnsi="宋体"/>
          <w:sz w:val="24"/>
        </w:rPr>
        <w:t>7.1    在现场交货和工厂交货条件下的货物，卖方通知买方货物已备妥待运输后</w:t>
      </w:r>
      <w:r>
        <w:rPr>
          <w:rFonts w:ascii="宋体" w:hAnsi="宋体"/>
          <w:sz w:val="24"/>
        </w:rPr>
        <w:t>24</w:t>
      </w:r>
      <w:r>
        <w:rPr>
          <w:rFonts w:hint="eastAsia" w:ascii="宋体" w:hAnsi="宋体"/>
          <w:sz w:val="24"/>
        </w:rPr>
        <w:t>小时之内，应将合同号、货名、数量、毛重、总体积</w:t>
      </w:r>
      <w:r>
        <w:rPr>
          <w:rFonts w:ascii="宋体" w:hAnsi="宋体"/>
          <w:sz w:val="24"/>
        </w:rPr>
        <w:t>(</w:t>
      </w:r>
      <w:r>
        <w:rPr>
          <w:rFonts w:hint="eastAsia" w:ascii="宋体" w:hAnsi="宋体"/>
          <w:sz w:val="24"/>
        </w:rPr>
        <w:t>立方米</w:t>
      </w:r>
      <w:r>
        <w:rPr>
          <w:rFonts w:ascii="宋体" w:hAnsi="宋体"/>
          <w:sz w:val="24"/>
        </w:rPr>
        <w:t>)</w:t>
      </w:r>
      <w:r>
        <w:rPr>
          <w:rFonts w:hint="eastAsia" w:ascii="宋体" w:hAnsi="宋体"/>
          <w:sz w:val="24"/>
        </w:rPr>
        <w:t>、发票金额、运输工具名称及装运日期，以电报或传真通知买方。</w:t>
      </w:r>
    </w:p>
    <w:p>
      <w:pPr>
        <w:snapToGrid w:val="0"/>
        <w:spacing w:before="120" w:line="360" w:lineRule="auto"/>
        <w:ind w:left="900" w:hanging="900"/>
        <w:textAlignment w:val="baseline"/>
        <w:rPr>
          <w:rFonts w:ascii="宋体" w:hAnsi="宋体"/>
        </w:rPr>
      </w:pPr>
      <w:r>
        <w:rPr>
          <w:rFonts w:hint="eastAsia" w:ascii="宋体" w:hAnsi="宋体"/>
        </w:rPr>
        <w:t xml:space="preserve">7.2     </w:t>
      </w:r>
      <w:r>
        <w:rPr>
          <w:rFonts w:hint="eastAsia" w:ascii="宋体" w:hAnsi="宋体"/>
          <w:sz w:val="24"/>
        </w:rPr>
        <w:t>如因卖方延误将上述内容用电报或传真通知买方，由此引起的一切后果损失应由卖方负责。</w:t>
      </w:r>
    </w:p>
    <w:p>
      <w:pPr>
        <w:pStyle w:val="6"/>
        <w:snapToGrid w:val="0"/>
        <w:textAlignment w:val="baseline"/>
        <w:rPr>
          <w:rFonts w:hint="default"/>
        </w:rPr>
      </w:pPr>
      <w:bookmarkStart w:id="364" w:name="_Toc15233"/>
      <w:bookmarkStart w:id="365" w:name="_Toc10587"/>
      <w:r>
        <w:t>8 保险</w:t>
      </w:r>
      <w:bookmarkEnd w:id="364"/>
      <w:bookmarkEnd w:id="365"/>
    </w:p>
    <w:p>
      <w:pPr>
        <w:snapToGrid w:val="0"/>
        <w:spacing w:before="120" w:line="360" w:lineRule="auto"/>
        <w:ind w:left="851" w:hanging="900"/>
        <w:textAlignment w:val="baseline"/>
        <w:rPr>
          <w:rFonts w:ascii="宋体" w:hAnsi="宋体"/>
          <w:sz w:val="24"/>
        </w:rPr>
      </w:pPr>
      <w:r>
        <w:rPr>
          <w:rFonts w:ascii="宋体" w:hAnsi="宋体"/>
          <w:sz w:val="24"/>
        </w:rPr>
        <w:t>8.1    如果货物是按现场交货方式或工厂交货方式报价的，由卖方按照发票金额的110％办理“一切险”；如果货物是按买方自提货物方式报价的，其保险由买方办理。</w:t>
      </w:r>
    </w:p>
    <w:p>
      <w:pPr>
        <w:pStyle w:val="2"/>
        <w:tabs>
          <w:tab w:val="right" w:leader="underscore" w:pos="9061"/>
        </w:tabs>
        <w:snapToGrid w:val="0"/>
        <w:textAlignment w:val="baseline"/>
      </w:pPr>
    </w:p>
    <w:p>
      <w:pPr>
        <w:pStyle w:val="6"/>
        <w:snapToGrid w:val="0"/>
        <w:textAlignment w:val="baseline"/>
        <w:rPr>
          <w:rFonts w:hint="default"/>
        </w:rPr>
      </w:pPr>
      <w:bookmarkStart w:id="366" w:name="_Toc75519541"/>
      <w:bookmarkStart w:id="367" w:name="_Toc30229"/>
      <w:bookmarkStart w:id="368" w:name="_Toc60313298"/>
      <w:bookmarkStart w:id="369" w:name="_Toc4962"/>
      <w:bookmarkStart w:id="370" w:name="_Toc163893427"/>
      <w:r>
        <w:t>9 付款条件</w:t>
      </w:r>
      <w:bookmarkEnd w:id="366"/>
      <w:bookmarkEnd w:id="367"/>
      <w:bookmarkEnd w:id="368"/>
      <w:bookmarkEnd w:id="369"/>
      <w:bookmarkEnd w:id="370"/>
    </w:p>
    <w:p>
      <w:pPr>
        <w:snapToGrid w:val="0"/>
        <w:spacing w:before="120" w:line="360" w:lineRule="auto"/>
        <w:ind w:firstLine="720" w:firstLineChars="300"/>
        <w:textAlignment w:val="baseline"/>
        <w:rPr>
          <w:rFonts w:ascii="宋体" w:hAnsi="宋体"/>
          <w:sz w:val="24"/>
        </w:rPr>
      </w:pPr>
      <w:r>
        <w:rPr>
          <w:rFonts w:hint="eastAsia" w:ascii="宋体" w:hAnsi="宋体"/>
          <w:sz w:val="24"/>
        </w:rPr>
        <w:t xml:space="preserve">  付款条件见 “合同特殊条款”。</w:t>
      </w:r>
    </w:p>
    <w:p>
      <w:pPr>
        <w:pStyle w:val="6"/>
        <w:snapToGrid w:val="0"/>
        <w:textAlignment w:val="baseline"/>
        <w:rPr>
          <w:rFonts w:hint="default"/>
        </w:rPr>
      </w:pPr>
      <w:bookmarkStart w:id="371" w:name="_Toc7589"/>
      <w:bookmarkStart w:id="372" w:name="_Toc163893428"/>
      <w:bookmarkStart w:id="373" w:name="_Toc60313299"/>
      <w:bookmarkStart w:id="374" w:name="_Toc6877"/>
      <w:bookmarkStart w:id="375" w:name="_Toc75519542"/>
      <w:r>
        <w:t>10 技术资料</w:t>
      </w:r>
      <w:bookmarkEnd w:id="371"/>
      <w:bookmarkEnd w:id="372"/>
      <w:bookmarkEnd w:id="373"/>
      <w:bookmarkEnd w:id="374"/>
      <w:bookmarkEnd w:id="375"/>
    </w:p>
    <w:p>
      <w:pPr>
        <w:snapToGrid w:val="0"/>
        <w:spacing w:before="120" w:line="360" w:lineRule="auto"/>
        <w:textAlignment w:val="baseline"/>
        <w:rPr>
          <w:rFonts w:ascii="宋体" w:hAnsi="宋体"/>
          <w:sz w:val="24"/>
        </w:rPr>
      </w:pPr>
      <w:r>
        <w:rPr>
          <w:rFonts w:ascii="宋体" w:hAnsi="宋体"/>
          <w:sz w:val="24"/>
        </w:rPr>
        <w:t>10</w:t>
      </w:r>
      <w:r>
        <w:rPr>
          <w:rFonts w:hint="eastAsia" w:ascii="宋体" w:hAnsi="宋体"/>
          <w:sz w:val="24"/>
        </w:rPr>
        <w:t>.1    合同项下技术资料</w:t>
      </w:r>
      <w:r>
        <w:rPr>
          <w:rFonts w:ascii="宋体" w:hAnsi="宋体"/>
          <w:sz w:val="24"/>
        </w:rPr>
        <w:t>(</w:t>
      </w:r>
      <w:r>
        <w:rPr>
          <w:rFonts w:hint="eastAsia" w:ascii="宋体" w:hAnsi="宋体"/>
          <w:sz w:val="24"/>
        </w:rPr>
        <w:t>除合同特殊条款规定外</w:t>
      </w:r>
      <w:r>
        <w:rPr>
          <w:rFonts w:ascii="宋体" w:hAnsi="宋体"/>
          <w:sz w:val="24"/>
        </w:rPr>
        <w:t>)</w:t>
      </w:r>
      <w:r>
        <w:rPr>
          <w:rFonts w:hint="eastAsia" w:ascii="宋体" w:hAnsi="宋体"/>
          <w:sz w:val="24"/>
        </w:rPr>
        <w:t>将以下列方式交付：</w:t>
      </w:r>
    </w:p>
    <w:p>
      <w:pPr>
        <w:snapToGrid w:val="0"/>
        <w:spacing w:before="120" w:line="360" w:lineRule="auto"/>
        <w:ind w:left="958"/>
        <w:textAlignment w:val="baseline"/>
        <w:rPr>
          <w:rFonts w:ascii="宋体" w:hAnsi="宋体"/>
          <w:sz w:val="24"/>
        </w:rPr>
      </w:pPr>
      <w:r>
        <w:rPr>
          <w:rFonts w:hint="eastAsia" w:ascii="宋体" w:hAnsi="宋体"/>
          <w:sz w:val="24"/>
        </w:rPr>
        <w:t>合同生效后</w:t>
      </w:r>
      <w:r>
        <w:rPr>
          <w:rFonts w:hint="eastAsia" w:ascii="宋体" w:hAnsi="宋体"/>
          <w:sz w:val="24"/>
          <w:u w:val="single" w:color="000000"/>
        </w:rPr>
        <w:t xml:space="preserve">7 </w:t>
      </w:r>
      <w:r>
        <w:rPr>
          <w:rFonts w:hint="eastAsia" w:ascii="宋体" w:hAnsi="宋体"/>
          <w:sz w:val="24"/>
        </w:rPr>
        <w:t>天之内，卖方应将每台设备和仪器的中文技术资料一套，如目录索引、图纸、操作手册、使用指南、维修指南和／或服务手册和示意图寄给买方。</w:t>
      </w:r>
    </w:p>
    <w:p>
      <w:pPr>
        <w:snapToGrid w:val="0"/>
        <w:spacing w:before="120" w:line="360" w:lineRule="auto"/>
        <w:textAlignment w:val="baseline"/>
        <w:rPr>
          <w:rFonts w:ascii="宋体" w:hAnsi="宋体"/>
          <w:sz w:val="24"/>
        </w:rPr>
      </w:pPr>
      <w:r>
        <w:rPr>
          <w:rFonts w:ascii="宋体" w:hAnsi="宋体"/>
          <w:sz w:val="24"/>
        </w:rPr>
        <w:t>10</w:t>
      </w:r>
      <w:r>
        <w:rPr>
          <w:rFonts w:hint="eastAsia" w:ascii="宋体" w:hAnsi="宋体"/>
          <w:sz w:val="24"/>
        </w:rPr>
        <w:t>.2    另外一套完整的上述资料应包装好随同每批货物一起发运。</w:t>
      </w:r>
    </w:p>
    <w:p>
      <w:pPr>
        <w:snapToGrid w:val="0"/>
        <w:spacing w:before="120" w:line="360" w:lineRule="auto"/>
        <w:ind w:left="960" w:hanging="960"/>
        <w:textAlignment w:val="baseline"/>
        <w:rPr>
          <w:rFonts w:ascii="宋体" w:hAnsi="宋体"/>
          <w:sz w:val="24"/>
        </w:rPr>
      </w:pPr>
      <w:r>
        <w:rPr>
          <w:rFonts w:ascii="宋体" w:hAnsi="宋体"/>
          <w:sz w:val="24"/>
        </w:rPr>
        <w:t>10</w:t>
      </w:r>
      <w:r>
        <w:rPr>
          <w:rFonts w:hint="eastAsia" w:ascii="宋体" w:hAnsi="宋体"/>
          <w:sz w:val="24"/>
        </w:rPr>
        <w:t>.3    如果买方确认卖方提供的技术资料不完整或在运输过程中丢失，卖方将在收到买方通知后</w:t>
      </w:r>
      <w:r>
        <w:rPr>
          <w:rFonts w:hint="eastAsia" w:ascii="宋体" w:hAnsi="宋体"/>
          <w:sz w:val="24"/>
          <w:u w:val="single" w:color="000000"/>
        </w:rPr>
        <w:t xml:space="preserve"> 3 </w:t>
      </w:r>
      <w:r>
        <w:rPr>
          <w:rFonts w:hint="eastAsia" w:ascii="宋体" w:hAnsi="宋体"/>
          <w:sz w:val="24"/>
        </w:rPr>
        <w:t>天内将这些资料免费寄给买方。</w:t>
      </w:r>
    </w:p>
    <w:p>
      <w:pPr>
        <w:pStyle w:val="6"/>
        <w:snapToGrid w:val="0"/>
        <w:textAlignment w:val="baseline"/>
        <w:rPr>
          <w:rFonts w:hint="default"/>
        </w:rPr>
      </w:pPr>
      <w:bookmarkStart w:id="376" w:name="_Toc29574"/>
      <w:bookmarkStart w:id="377" w:name="_Toc60313300"/>
      <w:bookmarkStart w:id="378" w:name="_Toc75519543"/>
      <w:bookmarkStart w:id="379" w:name="_Toc14764"/>
      <w:bookmarkStart w:id="380" w:name="_Toc163893429"/>
      <w:r>
        <w:t>11 质量保证</w:t>
      </w:r>
      <w:bookmarkEnd w:id="376"/>
      <w:bookmarkEnd w:id="377"/>
      <w:bookmarkEnd w:id="378"/>
      <w:bookmarkEnd w:id="379"/>
      <w:bookmarkEnd w:id="380"/>
    </w:p>
    <w:p>
      <w:pPr>
        <w:snapToGrid w:val="0"/>
        <w:spacing w:line="360" w:lineRule="auto"/>
        <w:ind w:left="960" w:hanging="960"/>
        <w:textAlignment w:val="baseline"/>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.1    卖方须保证货物是全新、未使用过的，并完全符合强制性的国家技术质量规范和合同规定的质量、规格、性能和技术规范等的要求。</w:t>
      </w:r>
    </w:p>
    <w:p>
      <w:pPr>
        <w:snapToGrid w:val="0"/>
        <w:spacing w:line="360" w:lineRule="auto"/>
        <w:ind w:left="960" w:hanging="960"/>
        <w:textAlignment w:val="baseline"/>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.2</w:t>
      </w:r>
      <w:r>
        <w:rPr>
          <w:rFonts w:hint="eastAsia" w:ascii="宋体" w:hAnsi="宋体"/>
          <w:sz w:val="24"/>
        </w:rPr>
        <w:tab/>
      </w:r>
      <w:r>
        <w:rPr>
          <w:rFonts w:hint="eastAsia" w:ascii="宋体" w:hAnsi="宋体"/>
          <w:sz w:val="24"/>
        </w:rPr>
        <w:t>卖方须保证所提供的货物经正确安装、正常运转和保养，在其使用寿命期内须具有符合质量要求和产品说明书的性能。卖方须对由于设计、工艺或材料的缺陷而发生的任何不足或故障负责。</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hint="eastAsia" w:ascii="宋体" w:hAnsi="宋体"/>
          <w:sz w:val="24"/>
          <w:u w:val="single" w:color="000000"/>
        </w:rPr>
        <w:t xml:space="preserve">  3 </w:t>
      </w:r>
      <w:r>
        <w:rPr>
          <w:rFonts w:hint="eastAsia" w:ascii="宋体" w:hAnsi="宋体"/>
          <w:sz w:val="24"/>
        </w:rPr>
        <w:t>天内应免费维修或更换有缺陷的货物或部件。</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.4    如果卖方在收到通知后</w:t>
      </w:r>
      <w:r>
        <w:rPr>
          <w:rFonts w:hint="eastAsia" w:ascii="宋体" w:hAnsi="宋体"/>
          <w:sz w:val="24"/>
          <w:u w:val="single" w:color="000000"/>
        </w:rPr>
        <w:t xml:space="preserve">  3  </w:t>
      </w:r>
      <w:r>
        <w:rPr>
          <w:rFonts w:hint="eastAsia" w:ascii="宋体" w:hAnsi="宋体"/>
          <w:sz w:val="24"/>
        </w:rPr>
        <w:t>天内没有弥补缺陷，买方可采取必要的补救措施，但由此引发的风险和费用将由卖方承担。</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.5    除招标文件另有规定外，合同项下货物的质量保证期为自货物通过最终验收起至少</w:t>
      </w:r>
      <w:r>
        <w:rPr>
          <w:rFonts w:ascii="宋体" w:hAnsi="宋体"/>
          <w:sz w:val="24"/>
        </w:rPr>
        <w:t>12</w:t>
      </w:r>
      <w:r>
        <w:rPr>
          <w:rFonts w:hint="eastAsia" w:ascii="宋体" w:hAnsi="宋体"/>
          <w:sz w:val="24"/>
        </w:rPr>
        <w:t>个月。</w:t>
      </w:r>
    </w:p>
    <w:p>
      <w:pPr>
        <w:pStyle w:val="6"/>
        <w:snapToGrid w:val="0"/>
        <w:textAlignment w:val="baseline"/>
        <w:rPr>
          <w:rFonts w:hint="default"/>
        </w:rPr>
      </w:pPr>
      <w:bookmarkStart w:id="381" w:name="_Toc60313301"/>
      <w:bookmarkStart w:id="382" w:name="_Toc75519544"/>
      <w:bookmarkStart w:id="383" w:name="_Toc27352"/>
      <w:bookmarkStart w:id="384" w:name="_Toc21947"/>
      <w:bookmarkStart w:id="385" w:name="_Toc163893430"/>
      <w:r>
        <w:t>12 检验和验收</w:t>
      </w:r>
      <w:bookmarkEnd w:id="381"/>
      <w:bookmarkEnd w:id="382"/>
      <w:bookmarkEnd w:id="383"/>
      <w:bookmarkEnd w:id="384"/>
      <w:bookmarkEnd w:id="385"/>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.1    在交货前，卖方应对货物的质量、规格、性能、数量和重量等进行详细而全面的检验，并出具证明货物符合合同规定的文件。该文件将作为申请付款单据的一部分，但有关质量、规格、性能、数量或重量的检验不应视为最终检验。</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 xml:space="preserve">.2    </w:t>
      </w:r>
      <w:r>
        <w:rPr>
          <w:rFonts w:hint="eastAsia"/>
          <w:sz w:val="24"/>
        </w:rPr>
        <w:t>货物运抵现场后或安装完工后，买方应</w:t>
      </w:r>
      <w:bookmarkStart w:id="386" w:name="_Hlk46151707"/>
      <w:r>
        <w:rPr>
          <w:rFonts w:hint="eastAsia"/>
          <w:sz w:val="24"/>
        </w:rPr>
        <w:t>于收到卖方书面验收申请后</w:t>
      </w:r>
      <w:r>
        <w:rPr>
          <w:sz w:val="24"/>
        </w:rPr>
        <w:t>30</w:t>
      </w:r>
      <w:r>
        <w:rPr>
          <w:rFonts w:hint="eastAsia"/>
          <w:sz w:val="24"/>
        </w:rPr>
        <w:t>日内</w:t>
      </w:r>
      <w:bookmarkEnd w:id="386"/>
      <w:r>
        <w:rPr>
          <w:rFonts w:hint="eastAsia"/>
          <w:sz w:val="24"/>
        </w:rPr>
        <w:t>组织验收，并制作验收备忘录，签署验收报告。上述验收为形式验收，买方签署验收合格报告并不能豁免卖方因货物潜藏质量问题或设计缺陷等原因造成的产品质量责任。</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 xml:space="preserve">.3  </w:t>
      </w:r>
      <w:r>
        <w:rPr>
          <w:rFonts w:ascii="宋体" w:hAnsi="宋体"/>
          <w:sz w:val="24"/>
        </w:rPr>
        <w:t xml:space="preserve"> </w:t>
      </w:r>
      <w:r>
        <w:rPr>
          <w:rFonts w:hint="eastAsia" w:ascii="宋体" w:hAnsi="宋体"/>
          <w:sz w:val="24"/>
        </w:rPr>
        <w:t>如需要，</w:t>
      </w:r>
      <w:r>
        <w:rPr>
          <w:rFonts w:hint="eastAsia"/>
          <w:sz w:val="24"/>
        </w:rPr>
        <w:t>卖方</w:t>
      </w:r>
      <w:r>
        <w:rPr>
          <w:rFonts w:hint="eastAsia" w:ascii="宋体" w:hAnsi="宋体"/>
          <w:sz w:val="24"/>
        </w:rPr>
        <w:t>负责货物安装、调试。安装、调试中所需各种工具、仪器仪表及易损件，由</w:t>
      </w:r>
      <w:r>
        <w:rPr>
          <w:rFonts w:hint="eastAsia"/>
          <w:sz w:val="24"/>
        </w:rPr>
        <w:t>卖方</w:t>
      </w:r>
      <w:r>
        <w:rPr>
          <w:rFonts w:hint="eastAsia" w:ascii="宋体" w:hAnsi="宋体"/>
          <w:sz w:val="24"/>
        </w:rPr>
        <w:t xml:space="preserve">自备。 </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 xml:space="preserve">2.4   </w:t>
      </w:r>
      <w:r>
        <w:rPr>
          <w:rFonts w:hint="eastAsia" w:ascii="宋体" w:hAnsi="宋体"/>
          <w:sz w:val="24"/>
        </w:rPr>
        <w:t>验收标准：符合招标文件和中标人提供的投标文件中所列的指标。</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 xml:space="preserve">2.5   </w:t>
      </w:r>
      <w:r>
        <w:rPr>
          <w:rFonts w:hint="eastAsia" w:ascii="宋体" w:hAnsi="宋体"/>
          <w:sz w:val="24"/>
        </w:rPr>
        <w:t>买方经验收，因货物不符合本合同约定提出异议的，卖方在接到买方书面异议后，应在5个工作日内负责处理或做出相关书面答复，否则即视为接受买方提出的异议和处理意见。</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 xml:space="preserve">2.6    </w:t>
      </w:r>
      <w:r>
        <w:rPr>
          <w:rFonts w:hint="eastAsia" w:ascii="宋体" w:hAnsi="宋体"/>
          <w:sz w:val="24"/>
        </w:rPr>
        <w:t>买方有在货物制造过程中派员监造的权利</w:t>
      </w:r>
      <w:r>
        <w:rPr>
          <w:rFonts w:ascii="宋体" w:hAnsi="宋体"/>
          <w:sz w:val="24"/>
        </w:rPr>
        <w:t xml:space="preserve">, </w:t>
      </w:r>
      <w:r>
        <w:rPr>
          <w:rFonts w:hint="eastAsia" w:ascii="宋体" w:hAnsi="宋体"/>
          <w:sz w:val="24"/>
        </w:rPr>
        <w:t>卖方有义务为买方监造人员行使该权利提供方便。</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2</w:t>
      </w:r>
      <w:r>
        <w:rPr>
          <w:rFonts w:hint="eastAsia" w:ascii="宋体" w:hAnsi="宋体"/>
          <w:sz w:val="24"/>
        </w:rPr>
        <w:t>.</w:t>
      </w:r>
      <w:r>
        <w:rPr>
          <w:rFonts w:ascii="宋体" w:hAnsi="宋体"/>
          <w:sz w:val="24"/>
        </w:rPr>
        <w:t>7</w:t>
      </w:r>
      <w:r>
        <w:rPr>
          <w:rFonts w:hint="eastAsia" w:ascii="宋体" w:hAnsi="宋体"/>
          <w:sz w:val="24"/>
        </w:rPr>
        <w:t xml:space="preserve">    制造厂对所供货物进行机械运转试验和性能试验时，中标人必须提前通知买方。</w:t>
      </w:r>
    </w:p>
    <w:p>
      <w:pPr>
        <w:pStyle w:val="6"/>
        <w:snapToGrid w:val="0"/>
        <w:textAlignment w:val="baseline"/>
        <w:rPr>
          <w:rFonts w:hint="default"/>
        </w:rPr>
      </w:pPr>
      <w:bookmarkStart w:id="387" w:name="_Toc21809"/>
      <w:bookmarkStart w:id="388" w:name="_Toc30798"/>
      <w:bookmarkStart w:id="389" w:name="_Toc60313302"/>
      <w:bookmarkStart w:id="390" w:name="_Toc75519545"/>
      <w:bookmarkStart w:id="391" w:name="_Toc163893431"/>
      <w:r>
        <w:t>13 索赔</w:t>
      </w:r>
      <w:bookmarkEnd w:id="387"/>
      <w:bookmarkEnd w:id="388"/>
      <w:bookmarkEnd w:id="389"/>
      <w:bookmarkEnd w:id="390"/>
      <w:bookmarkEnd w:id="391"/>
    </w:p>
    <w:p>
      <w:pPr>
        <w:snapToGrid w:val="0"/>
        <w:spacing w:before="120" w:line="360" w:lineRule="auto"/>
        <w:ind w:left="900" w:hanging="90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pPr>
        <w:snapToGrid w:val="0"/>
        <w:spacing w:before="120" w:line="360" w:lineRule="auto"/>
        <w:ind w:left="900" w:hanging="90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.2   在根据合同第1</w:t>
      </w:r>
      <w:r>
        <w:rPr>
          <w:rFonts w:ascii="宋体" w:hAnsi="宋体"/>
          <w:sz w:val="24"/>
        </w:rPr>
        <w:t>1</w:t>
      </w:r>
      <w:r>
        <w:rPr>
          <w:rFonts w:hint="eastAsia" w:ascii="宋体" w:hAnsi="宋体"/>
          <w:sz w:val="24"/>
        </w:rPr>
        <w:t>条和第1</w:t>
      </w:r>
      <w:r>
        <w:rPr>
          <w:rFonts w:ascii="宋体" w:hAnsi="宋体"/>
          <w:sz w:val="24"/>
        </w:rPr>
        <w:t>2</w:t>
      </w:r>
      <w:r>
        <w:rPr>
          <w:rFonts w:hint="eastAsia" w:ascii="宋体" w:hAnsi="宋体"/>
          <w:sz w:val="24"/>
        </w:rPr>
        <w:t>条规定的检验期和质量保证期内，如果卖方对买方提出的索赔负有责任，卖方应按照买方同意的下列一种或多种方式解决索赔事宜：</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.2.2  根据货物低劣程度、损坏程度以及买方所遭受损失的数额，经买卖双方商定降低货物的价格，或由有权的部门评估，以降低后的价格或评估价格为准。</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.2.3  用符合规格、质量和性能要求的新零件、部件或货物来更换有缺陷的部分或／和修补缺陷部分，卖方应承担一切费用和风险并负担买方所发生的一切直接费用。同时，卖方应按合同第</w:t>
      </w:r>
      <w:r>
        <w:rPr>
          <w:rFonts w:ascii="宋体" w:hAnsi="宋体"/>
          <w:sz w:val="24"/>
        </w:rPr>
        <w:t>10</w:t>
      </w:r>
      <w:r>
        <w:rPr>
          <w:rFonts w:hint="eastAsia" w:ascii="宋体" w:hAnsi="宋体"/>
          <w:sz w:val="24"/>
        </w:rPr>
        <w:t>条规定，相应延长修补或更换件的质量保证期。</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3</w:t>
      </w:r>
      <w:r>
        <w:rPr>
          <w:rFonts w:hint="eastAsia" w:ascii="宋体" w:hAnsi="宋体"/>
          <w:sz w:val="24"/>
        </w:rPr>
        <w:t xml:space="preserve">.3    </w:t>
      </w:r>
      <w:r>
        <w:rPr>
          <w:rFonts w:ascii="宋体" w:hAnsi="宋体"/>
          <w:sz w:val="24"/>
        </w:rPr>
        <w:t>如果在卖方收到索赔通知后</w:t>
      </w:r>
      <w:r>
        <w:rPr>
          <w:rFonts w:ascii="宋体" w:hAnsi="宋体"/>
          <w:sz w:val="24"/>
          <w:u w:val="single" w:color="000000"/>
        </w:rPr>
        <w:t>3</w:t>
      </w:r>
      <w:r>
        <w:rPr>
          <w:rFonts w:ascii="宋体" w:hAnsi="宋体"/>
          <w:sz w:val="24"/>
        </w:rPr>
        <w:t>天内，卖方未作答复，上述索赔应视为已被卖方接受。</w:t>
      </w:r>
      <w:r>
        <w:rPr>
          <w:rFonts w:hint="eastAsia" w:ascii="宋体" w:hAnsi="宋体"/>
          <w:sz w:val="24"/>
        </w:rPr>
        <w:t>如卖方未能在买方提出索赔通知后</w:t>
      </w:r>
      <w:r>
        <w:rPr>
          <w:rFonts w:hint="eastAsia" w:ascii="宋体" w:hAnsi="宋体"/>
          <w:sz w:val="24"/>
          <w:u w:val="single" w:color="000000"/>
        </w:rPr>
        <w:t xml:space="preserve"> 7 </w:t>
      </w:r>
      <w:r>
        <w:rPr>
          <w:rFonts w:hint="eastAsia" w:ascii="宋体" w:hAnsi="宋体"/>
          <w:sz w:val="24"/>
        </w:rPr>
        <w:t>天内或买方同意的更长时间内，按照本合同第1</w:t>
      </w:r>
      <w:r>
        <w:rPr>
          <w:rFonts w:ascii="宋体" w:hAnsi="宋体"/>
          <w:sz w:val="24"/>
        </w:rPr>
        <w:t>3</w:t>
      </w:r>
      <w:r>
        <w:rPr>
          <w:rFonts w:hint="eastAsia" w:ascii="宋体" w:hAnsi="宋体"/>
          <w:sz w:val="24"/>
        </w:rPr>
        <w:t>.2条规定的任何一种方法解决索赔事宜，买方将从合同款中扣回索赔金额。如果这些金额不足以补偿索赔金额，买方有权向卖方提出不足部分的索赔。</w:t>
      </w:r>
    </w:p>
    <w:p>
      <w:pPr>
        <w:pStyle w:val="6"/>
        <w:snapToGrid w:val="0"/>
        <w:textAlignment w:val="baseline"/>
        <w:rPr>
          <w:rFonts w:hint="default"/>
        </w:rPr>
      </w:pPr>
      <w:bookmarkStart w:id="392" w:name="_Toc60313303"/>
      <w:bookmarkStart w:id="393" w:name="_Toc19392"/>
      <w:bookmarkStart w:id="394" w:name="_Toc163893432"/>
      <w:bookmarkStart w:id="395" w:name="_Toc13221"/>
      <w:bookmarkStart w:id="396" w:name="_Toc75519546"/>
      <w:r>
        <w:t>14 延迟交货</w:t>
      </w:r>
      <w:bookmarkEnd w:id="392"/>
      <w:bookmarkEnd w:id="393"/>
      <w:bookmarkEnd w:id="394"/>
      <w:bookmarkEnd w:id="395"/>
      <w:bookmarkEnd w:id="396"/>
    </w:p>
    <w:p>
      <w:pPr>
        <w:snapToGrid w:val="0"/>
        <w:spacing w:before="120" w:line="360" w:lineRule="auto"/>
        <w:ind w:left="901" w:hanging="960"/>
        <w:textAlignment w:val="baseline"/>
        <w:rPr>
          <w:rFonts w:ascii="宋体" w:hAnsi="宋体"/>
          <w:sz w:val="24"/>
        </w:rPr>
      </w:pPr>
      <w:r>
        <w:rPr>
          <w:rFonts w:hint="eastAsia" w:ascii="宋体" w:hAnsi="宋体"/>
          <w:sz w:val="24"/>
        </w:rPr>
        <w:t>1</w:t>
      </w:r>
      <w:r>
        <w:rPr>
          <w:rFonts w:ascii="宋体" w:hAnsi="宋体"/>
          <w:sz w:val="24"/>
        </w:rPr>
        <w:t>4</w:t>
      </w:r>
      <w:r>
        <w:rPr>
          <w:rFonts w:hint="eastAsia" w:ascii="宋体" w:hAnsi="宋体"/>
          <w:sz w:val="24"/>
        </w:rPr>
        <w:t>.1   卖方应按照“合同专用条款”中买方规定的时间表交货和提供服务。</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4</w:t>
      </w:r>
      <w:r>
        <w:rPr>
          <w:rFonts w:hint="eastAsia" w:ascii="宋体" w:hAnsi="宋体"/>
          <w:sz w:val="24"/>
        </w:rPr>
        <w:t>.2   如果卖方无正当理由迟延交货，买方有权提出违约损失赔偿或解除合同。</w:t>
      </w:r>
    </w:p>
    <w:p>
      <w:pPr>
        <w:snapToGrid w:val="0"/>
        <w:spacing w:before="120" w:line="360" w:lineRule="auto"/>
        <w:ind w:left="900" w:hanging="960"/>
        <w:textAlignment w:val="baseline"/>
        <w:rPr>
          <w:rFonts w:ascii="宋体" w:hAnsi="宋体"/>
          <w:sz w:val="24"/>
        </w:rPr>
      </w:pPr>
      <w:r>
        <w:rPr>
          <w:rFonts w:hint="eastAsia" w:ascii="宋体" w:hAnsi="宋体"/>
          <w:sz w:val="24"/>
        </w:rPr>
        <w:t>1</w:t>
      </w:r>
      <w:r>
        <w:rPr>
          <w:rFonts w:ascii="宋体" w:hAnsi="宋体"/>
          <w:sz w:val="24"/>
        </w:rPr>
        <w:t>4</w:t>
      </w:r>
      <w:r>
        <w:rPr>
          <w:rFonts w:hint="eastAsia" w:ascii="宋体" w:hAnsi="宋体"/>
          <w:sz w:val="24"/>
        </w:rPr>
        <w:t>.3    在履行合同过程中，如果卖方遇到不能按时交货和提供服务的情况，应及时以书面形式将不能按时交货的理由、预期延误时间通知买方。买方收到卖方通知后，认为其理由正当的，可酌情延长交货时间。</w:t>
      </w:r>
    </w:p>
    <w:p>
      <w:pPr>
        <w:pStyle w:val="6"/>
        <w:snapToGrid w:val="0"/>
        <w:textAlignment w:val="baseline"/>
        <w:rPr>
          <w:rFonts w:hint="default"/>
        </w:rPr>
      </w:pPr>
      <w:bookmarkStart w:id="397" w:name="_Toc405"/>
      <w:bookmarkStart w:id="398" w:name="_Toc75519547"/>
      <w:bookmarkStart w:id="399" w:name="_Toc21633"/>
      <w:bookmarkStart w:id="400" w:name="_Toc163893433"/>
      <w:bookmarkStart w:id="401" w:name="_Toc60313304"/>
      <w:r>
        <w:t>15违约赔偿</w:t>
      </w:r>
      <w:bookmarkEnd w:id="397"/>
      <w:bookmarkEnd w:id="398"/>
      <w:bookmarkEnd w:id="399"/>
      <w:bookmarkEnd w:id="400"/>
      <w:bookmarkEnd w:id="401"/>
    </w:p>
    <w:p>
      <w:pPr>
        <w:snapToGrid w:val="0"/>
        <w:spacing w:before="120" w:line="360" w:lineRule="auto"/>
        <w:ind w:left="900" w:hanging="900" w:hangingChars="375"/>
        <w:textAlignment w:val="baseline"/>
        <w:rPr>
          <w:rFonts w:ascii="宋体" w:hAnsi="宋体"/>
          <w:sz w:val="24"/>
        </w:rPr>
      </w:pPr>
      <w:r>
        <w:rPr>
          <w:rFonts w:hint="eastAsia" w:ascii="宋体" w:hAnsi="宋体"/>
          <w:sz w:val="24"/>
        </w:rPr>
        <w:t>1</w:t>
      </w:r>
      <w:r>
        <w:rPr>
          <w:rFonts w:ascii="宋体" w:hAnsi="宋体"/>
          <w:sz w:val="24"/>
        </w:rPr>
        <w:t>5</w:t>
      </w:r>
      <w:r>
        <w:rPr>
          <w:rFonts w:hint="eastAsia" w:ascii="宋体" w:hAnsi="宋体"/>
          <w:sz w:val="24"/>
        </w:rPr>
        <w:t>.1   除合同第1</w:t>
      </w:r>
      <w:r>
        <w:rPr>
          <w:rFonts w:ascii="宋体" w:hAnsi="宋体"/>
          <w:sz w:val="24"/>
        </w:rPr>
        <w:t>6</w:t>
      </w:r>
      <w:r>
        <w:rPr>
          <w:rFonts w:hint="eastAsia" w:ascii="宋体" w:hAnsi="宋体"/>
          <w:sz w:val="24"/>
        </w:rPr>
        <w:t>条规定外，如果卖方没有按照合同规定的时间交货和提供服务，买方可要求卖方支付违约金。违约金按每周迟交货物或未提供服务合同价的</w:t>
      </w:r>
      <w:r>
        <w:rPr>
          <w:rFonts w:ascii="宋体" w:hAnsi="宋体"/>
          <w:sz w:val="24"/>
        </w:rPr>
        <w:t>2%</w:t>
      </w:r>
      <w:r>
        <w:rPr>
          <w:rFonts w:hint="eastAsia" w:ascii="宋体" w:hAnsi="宋体"/>
          <w:sz w:val="24"/>
        </w:rPr>
        <w:t>计收。但违约金的最高限额为迟交货物或没有提供服务的合同价的</w:t>
      </w:r>
      <w:r>
        <w:rPr>
          <w:rFonts w:ascii="宋体" w:hAnsi="宋体"/>
          <w:sz w:val="24"/>
        </w:rPr>
        <w:t>10%</w:t>
      </w:r>
      <w:r>
        <w:rPr>
          <w:rFonts w:hint="eastAsia" w:ascii="宋体" w:hAnsi="宋体"/>
          <w:sz w:val="24"/>
        </w:rPr>
        <w:t>。一周按7天计算，不足7天按一周计算。如果达到最高限额，买方有权解除合同。</w:t>
      </w:r>
    </w:p>
    <w:p>
      <w:pPr>
        <w:pStyle w:val="6"/>
        <w:snapToGrid w:val="0"/>
        <w:textAlignment w:val="baseline"/>
        <w:rPr>
          <w:rFonts w:hint="default"/>
        </w:rPr>
      </w:pPr>
      <w:bookmarkStart w:id="402" w:name="_Toc60313305"/>
      <w:bookmarkStart w:id="403" w:name="_Toc27272"/>
      <w:bookmarkStart w:id="404" w:name="_Toc75519548"/>
      <w:bookmarkStart w:id="405" w:name="_Toc16181"/>
      <w:bookmarkStart w:id="406" w:name="_Toc163893434"/>
      <w:r>
        <w:t>16不可抗力</w:t>
      </w:r>
      <w:bookmarkEnd w:id="402"/>
      <w:bookmarkEnd w:id="403"/>
      <w:bookmarkEnd w:id="404"/>
      <w:bookmarkEnd w:id="405"/>
      <w:bookmarkEnd w:id="406"/>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.1    如果双方中任何一方遭遇法律规定的不可抗力，致使合同履行受阻时，履行合同的期限应予延长，延长的期限应相当于不可抗力所影响的时间。</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.2    受事故影响的一方应在不可抗力的事故发生后尽快书面形式通知另一方，并在事故发生后</w:t>
      </w:r>
      <w:r>
        <w:rPr>
          <w:rFonts w:hint="eastAsia" w:ascii="宋体" w:hAnsi="宋体"/>
          <w:sz w:val="24"/>
          <w:u w:val="single" w:color="000000"/>
        </w:rPr>
        <w:t xml:space="preserve"> 7 </w:t>
      </w:r>
      <w:r>
        <w:rPr>
          <w:rFonts w:hint="eastAsia" w:ascii="宋体" w:hAnsi="宋体"/>
          <w:sz w:val="24"/>
        </w:rPr>
        <w:t>天内，将有关部门出具的证明文件送达另一方。</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.3</w:t>
      </w:r>
      <w:r>
        <w:rPr>
          <w:rFonts w:hint="eastAsia" w:ascii="宋体" w:hAnsi="宋体"/>
          <w:sz w:val="24"/>
        </w:rPr>
        <w:tab/>
      </w:r>
      <w:r>
        <w:rPr>
          <w:rFonts w:hint="eastAsia" w:ascii="宋体" w:hAnsi="宋体"/>
          <w:sz w:val="24"/>
        </w:rPr>
        <w:t>不可抗力使合同的某些内容有变更必要的，双方应通过协商在</w:t>
      </w:r>
      <w:r>
        <w:rPr>
          <w:rFonts w:hint="eastAsia" w:ascii="宋体" w:hAnsi="宋体"/>
          <w:sz w:val="24"/>
          <w:u w:val="single" w:color="000000"/>
        </w:rPr>
        <w:t xml:space="preserve">7 </w:t>
      </w:r>
      <w:r>
        <w:rPr>
          <w:rFonts w:hint="eastAsia" w:ascii="宋体" w:hAnsi="宋体"/>
          <w:sz w:val="24"/>
        </w:rPr>
        <w:t>日内达成进一步履行合同的协议，因不可抗力致使合同不能履行的，合同终止。</w:t>
      </w:r>
    </w:p>
    <w:p>
      <w:pPr>
        <w:pStyle w:val="6"/>
        <w:snapToGrid w:val="0"/>
        <w:textAlignment w:val="baseline"/>
        <w:rPr>
          <w:rFonts w:hint="default"/>
        </w:rPr>
      </w:pPr>
      <w:bookmarkStart w:id="407" w:name="_Toc20847"/>
      <w:bookmarkStart w:id="408" w:name="_Toc60313306"/>
      <w:bookmarkStart w:id="409" w:name="_Toc75519549"/>
      <w:bookmarkStart w:id="410" w:name="_Toc32649"/>
      <w:bookmarkStart w:id="411" w:name="_Toc163893435"/>
      <w:r>
        <w:t>17税费</w:t>
      </w:r>
      <w:bookmarkEnd w:id="407"/>
      <w:bookmarkEnd w:id="408"/>
      <w:bookmarkEnd w:id="409"/>
      <w:bookmarkEnd w:id="410"/>
      <w:bookmarkEnd w:id="411"/>
    </w:p>
    <w:p>
      <w:pPr>
        <w:snapToGrid w:val="0"/>
        <w:spacing w:before="120" w:line="360" w:lineRule="auto"/>
        <w:textAlignment w:val="baseline"/>
        <w:rPr>
          <w:rFonts w:ascii="宋体" w:hAnsi="宋体"/>
          <w:sz w:val="24"/>
        </w:rPr>
      </w:pPr>
      <w:r>
        <w:rPr>
          <w:rFonts w:hint="eastAsia" w:ascii="宋体" w:hAnsi="宋体"/>
          <w:sz w:val="24"/>
        </w:rPr>
        <w:t>1</w:t>
      </w:r>
      <w:r>
        <w:rPr>
          <w:rFonts w:ascii="宋体" w:hAnsi="宋体"/>
          <w:sz w:val="24"/>
        </w:rPr>
        <w:t>7</w:t>
      </w:r>
      <w:r>
        <w:rPr>
          <w:rFonts w:hint="eastAsia" w:ascii="宋体" w:hAnsi="宋体"/>
          <w:sz w:val="24"/>
        </w:rPr>
        <w:t>.1    与本合同有关的一切税费均适用中华人民共和国法律的相关规定。</w:t>
      </w:r>
    </w:p>
    <w:p>
      <w:pPr>
        <w:pStyle w:val="6"/>
        <w:snapToGrid w:val="0"/>
        <w:textAlignment w:val="baseline"/>
        <w:rPr>
          <w:rFonts w:hint="default"/>
        </w:rPr>
      </w:pPr>
      <w:bookmarkStart w:id="412" w:name="_Toc13617"/>
      <w:bookmarkStart w:id="413" w:name="_Toc60313307"/>
      <w:bookmarkStart w:id="414" w:name="_Toc163893436"/>
      <w:bookmarkStart w:id="415" w:name="_Toc75519550"/>
      <w:bookmarkStart w:id="416" w:name="_Toc17257"/>
      <w:r>
        <w:t>18合同争议的解决</w:t>
      </w:r>
      <w:bookmarkEnd w:id="412"/>
      <w:bookmarkEnd w:id="413"/>
      <w:bookmarkEnd w:id="414"/>
      <w:bookmarkEnd w:id="415"/>
      <w:bookmarkEnd w:id="416"/>
    </w:p>
    <w:p>
      <w:pPr>
        <w:snapToGrid w:val="0"/>
        <w:spacing w:before="119" w:line="331" w:lineRule="auto"/>
        <w:ind w:left="958" w:hanging="952"/>
        <w:textAlignment w:val="baseline"/>
        <w:rPr>
          <w:rFonts w:ascii="宋体" w:hAnsi="宋体"/>
          <w:sz w:val="24"/>
        </w:rPr>
      </w:pPr>
      <w:bookmarkStart w:id="417" w:name="_Toc163893437"/>
      <w:bookmarkStart w:id="418" w:name="_Toc60313308"/>
      <w:bookmarkStart w:id="419" w:name="_Toc75519551"/>
      <w:r>
        <w:rPr>
          <w:rFonts w:ascii="宋体" w:hAnsi="宋体"/>
          <w:sz w:val="24"/>
        </w:rPr>
        <w:t>18.1    因合同履行中发生的争议，可通过合同当事人双方友好协商解决。如自协商开始之起15日内得不到解决，双方应将争议提交同级政府采购办公室调解。调解不成的，可申请北京仲裁委员会进行仲裁或向人民法院提起诉讼。</w:t>
      </w:r>
    </w:p>
    <w:p>
      <w:pPr>
        <w:snapToGrid w:val="0"/>
        <w:spacing w:before="119" w:line="331" w:lineRule="auto"/>
        <w:ind w:left="958" w:hanging="952"/>
        <w:textAlignment w:val="baseline"/>
        <w:rPr>
          <w:rFonts w:ascii="宋体" w:hAnsi="宋体"/>
          <w:sz w:val="24"/>
        </w:rPr>
      </w:pPr>
      <w:r>
        <w:rPr>
          <w:rFonts w:ascii="宋体" w:hAnsi="宋体"/>
          <w:sz w:val="24"/>
        </w:rPr>
        <w:t>18.2    仲裁裁决为最终裁决，当事人一方在规定时间内不履行仲裁机构裁决的，另一方可以申请人民法院强制执行。</w:t>
      </w:r>
    </w:p>
    <w:p>
      <w:pPr>
        <w:tabs>
          <w:tab w:val="left" w:pos="901"/>
        </w:tabs>
        <w:snapToGrid w:val="0"/>
        <w:spacing w:before="119" w:line="331" w:lineRule="auto"/>
        <w:textAlignment w:val="baseline"/>
        <w:rPr>
          <w:rFonts w:ascii="宋体" w:hAnsi="宋体"/>
          <w:sz w:val="24"/>
        </w:rPr>
      </w:pPr>
      <w:r>
        <w:rPr>
          <w:rFonts w:ascii="宋体" w:hAnsi="宋体"/>
          <w:sz w:val="24"/>
        </w:rPr>
        <w:t>18.3    仲裁费用和诉讼费用除仲裁机构或法院另有裁决外，应由败诉方负担。</w:t>
      </w:r>
    </w:p>
    <w:p>
      <w:pPr>
        <w:pStyle w:val="6"/>
        <w:snapToGrid w:val="0"/>
        <w:textAlignment w:val="baseline"/>
        <w:rPr>
          <w:rFonts w:hint="default"/>
        </w:rPr>
      </w:pPr>
      <w:bookmarkStart w:id="420" w:name="_Toc22480"/>
      <w:bookmarkStart w:id="421" w:name="_Toc17996"/>
      <w:r>
        <w:t>19违约解除合同</w:t>
      </w:r>
      <w:bookmarkEnd w:id="417"/>
      <w:bookmarkEnd w:id="418"/>
      <w:bookmarkEnd w:id="419"/>
      <w:bookmarkEnd w:id="420"/>
      <w:bookmarkEnd w:id="421"/>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    在卖方出现下列违约行为的情况下，买方经同级政府采购监督管理机关审批后，可向卖方发出书面通知，部分或全部终止合同。同时保留向卖方追诉的权利。</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.1.1  卖方未能在合同规定的限期或买方同意延长的限期内，提供全部或部分货物的；</w:t>
      </w:r>
    </w:p>
    <w:p>
      <w:pPr>
        <w:snapToGrid w:val="0"/>
        <w:spacing w:before="120" w:line="360" w:lineRule="auto"/>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.1.2  卖方未能履行合同规定的其它主要义务导致合同目的不能实现的；</w:t>
      </w:r>
    </w:p>
    <w:p>
      <w:pPr>
        <w:snapToGrid w:val="0"/>
        <w:spacing w:before="120" w:line="360" w:lineRule="auto"/>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.1.3  在本合同履行过程中有腐败和欺诈行为的。</w:t>
      </w:r>
    </w:p>
    <w:p>
      <w:pPr>
        <w:snapToGrid w:val="0"/>
        <w:spacing w:before="120" w:line="360" w:lineRule="auto"/>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 xml:space="preserve">.1.3.1 </w:t>
      </w:r>
      <w:r>
        <w:rPr>
          <w:rFonts w:ascii="宋体" w:hAnsi="宋体"/>
          <w:sz w:val="24"/>
        </w:rPr>
        <w:t>“</w:t>
      </w:r>
      <w:r>
        <w:rPr>
          <w:rFonts w:hint="eastAsia" w:ascii="宋体" w:hAnsi="宋体"/>
          <w:sz w:val="24"/>
        </w:rPr>
        <w:t>腐败行为”和“欺诈行为”定义如下</w:t>
      </w:r>
      <w:r>
        <w:rPr>
          <w:rFonts w:ascii="宋体" w:hAnsi="宋体"/>
          <w:sz w:val="24"/>
        </w:rPr>
        <w:t>:</w:t>
      </w:r>
    </w:p>
    <w:p>
      <w:pPr>
        <w:snapToGrid w:val="0"/>
        <w:spacing w:before="120" w:line="360" w:lineRule="auto"/>
        <w:ind w:left="1440" w:hanging="1440"/>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.1.3.1.1</w:t>
      </w:r>
      <w:r>
        <w:rPr>
          <w:rFonts w:ascii="宋体" w:hAnsi="宋体"/>
          <w:sz w:val="24"/>
        </w:rPr>
        <w:t>“</w:t>
      </w:r>
      <w:r>
        <w:rPr>
          <w:rFonts w:hint="eastAsia" w:ascii="宋体" w:hAnsi="宋体"/>
          <w:sz w:val="24"/>
        </w:rPr>
        <w:t>腐败行为”是指提供</w:t>
      </w:r>
      <w:r>
        <w:rPr>
          <w:rFonts w:ascii="宋体" w:hAnsi="宋体"/>
          <w:sz w:val="24"/>
        </w:rPr>
        <w:t>/</w:t>
      </w:r>
      <w:r>
        <w:rPr>
          <w:rFonts w:hint="eastAsia" w:ascii="宋体" w:hAnsi="宋体"/>
          <w:sz w:val="24"/>
        </w:rPr>
        <w:t>给予</w:t>
      </w:r>
      <w:r>
        <w:rPr>
          <w:rFonts w:ascii="宋体" w:hAnsi="宋体"/>
          <w:sz w:val="24"/>
        </w:rPr>
        <w:t>/</w:t>
      </w:r>
      <w:r>
        <w:rPr>
          <w:rFonts w:hint="eastAsia" w:ascii="宋体" w:hAnsi="宋体"/>
          <w:sz w:val="24"/>
        </w:rPr>
        <w:t>接受或索取任何有价值的东西来影响买方在合同签订、履行过程中的行为。</w:t>
      </w:r>
    </w:p>
    <w:p>
      <w:pPr>
        <w:snapToGrid w:val="0"/>
        <w:spacing w:before="120" w:line="360" w:lineRule="auto"/>
        <w:ind w:left="1440" w:hanging="1440"/>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.1.3.1.2</w:t>
      </w:r>
      <w:r>
        <w:rPr>
          <w:rFonts w:ascii="宋体" w:hAnsi="宋体"/>
          <w:sz w:val="24"/>
        </w:rPr>
        <w:t>“</w:t>
      </w:r>
      <w:r>
        <w:rPr>
          <w:rFonts w:hint="eastAsia" w:ascii="宋体" w:hAnsi="宋体"/>
          <w:sz w:val="24"/>
        </w:rPr>
        <w:t>欺诈行为”是指为了影响合同签订、履行过程，以谎报事实的方法，损害买方的利益的行为。</w:t>
      </w:r>
    </w:p>
    <w:p>
      <w:pPr>
        <w:snapToGrid w:val="0"/>
        <w:spacing w:before="120" w:line="360" w:lineRule="auto"/>
        <w:ind w:left="960" w:hanging="960"/>
        <w:textAlignment w:val="baseline"/>
        <w:rPr>
          <w:rFonts w:ascii="宋体" w:hAnsi="宋体"/>
          <w:sz w:val="24"/>
        </w:rPr>
      </w:pPr>
      <w:r>
        <w:rPr>
          <w:rFonts w:hint="eastAsia" w:ascii="宋体" w:hAnsi="宋体"/>
          <w:sz w:val="24"/>
        </w:rPr>
        <w:t>1</w:t>
      </w:r>
      <w:r>
        <w:rPr>
          <w:rFonts w:ascii="宋体" w:hAnsi="宋体"/>
          <w:sz w:val="24"/>
        </w:rPr>
        <w:t>9</w:t>
      </w:r>
      <w:r>
        <w:rPr>
          <w:rFonts w:hint="eastAsia" w:ascii="宋体" w:hAnsi="宋体"/>
          <w:sz w:val="24"/>
        </w:rPr>
        <w:t>.2   在买方根据上述第1</w:t>
      </w:r>
      <w:r>
        <w:rPr>
          <w:rFonts w:ascii="宋体" w:hAnsi="宋体"/>
          <w:sz w:val="24"/>
        </w:rPr>
        <w:t>9</w:t>
      </w:r>
      <w:r>
        <w:rPr>
          <w:rFonts w:hint="eastAsia" w:ascii="宋体" w:hAnsi="宋体"/>
          <w:sz w:val="24"/>
        </w:rPr>
        <w:t>.1条规定，全部或部分解除合同之后，应当遵循诚实信用原则，全部或部分购买与未交付的货物类似的货物或服务，卖方应承担买方购买类似货物或服务而产生的额外支出。部分解除合同的，卖方应继续履行合同中未解除的部分。</w:t>
      </w:r>
    </w:p>
    <w:p>
      <w:pPr>
        <w:pStyle w:val="6"/>
        <w:snapToGrid w:val="0"/>
        <w:textAlignment w:val="baseline"/>
        <w:rPr>
          <w:rFonts w:hint="default"/>
        </w:rPr>
      </w:pPr>
      <w:bookmarkStart w:id="422" w:name="_Toc60313309"/>
      <w:bookmarkStart w:id="423" w:name="_Toc31427"/>
      <w:bookmarkStart w:id="424" w:name="_Toc113"/>
      <w:bookmarkStart w:id="425" w:name="_Toc163893438"/>
      <w:bookmarkStart w:id="426" w:name="_Toc75519552"/>
      <w:r>
        <w:t>20破产终止合同</w:t>
      </w:r>
      <w:bookmarkEnd w:id="422"/>
      <w:bookmarkEnd w:id="423"/>
      <w:bookmarkEnd w:id="424"/>
      <w:bookmarkEnd w:id="425"/>
      <w:bookmarkEnd w:id="426"/>
    </w:p>
    <w:p>
      <w:pPr>
        <w:snapToGrid w:val="0"/>
        <w:spacing w:before="120" w:line="360" w:lineRule="auto"/>
        <w:ind w:left="900" w:hanging="900" w:hangingChars="375"/>
        <w:textAlignment w:val="baseline"/>
        <w:rPr>
          <w:rFonts w:ascii="宋体" w:hAnsi="宋体"/>
          <w:sz w:val="24"/>
        </w:rPr>
      </w:pPr>
      <w:r>
        <w:rPr>
          <w:rFonts w:ascii="宋体" w:hAnsi="宋体"/>
          <w:sz w:val="24"/>
        </w:rPr>
        <w:t>20</w:t>
      </w:r>
      <w:r>
        <w:rPr>
          <w:rFonts w:hint="eastAsia" w:ascii="宋体" w:hAnsi="宋体"/>
          <w:sz w:val="24"/>
        </w:rPr>
        <w:t>.1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pPr>
        <w:pStyle w:val="6"/>
        <w:snapToGrid w:val="0"/>
        <w:textAlignment w:val="baseline"/>
        <w:rPr>
          <w:rFonts w:hint="default"/>
        </w:rPr>
      </w:pPr>
      <w:bookmarkStart w:id="427" w:name="_Toc60313310"/>
      <w:bookmarkStart w:id="428" w:name="_Toc75519553"/>
      <w:bookmarkStart w:id="429" w:name="_Toc163893439"/>
      <w:bookmarkStart w:id="430" w:name="_Toc829"/>
      <w:bookmarkStart w:id="431" w:name="_Toc3894"/>
      <w:r>
        <w:t>21转让和分包</w:t>
      </w:r>
      <w:bookmarkEnd w:id="427"/>
      <w:bookmarkEnd w:id="428"/>
      <w:bookmarkEnd w:id="429"/>
      <w:bookmarkEnd w:id="430"/>
      <w:bookmarkEnd w:id="431"/>
    </w:p>
    <w:p>
      <w:pPr>
        <w:snapToGrid w:val="0"/>
        <w:spacing w:before="120" w:line="360" w:lineRule="auto"/>
        <w:textAlignment w:val="baseline"/>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.1    政府采购合同不能转让。</w:t>
      </w:r>
    </w:p>
    <w:p>
      <w:pPr>
        <w:snapToGrid w:val="0"/>
        <w:spacing w:before="120" w:line="360" w:lineRule="auto"/>
        <w:ind w:left="960" w:hanging="960"/>
        <w:textAlignment w:val="baseline"/>
        <w:rPr>
          <w:rFonts w:ascii="宋体" w:hAnsi="宋体"/>
          <w:sz w:val="24"/>
        </w:rPr>
      </w:pPr>
      <w:r>
        <w:rPr>
          <w:rFonts w:hint="eastAsia" w:ascii="宋体" w:hAnsi="宋体"/>
          <w:sz w:val="24"/>
        </w:rPr>
        <w:t>2</w:t>
      </w:r>
      <w:r>
        <w:rPr>
          <w:rFonts w:ascii="宋体" w:hAnsi="宋体"/>
          <w:sz w:val="24"/>
        </w:rPr>
        <w:t>1</w:t>
      </w:r>
      <w:r>
        <w:rPr>
          <w:rFonts w:hint="eastAsia" w:ascii="宋体" w:hAnsi="宋体"/>
          <w:sz w:val="24"/>
        </w:rPr>
        <w:t xml:space="preserve">.2    </w:t>
      </w:r>
      <w:r>
        <w:rPr>
          <w:rFonts w:hint="eastAsia" w:ascii="宋体" w:hAnsi="宋体" w:cs="Arial"/>
          <w:sz w:val="24"/>
        </w:rPr>
        <w:t>卖方拟将非主体、非关键性工作分包的，应当按照其投标文件中载明的分包承担主体进行分包，分包承担主体应当具备相应资质条件且不得再次分包。</w:t>
      </w:r>
      <w:r>
        <w:rPr>
          <w:rFonts w:hint="eastAsia" w:ascii="宋体" w:hAnsi="宋体"/>
          <w:sz w:val="24"/>
        </w:rPr>
        <w:t>分包后不能解除卖方履行本合同的责任和义务，接受分包的承担主体与卖方共同对买方连带承担合同的责任和义务。</w:t>
      </w:r>
    </w:p>
    <w:p>
      <w:pPr>
        <w:pStyle w:val="6"/>
        <w:snapToGrid w:val="0"/>
        <w:textAlignment w:val="baseline"/>
        <w:rPr>
          <w:rFonts w:hint="default"/>
        </w:rPr>
      </w:pPr>
      <w:bookmarkStart w:id="432" w:name="_Toc14909"/>
      <w:bookmarkStart w:id="433" w:name="_Toc16586"/>
      <w:bookmarkStart w:id="434" w:name="_Toc163893440"/>
      <w:bookmarkStart w:id="435" w:name="_Toc60313311"/>
      <w:bookmarkStart w:id="436" w:name="_Toc75519554"/>
      <w:r>
        <w:t>22合同修改</w:t>
      </w:r>
      <w:bookmarkEnd w:id="432"/>
      <w:bookmarkEnd w:id="433"/>
      <w:bookmarkEnd w:id="434"/>
      <w:bookmarkEnd w:id="435"/>
      <w:bookmarkEnd w:id="436"/>
    </w:p>
    <w:p>
      <w:pPr>
        <w:snapToGrid w:val="0"/>
        <w:spacing w:before="120" w:line="360" w:lineRule="auto"/>
        <w:ind w:left="900" w:hanging="900" w:hangingChars="375"/>
        <w:textAlignment w:val="baseline"/>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.1   买方和卖方都不得擅自变更本合同，但合同继续履行将损害国家和社会公共利益的除外。如必须对合同条款进行改动时，当事人双方须共同签署书面文件，作为合同的补充，并报同级政府采购监督管理部门备案。</w:t>
      </w:r>
    </w:p>
    <w:p>
      <w:pPr>
        <w:pStyle w:val="6"/>
        <w:snapToGrid w:val="0"/>
        <w:textAlignment w:val="baseline"/>
        <w:rPr>
          <w:rFonts w:hint="default"/>
        </w:rPr>
      </w:pPr>
      <w:bookmarkStart w:id="437" w:name="_Toc60313312"/>
      <w:bookmarkStart w:id="438" w:name="_Toc75519555"/>
      <w:bookmarkStart w:id="439" w:name="_Toc4600"/>
      <w:bookmarkStart w:id="440" w:name="_Toc30403"/>
      <w:bookmarkStart w:id="441" w:name="_Toc163893441"/>
      <w:r>
        <w:t>23通知</w:t>
      </w:r>
      <w:bookmarkEnd w:id="437"/>
      <w:bookmarkEnd w:id="438"/>
      <w:bookmarkEnd w:id="439"/>
      <w:bookmarkEnd w:id="440"/>
      <w:bookmarkEnd w:id="441"/>
    </w:p>
    <w:p>
      <w:pPr>
        <w:snapToGrid w:val="0"/>
        <w:spacing w:before="120" w:line="360" w:lineRule="auto"/>
        <w:ind w:left="900" w:hanging="900" w:hangingChars="375"/>
        <w:textAlignment w:val="baseline"/>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.1    本合同任何一方给另一方的通知，都应以书面形式发送，而另一方也应以书面形式确认并发送到对方明确的地址。</w:t>
      </w:r>
    </w:p>
    <w:p>
      <w:pPr>
        <w:pStyle w:val="6"/>
        <w:snapToGrid w:val="0"/>
        <w:textAlignment w:val="baseline"/>
        <w:rPr>
          <w:rFonts w:hint="default"/>
        </w:rPr>
      </w:pPr>
      <w:bookmarkStart w:id="442" w:name="_Toc163893442"/>
      <w:bookmarkStart w:id="443" w:name="_Toc60313313"/>
      <w:bookmarkStart w:id="444" w:name="_Toc75519556"/>
      <w:bookmarkStart w:id="445" w:name="_Toc5281"/>
      <w:bookmarkStart w:id="446" w:name="_Toc32150"/>
      <w:r>
        <w:t>24计量单位</w:t>
      </w:r>
      <w:bookmarkEnd w:id="442"/>
      <w:bookmarkEnd w:id="443"/>
      <w:bookmarkEnd w:id="444"/>
      <w:bookmarkEnd w:id="445"/>
      <w:bookmarkEnd w:id="446"/>
    </w:p>
    <w:p>
      <w:pPr>
        <w:snapToGrid w:val="0"/>
        <w:spacing w:before="120" w:line="360" w:lineRule="auto"/>
        <w:textAlignment w:val="baseline"/>
        <w:rPr>
          <w:rFonts w:ascii="宋体" w:hAnsi="宋体"/>
          <w:sz w:val="24"/>
        </w:rPr>
      </w:pPr>
      <w:r>
        <w:rPr>
          <w:rFonts w:hint="eastAsia" w:ascii="宋体" w:hAnsi="宋体"/>
          <w:sz w:val="24"/>
        </w:rPr>
        <w:t>2</w:t>
      </w:r>
      <w:r>
        <w:rPr>
          <w:rFonts w:ascii="宋体" w:hAnsi="宋体"/>
          <w:sz w:val="24"/>
        </w:rPr>
        <w:t>4</w:t>
      </w:r>
      <w:r>
        <w:rPr>
          <w:rFonts w:hint="eastAsia" w:ascii="宋体" w:hAnsi="宋体"/>
          <w:sz w:val="24"/>
        </w:rPr>
        <w:t>.1   除技术规范中另有规定外</w:t>
      </w:r>
      <w:r>
        <w:rPr>
          <w:rFonts w:ascii="宋体" w:hAnsi="宋体"/>
          <w:sz w:val="24"/>
        </w:rPr>
        <w:t>,</w:t>
      </w:r>
      <w:r>
        <w:rPr>
          <w:rFonts w:hint="eastAsia" w:ascii="宋体" w:hAnsi="宋体"/>
          <w:sz w:val="24"/>
        </w:rPr>
        <w:t>计量单位均使用国家法定计量单位。</w:t>
      </w:r>
    </w:p>
    <w:p>
      <w:pPr>
        <w:pStyle w:val="6"/>
        <w:snapToGrid w:val="0"/>
        <w:textAlignment w:val="baseline"/>
        <w:rPr>
          <w:rFonts w:hint="default"/>
        </w:rPr>
      </w:pPr>
      <w:bookmarkStart w:id="447" w:name="_Toc163893443"/>
      <w:bookmarkStart w:id="448" w:name="_Toc29242"/>
      <w:bookmarkStart w:id="449" w:name="_Toc20762"/>
      <w:bookmarkStart w:id="450" w:name="_Toc75519557"/>
      <w:bookmarkStart w:id="451" w:name="_Toc60313314"/>
      <w:r>
        <w:t>25适用法律</w:t>
      </w:r>
      <w:bookmarkEnd w:id="447"/>
      <w:bookmarkEnd w:id="448"/>
      <w:bookmarkEnd w:id="449"/>
      <w:bookmarkEnd w:id="450"/>
      <w:bookmarkEnd w:id="451"/>
    </w:p>
    <w:p>
      <w:pPr>
        <w:snapToGrid w:val="0"/>
        <w:spacing w:before="120" w:line="360" w:lineRule="auto"/>
        <w:textAlignment w:val="baseline"/>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.1   本合同应按照中华人民共和国的法律进行解释。</w:t>
      </w:r>
    </w:p>
    <w:p>
      <w:pPr>
        <w:pStyle w:val="6"/>
        <w:snapToGrid w:val="0"/>
        <w:textAlignment w:val="baseline"/>
        <w:rPr>
          <w:rFonts w:hint="default"/>
        </w:rPr>
      </w:pPr>
      <w:bookmarkStart w:id="452" w:name="_Toc163893444"/>
      <w:bookmarkStart w:id="453" w:name="_Toc60313315"/>
      <w:bookmarkStart w:id="454" w:name="_Toc4133"/>
      <w:bookmarkStart w:id="455" w:name="_Toc1793"/>
      <w:bookmarkStart w:id="456" w:name="_Toc75519558"/>
      <w:r>
        <w:t>26履约保证金</w:t>
      </w:r>
      <w:bookmarkEnd w:id="452"/>
      <w:bookmarkEnd w:id="453"/>
      <w:bookmarkEnd w:id="454"/>
      <w:bookmarkEnd w:id="455"/>
      <w:bookmarkEnd w:id="456"/>
    </w:p>
    <w:p>
      <w:pPr>
        <w:snapToGrid w:val="0"/>
        <w:spacing w:line="331" w:lineRule="auto"/>
        <w:ind w:left="901" w:hanging="895"/>
        <w:textAlignment w:val="baseline"/>
        <w:rPr>
          <w:rFonts w:ascii="宋体" w:hAnsi="宋体"/>
          <w:sz w:val="24"/>
        </w:rPr>
      </w:pPr>
      <w:bookmarkStart w:id="457" w:name="_Toc60313316"/>
      <w:bookmarkStart w:id="458" w:name="_Toc163893445"/>
      <w:bookmarkStart w:id="459" w:name="_Toc75519559"/>
      <w:r>
        <w:rPr>
          <w:rFonts w:ascii="宋体" w:hAnsi="宋体"/>
          <w:sz w:val="24"/>
        </w:rPr>
        <w:t>26.1  卖方应在合同签订后</w:t>
      </w:r>
      <w:r>
        <w:rPr>
          <w:rFonts w:ascii="宋体" w:hAnsi="宋体"/>
          <w:sz w:val="24"/>
          <w:u w:val="single" w:color="000000"/>
        </w:rPr>
        <w:t>　　　</w:t>
      </w:r>
      <w:r>
        <w:rPr>
          <w:rFonts w:ascii="宋体" w:hAnsi="宋体"/>
          <w:sz w:val="24"/>
        </w:rPr>
        <w:t>天内，按约定的方式向买方提交合同总价</w:t>
      </w:r>
      <w:r>
        <w:rPr>
          <w:rFonts w:ascii="宋体" w:hAnsi="宋体"/>
          <w:sz w:val="24"/>
          <w:u w:val="single" w:color="000000"/>
        </w:rPr>
        <w:t>　　　　</w:t>
      </w:r>
      <w:r>
        <w:rPr>
          <w:rFonts w:ascii="宋体" w:hAnsi="宋体"/>
          <w:sz w:val="24"/>
        </w:rPr>
        <w:t>（不超过5％）的履约保证金。</w:t>
      </w:r>
    </w:p>
    <w:p>
      <w:pPr>
        <w:snapToGrid w:val="0"/>
        <w:spacing w:line="331" w:lineRule="auto"/>
        <w:textAlignment w:val="baseline"/>
        <w:rPr>
          <w:rFonts w:ascii="宋体" w:hAnsi="宋体"/>
          <w:sz w:val="24"/>
        </w:rPr>
      </w:pPr>
      <w:r>
        <w:rPr>
          <w:rFonts w:ascii="宋体" w:hAnsi="宋体"/>
          <w:sz w:val="24"/>
        </w:rPr>
        <w:t>26.2</w:t>
      </w:r>
      <w:r>
        <w:rPr>
          <w:rFonts w:ascii="宋体" w:hAnsi="宋体"/>
          <w:b/>
          <w:sz w:val="24"/>
        </w:rPr>
        <w:t xml:space="preserve">    </w:t>
      </w:r>
      <w:r>
        <w:rPr>
          <w:rFonts w:ascii="宋体" w:hAnsi="宋体"/>
          <w:sz w:val="24"/>
        </w:rPr>
        <w:t>履约保证金用于补偿买方因卖方不能履行其合同义务而蒙受的损失。</w:t>
      </w:r>
    </w:p>
    <w:p>
      <w:pPr>
        <w:snapToGrid w:val="0"/>
        <w:spacing w:line="331" w:lineRule="auto"/>
        <w:textAlignment w:val="baseline"/>
        <w:rPr>
          <w:rFonts w:ascii="宋体" w:hAnsi="宋体"/>
          <w:sz w:val="24"/>
        </w:rPr>
      </w:pPr>
      <w:r>
        <w:rPr>
          <w:rFonts w:ascii="宋体" w:hAnsi="宋体"/>
          <w:sz w:val="24"/>
        </w:rPr>
        <w:t>26.3    履约保证金应使用本合同货币，按下述方式之一提交：</w:t>
      </w:r>
    </w:p>
    <w:p>
      <w:pPr>
        <w:snapToGrid w:val="0"/>
        <w:spacing w:line="331" w:lineRule="auto"/>
        <w:ind w:left="958"/>
        <w:textAlignment w:val="baseline"/>
        <w:rPr>
          <w:rFonts w:ascii="宋体" w:hAnsi="宋体"/>
          <w:sz w:val="24"/>
        </w:rPr>
      </w:pPr>
      <w:r>
        <w:rPr>
          <w:rFonts w:ascii="宋体" w:hAnsi="宋体"/>
          <w:sz w:val="24"/>
        </w:rPr>
        <w:t xml:space="preserve">  A. 买方可接受的在中华人民共和国注册和营业的银行， 按招标文件提供的格式，或其他买方可接受的格式。</w:t>
      </w:r>
    </w:p>
    <w:p>
      <w:pPr>
        <w:snapToGrid w:val="0"/>
        <w:spacing w:line="331" w:lineRule="auto"/>
        <w:ind w:firstLine="958"/>
        <w:textAlignment w:val="baseline"/>
        <w:rPr>
          <w:rFonts w:ascii="宋体" w:hAnsi="宋体"/>
          <w:sz w:val="24"/>
        </w:rPr>
      </w:pPr>
      <w:r>
        <w:rPr>
          <w:rFonts w:ascii="宋体" w:hAnsi="宋体"/>
          <w:sz w:val="24"/>
        </w:rPr>
        <w:t xml:space="preserve">  B. 支票、汇票或现金。</w:t>
      </w:r>
    </w:p>
    <w:p>
      <w:pPr>
        <w:snapToGrid w:val="0"/>
        <w:spacing w:line="331" w:lineRule="auto"/>
        <w:ind w:left="986" w:hanging="952"/>
        <w:textAlignment w:val="baseline"/>
        <w:rPr>
          <w:rFonts w:ascii="宋体" w:hAnsi="宋体"/>
          <w:sz w:val="24"/>
        </w:rPr>
      </w:pPr>
      <w:r>
        <w:rPr>
          <w:rFonts w:ascii="宋体" w:hAnsi="宋体"/>
          <w:sz w:val="24"/>
        </w:rPr>
        <w:t>26.4    如果卖方未能按合同规定履行其义务，买方有权从履约保证金中取得补偿。质量保证期结束后三十(30)天内，买方将把履约保证金退还卖方。</w:t>
      </w:r>
    </w:p>
    <w:p>
      <w:pPr>
        <w:pStyle w:val="6"/>
        <w:snapToGrid w:val="0"/>
        <w:textAlignment w:val="baseline"/>
        <w:rPr>
          <w:rFonts w:hint="default"/>
        </w:rPr>
      </w:pPr>
      <w:bookmarkStart w:id="460" w:name="_Toc23207"/>
      <w:bookmarkStart w:id="461" w:name="_Toc7151"/>
      <w:r>
        <w:t>27合同生效和其它</w:t>
      </w:r>
      <w:bookmarkEnd w:id="457"/>
      <w:bookmarkEnd w:id="458"/>
      <w:bookmarkEnd w:id="459"/>
      <w:bookmarkEnd w:id="460"/>
      <w:bookmarkEnd w:id="461"/>
    </w:p>
    <w:p>
      <w:pPr>
        <w:pStyle w:val="28"/>
        <w:snapToGrid w:val="0"/>
        <w:spacing w:line="360" w:lineRule="auto"/>
        <w:ind w:left="900" w:hanging="900" w:hangingChars="375"/>
        <w:textAlignment w:val="baseline"/>
        <w:rPr>
          <w:rFonts w:hAnsi="宋体"/>
          <w:sz w:val="24"/>
        </w:rPr>
      </w:pPr>
      <w:bookmarkStart w:id="462" w:name="_Toc135536522"/>
      <w:r>
        <w:rPr>
          <w:rFonts w:hint="eastAsia" w:hAnsi="宋体"/>
          <w:sz w:val="24"/>
        </w:rPr>
        <w:t>2</w:t>
      </w:r>
      <w:r>
        <w:rPr>
          <w:rFonts w:hAnsi="宋体"/>
          <w:sz w:val="24"/>
        </w:rPr>
        <w:t>7</w:t>
      </w:r>
      <w:r>
        <w:rPr>
          <w:rFonts w:hint="eastAsia" w:hAnsi="宋体"/>
          <w:sz w:val="24"/>
        </w:rPr>
        <w:t>.1    卖方未经买方允许，不得擅自将因履行本合同所知悉的买方的保密信息及与本合同有关的任何</w:t>
      </w:r>
      <w:r>
        <w:rPr>
          <w:rFonts w:hint="eastAsia" w:hAnsi="宋体"/>
          <w:i/>
          <w:sz w:val="24"/>
          <w:u w:val="single" w:color="000000"/>
        </w:rPr>
        <w:t>须保密</w:t>
      </w:r>
      <w:r>
        <w:rPr>
          <w:rFonts w:hint="eastAsia" w:hAnsi="宋体"/>
          <w:sz w:val="24"/>
        </w:rPr>
        <w:t>的资料泄露或公开给第三方。卖方违反本条约定，应承担全部法律责任并赔偿因此给买方造成的全部损失。本条规定持续有效，不因本合同终止而失效。</w:t>
      </w:r>
    </w:p>
    <w:p>
      <w:pPr>
        <w:pStyle w:val="28"/>
        <w:snapToGrid w:val="0"/>
        <w:spacing w:line="360" w:lineRule="auto"/>
        <w:ind w:left="900" w:hanging="900" w:hangingChars="375"/>
        <w:textAlignment w:val="baseline"/>
        <w:rPr>
          <w:rFonts w:hAnsi="宋体"/>
          <w:b/>
          <w:sz w:val="24"/>
        </w:rPr>
      </w:pPr>
      <w:r>
        <w:rPr>
          <w:rFonts w:hAnsi="宋体"/>
          <w:sz w:val="24"/>
        </w:rPr>
        <w:t xml:space="preserve">27.2    </w:t>
      </w:r>
      <w:r>
        <w:rPr>
          <w:rFonts w:hint="eastAsia" w:hAnsi="宋体"/>
          <w:sz w:val="24"/>
        </w:rPr>
        <w:t>政府采购项目的采购合同内容的确定应以招标文件和投标文件为基础，不得违背其实质性内容。</w:t>
      </w:r>
      <w:bookmarkEnd w:id="462"/>
    </w:p>
    <w:p>
      <w:pPr>
        <w:snapToGrid w:val="0"/>
        <w:spacing w:line="360" w:lineRule="auto"/>
        <w:ind w:left="962" w:hanging="960"/>
        <w:textAlignment w:val="baseline"/>
        <w:rPr>
          <w:rFonts w:ascii="宋体" w:hAnsi="宋体"/>
          <w:sz w:val="24"/>
        </w:rPr>
      </w:pPr>
      <w:r>
        <w:rPr>
          <w:rFonts w:hint="eastAsia" w:ascii="宋体" w:hAnsi="宋体"/>
          <w:sz w:val="24"/>
        </w:rPr>
        <w:t>2</w:t>
      </w:r>
      <w:r>
        <w:rPr>
          <w:rFonts w:ascii="宋体" w:hAnsi="宋体"/>
          <w:sz w:val="24"/>
        </w:rPr>
        <w:t>7</w:t>
      </w:r>
      <w:r>
        <w:rPr>
          <w:rFonts w:hint="eastAsia" w:ascii="宋体" w:hAnsi="宋体"/>
          <w:sz w:val="24"/>
        </w:rPr>
        <w:t>.3    本合同一式</w:t>
      </w:r>
      <w:r>
        <w:rPr>
          <w:rFonts w:hint="eastAsia" w:ascii="宋体" w:hAnsi="宋体"/>
          <w:sz w:val="24"/>
          <w:u w:val="single" w:color="000000"/>
        </w:rPr>
        <w:t>　8　</w:t>
      </w:r>
      <w:r>
        <w:rPr>
          <w:rFonts w:hint="eastAsia" w:ascii="宋体" w:hAnsi="宋体"/>
          <w:sz w:val="24"/>
        </w:rPr>
        <w:t>份，具有同等法律效力。买方</w:t>
      </w:r>
      <w:r>
        <w:rPr>
          <w:rFonts w:hint="eastAsia" w:ascii="宋体" w:hAnsi="宋体"/>
          <w:sz w:val="24"/>
          <w:u w:val="single" w:color="000000"/>
        </w:rPr>
        <w:t>4</w:t>
      </w:r>
      <w:r>
        <w:rPr>
          <w:rFonts w:hint="eastAsia" w:ascii="宋体" w:hAnsi="宋体"/>
          <w:sz w:val="24"/>
        </w:rPr>
        <w:t>份，卖方</w:t>
      </w:r>
      <w:r>
        <w:rPr>
          <w:rFonts w:hint="eastAsia" w:ascii="宋体" w:hAnsi="宋体"/>
          <w:sz w:val="24"/>
          <w:u w:val="single" w:color="000000"/>
        </w:rPr>
        <w:t xml:space="preserve"> </w:t>
      </w:r>
      <w:r>
        <w:rPr>
          <w:rFonts w:ascii="宋体" w:hAnsi="宋体"/>
          <w:sz w:val="24"/>
          <w:u w:val="single" w:color="000000"/>
        </w:rPr>
        <w:t>3</w:t>
      </w:r>
      <w:r>
        <w:rPr>
          <w:rFonts w:hint="eastAsia" w:ascii="宋体" w:hAnsi="宋体"/>
          <w:sz w:val="24"/>
        </w:rPr>
        <w:t>份，采购代理机构</w:t>
      </w:r>
      <w:r>
        <w:rPr>
          <w:rFonts w:hint="eastAsia" w:ascii="宋体" w:hAnsi="宋体"/>
          <w:sz w:val="24"/>
          <w:u w:val="single" w:color="000000"/>
        </w:rPr>
        <w:t xml:space="preserve">1 </w:t>
      </w:r>
      <w:r>
        <w:rPr>
          <w:rFonts w:hint="eastAsia" w:ascii="宋体" w:hAnsi="宋体"/>
          <w:sz w:val="24"/>
        </w:rPr>
        <w:t>份。</w:t>
      </w:r>
    </w:p>
    <w:p>
      <w:pPr>
        <w:snapToGrid w:val="0"/>
        <w:spacing w:line="360" w:lineRule="auto"/>
        <w:ind w:left="962" w:hanging="960"/>
        <w:textAlignment w:val="baseline"/>
        <w:rPr>
          <w:rFonts w:ascii="宋体" w:hAnsi="宋体"/>
          <w:sz w:val="24"/>
        </w:rPr>
      </w:pPr>
    </w:p>
    <w:p>
      <w:pPr>
        <w:snapToGrid w:val="0"/>
        <w:spacing w:line="360" w:lineRule="auto"/>
        <w:ind w:left="914" w:leftChars="457"/>
        <w:textAlignment w:val="baseline"/>
        <w:rPr>
          <w:rFonts w:ascii="宋体" w:hAnsi="宋体"/>
          <w:sz w:val="24"/>
        </w:rPr>
      </w:pPr>
      <w:r>
        <w:rPr>
          <w:rFonts w:hint="eastAsia" w:ascii="宋体" w:hAnsi="宋体"/>
          <w:sz w:val="24"/>
        </w:rPr>
        <w:t>注：本合同条款内容若和招标文件第四章“项目需求”中相关规定不一致，以第四章“项目需求”中的相关规定为准。</w:t>
      </w:r>
    </w:p>
    <w:p>
      <w:pPr>
        <w:snapToGrid w:val="0"/>
        <w:spacing w:line="360" w:lineRule="auto"/>
        <w:ind w:left="914" w:leftChars="457"/>
        <w:textAlignment w:val="baseline"/>
        <w:rPr>
          <w:rFonts w:ascii="宋体" w:hAnsi="宋体"/>
          <w:sz w:val="24"/>
        </w:rPr>
      </w:pPr>
    </w:p>
    <w:bookmarkEnd w:id="322"/>
    <w:bookmarkEnd w:id="323"/>
    <w:bookmarkEnd w:id="324"/>
    <w:bookmarkEnd w:id="325"/>
    <w:bookmarkEnd w:id="326"/>
    <w:bookmarkEnd w:id="327"/>
    <w:bookmarkEnd w:id="328"/>
    <w:bookmarkEnd w:id="329"/>
    <w:bookmarkEnd w:id="330"/>
    <w:bookmarkEnd w:id="331"/>
    <w:bookmarkEnd w:id="332"/>
    <w:bookmarkEnd w:id="333"/>
    <w:p>
      <w:pPr>
        <w:pStyle w:val="3"/>
        <w:snapToGrid w:val="0"/>
        <w:spacing w:line="360" w:lineRule="auto"/>
        <w:textAlignment w:val="baseline"/>
        <w:rPr>
          <w:rFonts w:ascii="宋体" w:hAnsi="宋体"/>
          <w:sz w:val="24"/>
          <w:szCs w:val="24"/>
        </w:rPr>
      </w:pPr>
      <w:bookmarkStart w:id="463" w:name="_Toc310195759"/>
      <w:bookmarkStart w:id="464" w:name="_Toc60313317"/>
      <w:bookmarkStart w:id="465" w:name="_Toc75519560"/>
      <w:r>
        <w:rPr>
          <w:rFonts w:hint="eastAsia" w:ascii="宋体" w:hAnsi="宋体"/>
          <w:sz w:val="24"/>
          <w:szCs w:val="24"/>
        </w:rPr>
        <w:t xml:space="preserve"> </w:t>
      </w:r>
      <w:bookmarkStart w:id="466" w:name="_Toc11158"/>
      <w:r>
        <w:rPr>
          <w:rFonts w:hint="eastAsia" w:ascii="宋体" w:hAnsi="宋体"/>
          <w:sz w:val="24"/>
          <w:szCs w:val="24"/>
        </w:rPr>
        <w:t>合同专用条款</w:t>
      </w:r>
      <w:bookmarkEnd w:id="463"/>
      <w:bookmarkEnd w:id="464"/>
      <w:bookmarkEnd w:id="465"/>
      <w:bookmarkEnd w:id="466"/>
    </w:p>
    <w:p>
      <w:pPr>
        <w:snapToGrid w:val="0"/>
        <w:spacing w:line="360" w:lineRule="auto"/>
        <w:ind w:firstLine="454"/>
        <w:textAlignment w:val="baseline"/>
        <w:rPr>
          <w:rFonts w:ascii="宋体" w:hAnsi="宋体"/>
          <w:sz w:val="24"/>
        </w:rPr>
      </w:pPr>
      <w:r>
        <w:rPr>
          <w:rFonts w:hint="eastAsia" w:ascii="宋体" w:hAnsi="宋体"/>
          <w:sz w:val="24"/>
        </w:rPr>
        <w:t>合同专用条款是合同一般条款的补充和修改。如果两者之间有抵触，应以专用条款为准。合同专用条款的序号将与合同一般条款序号相对应。</w:t>
      </w:r>
    </w:p>
    <w:p>
      <w:pPr>
        <w:snapToGrid w:val="0"/>
        <w:spacing w:line="360" w:lineRule="auto"/>
        <w:textAlignment w:val="baseline"/>
        <w:rPr>
          <w:rFonts w:ascii="宋体" w:hAnsi="宋体"/>
          <w:sz w:val="24"/>
        </w:rPr>
      </w:pPr>
      <w:r>
        <w:rPr>
          <w:rFonts w:hint="eastAsia" w:ascii="宋体" w:hAnsi="宋体"/>
          <w:sz w:val="24"/>
        </w:rPr>
        <w:t>1、定义</w:t>
      </w:r>
    </w:p>
    <w:p>
      <w:pPr>
        <w:snapToGrid w:val="0"/>
        <w:spacing w:line="360" w:lineRule="auto"/>
        <w:textAlignment w:val="baseline"/>
        <w:rPr>
          <w:rFonts w:ascii="宋体" w:hAnsi="宋体"/>
          <w:sz w:val="24"/>
          <w:u w:val="single"/>
        </w:rPr>
      </w:pPr>
      <w:r>
        <w:rPr>
          <w:rFonts w:hint="eastAsia" w:ascii="宋体" w:hAnsi="宋体"/>
          <w:sz w:val="24"/>
        </w:rPr>
        <w:t>1.5买方：本合同买方系指：</w:t>
      </w:r>
      <w:r>
        <w:rPr>
          <w:rFonts w:hint="eastAsia" w:ascii="宋体" w:hAnsi="宋体"/>
          <w:sz w:val="24"/>
          <w:u w:val="single" w:color="000000"/>
        </w:rPr>
        <w:t>华北电力大学</w:t>
      </w:r>
    </w:p>
    <w:p>
      <w:pPr>
        <w:snapToGrid w:val="0"/>
        <w:spacing w:line="360" w:lineRule="auto"/>
        <w:textAlignment w:val="baseline"/>
        <w:rPr>
          <w:rFonts w:ascii="宋体" w:hAnsi="宋体"/>
          <w:sz w:val="24"/>
        </w:rPr>
      </w:pPr>
      <w:r>
        <w:rPr>
          <w:rFonts w:hint="eastAsia" w:ascii="宋体" w:hAnsi="宋体"/>
          <w:sz w:val="24"/>
        </w:rPr>
        <w:t>1.6卖方：本合同卖方系指：</w:t>
      </w:r>
      <w:r>
        <w:rPr>
          <w:rFonts w:hint="eastAsia" w:ascii="宋体" w:hAnsi="宋体"/>
          <w:sz w:val="24"/>
          <w:u w:val="single" w:color="000000"/>
        </w:rPr>
        <w:t>中标人</w:t>
      </w:r>
    </w:p>
    <w:p>
      <w:pPr>
        <w:snapToGrid w:val="0"/>
        <w:spacing w:line="360" w:lineRule="auto"/>
        <w:textAlignment w:val="baseline"/>
        <w:rPr>
          <w:rFonts w:ascii="宋体" w:hAnsi="宋体"/>
          <w:sz w:val="24"/>
          <w:u w:val="single"/>
        </w:rPr>
      </w:pPr>
      <w:r>
        <w:rPr>
          <w:rFonts w:hint="eastAsia" w:ascii="宋体" w:hAnsi="宋体"/>
          <w:sz w:val="24"/>
        </w:rPr>
        <w:t>1.7现场：本合同项下的货物安装地点位于：</w:t>
      </w:r>
      <w:r>
        <w:rPr>
          <w:rFonts w:hint="eastAsia" w:ascii="宋体" w:hAnsi="宋体"/>
          <w:sz w:val="24"/>
          <w:u w:val="single" w:color="000000"/>
        </w:rPr>
        <w:t>华北电力大学</w:t>
      </w:r>
    </w:p>
    <w:p>
      <w:pPr>
        <w:snapToGrid w:val="0"/>
        <w:spacing w:line="360" w:lineRule="auto"/>
        <w:textAlignment w:val="baseline"/>
        <w:rPr>
          <w:rFonts w:ascii="宋体" w:hAnsi="宋体"/>
          <w:sz w:val="24"/>
        </w:rPr>
      </w:pPr>
      <w:r>
        <w:rPr>
          <w:rFonts w:hint="eastAsia" w:ascii="宋体" w:hAnsi="宋体"/>
          <w:sz w:val="24"/>
        </w:rPr>
        <w:t>6、交货方式</w:t>
      </w:r>
    </w:p>
    <w:p>
      <w:pPr>
        <w:snapToGrid w:val="0"/>
        <w:spacing w:line="360" w:lineRule="auto"/>
        <w:textAlignment w:val="baseline"/>
        <w:rPr>
          <w:rFonts w:ascii="宋体" w:hAnsi="宋体"/>
          <w:sz w:val="24"/>
        </w:rPr>
      </w:pPr>
      <w:r>
        <w:rPr>
          <w:rFonts w:hint="eastAsia" w:ascii="宋体" w:hAnsi="宋体"/>
          <w:sz w:val="24"/>
        </w:rPr>
        <w:t>6.1.1本合同项下的交货方式为：适用合同条款6.1.1。</w:t>
      </w:r>
    </w:p>
    <w:p>
      <w:pPr>
        <w:snapToGrid w:val="0"/>
        <w:spacing w:line="360" w:lineRule="auto"/>
        <w:textAlignment w:val="baseline"/>
        <w:rPr>
          <w:rFonts w:ascii="宋体" w:hAnsi="宋体"/>
          <w:sz w:val="24"/>
        </w:rPr>
      </w:pPr>
      <w:r>
        <w:rPr>
          <w:rFonts w:hint="eastAsia" w:ascii="宋体" w:hAnsi="宋体"/>
          <w:sz w:val="24"/>
        </w:rPr>
        <w:t>9.1、付款条件：</w:t>
      </w:r>
    </w:p>
    <w:p>
      <w:pPr>
        <w:snapToGrid w:val="0"/>
        <w:spacing w:line="360" w:lineRule="auto"/>
        <w:ind w:firstLine="480" w:firstLineChars="200"/>
        <w:textAlignment w:val="baseline"/>
        <w:rPr>
          <w:rFonts w:ascii="宋体" w:hAnsi="宋体" w:cs="Arial"/>
          <w:sz w:val="24"/>
        </w:rPr>
      </w:pPr>
      <w:r>
        <w:rPr>
          <w:rFonts w:hint="eastAsia" w:asciiTheme="minorEastAsia" w:hAnsiTheme="minorEastAsia" w:eastAsiaTheme="minorEastAsia"/>
          <w:color w:val="000000"/>
          <w:sz w:val="24"/>
        </w:rPr>
        <w:t>每季度支付一次。合同签订后，甲方在每季度开始的第一个月15日工作日内支付合同总金额的四分之一。</w:t>
      </w:r>
    </w:p>
    <w:p>
      <w:pPr>
        <w:snapToGrid w:val="0"/>
        <w:spacing w:line="360" w:lineRule="auto"/>
        <w:textAlignment w:val="baseline"/>
        <w:rPr>
          <w:rFonts w:ascii="宋体" w:hAnsi="宋体"/>
          <w:sz w:val="24"/>
        </w:rPr>
      </w:pPr>
      <w:r>
        <w:rPr>
          <w:rFonts w:hint="eastAsia" w:ascii="宋体" w:hAnsi="宋体"/>
          <w:sz w:val="24"/>
        </w:rPr>
        <w:t>11、质量保证：</w:t>
      </w:r>
    </w:p>
    <w:p>
      <w:pPr>
        <w:snapToGrid w:val="0"/>
        <w:spacing w:line="360" w:lineRule="auto"/>
        <w:textAlignment w:val="baseline"/>
        <w:rPr>
          <w:rFonts w:ascii="宋体" w:hAnsi="宋体"/>
          <w:sz w:val="24"/>
        </w:rPr>
      </w:pPr>
      <w:r>
        <w:rPr>
          <w:rFonts w:hint="eastAsia" w:ascii="宋体" w:hAnsi="宋体"/>
          <w:sz w:val="24"/>
        </w:rPr>
        <w:t>11.3 如果卖方在收到通知后</w:t>
      </w:r>
      <w:r>
        <w:rPr>
          <w:rFonts w:hint="eastAsia" w:ascii="宋体" w:hAnsi="宋体"/>
          <w:sz w:val="24"/>
          <w:u w:val="single" w:color="000000"/>
        </w:rPr>
        <w:t xml:space="preserve"> 7 </w:t>
      </w:r>
      <w:r>
        <w:rPr>
          <w:rFonts w:hint="eastAsia" w:ascii="宋体" w:hAnsi="宋体"/>
          <w:sz w:val="24"/>
        </w:rPr>
        <w:t>天内没有弥补缺陷，买方可采取必要的补救措施，但风险和费用将由卖方承担。</w:t>
      </w:r>
    </w:p>
    <w:p>
      <w:pPr>
        <w:snapToGrid w:val="0"/>
        <w:spacing w:line="360" w:lineRule="auto"/>
        <w:ind w:left="840" w:hanging="840" w:hangingChars="350"/>
        <w:textAlignment w:val="baseline"/>
        <w:rPr>
          <w:rFonts w:ascii="宋体" w:hAnsi="宋体"/>
          <w:sz w:val="24"/>
        </w:rPr>
      </w:pPr>
      <w:r>
        <w:rPr>
          <w:rFonts w:hint="eastAsia"/>
          <w:sz w:val="24"/>
        </w:rPr>
        <w:t>1</w:t>
      </w:r>
      <w:r>
        <w:rPr>
          <w:sz w:val="24"/>
        </w:rPr>
        <w:t>4.1</w:t>
      </w:r>
      <w:r>
        <w:rPr>
          <w:rFonts w:hint="eastAsia" w:ascii="宋体" w:hAnsi="宋体"/>
          <w:sz w:val="24"/>
        </w:rPr>
        <w:t>服务</w:t>
      </w:r>
      <w:r>
        <w:rPr>
          <w:rFonts w:ascii="宋体" w:hAnsi="宋体"/>
          <w:sz w:val="24"/>
        </w:rPr>
        <w:t>时间</w:t>
      </w:r>
      <w:r>
        <w:rPr>
          <w:rFonts w:hint="eastAsia" w:ascii="宋体" w:hAnsi="宋体"/>
          <w:sz w:val="24"/>
        </w:rPr>
        <w:t>：自签订合同之日起一年。</w:t>
      </w:r>
    </w:p>
    <w:p>
      <w:pPr>
        <w:snapToGrid w:val="0"/>
        <w:spacing w:before="119" w:line="331" w:lineRule="auto"/>
        <w:textAlignment w:val="baseline"/>
        <w:rPr>
          <w:rFonts w:ascii="宋体" w:hAnsi="宋体"/>
          <w:sz w:val="24"/>
        </w:rPr>
      </w:pPr>
      <w:r>
        <w:rPr>
          <w:rFonts w:hint="eastAsia" w:ascii="宋体" w:hAnsi="宋体"/>
          <w:b/>
          <w:sz w:val="24"/>
        </w:rPr>
        <w:t>26</w:t>
      </w:r>
      <w:r>
        <w:rPr>
          <w:rFonts w:ascii="宋体" w:hAnsi="宋体"/>
          <w:b/>
          <w:sz w:val="24"/>
        </w:rPr>
        <w:t>、提交履约保证金的时间：</w:t>
      </w:r>
      <w:r>
        <w:rPr>
          <w:rFonts w:ascii="宋体" w:hAnsi="宋体"/>
          <w:sz w:val="24"/>
        </w:rPr>
        <w:t>签订合同后</w:t>
      </w:r>
      <w:r>
        <w:rPr>
          <w:rFonts w:ascii="宋体" w:hAnsi="宋体"/>
          <w:sz w:val="24"/>
          <w:u w:val="single" w:color="000000"/>
        </w:rPr>
        <w:t xml:space="preserve"> /  </w:t>
      </w:r>
      <w:r>
        <w:rPr>
          <w:rFonts w:ascii="宋体" w:hAnsi="宋体"/>
          <w:sz w:val="24"/>
        </w:rPr>
        <w:t>天（不超过30天）</w:t>
      </w:r>
    </w:p>
    <w:p>
      <w:pPr>
        <w:snapToGrid w:val="0"/>
        <w:spacing w:before="119" w:line="331" w:lineRule="auto"/>
        <w:textAlignment w:val="baseline"/>
        <w:rPr>
          <w:rFonts w:ascii="宋体" w:hAnsi="宋体"/>
          <w:sz w:val="24"/>
        </w:rPr>
      </w:pPr>
      <w:r>
        <w:rPr>
          <w:rFonts w:ascii="宋体" w:hAnsi="宋体"/>
          <w:sz w:val="24"/>
        </w:rPr>
        <w:t xml:space="preserve">        履约保证金金额：合同总价的</w:t>
      </w:r>
      <w:r>
        <w:rPr>
          <w:rFonts w:ascii="宋体" w:hAnsi="宋体"/>
          <w:sz w:val="24"/>
          <w:u w:val="single" w:color="000000"/>
        </w:rPr>
        <w:t>　</w:t>
      </w:r>
      <w:r>
        <w:rPr>
          <w:rFonts w:hint="eastAsia" w:ascii="宋体" w:hAnsi="宋体"/>
          <w:sz w:val="24"/>
          <w:u w:val="single" w:color="000000"/>
        </w:rPr>
        <w:t>/</w:t>
      </w:r>
      <w:r>
        <w:rPr>
          <w:rFonts w:ascii="宋体" w:hAnsi="宋体"/>
          <w:sz w:val="24"/>
          <w:u w:val="single" w:color="000000"/>
        </w:rPr>
        <w:t>　　</w:t>
      </w:r>
      <w:r>
        <w:rPr>
          <w:rFonts w:ascii="宋体" w:hAnsi="宋体"/>
          <w:sz w:val="24"/>
        </w:rPr>
        <w:t>（不超过5%）</w:t>
      </w:r>
    </w:p>
    <w:p>
      <w:pPr>
        <w:widowControl/>
        <w:snapToGrid w:val="0"/>
        <w:jc w:val="left"/>
        <w:textAlignment w:val="baseline"/>
        <w:rPr>
          <w:rFonts w:ascii="宋体" w:hAnsi="宋体"/>
          <w:b/>
          <w:szCs w:val="21"/>
        </w:rPr>
      </w:pPr>
    </w:p>
    <w:p>
      <w:pPr>
        <w:widowControl/>
        <w:snapToGrid w:val="0"/>
        <w:jc w:val="left"/>
        <w:textAlignment w:val="baseline"/>
        <w:rPr>
          <w:rFonts w:ascii="宋体" w:hAnsi="宋体"/>
          <w:b/>
          <w:szCs w:val="21"/>
        </w:rPr>
      </w:pPr>
      <w:r>
        <w:rPr>
          <w:rFonts w:ascii="宋体" w:hAnsi="宋体"/>
          <w:b/>
          <w:szCs w:val="21"/>
        </w:rPr>
        <w:br w:type="page"/>
      </w:r>
    </w:p>
    <w:p>
      <w:pPr>
        <w:widowControl/>
        <w:snapToGrid w:val="0"/>
        <w:jc w:val="left"/>
        <w:textAlignment w:val="baseline"/>
        <w:rPr>
          <w:rFonts w:hAnsi="宋体"/>
          <w:b/>
          <w:bCs/>
          <w:color w:val="000000"/>
          <w:kern w:val="44"/>
          <w:sz w:val="28"/>
          <w:lang w:val="zh-CN"/>
        </w:rPr>
      </w:pPr>
    </w:p>
    <w:bookmarkEnd w:id="304"/>
    <w:bookmarkEnd w:id="305"/>
    <w:bookmarkEnd w:id="306"/>
    <w:bookmarkEnd w:id="311"/>
    <w:p>
      <w:pPr>
        <w:pStyle w:val="3"/>
        <w:snapToGrid w:val="0"/>
        <w:textAlignment w:val="baseline"/>
      </w:pPr>
      <w:bookmarkStart w:id="467" w:name="_Toc12896"/>
      <w:bookmarkStart w:id="468" w:name="_Toc40111031"/>
      <w:bookmarkStart w:id="469" w:name="_Toc4437"/>
      <w:bookmarkStart w:id="470" w:name="_Toc5895213"/>
      <w:r>
        <w:rPr>
          <w:rFonts w:hint="eastAsia"/>
        </w:rPr>
        <w:t>第</w:t>
      </w:r>
      <w:r>
        <w:rPr>
          <w:rFonts w:hint="eastAsia"/>
          <w:lang w:val="en-US"/>
        </w:rPr>
        <w:t>七</w:t>
      </w:r>
      <w:r>
        <w:rPr>
          <w:rFonts w:hint="eastAsia"/>
        </w:rPr>
        <w:t>章 投标文件格式</w:t>
      </w:r>
      <w:bookmarkEnd w:id="307"/>
      <w:bookmarkEnd w:id="467"/>
      <w:bookmarkEnd w:id="468"/>
      <w:bookmarkEnd w:id="469"/>
      <w:bookmarkEnd w:id="470"/>
    </w:p>
    <w:p>
      <w:pPr>
        <w:pStyle w:val="4"/>
        <w:snapToGrid w:val="0"/>
        <w:textAlignment w:val="baseline"/>
      </w:pPr>
      <w:bookmarkStart w:id="471" w:name="_Toc497842879"/>
      <w:bookmarkStart w:id="472" w:name="_Toc24527"/>
      <w:bookmarkStart w:id="473" w:name="_Toc5895214"/>
      <w:bookmarkStart w:id="474" w:name="_Toc40114231"/>
      <w:bookmarkStart w:id="475" w:name="_Toc523911431"/>
      <w:bookmarkStart w:id="476" w:name="_Toc509828980"/>
      <w:bookmarkStart w:id="477" w:name="_Toc25060"/>
      <w:bookmarkStart w:id="478" w:name="_Toc40111032"/>
      <w:bookmarkStart w:id="479" w:name="_Hlk515386850"/>
      <w:r>
        <w:rPr>
          <w:rFonts w:hint="eastAsia"/>
        </w:rPr>
        <w:t>一、投标文件资格册</w:t>
      </w:r>
      <w:bookmarkEnd w:id="471"/>
      <w:bookmarkEnd w:id="472"/>
      <w:bookmarkEnd w:id="473"/>
      <w:bookmarkEnd w:id="474"/>
      <w:bookmarkEnd w:id="475"/>
      <w:bookmarkEnd w:id="476"/>
      <w:bookmarkEnd w:id="477"/>
      <w:bookmarkEnd w:id="478"/>
    </w:p>
    <w:p>
      <w:pPr>
        <w:snapToGrid w:val="0"/>
        <w:spacing w:line="360" w:lineRule="auto"/>
        <w:textAlignment w:val="baseline"/>
        <w:rPr>
          <w:rFonts w:hint="eastAsia" w:ascii="宋体" w:hAnsi="宋体" w:eastAsia="宋体"/>
          <w:sz w:val="24"/>
          <w:lang w:eastAsia="zh-CN"/>
        </w:rPr>
      </w:pPr>
      <w:r>
        <w:rPr>
          <w:rFonts w:hint="eastAsia" w:ascii="宋体" w:hAnsi="宋体"/>
          <w:sz w:val="24"/>
        </w:rPr>
        <w:t>1. 三证合一的营业执照或事业单位法人证书复印件；投标人是自然人的，应提供其有效的自然身份证明复印件。</w:t>
      </w:r>
    </w:p>
    <w:p>
      <w:pPr>
        <w:snapToGrid w:val="0"/>
        <w:spacing w:line="360" w:lineRule="auto"/>
        <w:textAlignment w:val="baseline"/>
        <w:rPr>
          <w:rFonts w:ascii="宋体" w:hAnsi="宋体"/>
          <w:sz w:val="24"/>
        </w:rPr>
      </w:pPr>
      <w:r>
        <w:rPr>
          <w:rFonts w:hint="eastAsia" w:ascii="宋体" w:hAnsi="宋体"/>
          <w:sz w:val="24"/>
        </w:rPr>
        <w:t xml:space="preserve"> 注：①事业人单位提供《事业单位法人证书》、民办非企业单位提供《民办非企业单位登记证书》复印件。</w:t>
      </w:r>
    </w:p>
    <w:p>
      <w:pPr>
        <w:snapToGrid w:val="0"/>
        <w:spacing w:line="360" w:lineRule="auto"/>
        <w:ind w:firstLine="561" w:firstLineChars="234"/>
        <w:textAlignment w:val="baseline"/>
        <w:rPr>
          <w:rFonts w:hint="eastAsia" w:ascii="宋体" w:hAnsi="宋体" w:eastAsia="宋体"/>
          <w:sz w:val="24"/>
          <w:lang w:eastAsia="zh-CN"/>
        </w:rPr>
      </w:pPr>
      <w:r>
        <w:rPr>
          <w:rFonts w:hint="eastAsia" w:ascii="宋体" w:hAnsi="宋体"/>
          <w:sz w:val="24"/>
        </w:rPr>
        <w:t>②提供的复印件须加盖本单位公章。</w:t>
      </w:r>
    </w:p>
    <w:p>
      <w:pPr>
        <w:snapToGrid w:val="0"/>
        <w:spacing w:line="360" w:lineRule="auto"/>
        <w:ind w:firstLine="561" w:firstLineChars="234"/>
        <w:textAlignment w:val="baseline"/>
        <w:rPr>
          <w:rFonts w:ascii="宋体" w:hAnsi="宋体"/>
          <w:sz w:val="24"/>
        </w:rPr>
      </w:pPr>
      <w:r>
        <w:rPr>
          <w:rFonts w:hint="eastAsia" w:ascii="宋体" w:hAnsi="宋体"/>
          <w:sz w:val="24"/>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pPr>
        <w:snapToGrid w:val="0"/>
        <w:spacing w:line="360" w:lineRule="auto"/>
        <w:textAlignment w:val="baseline"/>
        <w:rPr>
          <w:rFonts w:ascii="宋体" w:hAnsi="宋体"/>
          <w:sz w:val="24"/>
        </w:rPr>
      </w:pPr>
      <w:r>
        <w:rPr>
          <w:rFonts w:hint="eastAsia" w:ascii="宋体" w:hAnsi="宋体"/>
          <w:sz w:val="24"/>
        </w:rPr>
        <w:t>3.投标人提供经会计师事务所出具的2019年度或2020年度财务审计报告（须包含资产负债表、利润表、现金流量表及财务报表附注）复印件（须加盖本单位公章）。如投标人无法提供2019年度或2020年度的财务审计报告，则须提供银行出具的有效资信证明。</w:t>
      </w:r>
    </w:p>
    <w:p>
      <w:pPr>
        <w:snapToGrid w:val="0"/>
        <w:spacing w:line="360" w:lineRule="auto"/>
        <w:textAlignment w:val="baseline"/>
        <w:rPr>
          <w:rFonts w:ascii="宋体" w:hAnsi="宋体"/>
          <w:sz w:val="24"/>
        </w:rPr>
      </w:pPr>
      <w:r>
        <w:rPr>
          <w:rFonts w:hint="eastAsia" w:ascii="宋体" w:hAnsi="宋体"/>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napToGrid w:val="0"/>
        <w:spacing w:line="360" w:lineRule="auto"/>
        <w:ind w:firstLine="708" w:firstLineChars="295"/>
        <w:textAlignment w:val="baseline"/>
        <w:rPr>
          <w:rFonts w:ascii="宋体" w:hAnsi="宋体"/>
          <w:sz w:val="24"/>
        </w:rPr>
      </w:pPr>
      <w:r>
        <w:rPr>
          <w:rFonts w:hint="eastAsia" w:ascii="宋体" w:hAnsi="宋体"/>
          <w:sz w:val="24"/>
        </w:rPr>
        <w:t>2、银行资信证明可以是复印件(须加盖投标人公章)；</w:t>
      </w:r>
    </w:p>
    <w:p>
      <w:pPr>
        <w:snapToGrid w:val="0"/>
        <w:spacing w:line="360" w:lineRule="auto"/>
        <w:ind w:firstLine="708" w:firstLineChars="295"/>
        <w:textAlignment w:val="baseline"/>
        <w:rPr>
          <w:rFonts w:ascii="宋体" w:hAnsi="宋体"/>
          <w:sz w:val="24"/>
        </w:rPr>
      </w:pPr>
      <w:r>
        <w:rPr>
          <w:rFonts w:hint="eastAsia" w:ascii="宋体" w:hAnsi="宋体"/>
          <w:sz w:val="24"/>
        </w:rPr>
        <w:t>3、银行资信证明的开具银行明确规定背面有声明的，须提供资信证明背面复印件；</w:t>
      </w:r>
    </w:p>
    <w:p>
      <w:pPr>
        <w:snapToGrid w:val="0"/>
        <w:spacing w:line="360" w:lineRule="auto"/>
        <w:ind w:firstLine="708" w:firstLineChars="295"/>
        <w:textAlignment w:val="baseline"/>
        <w:rPr>
          <w:rFonts w:ascii="宋体" w:hAnsi="宋体"/>
          <w:sz w:val="24"/>
        </w:rPr>
      </w:pPr>
      <w:r>
        <w:rPr>
          <w:rFonts w:hint="eastAsia" w:ascii="宋体" w:hAnsi="宋体"/>
          <w:sz w:val="24"/>
        </w:rPr>
        <w:t>4、银行资信证明应能说明该投标人与银行之间业务往来正常，企业信誉良好等；</w:t>
      </w:r>
    </w:p>
    <w:p>
      <w:pPr>
        <w:snapToGrid w:val="0"/>
        <w:spacing w:line="360" w:lineRule="auto"/>
        <w:ind w:firstLine="708" w:firstLineChars="295"/>
        <w:textAlignment w:val="baseline"/>
        <w:rPr>
          <w:rFonts w:ascii="宋体" w:hAnsi="宋体"/>
          <w:sz w:val="24"/>
        </w:rPr>
      </w:pPr>
      <w:r>
        <w:rPr>
          <w:rFonts w:hint="eastAsia" w:ascii="宋体" w:hAnsi="宋体"/>
          <w:sz w:val="24"/>
        </w:rPr>
        <w:t>5、银行出具的存款证明不能替代银行资信证明，存款证明无效。</w:t>
      </w:r>
    </w:p>
    <w:p>
      <w:pPr>
        <w:snapToGrid w:val="0"/>
        <w:spacing w:line="360" w:lineRule="auto"/>
        <w:textAlignment w:val="baseline"/>
        <w:rPr>
          <w:rFonts w:hint="eastAsia" w:ascii="宋体" w:hAnsi="宋体" w:eastAsia="宋体"/>
          <w:sz w:val="24"/>
          <w:lang w:eastAsia="zh-CN"/>
        </w:rPr>
      </w:pPr>
      <w:r>
        <w:rPr>
          <w:rFonts w:hint="eastAsia" w:ascii="宋体" w:hAnsi="宋体"/>
          <w:sz w:val="24"/>
        </w:rPr>
        <w:t>4. 有依法缴纳社会保障资金的良好记录（投标人逐月交纳社会保障资金的，须提供参加本次政府采购活动近</w:t>
      </w:r>
      <w:r>
        <w:rPr>
          <w:rFonts w:hint="eastAsia"/>
          <w:sz w:val="24"/>
        </w:rPr>
        <w:t>半年内任意一个月</w:t>
      </w:r>
      <w:r>
        <w:rPr>
          <w:rFonts w:hint="eastAsia" w:ascii="宋体" w:hAnsi="宋体"/>
          <w:sz w:val="24"/>
        </w:rPr>
        <w:t>由银行出具的社会保障资金缴费凭证复印件（须加盖本单位公章）；投标人逐年缴纳社会保障资金的，须提供参加本次政府采购活动上年度由银行出具的社会保障资金缴费凭证复印件（须加盖本单位公章）。</w:t>
      </w:r>
    </w:p>
    <w:p>
      <w:pPr>
        <w:snapToGrid w:val="0"/>
        <w:spacing w:line="360" w:lineRule="auto"/>
        <w:textAlignment w:val="baseline"/>
        <w:rPr>
          <w:rFonts w:ascii="宋体" w:hAnsi="宋体"/>
          <w:sz w:val="24"/>
        </w:rPr>
      </w:pPr>
      <w:r>
        <w:rPr>
          <w:rFonts w:hint="eastAsia" w:ascii="宋体" w:hAnsi="宋体"/>
          <w:sz w:val="24"/>
        </w:rPr>
        <w:t>注：依法不需要缴纳社会保障资金的投标人，须提供相应文件证明。</w:t>
      </w:r>
    </w:p>
    <w:p>
      <w:pPr>
        <w:snapToGrid w:val="0"/>
        <w:spacing w:line="360" w:lineRule="auto"/>
        <w:textAlignment w:val="baseline"/>
        <w:rPr>
          <w:rFonts w:ascii="宋体" w:hAnsi="宋体"/>
          <w:sz w:val="24"/>
        </w:rPr>
      </w:pPr>
      <w:r>
        <w:rPr>
          <w:rFonts w:hint="eastAsia" w:ascii="宋体" w:hAnsi="宋体"/>
          <w:sz w:val="24"/>
        </w:rPr>
        <w:t>5. 有依法缴纳税收的良好记录（投标人提供参加本次政府采购活动近</w:t>
      </w:r>
      <w:r>
        <w:rPr>
          <w:rFonts w:hint="eastAsia"/>
          <w:sz w:val="24"/>
        </w:rPr>
        <w:t>半年内任意一个月</w:t>
      </w:r>
      <w:r>
        <w:rPr>
          <w:rFonts w:hint="eastAsia" w:ascii="宋体" w:hAnsi="宋体"/>
          <w:sz w:val="24"/>
        </w:rPr>
        <w:t>由银行出具的缴纳凭证复印件（须加盖本单位公章）</w:t>
      </w:r>
    </w:p>
    <w:p>
      <w:pPr>
        <w:snapToGrid w:val="0"/>
        <w:spacing w:line="360" w:lineRule="auto"/>
        <w:textAlignment w:val="baseline"/>
        <w:rPr>
          <w:rFonts w:ascii="宋体" w:hAnsi="宋体"/>
          <w:sz w:val="24"/>
        </w:rPr>
      </w:pPr>
      <w:r>
        <w:rPr>
          <w:rFonts w:hint="eastAsia" w:ascii="宋体" w:hAnsi="宋体"/>
          <w:sz w:val="24"/>
        </w:rPr>
        <w:t>注：依法免税或零报税的投标人，须提供相应文件证明。</w:t>
      </w:r>
    </w:p>
    <w:p>
      <w:pPr>
        <w:snapToGrid w:val="0"/>
        <w:spacing w:line="360" w:lineRule="auto"/>
        <w:textAlignment w:val="baseline"/>
        <w:rPr>
          <w:rFonts w:ascii="宋体" w:hAnsi="宋体"/>
          <w:sz w:val="24"/>
        </w:rPr>
      </w:pPr>
      <w:r>
        <w:rPr>
          <w:rFonts w:hint="eastAsia" w:ascii="宋体" w:hAnsi="宋体"/>
          <w:sz w:val="24"/>
        </w:rPr>
        <w:t>6.参加本次政府采购活动前三年内，在经营活动中没有重大违法记录的声明（投标人须提供此声明，法定代表人或其授权代表签字，并加盖本单位公章）</w:t>
      </w:r>
    </w:p>
    <w:p>
      <w:pPr>
        <w:snapToGrid w:val="0"/>
        <w:spacing w:line="360" w:lineRule="auto"/>
        <w:textAlignment w:val="baseline"/>
        <w:rPr>
          <w:rFonts w:ascii="宋体" w:hAnsi="宋体"/>
          <w:sz w:val="24"/>
        </w:rPr>
      </w:pPr>
      <w:r>
        <w:rPr>
          <w:rFonts w:hint="eastAsia" w:ascii="宋体" w:hAnsi="宋体"/>
          <w:sz w:val="24"/>
        </w:rPr>
        <w:t>7.投标人须承诺不同投标人的法人、单位负责人不是同一人也不存在直接控股、管理关系，须加盖本单位公章（格式自拟）</w:t>
      </w:r>
    </w:p>
    <w:p>
      <w:pPr>
        <w:snapToGrid w:val="0"/>
        <w:spacing w:line="360" w:lineRule="auto"/>
        <w:textAlignment w:val="baseline"/>
        <w:rPr>
          <w:rFonts w:ascii="宋体" w:hAnsi="宋体"/>
          <w:sz w:val="24"/>
        </w:rPr>
      </w:pPr>
      <w:r>
        <w:rPr>
          <w:rFonts w:hint="eastAsia" w:ascii="宋体" w:hAnsi="宋体"/>
          <w:sz w:val="24"/>
        </w:rPr>
        <w:t>8.投标人须承诺已向采购代理机构购买招标文件并登记备案，须加盖本单位公章（格式自拟）</w:t>
      </w:r>
    </w:p>
    <w:p>
      <w:pPr>
        <w:snapToGrid w:val="0"/>
        <w:spacing w:line="360" w:lineRule="auto"/>
        <w:textAlignment w:val="baseline"/>
      </w:pPr>
      <w:r>
        <w:rPr>
          <w:rFonts w:hint="eastAsia" w:ascii="宋体" w:hAnsi="宋体"/>
          <w:sz w:val="24"/>
        </w:rPr>
        <w:t>9.</w:t>
      </w:r>
      <w:r>
        <w:rPr>
          <w:rFonts w:hint="eastAsia" w:ascii="宋体" w:hAnsi="宋体"/>
          <w:kern w:val="0"/>
          <w:sz w:val="24"/>
        </w:rPr>
        <w:t>未被列入“信用中国”网站（www.creditchina.gov.cn）、中国政府采购网（www.ccgp.gov.cn）信用记录失信被执行人、重大税收违法案件当事人名单、政府采购严重违法失信行为记录名单。注：采购代理机构开标后查询结果页面打印并存档。</w:t>
      </w:r>
    </w:p>
    <w:p>
      <w:pPr>
        <w:widowControl/>
        <w:snapToGrid w:val="0"/>
        <w:jc w:val="left"/>
        <w:textAlignment w:val="baseline"/>
        <w:rPr>
          <w:rFonts w:ascii="宋体" w:hAnsi="宋体"/>
          <w:sz w:val="24"/>
        </w:rPr>
      </w:pPr>
      <w:r>
        <w:rPr>
          <w:rFonts w:ascii="宋体" w:hAnsi="宋体"/>
          <w:sz w:val="24"/>
        </w:rPr>
        <w:br w:type="page"/>
      </w:r>
    </w:p>
    <w:p>
      <w:pPr>
        <w:snapToGrid w:val="0"/>
        <w:textAlignment w:val="baseline"/>
        <w:rPr>
          <w:rFonts w:ascii="宋体" w:hAnsi="宋体"/>
          <w:b/>
          <w:sz w:val="24"/>
        </w:rPr>
      </w:pPr>
    </w:p>
    <w:p>
      <w:pPr>
        <w:snapToGrid w:val="0"/>
        <w:spacing w:line="360" w:lineRule="auto"/>
        <w:jc w:val="center"/>
        <w:textAlignment w:val="baseline"/>
        <w:rPr>
          <w:rFonts w:ascii="宋体" w:hAnsi="宋体"/>
          <w:sz w:val="24"/>
        </w:rPr>
      </w:pPr>
      <w:r>
        <w:rPr>
          <w:rFonts w:hint="eastAsia" w:ascii="宋体" w:hAnsi="宋体"/>
          <w:sz w:val="24"/>
        </w:rPr>
        <w:t>2.法定代表人授权委托书（格式）</w:t>
      </w:r>
    </w:p>
    <w:p>
      <w:pPr>
        <w:pStyle w:val="28"/>
        <w:snapToGrid w:val="0"/>
        <w:spacing w:line="360" w:lineRule="auto"/>
        <w:ind w:left="840" w:firstLine="480"/>
        <w:jc w:val="center"/>
        <w:textAlignment w:val="baseline"/>
        <w:rPr>
          <w:rFonts w:hAnsi="宋体"/>
          <w:sz w:val="24"/>
          <w:u w:val="single"/>
        </w:rPr>
      </w:pPr>
    </w:p>
    <w:p>
      <w:pPr>
        <w:pStyle w:val="28"/>
        <w:snapToGrid w:val="0"/>
        <w:spacing w:line="360" w:lineRule="auto"/>
        <w:ind w:firstLine="480" w:firstLineChars="200"/>
        <w:textAlignment w:val="baseline"/>
        <w:rPr>
          <w:rFonts w:hAnsi="宋体"/>
          <w:sz w:val="24"/>
        </w:rPr>
      </w:pPr>
      <w:r>
        <w:rPr>
          <w:rFonts w:hint="eastAsia" w:hAnsi="宋体"/>
          <w:sz w:val="24"/>
        </w:rPr>
        <w:t>本授权书声明：注册于</w:t>
      </w:r>
      <w:r>
        <w:rPr>
          <w:rFonts w:hint="eastAsia" w:hAnsi="宋体"/>
          <w:i/>
          <w:sz w:val="24"/>
          <w:u w:val="single" w:color="000000"/>
        </w:rPr>
        <w:t>（国家或地区的名称）</w:t>
      </w:r>
      <w:r>
        <w:rPr>
          <w:rFonts w:hint="eastAsia" w:hAnsi="宋体"/>
          <w:sz w:val="24"/>
        </w:rPr>
        <w:t>的</w:t>
      </w:r>
      <w:r>
        <w:rPr>
          <w:rFonts w:hint="eastAsia" w:hAnsi="宋体"/>
          <w:i/>
          <w:sz w:val="24"/>
          <w:u w:val="single" w:color="000000"/>
        </w:rPr>
        <w:t>（公司名称）</w:t>
      </w:r>
      <w:r>
        <w:rPr>
          <w:rFonts w:hint="eastAsia" w:hAnsi="宋体"/>
          <w:sz w:val="24"/>
        </w:rPr>
        <w:t>的在下面签字的（</w:t>
      </w:r>
      <w:r>
        <w:rPr>
          <w:rFonts w:hint="eastAsia" w:hAnsi="宋体"/>
          <w:i/>
          <w:sz w:val="24"/>
          <w:u w:val="single" w:color="000000"/>
        </w:rPr>
        <w:t>法定代表人姓名、职务</w:t>
      </w:r>
      <w:r>
        <w:rPr>
          <w:rFonts w:hint="eastAsia" w:hAnsi="宋体"/>
          <w:sz w:val="24"/>
        </w:rPr>
        <w:t>）代表本公司授权</w:t>
      </w:r>
      <w:r>
        <w:rPr>
          <w:rFonts w:hint="eastAsia" w:hAnsi="宋体"/>
          <w:i/>
          <w:sz w:val="24"/>
          <w:u w:val="single" w:color="000000"/>
        </w:rPr>
        <w:t>（单位名称）</w:t>
      </w:r>
      <w:r>
        <w:rPr>
          <w:rFonts w:hint="eastAsia" w:hAnsi="宋体"/>
          <w:sz w:val="24"/>
        </w:rPr>
        <w:t>的在下面签字的</w:t>
      </w:r>
      <w:r>
        <w:rPr>
          <w:rFonts w:hint="eastAsia" w:hAnsi="宋体"/>
          <w:i/>
          <w:sz w:val="24"/>
          <w:u w:val="single" w:color="000000"/>
        </w:rPr>
        <w:t>（被授权人的姓名、职务）</w:t>
      </w:r>
      <w:r>
        <w:rPr>
          <w:rFonts w:hint="eastAsia" w:hAnsi="宋体"/>
          <w:sz w:val="24"/>
        </w:rPr>
        <w:t>为本公司的合法代理人，就</w:t>
      </w:r>
      <w:r>
        <w:rPr>
          <w:rFonts w:hint="eastAsia" w:hAnsi="宋体"/>
          <w:i/>
          <w:sz w:val="24"/>
          <w:u w:val="single" w:color="000000"/>
        </w:rPr>
        <w:t>（项目名称）</w:t>
      </w:r>
      <w:r>
        <w:rPr>
          <w:rFonts w:hint="eastAsia" w:hAnsi="宋体"/>
          <w:sz w:val="24"/>
        </w:rPr>
        <w:t>投标，以本公司名义处理一切与之有关的事务。　　</w:t>
      </w:r>
    </w:p>
    <w:p>
      <w:pPr>
        <w:pStyle w:val="28"/>
        <w:tabs>
          <w:tab w:val="left" w:pos="5580"/>
        </w:tabs>
        <w:snapToGrid w:val="0"/>
        <w:spacing w:line="360" w:lineRule="auto"/>
        <w:ind w:left="840" w:hanging="131"/>
        <w:textAlignment w:val="baseline"/>
        <w:rPr>
          <w:rFonts w:hAnsi="宋体"/>
          <w:sz w:val="24"/>
        </w:rPr>
      </w:pPr>
      <w:r>
        <w:rPr>
          <w:rFonts w:hint="eastAsia" w:hAnsi="宋体"/>
          <w:sz w:val="24"/>
        </w:rPr>
        <w:t>本授权书于     年    月    日至     年    月    日有效，特此声明。</w:t>
      </w:r>
    </w:p>
    <w:p>
      <w:pPr>
        <w:pStyle w:val="28"/>
        <w:tabs>
          <w:tab w:val="left" w:pos="5580"/>
        </w:tabs>
        <w:snapToGrid w:val="0"/>
        <w:spacing w:line="360" w:lineRule="auto"/>
        <w:ind w:left="840" w:hanging="131"/>
        <w:textAlignment w:val="baseline"/>
        <w:rPr>
          <w:rFonts w:hAnsi="宋体"/>
          <w:sz w:val="24"/>
        </w:rPr>
      </w:pPr>
    </w:p>
    <w:p>
      <w:pPr>
        <w:pStyle w:val="28"/>
        <w:tabs>
          <w:tab w:val="left" w:pos="5580"/>
        </w:tabs>
        <w:snapToGrid w:val="0"/>
        <w:spacing w:line="360" w:lineRule="auto"/>
        <w:ind w:left="840" w:hanging="131"/>
        <w:textAlignment w:val="baseline"/>
        <w:rPr>
          <w:rFonts w:hAnsi="宋体"/>
          <w:sz w:val="24"/>
        </w:rPr>
      </w:pPr>
    </w:p>
    <w:tbl>
      <w:tblPr>
        <w:tblStyle w:val="55"/>
        <w:tblW w:w="7993" w:type="dxa"/>
        <w:tblInd w:w="0" w:type="dxa"/>
        <w:tblLayout w:type="fixed"/>
        <w:tblCellMar>
          <w:top w:w="0" w:type="dxa"/>
          <w:left w:w="108" w:type="dxa"/>
          <w:bottom w:w="0" w:type="dxa"/>
          <w:right w:w="108" w:type="dxa"/>
        </w:tblCellMar>
      </w:tblPr>
      <w:tblGrid>
        <w:gridCol w:w="2943"/>
        <w:gridCol w:w="5050"/>
      </w:tblGrid>
      <w:tr>
        <w:tblPrEx>
          <w:tblCellMar>
            <w:top w:w="0" w:type="dxa"/>
            <w:left w:w="108" w:type="dxa"/>
            <w:bottom w:w="0" w:type="dxa"/>
            <w:right w:w="108" w:type="dxa"/>
          </w:tblCellMar>
        </w:tblPrEx>
        <w:trPr>
          <w:trHeight w:val="563" w:hRule="atLeast"/>
        </w:trPr>
        <w:tc>
          <w:tcPr>
            <w:tcW w:w="2943" w:type="dxa"/>
          </w:tcPr>
          <w:p>
            <w:pPr>
              <w:pStyle w:val="28"/>
              <w:tabs>
                <w:tab w:val="left" w:pos="5580"/>
              </w:tabs>
              <w:snapToGrid w:val="0"/>
              <w:spacing w:line="360" w:lineRule="auto"/>
              <w:textAlignment w:val="baseline"/>
              <w:rPr>
                <w:rFonts w:hAnsi="宋体"/>
                <w:sz w:val="24"/>
              </w:rPr>
            </w:pPr>
            <w:r>
              <w:rPr>
                <w:rFonts w:hint="eastAsia" w:hAnsi="宋体"/>
                <w:sz w:val="24"/>
              </w:rPr>
              <w:t>法定代表人签字或盖章：</w:t>
            </w:r>
          </w:p>
        </w:tc>
        <w:tc>
          <w:tcPr>
            <w:tcW w:w="5050" w:type="dxa"/>
          </w:tcPr>
          <w:p>
            <w:pPr>
              <w:pStyle w:val="28"/>
              <w:tabs>
                <w:tab w:val="left" w:pos="5580"/>
              </w:tabs>
              <w:snapToGrid w:val="0"/>
              <w:spacing w:line="360" w:lineRule="auto"/>
              <w:ind w:left="840" w:firstLine="480"/>
              <w:textAlignment w:val="baseline"/>
              <w:rPr>
                <w:rFonts w:hAnsi="宋体"/>
                <w:sz w:val="24"/>
                <w:u w:val="single"/>
              </w:rPr>
            </w:pPr>
          </w:p>
        </w:tc>
      </w:tr>
      <w:tr>
        <w:tblPrEx>
          <w:tblCellMar>
            <w:top w:w="0" w:type="dxa"/>
            <w:left w:w="108" w:type="dxa"/>
            <w:bottom w:w="0" w:type="dxa"/>
            <w:right w:w="108" w:type="dxa"/>
          </w:tblCellMar>
        </w:tblPrEx>
        <w:trPr>
          <w:trHeight w:val="563" w:hRule="atLeast"/>
        </w:trPr>
        <w:tc>
          <w:tcPr>
            <w:tcW w:w="2943" w:type="dxa"/>
          </w:tcPr>
          <w:p>
            <w:pPr>
              <w:pStyle w:val="28"/>
              <w:tabs>
                <w:tab w:val="left" w:pos="5580"/>
              </w:tabs>
              <w:snapToGrid w:val="0"/>
              <w:spacing w:line="360" w:lineRule="auto"/>
              <w:textAlignment w:val="baseline"/>
              <w:rPr>
                <w:rFonts w:hAnsi="宋体"/>
                <w:sz w:val="24"/>
              </w:rPr>
            </w:pPr>
            <w:r>
              <w:rPr>
                <w:rFonts w:hint="eastAsia" w:hAnsi="宋体"/>
                <w:sz w:val="24"/>
              </w:rPr>
              <w:t>授权代表签字：</w:t>
            </w:r>
          </w:p>
        </w:tc>
        <w:tc>
          <w:tcPr>
            <w:tcW w:w="5050" w:type="dxa"/>
          </w:tcPr>
          <w:p>
            <w:pPr>
              <w:pStyle w:val="28"/>
              <w:tabs>
                <w:tab w:val="left" w:pos="5580"/>
              </w:tabs>
              <w:snapToGrid w:val="0"/>
              <w:spacing w:line="360" w:lineRule="auto"/>
              <w:ind w:left="840" w:firstLine="480"/>
              <w:textAlignment w:val="baseline"/>
              <w:rPr>
                <w:rFonts w:hAnsi="宋体"/>
                <w:sz w:val="24"/>
                <w:u w:val="single"/>
              </w:rPr>
            </w:pPr>
          </w:p>
        </w:tc>
      </w:tr>
      <w:tr>
        <w:tblPrEx>
          <w:tblCellMar>
            <w:top w:w="0" w:type="dxa"/>
            <w:left w:w="108" w:type="dxa"/>
            <w:bottom w:w="0" w:type="dxa"/>
            <w:right w:w="108" w:type="dxa"/>
          </w:tblCellMar>
        </w:tblPrEx>
        <w:trPr>
          <w:trHeight w:val="563" w:hRule="atLeast"/>
        </w:trPr>
        <w:tc>
          <w:tcPr>
            <w:tcW w:w="2943" w:type="dxa"/>
          </w:tcPr>
          <w:p>
            <w:pPr>
              <w:pStyle w:val="28"/>
              <w:tabs>
                <w:tab w:val="left" w:pos="5580"/>
              </w:tabs>
              <w:snapToGrid w:val="0"/>
              <w:spacing w:line="360" w:lineRule="auto"/>
              <w:textAlignment w:val="baseline"/>
              <w:rPr>
                <w:rFonts w:hAnsi="宋体"/>
                <w:sz w:val="24"/>
              </w:rPr>
            </w:pPr>
            <w:r>
              <w:rPr>
                <w:rFonts w:hint="eastAsia" w:hAnsi="宋体"/>
                <w:sz w:val="24"/>
              </w:rPr>
              <w:t>投标人(盖章)：</w:t>
            </w:r>
          </w:p>
        </w:tc>
        <w:tc>
          <w:tcPr>
            <w:tcW w:w="5050" w:type="dxa"/>
          </w:tcPr>
          <w:p>
            <w:pPr>
              <w:pStyle w:val="28"/>
              <w:tabs>
                <w:tab w:val="left" w:pos="5580"/>
              </w:tabs>
              <w:snapToGrid w:val="0"/>
              <w:spacing w:line="360" w:lineRule="auto"/>
              <w:ind w:left="840" w:firstLine="480"/>
              <w:textAlignment w:val="baseline"/>
              <w:rPr>
                <w:rFonts w:hAnsi="宋体"/>
                <w:sz w:val="24"/>
                <w:u w:val="single"/>
              </w:rPr>
            </w:pPr>
          </w:p>
        </w:tc>
      </w:tr>
    </w:tbl>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textAlignment w:val="baseline"/>
        <w:rPr>
          <w:rFonts w:ascii="宋体" w:hAnsi="宋体"/>
          <w:b/>
          <w:sz w:val="24"/>
        </w:rPr>
      </w:pPr>
    </w:p>
    <w:p>
      <w:pPr>
        <w:snapToGrid w:val="0"/>
        <w:spacing w:line="360" w:lineRule="auto"/>
        <w:jc w:val="center"/>
        <w:textAlignment w:val="baseline"/>
        <w:rPr>
          <w:rFonts w:ascii="宋体" w:hAnsi="宋体"/>
          <w:sz w:val="24"/>
        </w:rPr>
      </w:pPr>
    </w:p>
    <w:p>
      <w:pPr>
        <w:snapToGrid w:val="0"/>
        <w:spacing w:line="360" w:lineRule="auto"/>
        <w:jc w:val="center"/>
        <w:textAlignment w:val="baseline"/>
        <w:rPr>
          <w:rFonts w:ascii="宋体" w:hAnsi="宋体"/>
          <w:sz w:val="24"/>
        </w:rPr>
      </w:pPr>
    </w:p>
    <w:p>
      <w:pPr>
        <w:snapToGrid w:val="0"/>
        <w:textAlignment w:val="baseline"/>
        <w:rPr>
          <w:rFonts w:ascii="宋体" w:hAnsi="宋体"/>
          <w:sz w:val="24"/>
        </w:rPr>
      </w:pPr>
      <w:r>
        <w:rPr>
          <w:rFonts w:hint="eastAsia" w:ascii="宋体" w:hAnsi="宋体"/>
          <w:sz w:val="24"/>
        </w:rPr>
        <w:br w:type="page"/>
      </w:r>
    </w:p>
    <w:p>
      <w:pPr>
        <w:snapToGrid w:val="0"/>
        <w:spacing w:line="360" w:lineRule="auto"/>
        <w:textAlignment w:val="baseline"/>
        <w:rPr>
          <w:rFonts w:ascii="宋体" w:hAnsi="宋体"/>
          <w:sz w:val="24"/>
        </w:rPr>
      </w:pPr>
      <w:r>
        <w:rPr>
          <w:rFonts w:hint="eastAsia" w:ascii="宋体" w:hAnsi="宋体"/>
          <w:sz w:val="24"/>
        </w:rPr>
        <w:t>6.参加本次政府采购活动前三年内，在经营活动中没有重大违法记录的声明（投标人须提供此声明，法定代表人或其授权代表签字，并加盖本单位公章）。</w:t>
      </w:r>
    </w:p>
    <w:p>
      <w:pPr>
        <w:snapToGrid w:val="0"/>
        <w:spacing w:line="360" w:lineRule="auto"/>
        <w:ind w:left="994" w:leftChars="97" w:hanging="800" w:hangingChars="400"/>
        <w:textAlignment w:val="baseline"/>
        <w:rPr>
          <w:rFonts w:ascii="宋体" w:hAnsi="宋体"/>
        </w:rPr>
      </w:pPr>
    </w:p>
    <w:p>
      <w:pPr>
        <w:pStyle w:val="5"/>
        <w:snapToGrid w:val="0"/>
        <w:spacing w:line="360" w:lineRule="auto"/>
        <w:ind w:firstLine="480"/>
        <w:textAlignment w:val="baseline"/>
        <w:rPr>
          <w:rFonts w:hAnsi="宋体"/>
        </w:rPr>
      </w:pPr>
      <w:r>
        <w:rPr>
          <w:rFonts w:hAnsi="宋体"/>
        </w:rPr>
        <w:t>致：</w:t>
      </w:r>
      <w:r>
        <w:rPr>
          <w:rFonts w:hint="eastAsia" w:hAnsi="宋体"/>
        </w:rPr>
        <w:t>（采购人/采购代理机构）</w:t>
      </w:r>
    </w:p>
    <w:p>
      <w:pPr>
        <w:pStyle w:val="5"/>
        <w:snapToGrid w:val="0"/>
        <w:spacing w:line="360" w:lineRule="auto"/>
        <w:ind w:firstLine="480" w:firstLineChars="200"/>
        <w:textAlignment w:val="baseline"/>
        <w:rPr>
          <w:rFonts w:hAnsi="宋体"/>
        </w:rPr>
      </w:pPr>
    </w:p>
    <w:p>
      <w:pPr>
        <w:pStyle w:val="5"/>
        <w:snapToGrid w:val="0"/>
        <w:spacing w:line="360" w:lineRule="auto"/>
        <w:ind w:firstLine="480" w:firstLineChars="200"/>
        <w:textAlignment w:val="baseline"/>
        <w:rPr>
          <w:rFonts w:hAnsi="宋体"/>
        </w:rPr>
      </w:pPr>
      <w:r>
        <w:rPr>
          <w:rFonts w:hAnsi="宋体"/>
        </w:rPr>
        <w:t>我公司在参加本次</w:t>
      </w:r>
      <w:r>
        <w:rPr>
          <w:rFonts w:hint="eastAsia" w:hAnsi="宋体"/>
        </w:rPr>
        <w:t>政府</w:t>
      </w:r>
      <w:r>
        <w:rPr>
          <w:rFonts w:hAnsi="宋体"/>
        </w:rPr>
        <w:t>采购活动前三年内，在经营活动中没有重大违法记录。</w:t>
      </w:r>
    </w:p>
    <w:p>
      <w:pPr>
        <w:pStyle w:val="5"/>
        <w:snapToGrid w:val="0"/>
        <w:spacing w:line="360" w:lineRule="auto"/>
        <w:ind w:firstLine="480" w:firstLineChars="200"/>
        <w:textAlignment w:val="baseline"/>
        <w:rPr>
          <w:rFonts w:hAnsi="宋体"/>
        </w:rPr>
      </w:pPr>
      <w:r>
        <w:rPr>
          <w:rFonts w:hAnsi="宋体"/>
        </w:rPr>
        <w:t>特此声明。</w:t>
      </w:r>
    </w:p>
    <w:p>
      <w:pPr>
        <w:pStyle w:val="5"/>
        <w:snapToGrid w:val="0"/>
        <w:spacing w:line="360" w:lineRule="auto"/>
        <w:ind w:firstLine="480" w:firstLineChars="200"/>
        <w:textAlignment w:val="baseline"/>
        <w:rPr>
          <w:rFonts w:hAnsi="宋体"/>
        </w:rPr>
      </w:pPr>
    </w:p>
    <w:p>
      <w:pPr>
        <w:pStyle w:val="5"/>
        <w:snapToGrid w:val="0"/>
        <w:spacing w:line="360" w:lineRule="auto"/>
        <w:ind w:firstLine="480" w:firstLineChars="200"/>
        <w:textAlignment w:val="baseline"/>
        <w:rPr>
          <w:rFonts w:hAnsi="宋体"/>
        </w:rPr>
      </w:pPr>
    </w:p>
    <w:p>
      <w:pPr>
        <w:pStyle w:val="5"/>
        <w:snapToGrid w:val="0"/>
        <w:spacing w:line="360" w:lineRule="auto"/>
        <w:ind w:firstLine="480" w:firstLineChars="200"/>
        <w:textAlignment w:val="baseline"/>
        <w:rPr>
          <w:rFonts w:hAnsi="宋体"/>
        </w:rPr>
      </w:pPr>
    </w:p>
    <w:p>
      <w:pPr>
        <w:pStyle w:val="5"/>
        <w:snapToGrid w:val="0"/>
        <w:spacing w:line="360" w:lineRule="auto"/>
        <w:ind w:firstLine="480" w:firstLineChars="200"/>
        <w:jc w:val="center"/>
        <w:textAlignment w:val="baseline"/>
        <w:rPr>
          <w:rFonts w:hAnsi="宋体"/>
        </w:rPr>
      </w:pPr>
      <w:r>
        <w:rPr>
          <w:rFonts w:hint="eastAsia" w:hAnsi="宋体"/>
        </w:rPr>
        <w:t xml:space="preserve">  法定代表人或其授权代表签字：</w:t>
      </w:r>
    </w:p>
    <w:p>
      <w:pPr>
        <w:pStyle w:val="5"/>
        <w:snapToGrid w:val="0"/>
        <w:spacing w:line="360" w:lineRule="auto"/>
        <w:ind w:firstLine="480" w:firstLineChars="200"/>
        <w:jc w:val="center"/>
        <w:textAlignment w:val="baseline"/>
        <w:rPr>
          <w:rFonts w:hAnsi="宋体"/>
        </w:rPr>
      </w:pPr>
      <w:r>
        <w:rPr>
          <w:rFonts w:hAnsi="宋体"/>
        </w:rPr>
        <w:t>投标人公章</w:t>
      </w:r>
    </w:p>
    <w:p>
      <w:pPr>
        <w:pStyle w:val="5"/>
        <w:snapToGrid w:val="0"/>
        <w:spacing w:line="360" w:lineRule="auto"/>
        <w:ind w:firstLine="4260" w:firstLineChars="1775"/>
        <w:textAlignment w:val="baseline"/>
        <w:rPr>
          <w:rFonts w:hAnsi="宋体"/>
        </w:rPr>
      </w:pPr>
      <w:r>
        <w:rPr>
          <w:rFonts w:hAnsi="宋体"/>
        </w:rPr>
        <w:t>年</w:t>
      </w:r>
      <w:r>
        <w:rPr>
          <w:rFonts w:hint="eastAsia" w:hAnsi="宋体"/>
        </w:rPr>
        <w:t xml:space="preserve"> </w:t>
      </w:r>
      <w:r>
        <w:rPr>
          <w:rFonts w:hAnsi="宋体"/>
        </w:rPr>
        <w:t xml:space="preserve"> 月</w:t>
      </w:r>
      <w:r>
        <w:rPr>
          <w:rFonts w:hint="eastAsia" w:hAnsi="宋体"/>
        </w:rPr>
        <w:t xml:space="preserve"> </w:t>
      </w:r>
      <w:r>
        <w:rPr>
          <w:rFonts w:hAnsi="宋体"/>
        </w:rPr>
        <w:t xml:space="preserve"> 日</w:t>
      </w:r>
      <w:bookmarkEnd w:id="479"/>
    </w:p>
    <w:p>
      <w:pPr>
        <w:widowControl/>
        <w:snapToGrid w:val="0"/>
        <w:jc w:val="left"/>
        <w:textAlignment w:val="baseline"/>
        <w:rPr>
          <w:b/>
          <w:kern w:val="44"/>
          <w:sz w:val="28"/>
          <w:szCs w:val="28"/>
        </w:rPr>
      </w:pPr>
      <w:r>
        <w:rPr>
          <w:b/>
          <w:kern w:val="44"/>
          <w:sz w:val="28"/>
          <w:szCs w:val="28"/>
        </w:rPr>
        <w:br w:type="page"/>
      </w:r>
    </w:p>
    <w:p>
      <w:pPr>
        <w:pStyle w:val="4"/>
        <w:snapToGrid w:val="0"/>
        <w:textAlignment w:val="baseline"/>
      </w:pPr>
      <w:bookmarkStart w:id="480" w:name="_Toc40111033"/>
      <w:bookmarkStart w:id="481" w:name="_Toc2179"/>
      <w:bookmarkStart w:id="482" w:name="_Toc40114232"/>
      <w:bookmarkStart w:id="483" w:name="_Toc8399"/>
      <w:bookmarkStart w:id="484" w:name="_Toc523911432"/>
      <w:bookmarkStart w:id="485" w:name="_Toc5895215"/>
      <w:r>
        <w:rPr>
          <w:rFonts w:hint="eastAsia"/>
        </w:rPr>
        <w:t>二、投标文件商务技术册</w:t>
      </w:r>
      <w:bookmarkEnd w:id="480"/>
      <w:bookmarkEnd w:id="481"/>
      <w:bookmarkEnd w:id="482"/>
      <w:bookmarkEnd w:id="483"/>
      <w:bookmarkEnd w:id="484"/>
      <w:bookmarkEnd w:id="485"/>
    </w:p>
    <w:p>
      <w:pPr>
        <w:pStyle w:val="6"/>
        <w:tabs>
          <w:tab w:val="left" w:pos="900"/>
        </w:tabs>
        <w:snapToGrid w:val="0"/>
        <w:spacing w:line="360" w:lineRule="auto"/>
        <w:jc w:val="center"/>
        <w:textAlignment w:val="baseline"/>
        <w:rPr>
          <w:rFonts w:hint="default"/>
          <w:sz w:val="24"/>
        </w:rPr>
      </w:pPr>
      <w:bookmarkStart w:id="486" w:name="_Toc5895216"/>
      <w:bookmarkStart w:id="487" w:name="_Toc523911433"/>
      <w:bookmarkStart w:id="488" w:name="_Toc40111034"/>
      <w:bookmarkStart w:id="489" w:name="_Toc310195762"/>
      <w:bookmarkStart w:id="490" w:name="_Toc12975"/>
      <w:r>
        <w:rPr>
          <w:sz w:val="24"/>
        </w:rPr>
        <w:t>1 投标函</w:t>
      </w:r>
      <w:bookmarkEnd w:id="486"/>
      <w:bookmarkEnd w:id="487"/>
      <w:bookmarkEnd w:id="488"/>
      <w:bookmarkEnd w:id="489"/>
      <w:bookmarkEnd w:id="490"/>
    </w:p>
    <w:p>
      <w:pPr>
        <w:tabs>
          <w:tab w:val="left" w:pos="5580"/>
        </w:tabs>
        <w:snapToGrid w:val="0"/>
        <w:spacing w:before="120" w:line="360" w:lineRule="auto"/>
        <w:jc w:val="center"/>
        <w:textAlignment w:val="baseline"/>
        <w:rPr>
          <w:rFonts w:ascii="宋体" w:hAnsi="宋体"/>
          <w:b/>
          <w:sz w:val="24"/>
        </w:rPr>
      </w:pPr>
    </w:p>
    <w:p>
      <w:pPr>
        <w:tabs>
          <w:tab w:val="left" w:pos="5580"/>
        </w:tabs>
        <w:snapToGrid w:val="0"/>
        <w:spacing w:before="120" w:line="360" w:lineRule="auto"/>
        <w:textAlignment w:val="baseline"/>
        <w:rPr>
          <w:rFonts w:ascii="宋体" w:hAnsi="宋体"/>
          <w:sz w:val="24"/>
        </w:rPr>
      </w:pPr>
      <w:r>
        <w:rPr>
          <w:rFonts w:hint="eastAsia" w:ascii="宋体" w:hAnsi="宋体"/>
          <w:sz w:val="24"/>
        </w:rPr>
        <w:t>致：（采购代理机构）</w:t>
      </w:r>
    </w:p>
    <w:p>
      <w:pPr>
        <w:pStyle w:val="125"/>
        <w:snapToGrid w:val="0"/>
        <w:spacing w:line="360" w:lineRule="auto"/>
        <w:ind w:firstLine="360" w:firstLineChars="150"/>
        <w:textAlignment w:val="baseline"/>
        <w:rPr>
          <w:rFonts w:ascii="宋体" w:hAnsi="宋体"/>
          <w:sz w:val="24"/>
        </w:rPr>
      </w:pPr>
      <w:r>
        <w:rPr>
          <w:rFonts w:hint="eastAsia" w:ascii="宋体" w:hAnsi="宋体"/>
          <w:sz w:val="24"/>
        </w:rPr>
        <w:t>根据贵方为</w:t>
      </w:r>
      <w:r>
        <w:rPr>
          <w:rFonts w:hint="eastAsia" w:ascii="宋体" w:hAnsi="宋体"/>
          <w:sz w:val="24"/>
          <w:u w:val="single" w:color="000000"/>
        </w:rPr>
        <w:t>(项目名称)</w:t>
      </w:r>
      <w:r>
        <w:rPr>
          <w:rFonts w:hint="eastAsia" w:ascii="宋体" w:hAnsi="宋体"/>
          <w:sz w:val="24"/>
        </w:rPr>
        <w:t xml:space="preserve"> 招标采购服务</w:t>
      </w:r>
      <w:r>
        <w:rPr>
          <w:rFonts w:hint="eastAsia" w:ascii="宋体" w:hAnsi="宋体"/>
          <w:sz w:val="24"/>
          <w:u w:val="single" w:color="000000"/>
        </w:rPr>
        <w:t>(项目代理编号)</w:t>
      </w:r>
      <w:r>
        <w:rPr>
          <w:rFonts w:hint="eastAsia" w:ascii="宋体" w:hAnsi="宋体"/>
          <w:sz w:val="24"/>
        </w:rPr>
        <w:t xml:space="preserve">的投标邀请,签字代表 </w:t>
      </w:r>
      <w:r>
        <w:rPr>
          <w:rFonts w:hint="eastAsia" w:ascii="宋体" w:hAnsi="宋体"/>
          <w:sz w:val="24"/>
          <w:u w:val="single" w:color="000000"/>
        </w:rPr>
        <w:t>(姓名、职务)</w:t>
      </w:r>
      <w:r>
        <w:rPr>
          <w:rFonts w:hint="eastAsia" w:ascii="宋体" w:hAnsi="宋体"/>
          <w:sz w:val="24"/>
        </w:rPr>
        <w:t>经正式授权并代表投标人</w:t>
      </w:r>
      <w:r>
        <w:rPr>
          <w:rFonts w:hint="eastAsia" w:ascii="宋体" w:hAnsi="宋体"/>
          <w:sz w:val="24"/>
          <w:u w:val="single" w:color="000000"/>
        </w:rPr>
        <w:t>（投标人名称、地址）</w:t>
      </w:r>
      <w:r>
        <w:rPr>
          <w:rFonts w:hint="eastAsia" w:ascii="宋体" w:hAnsi="宋体"/>
          <w:sz w:val="24"/>
        </w:rPr>
        <w:t>提交下述文件正本</w:t>
      </w:r>
      <w:r>
        <w:rPr>
          <w:rFonts w:hint="eastAsia" w:ascii="宋体" w:hAnsi="宋体"/>
          <w:sz w:val="24"/>
          <w:u w:val="single" w:color="000000"/>
        </w:rPr>
        <w:t xml:space="preserve"> </w:t>
      </w:r>
      <w:r>
        <w:rPr>
          <w:rFonts w:ascii="宋体" w:hAnsi="宋体"/>
          <w:sz w:val="24"/>
          <w:u w:val="single" w:color="000000"/>
        </w:rPr>
        <w:t>1</w:t>
      </w:r>
      <w:r>
        <w:rPr>
          <w:rFonts w:hint="eastAsia" w:ascii="宋体" w:hAnsi="宋体"/>
          <w:sz w:val="24"/>
          <w:u w:val="single" w:color="000000"/>
        </w:rPr>
        <w:t xml:space="preserve"> </w:t>
      </w:r>
      <w:r>
        <w:rPr>
          <w:rFonts w:hint="eastAsia" w:ascii="宋体" w:hAnsi="宋体"/>
          <w:sz w:val="24"/>
        </w:rPr>
        <w:t>份、副本</w:t>
      </w:r>
      <w:r>
        <w:rPr>
          <w:rFonts w:ascii="宋体" w:hAnsi="宋体"/>
          <w:sz w:val="24"/>
          <w:u w:val="single" w:color="000000"/>
        </w:rPr>
        <w:t xml:space="preserve"> 4</w:t>
      </w:r>
      <w:r>
        <w:rPr>
          <w:rFonts w:hint="eastAsia" w:ascii="宋体" w:hAnsi="宋体"/>
          <w:sz w:val="24"/>
          <w:u w:val="single" w:color="000000"/>
        </w:rPr>
        <w:t xml:space="preserve"> </w:t>
      </w:r>
      <w:r>
        <w:rPr>
          <w:rFonts w:hint="eastAsia" w:ascii="宋体" w:hAnsi="宋体"/>
          <w:sz w:val="24"/>
        </w:rPr>
        <w:t>份及电子文档</w:t>
      </w:r>
      <w:r>
        <w:rPr>
          <w:rFonts w:hint="eastAsia" w:ascii="宋体" w:hAnsi="宋体"/>
          <w:sz w:val="24"/>
          <w:u w:val="single" w:color="000000"/>
        </w:rPr>
        <w:t xml:space="preserve"> </w:t>
      </w:r>
      <w:r>
        <w:rPr>
          <w:rFonts w:ascii="宋体" w:hAnsi="宋体"/>
          <w:sz w:val="24"/>
          <w:u w:val="single" w:color="000000"/>
        </w:rPr>
        <w:t>1</w:t>
      </w:r>
      <w:r>
        <w:rPr>
          <w:rFonts w:hint="eastAsia" w:ascii="宋体" w:hAnsi="宋体"/>
          <w:sz w:val="24"/>
          <w:u w:val="single" w:color="000000"/>
        </w:rPr>
        <w:t xml:space="preserve"> </w:t>
      </w:r>
      <w:r>
        <w:rPr>
          <w:rFonts w:hint="eastAsia" w:ascii="宋体" w:hAnsi="宋体"/>
          <w:sz w:val="24"/>
        </w:rPr>
        <w:t>套：</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投 标 函</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开标一览表</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投标分项报价表</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技术规格偏离表</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5.商务条款偏离表</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6.业绩案例一览表</w:t>
      </w:r>
    </w:p>
    <w:p>
      <w:pPr>
        <w:snapToGrid w:val="0"/>
        <w:spacing w:line="360" w:lineRule="auto"/>
        <w:ind w:firstLine="424" w:firstLineChars="177"/>
        <w:textAlignment w:val="baseline"/>
        <w:rPr>
          <w:rFonts w:ascii="宋体" w:hAnsi="宋体"/>
          <w:sz w:val="24"/>
        </w:rPr>
      </w:pPr>
      <w:r>
        <w:rPr>
          <w:rFonts w:hint="eastAsia" w:ascii="宋体" w:hAnsi="宋体"/>
          <w:sz w:val="24"/>
        </w:rPr>
        <w:t>7</w:t>
      </w:r>
      <w:r>
        <w:rPr>
          <w:rFonts w:ascii="宋体" w:hAnsi="宋体"/>
          <w:sz w:val="24"/>
        </w:rPr>
        <w:t>.</w:t>
      </w:r>
      <w:r>
        <w:rPr>
          <w:rFonts w:hint="eastAsia" w:ascii="宋体" w:hAnsi="宋体"/>
          <w:sz w:val="24"/>
        </w:rPr>
        <w:t>投标人基本情况表</w:t>
      </w:r>
    </w:p>
    <w:p>
      <w:pPr>
        <w:pStyle w:val="125"/>
        <w:snapToGrid w:val="0"/>
        <w:spacing w:line="360" w:lineRule="auto"/>
        <w:ind w:firstLine="424" w:firstLineChars="177"/>
        <w:textAlignment w:val="baseline"/>
      </w:pPr>
      <w:r>
        <w:rPr>
          <w:rFonts w:hint="eastAsia" w:ascii="宋体" w:hAnsi="宋体"/>
          <w:sz w:val="24"/>
        </w:rPr>
        <w:t>8.服务方案</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9.</w:t>
      </w:r>
      <w:r>
        <w:rPr>
          <w:rFonts w:ascii="宋体" w:hAnsi="宋体"/>
          <w:sz w:val="24"/>
        </w:rPr>
        <w:t>售后服务及培训计划</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 xml:space="preserve">10.提交投标保证金的证明材料 </w:t>
      </w:r>
    </w:p>
    <w:p>
      <w:pPr>
        <w:pStyle w:val="125"/>
        <w:snapToGrid w:val="0"/>
        <w:spacing w:line="360" w:lineRule="auto"/>
        <w:ind w:firstLine="424" w:firstLineChars="177"/>
        <w:textAlignment w:val="baseline"/>
        <w:rPr>
          <w:rFonts w:ascii="宋体" w:hAnsi="宋体"/>
          <w:sz w:val="24"/>
        </w:rPr>
      </w:pPr>
      <w:r>
        <w:rPr>
          <w:rFonts w:hint="eastAsia" w:ascii="宋体" w:hAnsi="宋体"/>
          <w:sz w:val="24"/>
        </w:rPr>
        <w:t>11.中标服务费承诺书</w:t>
      </w:r>
    </w:p>
    <w:p>
      <w:pPr>
        <w:snapToGrid w:val="0"/>
        <w:spacing w:line="360" w:lineRule="auto"/>
        <w:ind w:firstLine="424" w:firstLineChars="177"/>
        <w:textAlignment w:val="baseline"/>
        <w:rPr>
          <w:rFonts w:ascii="宋体" w:hAnsi="宋体"/>
          <w:sz w:val="24"/>
          <w:lang w:val="en-GB"/>
        </w:rPr>
      </w:pPr>
      <w:r>
        <w:rPr>
          <w:rFonts w:hint="eastAsia" w:ascii="宋体" w:hAnsi="宋体"/>
          <w:sz w:val="24"/>
          <w:lang w:val="en-GB"/>
        </w:rPr>
        <w:t>12.中小企业声明函（服务）</w:t>
      </w:r>
    </w:p>
    <w:p>
      <w:pPr>
        <w:snapToGrid w:val="0"/>
        <w:spacing w:line="360" w:lineRule="auto"/>
        <w:ind w:firstLine="424" w:firstLineChars="177"/>
        <w:textAlignment w:val="baseline"/>
        <w:rPr>
          <w:rFonts w:ascii="宋体" w:hAnsi="宋体"/>
          <w:sz w:val="24"/>
          <w:lang w:val="en-GB"/>
        </w:rPr>
      </w:pPr>
      <w:r>
        <w:rPr>
          <w:rFonts w:hint="eastAsia" w:ascii="宋体" w:hAnsi="宋体"/>
          <w:sz w:val="24"/>
        </w:rPr>
        <w:t>13.</w:t>
      </w:r>
      <w:r>
        <w:rPr>
          <w:rFonts w:hint="eastAsia" w:hAnsi="宋体"/>
          <w:sz w:val="24"/>
          <w:lang w:val="en-GB"/>
        </w:rPr>
        <w:t>残疾人福利性单位声明函（如适用）</w:t>
      </w:r>
    </w:p>
    <w:p>
      <w:pPr>
        <w:pStyle w:val="28"/>
        <w:tabs>
          <w:tab w:val="left" w:pos="5580"/>
        </w:tabs>
        <w:snapToGrid w:val="0"/>
        <w:spacing w:line="360" w:lineRule="auto"/>
        <w:ind w:firstLine="424" w:firstLineChars="177"/>
        <w:jc w:val="left"/>
        <w:textAlignment w:val="baseline"/>
        <w:rPr>
          <w:rFonts w:hAnsi="宋体"/>
          <w:sz w:val="24"/>
          <w:lang w:val="en-GB"/>
        </w:rPr>
      </w:pPr>
      <w:r>
        <w:rPr>
          <w:rFonts w:hint="eastAsia" w:hAnsi="宋体"/>
          <w:sz w:val="24"/>
          <w:lang w:val="en-GB"/>
        </w:rPr>
        <w:t>14.</w:t>
      </w:r>
      <w:r>
        <w:rPr>
          <w:rFonts w:hint="eastAsia" w:hAnsi="宋体"/>
          <w:sz w:val="24"/>
        </w:rPr>
        <w:t>监狱、戒毒企业声明函（如适用）</w:t>
      </w:r>
    </w:p>
    <w:p>
      <w:pPr>
        <w:pStyle w:val="28"/>
        <w:tabs>
          <w:tab w:val="left" w:pos="5580"/>
        </w:tabs>
        <w:snapToGrid w:val="0"/>
        <w:spacing w:line="360" w:lineRule="auto"/>
        <w:ind w:firstLine="424" w:firstLineChars="177"/>
        <w:jc w:val="left"/>
        <w:textAlignment w:val="baseline"/>
        <w:rPr>
          <w:rFonts w:hAnsi="宋体"/>
          <w:sz w:val="24"/>
          <w:szCs w:val="24"/>
          <w:lang w:val="en-GB"/>
        </w:rPr>
      </w:pPr>
      <w:r>
        <w:rPr>
          <w:rFonts w:hAnsi="宋体"/>
          <w:sz w:val="24"/>
          <w:lang w:val="en-GB"/>
        </w:rPr>
        <w:t>1</w:t>
      </w:r>
      <w:r>
        <w:rPr>
          <w:rFonts w:hint="eastAsia" w:hAnsi="宋体"/>
          <w:sz w:val="24"/>
          <w:lang w:val="en-GB"/>
        </w:rPr>
        <w:t>5.</w:t>
      </w:r>
      <w:r>
        <w:rPr>
          <w:sz w:val="24"/>
        </w:rPr>
        <w:t>投标人认为必要的其他证明文件</w:t>
      </w:r>
    </w:p>
    <w:p>
      <w:pPr>
        <w:pStyle w:val="28"/>
        <w:tabs>
          <w:tab w:val="left" w:pos="525"/>
          <w:tab w:val="left" w:pos="945"/>
          <w:tab w:val="left" w:pos="5580"/>
        </w:tabs>
        <w:snapToGrid w:val="0"/>
        <w:spacing w:line="360" w:lineRule="auto"/>
        <w:textAlignment w:val="baseline"/>
        <w:rPr>
          <w:rFonts w:hAnsi="宋体"/>
          <w:sz w:val="24"/>
        </w:rPr>
      </w:pPr>
      <w:r>
        <w:rPr>
          <w:rFonts w:hint="eastAsia" w:hAnsi="宋体"/>
          <w:sz w:val="24"/>
        </w:rPr>
        <w:t>在此，</w:t>
      </w:r>
      <w:r>
        <w:rPr>
          <w:rFonts w:hint="eastAsia" w:hAnsi="宋体"/>
          <w:sz w:val="24"/>
          <w:lang w:val="en-US"/>
        </w:rPr>
        <w:t>授权</w:t>
      </w:r>
      <w:r>
        <w:rPr>
          <w:rFonts w:hint="eastAsia" w:hAnsi="宋体"/>
          <w:sz w:val="24"/>
        </w:rPr>
        <w:t>代表宣布同意如下：</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1）所附投标价格表中规定的应提交和交付的服务投标总价为人民币（用文字和数字表示的投标总价）。</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2）投标人将按招标文件的规定履行合同责任和义务。</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3）投标人已详细审查全部招标文件。我们完全理解并同意放弃对这方面有不明及误解的权利。</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4）本投标有效期为自开标之日起</w:t>
      </w:r>
      <w:r>
        <w:rPr>
          <w:rFonts w:hint="eastAsia" w:hAnsi="宋体"/>
          <w:bCs/>
          <w:sz w:val="24"/>
          <w:u w:val="single" w:color="000000"/>
          <w:lang w:val="en-US"/>
        </w:rPr>
        <w:t xml:space="preserve"> 90</w:t>
      </w:r>
      <w:r>
        <w:rPr>
          <w:rFonts w:hint="eastAsia" w:hAnsi="宋体"/>
          <w:bCs/>
          <w:sz w:val="24"/>
          <w:lang w:val="en-US"/>
        </w:rPr>
        <w:t>个日历日。</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5）在规定的开标时间后，投标人保证遵守招标文件中有关保证金的规定。</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6）我方与采购人聘请的为此项目提供咨询服务的公司及任何附属机构均无关联，我方不是采购人的附属机构。</w:t>
      </w:r>
    </w:p>
    <w:p>
      <w:pPr>
        <w:pStyle w:val="28"/>
        <w:tabs>
          <w:tab w:val="left" w:pos="5580"/>
        </w:tabs>
        <w:snapToGrid w:val="0"/>
        <w:spacing w:line="360" w:lineRule="auto"/>
        <w:ind w:left="420"/>
        <w:textAlignment w:val="baseline"/>
        <w:rPr>
          <w:rFonts w:hint="eastAsia" w:hAnsi="宋体" w:eastAsia="宋体"/>
          <w:bCs/>
          <w:sz w:val="24"/>
          <w:lang w:val="en-US" w:eastAsia="zh-CN"/>
        </w:rPr>
      </w:pPr>
      <w:r>
        <w:rPr>
          <w:rFonts w:hint="eastAsia" w:hAnsi="宋体"/>
          <w:bCs/>
          <w:sz w:val="24"/>
          <w:lang w:val="en-US"/>
        </w:rPr>
        <w:t>7）投标人同意提供按照贵方可能要求的与其投标有关的一切数据或资料，完全理解贵方不一定接受最低价的投标。</w:t>
      </w:r>
    </w:p>
    <w:p>
      <w:pPr>
        <w:pStyle w:val="28"/>
        <w:tabs>
          <w:tab w:val="left" w:pos="5580"/>
        </w:tabs>
        <w:snapToGrid w:val="0"/>
        <w:spacing w:line="360" w:lineRule="auto"/>
        <w:ind w:left="420"/>
        <w:textAlignment w:val="baseline"/>
        <w:rPr>
          <w:rFonts w:hAnsi="宋体"/>
          <w:sz w:val="24"/>
        </w:rPr>
      </w:pPr>
      <w:r>
        <w:rPr>
          <w:rFonts w:hint="eastAsia" w:hAnsi="宋体"/>
          <w:bCs/>
          <w:sz w:val="24"/>
          <w:lang w:val="en-US"/>
        </w:rPr>
        <w:t>8）与本投标有关的一切正式往来信函请寄：</w:t>
      </w:r>
    </w:p>
    <w:p>
      <w:pPr>
        <w:pStyle w:val="28"/>
        <w:tabs>
          <w:tab w:val="left" w:pos="5580"/>
        </w:tabs>
        <w:snapToGrid w:val="0"/>
        <w:spacing w:line="360" w:lineRule="auto"/>
        <w:ind w:left="420"/>
        <w:textAlignment w:val="baseline"/>
        <w:rPr>
          <w:rFonts w:hAnsi="宋体"/>
          <w:sz w:val="24"/>
        </w:rPr>
      </w:pPr>
      <w:r>
        <w:rPr>
          <w:rFonts w:hint="eastAsia" w:hAnsi="宋体"/>
          <w:sz w:val="24"/>
        </w:rPr>
        <w:t>地址：_________________________     传真：____________________________</w:t>
      </w:r>
    </w:p>
    <w:p>
      <w:pPr>
        <w:pStyle w:val="28"/>
        <w:tabs>
          <w:tab w:val="left" w:pos="5580"/>
        </w:tabs>
        <w:snapToGrid w:val="0"/>
        <w:spacing w:line="360" w:lineRule="auto"/>
        <w:ind w:left="420"/>
        <w:textAlignment w:val="baseline"/>
        <w:rPr>
          <w:rFonts w:hAnsi="宋体"/>
          <w:sz w:val="24"/>
        </w:rPr>
      </w:pPr>
      <w:r>
        <w:rPr>
          <w:rFonts w:hint="eastAsia" w:hAnsi="宋体"/>
          <w:sz w:val="24"/>
        </w:rPr>
        <w:t>电话：_________________________     邮箱：____________________________</w:t>
      </w:r>
    </w:p>
    <w:p>
      <w:pPr>
        <w:pStyle w:val="28"/>
        <w:tabs>
          <w:tab w:val="left" w:pos="5580"/>
        </w:tabs>
        <w:snapToGrid w:val="0"/>
        <w:spacing w:line="360" w:lineRule="auto"/>
        <w:textAlignment w:val="baseline"/>
        <w:rPr>
          <w:rFonts w:hAnsi="宋体"/>
          <w:sz w:val="24"/>
        </w:rPr>
      </w:pPr>
    </w:p>
    <w:p>
      <w:pPr>
        <w:pStyle w:val="28"/>
        <w:tabs>
          <w:tab w:val="left" w:pos="5580"/>
        </w:tabs>
        <w:snapToGrid w:val="0"/>
        <w:spacing w:line="480" w:lineRule="auto"/>
        <w:ind w:left="420"/>
        <w:textAlignment w:val="baseline"/>
        <w:rPr>
          <w:rFonts w:hAnsi="宋体"/>
          <w:sz w:val="24"/>
        </w:rPr>
      </w:pPr>
      <w:r>
        <w:rPr>
          <w:rFonts w:hint="eastAsia" w:hAnsi="宋体"/>
          <w:sz w:val="24"/>
        </w:rPr>
        <w:t>授权代表签字：_________________</w:t>
      </w:r>
    </w:p>
    <w:p>
      <w:pPr>
        <w:pStyle w:val="28"/>
        <w:tabs>
          <w:tab w:val="left" w:pos="5580"/>
        </w:tabs>
        <w:snapToGrid w:val="0"/>
        <w:spacing w:line="480" w:lineRule="auto"/>
        <w:ind w:left="420"/>
        <w:textAlignment w:val="baseline"/>
        <w:rPr>
          <w:rFonts w:hAnsi="宋体"/>
          <w:sz w:val="24"/>
        </w:rPr>
      </w:pPr>
      <w:r>
        <w:rPr>
          <w:rFonts w:hint="eastAsia" w:hAnsi="宋体"/>
          <w:sz w:val="24"/>
        </w:rPr>
        <w:t>投标人名称：___________________</w:t>
      </w:r>
    </w:p>
    <w:p>
      <w:pPr>
        <w:pStyle w:val="28"/>
        <w:tabs>
          <w:tab w:val="left" w:pos="5580"/>
        </w:tabs>
        <w:snapToGrid w:val="0"/>
        <w:spacing w:line="480" w:lineRule="auto"/>
        <w:ind w:left="420"/>
        <w:textAlignment w:val="baseline"/>
        <w:rPr>
          <w:rFonts w:hAnsi="宋体"/>
          <w:sz w:val="24"/>
          <w:u w:val="single"/>
        </w:rPr>
      </w:pPr>
      <w:r>
        <w:rPr>
          <w:rFonts w:hint="eastAsia" w:hAnsi="宋体"/>
          <w:sz w:val="24"/>
        </w:rPr>
        <w:t>开户名全称：</w:t>
      </w:r>
    </w:p>
    <w:p>
      <w:pPr>
        <w:pStyle w:val="28"/>
        <w:tabs>
          <w:tab w:val="left" w:pos="5580"/>
        </w:tabs>
        <w:snapToGrid w:val="0"/>
        <w:spacing w:line="480" w:lineRule="auto"/>
        <w:ind w:left="420"/>
        <w:textAlignment w:val="baseline"/>
        <w:rPr>
          <w:rFonts w:hAnsi="宋体"/>
          <w:sz w:val="24"/>
        </w:rPr>
      </w:pPr>
      <w:r>
        <w:rPr>
          <w:rFonts w:hint="eastAsia" w:hAnsi="宋体"/>
          <w:sz w:val="24"/>
        </w:rPr>
        <w:t>开户银行：</w:t>
      </w:r>
    </w:p>
    <w:p>
      <w:pPr>
        <w:pStyle w:val="28"/>
        <w:tabs>
          <w:tab w:val="left" w:pos="5580"/>
        </w:tabs>
        <w:snapToGrid w:val="0"/>
        <w:spacing w:line="480" w:lineRule="auto"/>
        <w:ind w:left="420"/>
        <w:textAlignment w:val="baseline"/>
        <w:rPr>
          <w:rFonts w:hAnsi="宋体"/>
          <w:sz w:val="24"/>
        </w:rPr>
      </w:pPr>
      <w:r>
        <w:rPr>
          <w:rFonts w:hint="eastAsia" w:hAnsi="宋体"/>
          <w:sz w:val="24"/>
        </w:rPr>
        <w:t>银行账号：</w:t>
      </w:r>
    </w:p>
    <w:p>
      <w:pPr>
        <w:pStyle w:val="28"/>
        <w:tabs>
          <w:tab w:val="left" w:pos="5580"/>
        </w:tabs>
        <w:snapToGrid w:val="0"/>
        <w:spacing w:line="480" w:lineRule="auto"/>
        <w:ind w:left="420"/>
        <w:textAlignment w:val="baseline"/>
        <w:rPr>
          <w:rFonts w:hAnsi="宋体"/>
          <w:sz w:val="24"/>
        </w:rPr>
      </w:pPr>
      <w:r>
        <w:rPr>
          <w:rFonts w:hint="eastAsia" w:hAnsi="宋体"/>
          <w:sz w:val="24"/>
        </w:rPr>
        <w:t>公    章：</w:t>
      </w:r>
    </w:p>
    <w:p>
      <w:pPr>
        <w:pStyle w:val="28"/>
        <w:tabs>
          <w:tab w:val="left" w:pos="5580"/>
        </w:tabs>
        <w:snapToGrid w:val="0"/>
        <w:spacing w:line="480" w:lineRule="auto"/>
        <w:ind w:left="420"/>
        <w:textAlignment w:val="baseline"/>
        <w:rPr>
          <w:rFonts w:hAnsi="宋体"/>
          <w:sz w:val="24"/>
          <w:u w:val="single"/>
        </w:rPr>
      </w:pPr>
      <w:r>
        <w:rPr>
          <w:rFonts w:hint="eastAsia" w:hAnsi="宋体"/>
          <w:sz w:val="24"/>
        </w:rPr>
        <w:t>日    期：</w:t>
      </w:r>
    </w:p>
    <w:p>
      <w:pPr>
        <w:pStyle w:val="28"/>
        <w:tabs>
          <w:tab w:val="left" w:pos="5580"/>
        </w:tabs>
        <w:snapToGrid w:val="0"/>
        <w:spacing w:line="360" w:lineRule="auto"/>
        <w:ind w:left="840"/>
        <w:jc w:val="left"/>
        <w:textAlignment w:val="baseline"/>
        <w:rPr>
          <w:rFonts w:hAnsi="宋体"/>
          <w:sz w:val="24"/>
          <w:szCs w:val="24"/>
          <w:lang w:val="en-US"/>
        </w:rPr>
      </w:pPr>
    </w:p>
    <w:p>
      <w:pPr>
        <w:pStyle w:val="28"/>
        <w:tabs>
          <w:tab w:val="left" w:pos="5580"/>
        </w:tabs>
        <w:snapToGrid w:val="0"/>
        <w:spacing w:line="360" w:lineRule="auto"/>
        <w:ind w:left="840"/>
        <w:jc w:val="left"/>
        <w:textAlignment w:val="baseline"/>
        <w:rPr>
          <w:rFonts w:hAnsi="宋体"/>
          <w:sz w:val="24"/>
          <w:szCs w:val="24"/>
          <w:lang w:val="en-US"/>
        </w:rPr>
      </w:pPr>
    </w:p>
    <w:p>
      <w:pPr>
        <w:pStyle w:val="28"/>
        <w:tabs>
          <w:tab w:val="left" w:pos="5580"/>
        </w:tabs>
        <w:snapToGrid w:val="0"/>
        <w:spacing w:line="360" w:lineRule="auto"/>
        <w:ind w:left="840"/>
        <w:jc w:val="left"/>
        <w:textAlignment w:val="baseline"/>
        <w:rPr>
          <w:rFonts w:hAnsi="宋体"/>
          <w:sz w:val="24"/>
          <w:u w:val="single"/>
        </w:rPr>
        <w:sectPr>
          <w:headerReference r:id="rId13" w:type="first"/>
          <w:footerReference r:id="rId15" w:type="first"/>
          <w:headerReference r:id="rId12" w:type="default"/>
          <w:footerReference r:id="rId14" w:type="default"/>
          <w:pgSz w:w="11905" w:h="16838"/>
          <w:pgMar w:top="1088" w:right="1417" w:bottom="1400" w:left="1417" w:header="567" w:footer="850" w:gutter="0"/>
          <w:cols w:space="0" w:num="1"/>
          <w:docGrid w:linePitch="462" w:charSpace="0"/>
        </w:sectPr>
      </w:pPr>
    </w:p>
    <w:p>
      <w:pPr>
        <w:pStyle w:val="6"/>
        <w:tabs>
          <w:tab w:val="left" w:pos="900"/>
        </w:tabs>
        <w:snapToGrid w:val="0"/>
        <w:spacing w:line="360" w:lineRule="auto"/>
        <w:jc w:val="center"/>
        <w:textAlignment w:val="baseline"/>
        <w:rPr>
          <w:rFonts w:hint="default"/>
          <w:sz w:val="24"/>
        </w:rPr>
      </w:pPr>
      <w:bookmarkStart w:id="491" w:name="_Toc236642991"/>
      <w:bookmarkStart w:id="492" w:name="_Toc480942350"/>
      <w:bookmarkStart w:id="493" w:name="_Toc523911434"/>
      <w:bookmarkStart w:id="494" w:name="_Toc5895217"/>
      <w:bookmarkStart w:id="495" w:name="_Toc520356218"/>
      <w:bookmarkStart w:id="496" w:name="_Ref467988705"/>
      <w:bookmarkStart w:id="497" w:name="_Toc310195763"/>
      <w:bookmarkStart w:id="498" w:name="_Toc25920"/>
      <w:bookmarkStart w:id="499" w:name="_Toc40111035"/>
      <w:r>
        <w:rPr>
          <w:sz w:val="24"/>
        </w:rPr>
        <w:t xml:space="preserve">2 </w:t>
      </w:r>
      <w:bookmarkEnd w:id="491"/>
      <w:bookmarkEnd w:id="492"/>
      <w:bookmarkEnd w:id="493"/>
      <w:bookmarkEnd w:id="494"/>
      <w:bookmarkEnd w:id="495"/>
      <w:bookmarkEnd w:id="496"/>
      <w:bookmarkEnd w:id="497"/>
      <w:r>
        <w:rPr>
          <w:sz w:val="24"/>
        </w:rPr>
        <w:t>开标一览表</w:t>
      </w:r>
      <w:bookmarkEnd w:id="498"/>
      <w:bookmarkEnd w:id="499"/>
    </w:p>
    <w:p>
      <w:pPr>
        <w:tabs>
          <w:tab w:val="left" w:pos="1800"/>
          <w:tab w:val="left" w:pos="5580"/>
        </w:tabs>
        <w:snapToGrid w:val="0"/>
        <w:spacing w:line="360" w:lineRule="auto"/>
        <w:jc w:val="left"/>
        <w:textAlignment w:val="baseline"/>
        <w:rPr>
          <w:rFonts w:ascii="宋体" w:hAnsi="宋体"/>
          <w:sz w:val="24"/>
        </w:rPr>
      </w:pPr>
    </w:p>
    <w:p>
      <w:pPr>
        <w:pStyle w:val="28"/>
        <w:snapToGrid w:val="0"/>
        <w:spacing w:line="360" w:lineRule="auto"/>
        <w:ind w:left="840"/>
        <w:textAlignment w:val="baseline"/>
        <w:rPr>
          <w:rFonts w:hAnsi="宋体"/>
          <w:sz w:val="24"/>
        </w:rPr>
      </w:pPr>
      <w:r>
        <w:rPr>
          <w:rFonts w:hint="eastAsia" w:hAnsi="宋体"/>
          <w:sz w:val="24"/>
        </w:rPr>
        <w:t>项目名称：</w:t>
      </w:r>
      <w:r>
        <w:rPr>
          <w:rFonts w:hint="eastAsia" w:hAnsi="宋体"/>
          <w:sz w:val="24"/>
          <w:szCs w:val="24"/>
        </w:rPr>
        <w:t xml:space="preserve">_______________               项目代理编号：_______________ </w:t>
      </w:r>
      <w:r>
        <w:rPr>
          <w:rFonts w:hAnsi="宋体"/>
          <w:sz w:val="24"/>
        </w:rPr>
        <w:t xml:space="preserve"> </w:t>
      </w:r>
    </w:p>
    <w:tbl>
      <w:tblPr>
        <w:tblStyle w:val="55"/>
        <w:tblW w:w="1399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2572"/>
        <w:gridCol w:w="1407"/>
        <w:gridCol w:w="2546"/>
        <w:gridCol w:w="1318"/>
        <w:gridCol w:w="2466"/>
        <w:gridCol w:w="2196"/>
        <w:gridCol w:w="148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103" w:hRule="atLeast"/>
          <w:jc w:val="center"/>
        </w:trPr>
        <w:tc>
          <w:tcPr>
            <w:tcW w:w="2572" w:type="dxa"/>
            <w:tcBorders>
              <w:top w:val="single" w:color="auto" w:sz="12" w:space="0"/>
            </w:tcBorders>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投标人名称</w:t>
            </w:r>
          </w:p>
        </w:tc>
        <w:tc>
          <w:tcPr>
            <w:tcW w:w="3953" w:type="dxa"/>
            <w:gridSpan w:val="2"/>
            <w:tcBorders>
              <w:top w:val="single" w:color="auto" w:sz="12" w:space="0"/>
            </w:tcBorders>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投标总价</w:t>
            </w:r>
          </w:p>
          <w:p>
            <w:pPr>
              <w:tabs>
                <w:tab w:val="left" w:pos="5580"/>
              </w:tabs>
              <w:snapToGrid w:val="0"/>
              <w:spacing w:line="360" w:lineRule="auto"/>
              <w:jc w:val="center"/>
              <w:textAlignment w:val="baseline"/>
              <w:rPr>
                <w:rFonts w:ascii="宋体" w:hAnsi="宋体"/>
                <w:sz w:val="24"/>
              </w:rPr>
            </w:pPr>
            <w:r>
              <w:rPr>
                <w:rFonts w:hint="eastAsia" w:ascii="宋体" w:hAnsi="宋体"/>
                <w:sz w:val="24"/>
              </w:rPr>
              <w:t>（大写/小写，单位：元）</w:t>
            </w:r>
          </w:p>
        </w:tc>
        <w:tc>
          <w:tcPr>
            <w:tcW w:w="1318" w:type="dxa"/>
            <w:tcBorders>
              <w:top w:val="single" w:color="auto" w:sz="12" w:space="0"/>
            </w:tcBorders>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投标保证金</w:t>
            </w:r>
          </w:p>
          <w:p>
            <w:pPr>
              <w:tabs>
                <w:tab w:val="left" w:pos="5580"/>
              </w:tabs>
              <w:snapToGrid w:val="0"/>
              <w:spacing w:line="360" w:lineRule="auto"/>
              <w:jc w:val="center"/>
              <w:textAlignment w:val="baseline"/>
              <w:rPr>
                <w:rFonts w:ascii="宋体" w:hAnsi="宋体"/>
                <w:sz w:val="24"/>
              </w:rPr>
            </w:pPr>
            <w:r>
              <w:rPr>
                <w:rFonts w:hint="eastAsia" w:ascii="宋体" w:hAnsi="宋体"/>
                <w:sz w:val="24"/>
              </w:rPr>
              <w:t>（有/无）</w:t>
            </w:r>
          </w:p>
        </w:tc>
        <w:tc>
          <w:tcPr>
            <w:tcW w:w="2466" w:type="dxa"/>
            <w:tcBorders>
              <w:top w:val="single" w:color="auto" w:sz="12" w:space="0"/>
            </w:tcBorders>
            <w:vAlign w:val="center"/>
          </w:tcPr>
          <w:p>
            <w:pPr>
              <w:tabs>
                <w:tab w:val="left" w:pos="5580"/>
              </w:tabs>
              <w:snapToGrid w:val="0"/>
              <w:jc w:val="center"/>
              <w:textAlignment w:val="baseline"/>
              <w:rPr>
                <w:rFonts w:ascii="宋体"/>
                <w:sz w:val="24"/>
              </w:rPr>
            </w:pPr>
            <w:r>
              <w:rPr>
                <w:rFonts w:hint="eastAsia" w:ascii="宋体" w:hAnsi="宋体"/>
                <w:sz w:val="24"/>
              </w:rPr>
              <w:t>服务期</w:t>
            </w:r>
          </w:p>
        </w:tc>
        <w:tc>
          <w:tcPr>
            <w:tcW w:w="2196" w:type="dxa"/>
            <w:tcBorders>
              <w:top w:val="single" w:color="auto" w:sz="12" w:space="0"/>
            </w:tcBorders>
            <w:vAlign w:val="center"/>
          </w:tcPr>
          <w:p>
            <w:pPr>
              <w:tabs>
                <w:tab w:val="left" w:pos="5580"/>
              </w:tabs>
              <w:snapToGrid w:val="0"/>
              <w:jc w:val="center"/>
              <w:textAlignment w:val="baseline"/>
              <w:rPr>
                <w:rFonts w:ascii="宋体"/>
                <w:sz w:val="24"/>
              </w:rPr>
            </w:pPr>
            <w:r>
              <w:rPr>
                <w:rFonts w:hint="eastAsia" w:ascii="宋体" w:hAnsi="宋体"/>
                <w:sz w:val="24"/>
              </w:rPr>
              <w:t>服务地点</w:t>
            </w:r>
          </w:p>
        </w:tc>
        <w:tc>
          <w:tcPr>
            <w:tcW w:w="1487" w:type="dxa"/>
            <w:tcBorders>
              <w:top w:val="single" w:color="auto" w:sz="12" w:space="0"/>
            </w:tcBorders>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04" w:hRule="atLeast"/>
          <w:jc w:val="center"/>
        </w:trPr>
        <w:tc>
          <w:tcPr>
            <w:tcW w:w="2572" w:type="dxa"/>
            <w:vMerge w:val="restart"/>
            <w:vAlign w:val="center"/>
          </w:tcPr>
          <w:p>
            <w:pPr>
              <w:tabs>
                <w:tab w:val="left" w:pos="5580"/>
              </w:tabs>
              <w:snapToGrid w:val="0"/>
              <w:spacing w:line="360" w:lineRule="auto"/>
              <w:jc w:val="center"/>
              <w:textAlignment w:val="baseline"/>
              <w:rPr>
                <w:rFonts w:ascii="宋体" w:hAnsi="宋体"/>
                <w:sz w:val="24"/>
              </w:rPr>
            </w:pPr>
          </w:p>
          <w:p>
            <w:pPr>
              <w:tabs>
                <w:tab w:val="left" w:pos="5580"/>
              </w:tabs>
              <w:snapToGrid w:val="0"/>
              <w:spacing w:line="360" w:lineRule="auto"/>
              <w:jc w:val="center"/>
              <w:textAlignment w:val="baseline"/>
              <w:rPr>
                <w:rFonts w:ascii="宋体" w:hAnsi="宋体"/>
                <w:sz w:val="24"/>
              </w:rPr>
            </w:pPr>
          </w:p>
          <w:p>
            <w:pPr>
              <w:tabs>
                <w:tab w:val="left" w:pos="5580"/>
              </w:tabs>
              <w:snapToGrid w:val="0"/>
              <w:spacing w:line="360" w:lineRule="auto"/>
              <w:jc w:val="center"/>
              <w:textAlignment w:val="baseline"/>
              <w:rPr>
                <w:rFonts w:ascii="宋体" w:hAnsi="宋体"/>
                <w:sz w:val="24"/>
              </w:rPr>
            </w:pPr>
          </w:p>
        </w:tc>
        <w:tc>
          <w:tcPr>
            <w:tcW w:w="1407" w:type="dxa"/>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人民币小写：</w:t>
            </w:r>
          </w:p>
        </w:tc>
        <w:tc>
          <w:tcPr>
            <w:tcW w:w="2546" w:type="dxa"/>
            <w:vAlign w:val="center"/>
          </w:tcPr>
          <w:p>
            <w:pPr>
              <w:tabs>
                <w:tab w:val="left" w:pos="5580"/>
              </w:tabs>
              <w:snapToGrid w:val="0"/>
              <w:spacing w:line="360" w:lineRule="auto"/>
              <w:jc w:val="center"/>
              <w:textAlignment w:val="baseline"/>
              <w:rPr>
                <w:rFonts w:ascii="宋体" w:hAnsi="宋体"/>
                <w:sz w:val="24"/>
              </w:rPr>
            </w:pPr>
          </w:p>
        </w:tc>
        <w:tc>
          <w:tcPr>
            <w:tcW w:w="1318" w:type="dxa"/>
            <w:vMerge w:val="restart"/>
            <w:vAlign w:val="center"/>
          </w:tcPr>
          <w:p>
            <w:pPr>
              <w:tabs>
                <w:tab w:val="left" w:pos="5580"/>
              </w:tabs>
              <w:snapToGrid w:val="0"/>
              <w:spacing w:line="360" w:lineRule="auto"/>
              <w:jc w:val="center"/>
              <w:textAlignment w:val="baseline"/>
              <w:rPr>
                <w:rFonts w:ascii="宋体" w:hAnsi="宋体"/>
                <w:sz w:val="24"/>
              </w:rPr>
            </w:pPr>
          </w:p>
        </w:tc>
        <w:tc>
          <w:tcPr>
            <w:tcW w:w="2466" w:type="dxa"/>
            <w:vMerge w:val="restart"/>
            <w:vAlign w:val="center"/>
          </w:tcPr>
          <w:p>
            <w:pPr>
              <w:tabs>
                <w:tab w:val="left" w:pos="5580"/>
              </w:tabs>
              <w:snapToGrid w:val="0"/>
              <w:spacing w:line="360" w:lineRule="auto"/>
              <w:jc w:val="center"/>
              <w:textAlignment w:val="baseline"/>
              <w:rPr>
                <w:rFonts w:ascii="宋体" w:hAnsi="宋体"/>
                <w:sz w:val="24"/>
              </w:rPr>
            </w:pPr>
          </w:p>
        </w:tc>
        <w:tc>
          <w:tcPr>
            <w:tcW w:w="2196" w:type="dxa"/>
            <w:vMerge w:val="restart"/>
            <w:vAlign w:val="center"/>
          </w:tcPr>
          <w:p>
            <w:pPr>
              <w:tabs>
                <w:tab w:val="left" w:pos="5580"/>
              </w:tabs>
              <w:snapToGrid w:val="0"/>
              <w:spacing w:line="360" w:lineRule="auto"/>
              <w:jc w:val="center"/>
              <w:textAlignment w:val="baseline"/>
              <w:rPr>
                <w:rFonts w:ascii="宋体" w:hAnsi="宋体"/>
                <w:sz w:val="24"/>
              </w:rPr>
            </w:pPr>
          </w:p>
        </w:tc>
        <w:tc>
          <w:tcPr>
            <w:tcW w:w="1487" w:type="dxa"/>
            <w:vMerge w:val="restart"/>
            <w:vAlign w:val="center"/>
          </w:tcPr>
          <w:p>
            <w:pPr>
              <w:tabs>
                <w:tab w:val="left" w:pos="5580"/>
              </w:tabs>
              <w:snapToGrid w:val="0"/>
              <w:spacing w:line="360" w:lineRule="auto"/>
              <w:jc w:val="center"/>
              <w:textAlignment w:val="baseline"/>
              <w:rPr>
                <w:rFonts w:ascii="宋体" w:hAnsi="宋体"/>
                <w:sz w:val="24"/>
              </w:rPr>
            </w:pPr>
          </w:p>
          <w:p>
            <w:pPr>
              <w:tabs>
                <w:tab w:val="left" w:pos="5580"/>
              </w:tabs>
              <w:snapToGrid w:val="0"/>
              <w:spacing w:line="360" w:lineRule="auto"/>
              <w:jc w:val="center"/>
              <w:textAlignment w:val="baseline"/>
              <w:rPr>
                <w:rFonts w:ascii="宋体" w:hAnsi="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937" w:hRule="atLeast"/>
          <w:jc w:val="center"/>
        </w:trPr>
        <w:tc>
          <w:tcPr>
            <w:tcW w:w="2572" w:type="dxa"/>
            <w:vMerge w:val="continue"/>
            <w:vAlign w:val="center"/>
          </w:tcPr>
          <w:p>
            <w:pPr>
              <w:tabs>
                <w:tab w:val="left" w:pos="5580"/>
              </w:tabs>
              <w:snapToGrid w:val="0"/>
              <w:spacing w:line="360" w:lineRule="auto"/>
              <w:jc w:val="center"/>
              <w:textAlignment w:val="baseline"/>
              <w:rPr>
                <w:rFonts w:ascii="宋体" w:hAnsi="宋体"/>
                <w:sz w:val="24"/>
              </w:rPr>
            </w:pPr>
          </w:p>
        </w:tc>
        <w:tc>
          <w:tcPr>
            <w:tcW w:w="1407" w:type="dxa"/>
            <w:vAlign w:val="center"/>
          </w:tcPr>
          <w:p>
            <w:pPr>
              <w:tabs>
                <w:tab w:val="left" w:pos="5580"/>
              </w:tabs>
              <w:snapToGrid w:val="0"/>
              <w:spacing w:line="360" w:lineRule="auto"/>
              <w:jc w:val="center"/>
              <w:textAlignment w:val="baseline"/>
              <w:rPr>
                <w:rFonts w:ascii="宋体" w:hAnsi="宋体"/>
                <w:sz w:val="24"/>
              </w:rPr>
            </w:pPr>
            <w:r>
              <w:rPr>
                <w:rFonts w:hint="eastAsia" w:ascii="宋体" w:hAnsi="宋体"/>
                <w:sz w:val="24"/>
              </w:rPr>
              <w:t>人民币大写：</w:t>
            </w:r>
          </w:p>
        </w:tc>
        <w:tc>
          <w:tcPr>
            <w:tcW w:w="2546" w:type="dxa"/>
            <w:vAlign w:val="center"/>
          </w:tcPr>
          <w:p>
            <w:pPr>
              <w:tabs>
                <w:tab w:val="left" w:pos="5580"/>
              </w:tabs>
              <w:snapToGrid w:val="0"/>
              <w:spacing w:line="360" w:lineRule="auto"/>
              <w:jc w:val="center"/>
              <w:textAlignment w:val="baseline"/>
              <w:rPr>
                <w:rFonts w:ascii="宋体" w:hAnsi="宋体"/>
                <w:sz w:val="24"/>
              </w:rPr>
            </w:pPr>
          </w:p>
        </w:tc>
        <w:tc>
          <w:tcPr>
            <w:tcW w:w="1318" w:type="dxa"/>
            <w:vMerge w:val="continue"/>
            <w:vAlign w:val="center"/>
          </w:tcPr>
          <w:p>
            <w:pPr>
              <w:tabs>
                <w:tab w:val="left" w:pos="5580"/>
              </w:tabs>
              <w:snapToGrid w:val="0"/>
              <w:spacing w:line="360" w:lineRule="auto"/>
              <w:jc w:val="center"/>
              <w:textAlignment w:val="baseline"/>
              <w:rPr>
                <w:rFonts w:ascii="宋体" w:hAnsi="宋体"/>
                <w:sz w:val="24"/>
              </w:rPr>
            </w:pPr>
          </w:p>
        </w:tc>
        <w:tc>
          <w:tcPr>
            <w:tcW w:w="2466" w:type="dxa"/>
            <w:vMerge w:val="continue"/>
            <w:vAlign w:val="center"/>
          </w:tcPr>
          <w:p>
            <w:pPr>
              <w:tabs>
                <w:tab w:val="left" w:pos="5580"/>
              </w:tabs>
              <w:snapToGrid w:val="0"/>
              <w:spacing w:line="360" w:lineRule="auto"/>
              <w:jc w:val="center"/>
              <w:textAlignment w:val="baseline"/>
              <w:rPr>
                <w:rFonts w:ascii="宋体" w:hAnsi="宋体"/>
                <w:sz w:val="24"/>
              </w:rPr>
            </w:pPr>
          </w:p>
        </w:tc>
        <w:tc>
          <w:tcPr>
            <w:tcW w:w="2196" w:type="dxa"/>
            <w:vMerge w:val="continue"/>
            <w:vAlign w:val="center"/>
          </w:tcPr>
          <w:p>
            <w:pPr>
              <w:tabs>
                <w:tab w:val="left" w:pos="5580"/>
              </w:tabs>
              <w:snapToGrid w:val="0"/>
              <w:spacing w:line="360" w:lineRule="auto"/>
              <w:jc w:val="center"/>
              <w:textAlignment w:val="baseline"/>
              <w:rPr>
                <w:rFonts w:ascii="宋体" w:hAnsi="宋体"/>
                <w:sz w:val="24"/>
              </w:rPr>
            </w:pPr>
          </w:p>
        </w:tc>
        <w:tc>
          <w:tcPr>
            <w:tcW w:w="1487" w:type="dxa"/>
            <w:vMerge w:val="continue"/>
            <w:vAlign w:val="center"/>
          </w:tcPr>
          <w:p>
            <w:pPr>
              <w:tabs>
                <w:tab w:val="left" w:pos="5580"/>
              </w:tabs>
              <w:snapToGrid w:val="0"/>
              <w:spacing w:line="360" w:lineRule="auto"/>
              <w:jc w:val="center"/>
              <w:textAlignment w:val="baseline"/>
              <w:rPr>
                <w:rFonts w:ascii="宋体" w:hAnsi="宋体"/>
                <w:sz w:val="24"/>
              </w:rPr>
            </w:pPr>
          </w:p>
        </w:tc>
      </w:tr>
    </w:tbl>
    <w:p>
      <w:pPr>
        <w:pStyle w:val="28"/>
        <w:tabs>
          <w:tab w:val="left" w:pos="5580"/>
        </w:tabs>
        <w:snapToGrid w:val="0"/>
        <w:spacing w:before="120" w:line="360" w:lineRule="auto"/>
        <w:ind w:left="840"/>
        <w:textAlignment w:val="baseline"/>
        <w:rPr>
          <w:rFonts w:hAnsi="宋体"/>
          <w:sz w:val="24"/>
        </w:rPr>
      </w:pPr>
    </w:p>
    <w:p>
      <w:pPr>
        <w:snapToGrid w:val="0"/>
        <w:spacing w:line="480" w:lineRule="auto"/>
        <w:textAlignment w:val="baseline"/>
        <w:rPr>
          <w:rFonts w:ascii="宋体" w:hAnsi="宋体"/>
          <w:sz w:val="24"/>
          <w:szCs w:val="21"/>
          <w:lang w:val="zh-CN"/>
        </w:rPr>
      </w:pPr>
      <w:r>
        <w:rPr>
          <w:rFonts w:hint="eastAsia" w:ascii="宋体" w:hAnsi="宋体"/>
          <w:sz w:val="24"/>
          <w:szCs w:val="21"/>
          <w:lang w:val="zh-CN"/>
        </w:rPr>
        <w:t>投标人名称（盖章）：</w:t>
      </w:r>
    </w:p>
    <w:p>
      <w:pPr>
        <w:snapToGrid w:val="0"/>
        <w:spacing w:line="480" w:lineRule="auto"/>
        <w:textAlignment w:val="baseline"/>
        <w:rPr>
          <w:rFonts w:ascii="宋体" w:hAnsi="宋体"/>
          <w:sz w:val="24"/>
          <w:szCs w:val="21"/>
          <w:lang w:val="zh-CN"/>
        </w:rPr>
      </w:pPr>
      <w:r>
        <w:rPr>
          <w:rFonts w:hint="eastAsia" w:ascii="宋体" w:hAnsi="宋体"/>
          <w:sz w:val="24"/>
          <w:szCs w:val="21"/>
        </w:rPr>
        <w:t>授权</w:t>
      </w:r>
      <w:r>
        <w:rPr>
          <w:rFonts w:hint="eastAsia" w:ascii="宋体" w:hAnsi="宋体"/>
          <w:sz w:val="24"/>
          <w:szCs w:val="21"/>
          <w:lang w:val="zh-CN"/>
        </w:rPr>
        <w:t>代表（签字）：</w:t>
      </w:r>
    </w:p>
    <w:p>
      <w:pPr>
        <w:snapToGrid w:val="0"/>
        <w:spacing w:line="480" w:lineRule="auto"/>
        <w:textAlignment w:val="baseline"/>
        <w:rPr>
          <w:rFonts w:ascii="宋体" w:hAnsi="宋体"/>
          <w:sz w:val="24"/>
          <w:szCs w:val="21"/>
          <w:lang w:val="zh-CN"/>
        </w:rPr>
      </w:pPr>
      <w:r>
        <w:rPr>
          <w:rFonts w:hint="eastAsia" w:ascii="宋体" w:hAnsi="宋体"/>
          <w:sz w:val="24"/>
          <w:szCs w:val="21"/>
          <w:lang w:val="zh-CN"/>
        </w:rPr>
        <w:t>注:1、此表应按投标人须知的规定密封标记并单独递交。</w:t>
      </w:r>
    </w:p>
    <w:p>
      <w:pPr>
        <w:snapToGrid w:val="0"/>
        <w:spacing w:line="480" w:lineRule="auto"/>
        <w:textAlignment w:val="baseline"/>
        <w:rPr>
          <w:rFonts w:ascii="宋体" w:hAnsi="宋体"/>
          <w:sz w:val="24"/>
          <w:szCs w:val="21"/>
          <w:lang w:val="zh-CN"/>
        </w:rPr>
      </w:pPr>
      <w:r>
        <w:rPr>
          <w:rFonts w:hint="eastAsia" w:ascii="宋体" w:hAnsi="宋体"/>
          <w:sz w:val="24"/>
          <w:szCs w:val="21"/>
          <w:lang w:val="zh-CN"/>
        </w:rPr>
        <w:t>2、此表中，投标总价应和“3投标分项报价表”中的总价相一致。</w:t>
      </w:r>
    </w:p>
    <w:p>
      <w:pPr>
        <w:snapToGrid w:val="0"/>
        <w:textAlignment w:val="baseline"/>
        <w:sectPr>
          <w:pgSz w:w="16838" w:h="11905" w:orient="landscape"/>
          <w:pgMar w:top="1417" w:right="1088" w:bottom="1417" w:left="1400" w:header="567" w:footer="850" w:gutter="0"/>
          <w:cols w:space="0" w:num="1"/>
          <w:docGrid w:linePitch="312" w:charSpace="0"/>
        </w:sectPr>
      </w:pPr>
    </w:p>
    <w:p>
      <w:pPr>
        <w:snapToGrid w:val="0"/>
        <w:textAlignment w:val="baseline"/>
        <w:rPr>
          <w:rFonts w:hAnsi="宋体"/>
          <w:sz w:val="24"/>
        </w:rPr>
      </w:pPr>
      <w:bookmarkStart w:id="500" w:name="_Toc310195765"/>
      <w:bookmarkStart w:id="501" w:name="_Toc236642992"/>
    </w:p>
    <w:p>
      <w:pPr>
        <w:pStyle w:val="6"/>
        <w:tabs>
          <w:tab w:val="left" w:pos="900"/>
        </w:tabs>
        <w:snapToGrid w:val="0"/>
        <w:spacing w:line="360" w:lineRule="auto"/>
        <w:jc w:val="center"/>
        <w:textAlignment w:val="baseline"/>
        <w:rPr>
          <w:rFonts w:hint="default"/>
          <w:sz w:val="24"/>
        </w:rPr>
      </w:pPr>
      <w:bookmarkStart w:id="502" w:name="_Toc22720"/>
      <w:bookmarkStart w:id="503" w:name="_Toc366858502"/>
      <w:bookmarkStart w:id="504" w:name="_Toc310195764"/>
      <w:bookmarkStart w:id="505" w:name="_Toc40111036"/>
      <w:bookmarkStart w:id="506" w:name="_Toc523911435"/>
      <w:bookmarkStart w:id="507" w:name="_Toc5895218"/>
      <w:r>
        <w:rPr>
          <w:sz w:val="24"/>
        </w:rPr>
        <w:t>3 投标分项报价表</w:t>
      </w:r>
      <w:bookmarkEnd w:id="502"/>
      <w:bookmarkEnd w:id="503"/>
      <w:bookmarkEnd w:id="504"/>
      <w:bookmarkEnd w:id="505"/>
      <w:bookmarkEnd w:id="506"/>
      <w:bookmarkEnd w:id="507"/>
    </w:p>
    <w:p>
      <w:pPr>
        <w:pStyle w:val="5"/>
        <w:snapToGrid w:val="0"/>
        <w:ind w:firstLine="5262" w:firstLineChars="2184"/>
        <w:textAlignment w:val="baseline"/>
        <w:rPr>
          <w:rFonts w:hAnsi="宋体"/>
          <w:b/>
          <w:szCs w:val="24"/>
        </w:rPr>
      </w:pPr>
    </w:p>
    <w:p>
      <w:pPr>
        <w:pStyle w:val="28"/>
        <w:snapToGrid w:val="0"/>
        <w:spacing w:line="360" w:lineRule="auto"/>
        <w:ind w:left="840"/>
        <w:textAlignment w:val="baseline"/>
        <w:rPr>
          <w:rFonts w:hAnsi="宋体"/>
          <w:sz w:val="24"/>
          <w:szCs w:val="24"/>
          <w:u w:val="single"/>
        </w:rPr>
      </w:pPr>
      <w:r>
        <w:rPr>
          <w:rFonts w:hint="eastAsia" w:hAnsi="宋体"/>
          <w:sz w:val="24"/>
        </w:rPr>
        <w:t>项目名称：</w:t>
      </w:r>
      <w:r>
        <w:rPr>
          <w:rFonts w:hint="eastAsia" w:hAnsi="宋体"/>
          <w:sz w:val="24"/>
          <w:szCs w:val="24"/>
        </w:rPr>
        <w:t xml:space="preserve">_______________               项目代理编号：_______________ </w:t>
      </w:r>
    </w:p>
    <w:tbl>
      <w:tblPr>
        <w:tblStyle w:val="55"/>
        <w:tblW w:w="131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62"/>
        <w:gridCol w:w="3061"/>
        <w:gridCol w:w="992"/>
        <w:gridCol w:w="1134"/>
        <w:gridCol w:w="1542"/>
        <w:gridCol w:w="1134"/>
        <w:gridCol w:w="143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序号</w:t>
            </w:r>
          </w:p>
        </w:tc>
        <w:tc>
          <w:tcPr>
            <w:tcW w:w="2362"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名称</w:t>
            </w:r>
          </w:p>
        </w:tc>
        <w:tc>
          <w:tcPr>
            <w:tcW w:w="3061"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服务内容</w:t>
            </w:r>
          </w:p>
        </w:tc>
        <w:tc>
          <w:tcPr>
            <w:tcW w:w="992"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数量</w:t>
            </w:r>
          </w:p>
        </w:tc>
        <w:tc>
          <w:tcPr>
            <w:tcW w:w="1134"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服务期</w:t>
            </w:r>
          </w:p>
        </w:tc>
        <w:tc>
          <w:tcPr>
            <w:tcW w:w="1542"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服务地点</w:t>
            </w:r>
          </w:p>
        </w:tc>
        <w:tc>
          <w:tcPr>
            <w:tcW w:w="1134"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单价</w:t>
            </w:r>
          </w:p>
        </w:tc>
        <w:tc>
          <w:tcPr>
            <w:tcW w:w="1435" w:type="dxa"/>
            <w:tcBorders>
              <w:top w:val="single" w:color="auto" w:sz="12" w:space="0"/>
            </w:tcBorders>
            <w:vAlign w:val="center"/>
          </w:tcPr>
          <w:p>
            <w:pPr>
              <w:pStyle w:val="28"/>
              <w:snapToGrid w:val="0"/>
              <w:jc w:val="center"/>
              <w:textAlignment w:val="baseline"/>
              <w:rPr>
                <w:rFonts w:hAnsi="宋体" w:cs="Courier New"/>
                <w:sz w:val="24"/>
                <w:szCs w:val="24"/>
              </w:rPr>
            </w:pPr>
            <w:r>
              <w:rPr>
                <w:rFonts w:hint="eastAsia" w:hAnsi="宋体" w:cs="Courier New"/>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1.</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2.</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3.</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4.</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5.</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left="840"/>
              <w:jc w:val="center"/>
              <w:textAlignment w:val="baseline"/>
              <w:rPr>
                <w:rFonts w:hAnsi="宋体" w:cs="Courier New"/>
                <w:sz w:val="24"/>
                <w:szCs w:val="24"/>
              </w:rPr>
            </w:pPr>
            <w:r>
              <w:rPr>
                <w:rFonts w:hint="eastAsia" w:hAnsi="宋体" w:cs="Courier New"/>
                <w:sz w:val="24"/>
                <w:szCs w:val="24"/>
              </w:rPr>
              <w:t>6.</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8"/>
              <w:snapToGrid w:val="0"/>
              <w:ind w:firstLine="120" w:firstLineChars="50"/>
              <w:textAlignment w:val="baseline"/>
              <w:rPr>
                <w:rFonts w:hAnsi="宋体" w:cs="Courier New"/>
                <w:sz w:val="24"/>
                <w:szCs w:val="24"/>
              </w:rPr>
            </w:pPr>
            <w:r>
              <w:rPr>
                <w:rFonts w:hAnsi="宋体" w:cs="Courier New"/>
                <w:sz w:val="24"/>
                <w:szCs w:val="24"/>
              </w:rPr>
              <w:t>…</w:t>
            </w:r>
          </w:p>
        </w:tc>
        <w:tc>
          <w:tcPr>
            <w:tcW w:w="2362" w:type="dxa"/>
            <w:vAlign w:val="center"/>
          </w:tcPr>
          <w:p>
            <w:pPr>
              <w:pStyle w:val="28"/>
              <w:snapToGrid w:val="0"/>
              <w:ind w:left="840"/>
              <w:textAlignment w:val="baseline"/>
              <w:rPr>
                <w:rFonts w:hAnsi="宋体" w:cs="Courier New"/>
                <w:sz w:val="24"/>
                <w:szCs w:val="24"/>
              </w:rPr>
            </w:pPr>
          </w:p>
        </w:tc>
        <w:tc>
          <w:tcPr>
            <w:tcW w:w="3061" w:type="dxa"/>
            <w:vAlign w:val="center"/>
          </w:tcPr>
          <w:p>
            <w:pPr>
              <w:pStyle w:val="28"/>
              <w:snapToGrid w:val="0"/>
              <w:ind w:left="840"/>
              <w:jc w:val="center"/>
              <w:textAlignment w:val="baseline"/>
              <w:rPr>
                <w:rFonts w:hAnsi="宋体" w:cs="Courier New"/>
                <w:sz w:val="24"/>
                <w:szCs w:val="24"/>
              </w:rPr>
            </w:pPr>
          </w:p>
        </w:tc>
        <w:tc>
          <w:tcPr>
            <w:tcW w:w="99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542" w:type="dxa"/>
            <w:vAlign w:val="center"/>
          </w:tcPr>
          <w:p>
            <w:pPr>
              <w:pStyle w:val="28"/>
              <w:snapToGrid w:val="0"/>
              <w:ind w:left="840"/>
              <w:jc w:val="center"/>
              <w:textAlignment w:val="baseline"/>
              <w:rPr>
                <w:rFonts w:hAnsi="宋体" w:cs="Courier New"/>
                <w:sz w:val="24"/>
                <w:szCs w:val="24"/>
              </w:rPr>
            </w:pPr>
          </w:p>
        </w:tc>
        <w:tc>
          <w:tcPr>
            <w:tcW w:w="1134" w:type="dxa"/>
            <w:vAlign w:val="center"/>
          </w:tcPr>
          <w:p>
            <w:pPr>
              <w:pStyle w:val="28"/>
              <w:snapToGrid w:val="0"/>
              <w:ind w:left="840"/>
              <w:jc w:val="center"/>
              <w:textAlignment w:val="baseline"/>
              <w:rPr>
                <w:rFonts w:hAnsi="宋体" w:cs="Courier New"/>
                <w:sz w:val="24"/>
                <w:szCs w:val="24"/>
              </w:rPr>
            </w:pPr>
          </w:p>
        </w:tc>
        <w:tc>
          <w:tcPr>
            <w:tcW w:w="1435" w:type="dxa"/>
            <w:vAlign w:val="center"/>
          </w:tcPr>
          <w:p>
            <w:pPr>
              <w:pStyle w:val="28"/>
              <w:snapToGrid w:val="0"/>
              <w:ind w:left="840"/>
              <w:jc w:val="center"/>
              <w:textAlignment w:val="baseline"/>
              <w:rPr>
                <w:rFonts w:hAnsi="宋体" w:cs="Courier New"/>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751" w:type="dxa"/>
            <w:gridSpan w:val="7"/>
            <w:tcBorders>
              <w:bottom w:val="single" w:color="auto" w:sz="12" w:space="0"/>
            </w:tcBorders>
            <w:vAlign w:val="center"/>
          </w:tcPr>
          <w:p>
            <w:pPr>
              <w:pStyle w:val="28"/>
              <w:snapToGrid w:val="0"/>
              <w:spacing w:before="156"/>
              <w:ind w:left="840"/>
              <w:jc w:val="right"/>
              <w:textAlignment w:val="baseline"/>
              <w:rPr>
                <w:rFonts w:hAnsi="宋体" w:cs="Courier New"/>
                <w:sz w:val="24"/>
                <w:szCs w:val="24"/>
              </w:rPr>
            </w:pPr>
            <w:r>
              <w:rPr>
                <w:rFonts w:hint="eastAsia" w:hAnsi="宋体" w:cs="Courier New"/>
                <w:sz w:val="24"/>
                <w:szCs w:val="24"/>
              </w:rPr>
              <w:t>总计</w:t>
            </w:r>
          </w:p>
        </w:tc>
        <w:tc>
          <w:tcPr>
            <w:tcW w:w="1435" w:type="dxa"/>
            <w:tcBorders>
              <w:bottom w:val="single" w:color="auto" w:sz="12" w:space="0"/>
            </w:tcBorders>
            <w:vAlign w:val="center"/>
          </w:tcPr>
          <w:p>
            <w:pPr>
              <w:pStyle w:val="28"/>
              <w:snapToGrid w:val="0"/>
              <w:ind w:left="840"/>
              <w:jc w:val="center"/>
              <w:textAlignment w:val="baseline"/>
              <w:rPr>
                <w:rFonts w:hAnsi="宋体" w:cs="Courier New"/>
                <w:sz w:val="24"/>
                <w:szCs w:val="24"/>
              </w:rPr>
            </w:pPr>
          </w:p>
        </w:tc>
      </w:tr>
    </w:tbl>
    <w:p>
      <w:pPr>
        <w:pStyle w:val="28"/>
        <w:snapToGrid w:val="0"/>
        <w:ind w:left="840"/>
        <w:textAlignment w:val="baseline"/>
        <w:rPr>
          <w:rFonts w:hAnsi="宋体"/>
          <w:sz w:val="24"/>
          <w:szCs w:val="24"/>
        </w:rPr>
      </w:pPr>
    </w:p>
    <w:p>
      <w:pPr>
        <w:pStyle w:val="28"/>
        <w:tabs>
          <w:tab w:val="left" w:pos="5580"/>
        </w:tabs>
        <w:snapToGrid w:val="0"/>
        <w:spacing w:before="120" w:line="480" w:lineRule="auto"/>
        <w:ind w:left="840"/>
        <w:textAlignment w:val="baseline"/>
        <w:rPr>
          <w:rFonts w:hAnsi="宋体"/>
          <w:sz w:val="24"/>
          <w:szCs w:val="24"/>
        </w:rPr>
      </w:pPr>
      <w:r>
        <w:rPr>
          <w:rFonts w:hint="eastAsia" w:hAnsi="宋体"/>
          <w:sz w:val="24"/>
          <w:szCs w:val="24"/>
        </w:rPr>
        <w:t>投标人名称（盖章）：</w:t>
      </w:r>
    </w:p>
    <w:p>
      <w:pPr>
        <w:pStyle w:val="28"/>
        <w:tabs>
          <w:tab w:val="left" w:pos="5580"/>
        </w:tabs>
        <w:snapToGrid w:val="0"/>
        <w:spacing w:before="120" w:line="480" w:lineRule="auto"/>
        <w:ind w:left="840"/>
        <w:textAlignment w:val="baseline"/>
        <w:rPr>
          <w:rFonts w:hAnsi="宋体"/>
          <w:sz w:val="24"/>
          <w:szCs w:val="24"/>
        </w:rPr>
      </w:pPr>
      <w:r>
        <w:rPr>
          <w:rFonts w:hint="eastAsia" w:hAnsi="宋体"/>
          <w:sz w:val="24"/>
          <w:szCs w:val="24"/>
        </w:rPr>
        <w:t>授权代表（签字）：</w:t>
      </w:r>
    </w:p>
    <w:p>
      <w:pPr>
        <w:pStyle w:val="28"/>
        <w:snapToGrid w:val="0"/>
        <w:spacing w:line="480" w:lineRule="auto"/>
        <w:ind w:left="840"/>
        <w:textAlignment w:val="baseline"/>
        <w:rPr>
          <w:rFonts w:hAnsi="宋体"/>
          <w:sz w:val="24"/>
          <w:szCs w:val="24"/>
        </w:rPr>
      </w:pPr>
      <w:r>
        <w:rPr>
          <w:rFonts w:hint="eastAsia" w:hAnsi="宋体"/>
          <w:sz w:val="24"/>
          <w:szCs w:val="24"/>
        </w:rPr>
        <w:t>注:1.如果单价计算的结果与总价不一致，以单价金额计算结果为准。</w:t>
      </w:r>
    </w:p>
    <w:p>
      <w:pPr>
        <w:pStyle w:val="28"/>
        <w:snapToGrid w:val="0"/>
        <w:spacing w:line="480" w:lineRule="auto"/>
        <w:ind w:left="840"/>
        <w:textAlignment w:val="baseline"/>
        <w:rPr>
          <w:rFonts w:hAnsi="宋体"/>
          <w:sz w:val="24"/>
          <w:szCs w:val="24"/>
        </w:rPr>
      </w:pPr>
      <w:r>
        <w:rPr>
          <w:rFonts w:hint="eastAsia" w:hAnsi="宋体"/>
          <w:sz w:val="24"/>
          <w:szCs w:val="24"/>
        </w:rPr>
        <w:t xml:space="preserve">   2.上述各项的详细分项报价，应另页描述。</w:t>
      </w:r>
    </w:p>
    <w:p>
      <w:pPr>
        <w:pStyle w:val="28"/>
        <w:snapToGrid w:val="0"/>
        <w:spacing w:line="360" w:lineRule="auto"/>
        <w:textAlignment w:val="baseline"/>
        <w:rPr>
          <w:rFonts w:hAnsi="宋体"/>
          <w:sz w:val="24"/>
          <w:szCs w:val="24"/>
        </w:rPr>
        <w:sectPr>
          <w:pgSz w:w="16838" w:h="11905" w:orient="landscape"/>
          <w:pgMar w:top="1417" w:right="1088" w:bottom="1417" w:left="1400" w:header="567" w:footer="850" w:gutter="0"/>
          <w:cols w:space="0" w:num="1"/>
          <w:docGrid w:linePitch="312" w:charSpace="0"/>
        </w:sectPr>
      </w:pPr>
    </w:p>
    <w:bookmarkEnd w:id="500"/>
    <w:bookmarkEnd w:id="501"/>
    <w:p>
      <w:pPr>
        <w:pStyle w:val="6"/>
        <w:tabs>
          <w:tab w:val="left" w:pos="900"/>
        </w:tabs>
        <w:snapToGrid w:val="0"/>
        <w:spacing w:line="360" w:lineRule="auto"/>
        <w:jc w:val="center"/>
        <w:textAlignment w:val="baseline"/>
        <w:rPr>
          <w:rFonts w:hint="default"/>
          <w:sz w:val="24"/>
        </w:rPr>
      </w:pPr>
      <w:bookmarkStart w:id="508" w:name="_Toc16731"/>
      <w:bookmarkStart w:id="509" w:name="_Toc40111037"/>
      <w:bookmarkStart w:id="510" w:name="_Toc5895220"/>
      <w:bookmarkStart w:id="511" w:name="_Toc523911437"/>
      <w:bookmarkStart w:id="512" w:name="_Toc310195766"/>
      <w:r>
        <w:rPr>
          <w:sz w:val="24"/>
        </w:rPr>
        <w:t>4 技术规格偏离表</w:t>
      </w:r>
      <w:bookmarkEnd w:id="508"/>
      <w:bookmarkEnd w:id="509"/>
      <w:bookmarkEnd w:id="510"/>
      <w:bookmarkEnd w:id="511"/>
      <w:bookmarkEnd w:id="512"/>
    </w:p>
    <w:p>
      <w:pPr>
        <w:pStyle w:val="28"/>
        <w:snapToGrid w:val="0"/>
        <w:spacing w:line="360" w:lineRule="auto"/>
        <w:ind w:left="840"/>
        <w:textAlignment w:val="baseline"/>
        <w:rPr>
          <w:rFonts w:hAnsi="宋体"/>
          <w:sz w:val="24"/>
        </w:rPr>
      </w:pPr>
    </w:p>
    <w:p>
      <w:pPr>
        <w:pStyle w:val="28"/>
        <w:snapToGrid w:val="0"/>
        <w:spacing w:line="360" w:lineRule="auto"/>
        <w:ind w:left="840"/>
        <w:textAlignment w:val="baseline"/>
        <w:rPr>
          <w:rFonts w:hAnsi="宋体"/>
          <w:sz w:val="24"/>
        </w:rPr>
      </w:pPr>
      <w:r>
        <w:rPr>
          <w:rFonts w:hint="eastAsia" w:hAnsi="宋体"/>
          <w:sz w:val="24"/>
        </w:rPr>
        <w:t xml:space="preserve">项目名称:___________     项目代理编号:______________ </w:t>
      </w:r>
    </w:p>
    <w:tbl>
      <w:tblPr>
        <w:tblStyle w:val="55"/>
        <w:tblW w:w="736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365"/>
        <w:gridCol w:w="1331"/>
        <w:gridCol w:w="1261"/>
        <w:gridCol w:w="1362"/>
        <w:gridCol w:w="123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序号</w:t>
            </w:r>
          </w:p>
        </w:tc>
        <w:tc>
          <w:tcPr>
            <w:tcW w:w="1365"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服务名称</w:t>
            </w:r>
          </w:p>
        </w:tc>
        <w:tc>
          <w:tcPr>
            <w:tcW w:w="1331"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招标规格</w:t>
            </w:r>
          </w:p>
        </w:tc>
        <w:tc>
          <w:tcPr>
            <w:tcW w:w="1261"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投标规格</w:t>
            </w:r>
          </w:p>
        </w:tc>
        <w:tc>
          <w:tcPr>
            <w:tcW w:w="1362"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响应/偏离情况</w:t>
            </w:r>
          </w:p>
        </w:tc>
        <w:tc>
          <w:tcPr>
            <w:tcW w:w="1231" w:type="dxa"/>
            <w:tcBorders>
              <w:top w:val="single" w:color="auto" w:sz="12" w:space="0"/>
            </w:tcBorders>
            <w:vAlign w:val="center"/>
          </w:tcPr>
          <w:p>
            <w:pPr>
              <w:pStyle w:val="28"/>
              <w:snapToGrid w:val="0"/>
              <w:spacing w:line="360" w:lineRule="auto"/>
              <w:jc w:val="center"/>
              <w:textAlignment w:val="baseline"/>
              <w:rPr>
                <w:rFonts w:hAnsi="宋体" w:cs="Courier New"/>
                <w:sz w:val="24"/>
                <w:lang w:val="en-US"/>
              </w:rPr>
            </w:pPr>
            <w:r>
              <w:rPr>
                <w:rFonts w:hint="eastAsia" w:hAnsi="宋体" w:cs="Courier New"/>
                <w:sz w:val="24"/>
                <w:lang w:val="en-U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18" w:type="dxa"/>
            <w:vAlign w:val="center"/>
          </w:tcPr>
          <w:p>
            <w:pPr>
              <w:pStyle w:val="28"/>
              <w:snapToGrid w:val="0"/>
              <w:spacing w:line="360" w:lineRule="auto"/>
              <w:ind w:left="840"/>
              <w:jc w:val="center"/>
              <w:textAlignment w:val="baseline"/>
              <w:rPr>
                <w:rFonts w:hAnsi="宋体" w:cs="Courier New"/>
                <w:sz w:val="24"/>
                <w:lang w:val="en-US"/>
              </w:rPr>
            </w:pPr>
          </w:p>
        </w:tc>
        <w:tc>
          <w:tcPr>
            <w:tcW w:w="1365" w:type="dxa"/>
            <w:vAlign w:val="center"/>
          </w:tcPr>
          <w:p>
            <w:pPr>
              <w:pStyle w:val="28"/>
              <w:snapToGrid w:val="0"/>
              <w:spacing w:line="360" w:lineRule="auto"/>
              <w:ind w:left="840"/>
              <w:jc w:val="center"/>
              <w:textAlignment w:val="baseline"/>
              <w:rPr>
                <w:rFonts w:hAnsi="宋体" w:cs="Courier New"/>
                <w:sz w:val="24"/>
                <w:lang w:val="en-US"/>
              </w:rPr>
            </w:pPr>
          </w:p>
        </w:tc>
        <w:tc>
          <w:tcPr>
            <w:tcW w:w="1331" w:type="dxa"/>
            <w:vAlign w:val="center"/>
          </w:tcPr>
          <w:p>
            <w:pPr>
              <w:pStyle w:val="28"/>
              <w:snapToGrid w:val="0"/>
              <w:spacing w:line="360" w:lineRule="auto"/>
              <w:ind w:left="840"/>
              <w:jc w:val="center"/>
              <w:textAlignment w:val="baseline"/>
              <w:rPr>
                <w:rFonts w:hAnsi="宋体" w:cs="Courier New"/>
                <w:sz w:val="24"/>
                <w:lang w:val="en-US"/>
              </w:rPr>
            </w:pPr>
          </w:p>
        </w:tc>
        <w:tc>
          <w:tcPr>
            <w:tcW w:w="1261" w:type="dxa"/>
            <w:vAlign w:val="center"/>
          </w:tcPr>
          <w:p>
            <w:pPr>
              <w:pStyle w:val="28"/>
              <w:snapToGrid w:val="0"/>
              <w:spacing w:line="360" w:lineRule="auto"/>
              <w:ind w:left="840"/>
              <w:jc w:val="center"/>
              <w:textAlignment w:val="baseline"/>
              <w:rPr>
                <w:rFonts w:hAnsi="宋体" w:cs="Courier New"/>
                <w:sz w:val="24"/>
                <w:lang w:val="en-US"/>
              </w:rPr>
            </w:pPr>
          </w:p>
        </w:tc>
        <w:tc>
          <w:tcPr>
            <w:tcW w:w="1362" w:type="dxa"/>
            <w:vAlign w:val="center"/>
          </w:tcPr>
          <w:p>
            <w:pPr>
              <w:pStyle w:val="28"/>
              <w:snapToGrid w:val="0"/>
              <w:spacing w:line="360" w:lineRule="auto"/>
              <w:ind w:left="840"/>
              <w:jc w:val="center"/>
              <w:textAlignment w:val="baseline"/>
              <w:rPr>
                <w:rFonts w:hAnsi="宋体" w:cs="Courier New"/>
                <w:sz w:val="24"/>
                <w:lang w:val="en-US"/>
              </w:rPr>
            </w:pPr>
          </w:p>
        </w:tc>
        <w:tc>
          <w:tcPr>
            <w:tcW w:w="1231"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18"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365"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33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26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362"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23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r>
    </w:tbl>
    <w:p>
      <w:pPr>
        <w:pStyle w:val="28"/>
        <w:snapToGrid w:val="0"/>
        <w:spacing w:line="360" w:lineRule="auto"/>
        <w:ind w:left="300" w:leftChars="150" w:firstLine="480" w:firstLineChars="200"/>
        <w:textAlignment w:val="baseline"/>
        <w:rPr>
          <w:rFonts w:hAnsi="宋体"/>
          <w:sz w:val="24"/>
        </w:rPr>
      </w:pPr>
    </w:p>
    <w:p>
      <w:pPr>
        <w:pStyle w:val="28"/>
        <w:snapToGrid w:val="0"/>
        <w:spacing w:line="360" w:lineRule="auto"/>
        <w:ind w:left="300" w:leftChars="150" w:firstLine="480" w:firstLineChars="200"/>
        <w:textAlignment w:val="baseline"/>
        <w:rPr>
          <w:rFonts w:hAnsi="宋体"/>
          <w:sz w:val="24"/>
        </w:rPr>
      </w:pPr>
      <w:r>
        <w:rPr>
          <w:rFonts w:hint="eastAsia" w:hAnsi="宋体"/>
          <w:sz w:val="24"/>
        </w:rPr>
        <w:t>注：</w:t>
      </w:r>
      <w:r>
        <w:rPr>
          <w:rFonts w:hAnsi="宋体"/>
          <w:sz w:val="24"/>
        </w:rPr>
        <w:t>投标人的技术偏差必须如实填写，并应对</w:t>
      </w:r>
      <w:r>
        <w:rPr>
          <w:rFonts w:hint="eastAsia" w:hAnsi="宋体"/>
          <w:sz w:val="24"/>
        </w:rPr>
        <w:t>“响应/偏离情况”</w:t>
      </w:r>
      <w:r>
        <w:rPr>
          <w:rFonts w:hAnsi="宋体"/>
          <w:sz w:val="24"/>
        </w:rPr>
        <w:t>做出必要说明。投标人应对故意隐瞒技术偏差的行为承担责任。对招标文件有任何偏离应列明“正偏离”或“负偏离”</w:t>
      </w:r>
      <w:r>
        <w:rPr>
          <w:rFonts w:hint="eastAsia" w:hAnsi="宋体"/>
          <w:sz w:val="24"/>
        </w:rPr>
        <w:t>，如</w:t>
      </w:r>
      <w:r>
        <w:rPr>
          <w:rFonts w:hAnsi="宋体"/>
          <w:sz w:val="24"/>
        </w:rPr>
        <w:t>对招标文件无偏离应标明“无偏离”。</w:t>
      </w:r>
    </w:p>
    <w:p>
      <w:pPr>
        <w:pStyle w:val="28"/>
        <w:tabs>
          <w:tab w:val="left" w:pos="5580"/>
        </w:tabs>
        <w:snapToGrid w:val="0"/>
        <w:spacing w:before="120" w:line="360" w:lineRule="auto"/>
        <w:ind w:left="840"/>
        <w:textAlignment w:val="baseline"/>
        <w:rPr>
          <w:rFonts w:hAnsi="宋体"/>
          <w:sz w:val="24"/>
        </w:rPr>
      </w:pPr>
    </w:p>
    <w:p>
      <w:pPr>
        <w:pStyle w:val="28"/>
        <w:tabs>
          <w:tab w:val="left" w:pos="5580"/>
        </w:tabs>
        <w:snapToGrid w:val="0"/>
        <w:spacing w:before="120" w:line="480" w:lineRule="auto"/>
        <w:ind w:left="840"/>
        <w:textAlignment w:val="baseline"/>
        <w:rPr>
          <w:rFonts w:hAnsi="宋体"/>
          <w:sz w:val="24"/>
        </w:rPr>
      </w:pPr>
      <w:r>
        <w:rPr>
          <w:rFonts w:hint="eastAsia" w:hAnsi="宋体"/>
          <w:sz w:val="24"/>
        </w:rPr>
        <w:t>投标人名称（盖章）：</w:t>
      </w:r>
    </w:p>
    <w:p>
      <w:pPr>
        <w:pStyle w:val="28"/>
        <w:tabs>
          <w:tab w:val="left" w:pos="5580"/>
        </w:tabs>
        <w:snapToGrid w:val="0"/>
        <w:spacing w:before="120" w:line="480" w:lineRule="auto"/>
        <w:ind w:left="840"/>
        <w:textAlignment w:val="baseline"/>
        <w:rPr>
          <w:rFonts w:hAnsi="宋体"/>
          <w:sz w:val="24"/>
          <w:u w:val="single"/>
        </w:rPr>
      </w:pPr>
      <w:r>
        <w:rPr>
          <w:rFonts w:hint="eastAsia" w:hAnsi="宋体"/>
          <w:sz w:val="24"/>
        </w:rPr>
        <w:t>授权代表（签字）：</w:t>
      </w:r>
    </w:p>
    <w:p>
      <w:pPr>
        <w:pStyle w:val="28"/>
        <w:tabs>
          <w:tab w:val="left" w:pos="5580"/>
        </w:tabs>
        <w:snapToGrid w:val="0"/>
        <w:spacing w:before="120" w:line="480" w:lineRule="auto"/>
        <w:ind w:left="840"/>
        <w:textAlignment w:val="baseline"/>
        <w:rPr>
          <w:rFonts w:hAnsi="宋体"/>
          <w:sz w:val="18"/>
          <w:szCs w:val="18"/>
        </w:rPr>
      </w:pPr>
      <w:r>
        <w:rPr>
          <w:rFonts w:hint="eastAsia" w:hAnsi="宋体"/>
          <w:sz w:val="24"/>
        </w:rPr>
        <w:t>注：此表格经授权代表签字方有效。</w:t>
      </w:r>
    </w:p>
    <w:p>
      <w:bookmarkStart w:id="513" w:name="_Toc310195767"/>
      <w:bookmarkStart w:id="514" w:name="_Toc236642994"/>
      <w:r>
        <w:br w:type="page"/>
      </w:r>
    </w:p>
    <w:p>
      <w:pPr>
        <w:tabs>
          <w:tab w:val="left" w:pos="900"/>
        </w:tabs>
        <w:snapToGrid w:val="0"/>
        <w:spacing w:before="360" w:after="120" w:line="360" w:lineRule="auto"/>
        <w:jc w:val="center"/>
        <w:textAlignment w:val="baseline"/>
        <w:rPr>
          <w:sz w:val="24"/>
        </w:rPr>
      </w:pPr>
      <w:bookmarkStart w:id="515" w:name="_Toc5895221"/>
      <w:bookmarkStart w:id="516" w:name="_Toc523911438"/>
      <w:bookmarkStart w:id="517" w:name="_Toc40111038"/>
      <w:r>
        <w:rPr>
          <w:rFonts w:hint="eastAsia" w:ascii="宋体" w:hAnsi="宋体"/>
          <w:sz w:val="24"/>
        </w:rPr>
        <w:t>5 商务条款偏离表</w:t>
      </w:r>
      <w:bookmarkEnd w:id="513"/>
      <w:bookmarkEnd w:id="515"/>
      <w:bookmarkEnd w:id="516"/>
      <w:bookmarkEnd w:id="517"/>
    </w:p>
    <w:p>
      <w:pPr>
        <w:pStyle w:val="28"/>
        <w:snapToGrid w:val="0"/>
        <w:spacing w:line="360" w:lineRule="auto"/>
        <w:ind w:left="840"/>
        <w:textAlignment w:val="baseline"/>
        <w:rPr>
          <w:rFonts w:hAnsi="宋体"/>
          <w:sz w:val="24"/>
        </w:rPr>
      </w:pPr>
    </w:p>
    <w:p>
      <w:pPr>
        <w:pStyle w:val="28"/>
        <w:snapToGrid w:val="0"/>
        <w:spacing w:line="360" w:lineRule="auto"/>
        <w:ind w:left="840" w:firstLine="120" w:firstLineChars="50"/>
        <w:textAlignment w:val="baseline"/>
        <w:rPr>
          <w:rFonts w:hAnsi="宋体"/>
          <w:sz w:val="24"/>
        </w:rPr>
      </w:pPr>
      <w:r>
        <w:rPr>
          <w:rFonts w:hint="eastAsia" w:hAnsi="宋体"/>
          <w:sz w:val="24"/>
        </w:rPr>
        <w:t xml:space="preserve">项目名称:____________           项目代理编号:_____________ </w:t>
      </w:r>
    </w:p>
    <w:tbl>
      <w:tblPr>
        <w:tblStyle w:val="55"/>
        <w:tblW w:w="928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31"/>
        <w:gridCol w:w="2971"/>
        <w:gridCol w:w="2971"/>
        <w:gridCol w:w="1301"/>
        <w:gridCol w:w="1113"/>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tcBorders>
              <w:top w:val="single" w:color="auto" w:sz="12" w:space="0"/>
            </w:tcBorders>
            <w:vAlign w:val="center"/>
          </w:tcPr>
          <w:p>
            <w:pPr>
              <w:pStyle w:val="125"/>
              <w:snapToGrid w:val="0"/>
              <w:jc w:val="center"/>
              <w:textAlignment w:val="baseline"/>
              <w:rPr>
                <w:sz w:val="24"/>
              </w:rPr>
            </w:pPr>
            <w:r>
              <w:rPr>
                <w:rFonts w:hint="eastAsia"/>
                <w:sz w:val="24"/>
              </w:rPr>
              <w:t>序号</w:t>
            </w:r>
          </w:p>
        </w:tc>
        <w:tc>
          <w:tcPr>
            <w:tcW w:w="2971" w:type="dxa"/>
            <w:tcBorders>
              <w:top w:val="single" w:color="auto" w:sz="12" w:space="0"/>
            </w:tcBorders>
            <w:vAlign w:val="center"/>
          </w:tcPr>
          <w:p>
            <w:pPr>
              <w:pStyle w:val="125"/>
              <w:snapToGrid w:val="0"/>
              <w:jc w:val="center"/>
              <w:textAlignment w:val="baseline"/>
              <w:rPr>
                <w:sz w:val="24"/>
              </w:rPr>
            </w:pPr>
            <w:r>
              <w:rPr>
                <w:rFonts w:hint="eastAsia"/>
                <w:sz w:val="24"/>
              </w:rPr>
              <w:t>招标文件商务条款</w:t>
            </w:r>
          </w:p>
        </w:tc>
        <w:tc>
          <w:tcPr>
            <w:tcW w:w="2971" w:type="dxa"/>
            <w:tcBorders>
              <w:top w:val="single" w:color="auto" w:sz="12" w:space="0"/>
            </w:tcBorders>
            <w:vAlign w:val="center"/>
          </w:tcPr>
          <w:p>
            <w:pPr>
              <w:pStyle w:val="125"/>
              <w:snapToGrid w:val="0"/>
              <w:jc w:val="center"/>
              <w:textAlignment w:val="baseline"/>
              <w:rPr>
                <w:sz w:val="24"/>
              </w:rPr>
            </w:pPr>
            <w:r>
              <w:rPr>
                <w:rFonts w:hint="eastAsia"/>
                <w:sz w:val="24"/>
              </w:rPr>
              <w:t>投标文件商务条款</w:t>
            </w:r>
          </w:p>
        </w:tc>
        <w:tc>
          <w:tcPr>
            <w:tcW w:w="1301" w:type="dxa"/>
            <w:tcBorders>
              <w:top w:val="single" w:color="auto" w:sz="12" w:space="0"/>
            </w:tcBorders>
            <w:vAlign w:val="center"/>
          </w:tcPr>
          <w:p>
            <w:pPr>
              <w:pStyle w:val="125"/>
              <w:snapToGrid w:val="0"/>
              <w:jc w:val="center"/>
              <w:textAlignment w:val="baseline"/>
              <w:rPr>
                <w:sz w:val="24"/>
              </w:rPr>
            </w:pPr>
            <w:r>
              <w:rPr>
                <w:rFonts w:hint="eastAsia" w:hAnsi="宋体" w:cs="Courier New"/>
                <w:sz w:val="24"/>
              </w:rPr>
              <w:t>响应/偏离情况</w:t>
            </w:r>
          </w:p>
        </w:tc>
        <w:tc>
          <w:tcPr>
            <w:tcW w:w="1113" w:type="dxa"/>
            <w:tcBorders>
              <w:top w:val="single" w:color="auto" w:sz="12" w:space="0"/>
            </w:tcBorders>
            <w:vAlign w:val="center"/>
          </w:tcPr>
          <w:p>
            <w:pPr>
              <w:pStyle w:val="125"/>
              <w:snapToGrid w:val="0"/>
              <w:jc w:val="center"/>
              <w:textAlignment w:val="baseline"/>
              <w:rPr>
                <w:sz w:val="24"/>
              </w:rPr>
            </w:pPr>
            <w:r>
              <w:rPr>
                <w:rFonts w:hint="eastAsia"/>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2971" w:type="dxa"/>
            <w:vAlign w:val="center"/>
          </w:tcPr>
          <w:p>
            <w:pPr>
              <w:pStyle w:val="28"/>
              <w:snapToGrid w:val="0"/>
              <w:spacing w:line="360" w:lineRule="auto"/>
              <w:ind w:left="840"/>
              <w:jc w:val="center"/>
              <w:textAlignment w:val="baseline"/>
              <w:rPr>
                <w:rFonts w:hAnsi="宋体" w:cs="Courier New"/>
                <w:sz w:val="24"/>
                <w:lang w:val="en-US"/>
              </w:rPr>
            </w:pPr>
          </w:p>
        </w:tc>
        <w:tc>
          <w:tcPr>
            <w:tcW w:w="1301" w:type="dxa"/>
            <w:vAlign w:val="center"/>
          </w:tcPr>
          <w:p>
            <w:pPr>
              <w:pStyle w:val="28"/>
              <w:snapToGrid w:val="0"/>
              <w:spacing w:line="360" w:lineRule="auto"/>
              <w:ind w:left="840"/>
              <w:jc w:val="center"/>
              <w:textAlignment w:val="baseline"/>
              <w:rPr>
                <w:rFonts w:hAnsi="宋体" w:cs="Courier New"/>
                <w:sz w:val="24"/>
                <w:lang w:val="en-US"/>
              </w:rPr>
            </w:pPr>
          </w:p>
        </w:tc>
        <w:tc>
          <w:tcPr>
            <w:tcW w:w="1113" w:type="dxa"/>
            <w:vAlign w:val="center"/>
          </w:tcPr>
          <w:p>
            <w:pPr>
              <w:pStyle w:val="28"/>
              <w:snapToGrid w:val="0"/>
              <w:spacing w:line="360" w:lineRule="auto"/>
              <w:ind w:left="840"/>
              <w:jc w:val="center"/>
              <w:textAlignment w:val="baseline"/>
              <w:rPr>
                <w:rFonts w:hAnsi="宋体" w:cs="Courier New"/>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297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297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301"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c>
          <w:tcPr>
            <w:tcW w:w="1113" w:type="dxa"/>
            <w:tcBorders>
              <w:bottom w:val="single" w:color="auto" w:sz="12" w:space="0"/>
            </w:tcBorders>
            <w:vAlign w:val="center"/>
          </w:tcPr>
          <w:p>
            <w:pPr>
              <w:pStyle w:val="28"/>
              <w:snapToGrid w:val="0"/>
              <w:spacing w:line="360" w:lineRule="auto"/>
              <w:ind w:left="840"/>
              <w:jc w:val="center"/>
              <w:textAlignment w:val="baseline"/>
              <w:rPr>
                <w:rFonts w:hAnsi="宋体" w:cs="Courier New"/>
                <w:sz w:val="24"/>
                <w:lang w:val="en-US"/>
              </w:rPr>
            </w:pPr>
          </w:p>
        </w:tc>
      </w:tr>
    </w:tbl>
    <w:p>
      <w:pPr>
        <w:pStyle w:val="28"/>
        <w:snapToGrid w:val="0"/>
        <w:spacing w:line="360" w:lineRule="auto"/>
        <w:textAlignment w:val="baseline"/>
        <w:rPr>
          <w:rFonts w:hAnsi="宋体"/>
          <w:sz w:val="24"/>
          <w:lang w:val="en-US"/>
        </w:rPr>
      </w:pPr>
    </w:p>
    <w:p>
      <w:pPr>
        <w:pStyle w:val="28"/>
        <w:snapToGrid w:val="0"/>
        <w:spacing w:line="360" w:lineRule="auto"/>
        <w:textAlignment w:val="baseline"/>
        <w:rPr>
          <w:rFonts w:hAnsi="宋体"/>
          <w:sz w:val="24"/>
        </w:rPr>
      </w:pPr>
      <w:r>
        <w:rPr>
          <w:rFonts w:hAnsi="宋体"/>
          <w:sz w:val="24"/>
        </w:rPr>
        <w:t>注：投标人如果对包括</w:t>
      </w:r>
      <w:r>
        <w:rPr>
          <w:rFonts w:hint="eastAsia" w:hAnsi="宋体"/>
          <w:sz w:val="24"/>
        </w:rPr>
        <w:t>服务</w:t>
      </w:r>
      <w:r>
        <w:rPr>
          <w:rFonts w:hAnsi="宋体"/>
          <w:sz w:val="24"/>
        </w:rPr>
        <w:t>期、付款方式/条件、质保期及合同条款在内的商务条款的响应有任何偏离，请在本表中详细填写；如对商务条款没有偏离，请注明“无偏离”。</w:t>
      </w:r>
    </w:p>
    <w:p>
      <w:pPr>
        <w:pStyle w:val="28"/>
        <w:snapToGrid w:val="0"/>
        <w:spacing w:line="360" w:lineRule="auto"/>
        <w:ind w:left="840"/>
        <w:textAlignment w:val="baseline"/>
        <w:rPr>
          <w:rFonts w:hAnsi="宋体"/>
          <w:sz w:val="24"/>
        </w:rPr>
      </w:pPr>
    </w:p>
    <w:p>
      <w:pPr>
        <w:pStyle w:val="28"/>
        <w:tabs>
          <w:tab w:val="left" w:pos="5580"/>
        </w:tabs>
        <w:snapToGrid w:val="0"/>
        <w:spacing w:before="120" w:line="480" w:lineRule="auto"/>
        <w:ind w:left="840"/>
        <w:textAlignment w:val="baseline"/>
        <w:rPr>
          <w:rFonts w:hAnsi="宋体"/>
          <w:sz w:val="24"/>
        </w:rPr>
      </w:pPr>
      <w:r>
        <w:rPr>
          <w:rFonts w:hint="eastAsia" w:hAnsi="宋体"/>
          <w:sz w:val="24"/>
        </w:rPr>
        <w:t>投标人名称（盖章）：</w:t>
      </w:r>
    </w:p>
    <w:p>
      <w:pPr>
        <w:pStyle w:val="28"/>
        <w:tabs>
          <w:tab w:val="left" w:pos="5580"/>
        </w:tabs>
        <w:snapToGrid w:val="0"/>
        <w:spacing w:before="120" w:line="480" w:lineRule="auto"/>
        <w:ind w:left="840"/>
        <w:textAlignment w:val="baseline"/>
        <w:rPr>
          <w:rFonts w:hAnsi="宋体"/>
          <w:sz w:val="24"/>
          <w:u w:val="single"/>
        </w:rPr>
      </w:pPr>
      <w:r>
        <w:rPr>
          <w:rFonts w:hint="eastAsia" w:hAnsi="宋体"/>
          <w:sz w:val="24"/>
        </w:rPr>
        <w:t>授权代表（签字）：</w:t>
      </w:r>
    </w:p>
    <w:p>
      <w:pPr>
        <w:pStyle w:val="28"/>
        <w:tabs>
          <w:tab w:val="left" w:pos="5580"/>
        </w:tabs>
        <w:snapToGrid w:val="0"/>
        <w:spacing w:before="120" w:line="480" w:lineRule="auto"/>
        <w:ind w:left="840"/>
        <w:textAlignment w:val="baseline"/>
        <w:rPr>
          <w:rFonts w:hAnsi="宋体"/>
          <w:sz w:val="24"/>
        </w:rPr>
      </w:pPr>
      <w:r>
        <w:rPr>
          <w:rFonts w:hint="eastAsia" w:hAnsi="宋体"/>
          <w:sz w:val="24"/>
        </w:rPr>
        <w:t>注：此表格经授权代表签字方有效。</w:t>
      </w:r>
      <w:bookmarkEnd w:id="514"/>
    </w:p>
    <w:p>
      <w:pPr>
        <w:pStyle w:val="6"/>
        <w:tabs>
          <w:tab w:val="left" w:pos="900"/>
        </w:tabs>
        <w:snapToGrid w:val="0"/>
        <w:spacing w:line="360" w:lineRule="auto"/>
        <w:jc w:val="center"/>
        <w:textAlignment w:val="baseline"/>
        <w:rPr>
          <w:rFonts w:hint="default"/>
          <w:sz w:val="28"/>
          <w:szCs w:val="28"/>
        </w:rPr>
      </w:pPr>
      <w:bookmarkStart w:id="518" w:name="_Toc523911439"/>
      <w:bookmarkStart w:id="519" w:name="_Toc310195769"/>
      <w:bookmarkStart w:id="520" w:name="_Toc40111039"/>
      <w:bookmarkStart w:id="521" w:name="_Toc5895222"/>
      <w:bookmarkStart w:id="522" w:name="_Toc20519"/>
      <w:r>
        <w:rPr>
          <w:sz w:val="24"/>
        </w:rPr>
        <w:t>6 业绩案例一览表</w:t>
      </w:r>
      <w:bookmarkEnd w:id="518"/>
      <w:bookmarkEnd w:id="519"/>
      <w:bookmarkEnd w:id="520"/>
      <w:bookmarkEnd w:id="521"/>
      <w:bookmarkEnd w:id="522"/>
    </w:p>
    <w:tbl>
      <w:tblPr>
        <w:tblStyle w:val="55"/>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67"/>
        <w:gridCol w:w="1367"/>
        <w:gridCol w:w="1367"/>
        <w:gridCol w:w="1646"/>
        <w:gridCol w:w="1924"/>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08" w:type="dxa"/>
            <w:vAlign w:val="center"/>
          </w:tcPr>
          <w:p>
            <w:pPr>
              <w:snapToGrid w:val="0"/>
              <w:spacing w:line="360" w:lineRule="auto"/>
              <w:textAlignment w:val="baseline"/>
              <w:rPr>
                <w:rFonts w:ascii="宋体" w:hAnsi="宋体"/>
                <w:b/>
                <w:sz w:val="24"/>
              </w:rPr>
            </w:pPr>
            <w:r>
              <w:rPr>
                <w:rFonts w:hint="eastAsia" w:ascii="宋体" w:hAnsi="宋体"/>
                <w:b/>
                <w:sz w:val="24"/>
              </w:rPr>
              <w:t>序号</w:t>
            </w:r>
          </w:p>
        </w:tc>
        <w:tc>
          <w:tcPr>
            <w:tcW w:w="1367" w:type="dxa"/>
            <w:vAlign w:val="center"/>
          </w:tcPr>
          <w:p>
            <w:pPr>
              <w:snapToGrid w:val="0"/>
              <w:spacing w:line="360" w:lineRule="auto"/>
              <w:jc w:val="center"/>
              <w:textAlignment w:val="baseline"/>
              <w:rPr>
                <w:rFonts w:ascii="宋体" w:hAnsi="宋体"/>
                <w:b/>
                <w:sz w:val="24"/>
              </w:rPr>
            </w:pPr>
            <w:r>
              <w:rPr>
                <w:rFonts w:hint="eastAsia" w:ascii="宋体" w:hAnsi="宋体"/>
                <w:b/>
                <w:sz w:val="24"/>
              </w:rPr>
              <w:t>项目名称</w:t>
            </w:r>
          </w:p>
        </w:tc>
        <w:tc>
          <w:tcPr>
            <w:tcW w:w="1367" w:type="dxa"/>
            <w:vAlign w:val="center"/>
          </w:tcPr>
          <w:p>
            <w:pPr>
              <w:snapToGrid w:val="0"/>
              <w:spacing w:line="360" w:lineRule="auto"/>
              <w:textAlignment w:val="baseline"/>
              <w:rPr>
                <w:rFonts w:ascii="宋体" w:hAnsi="宋体"/>
                <w:b/>
                <w:sz w:val="24"/>
              </w:rPr>
            </w:pPr>
            <w:r>
              <w:rPr>
                <w:rFonts w:hint="eastAsia" w:ascii="宋体" w:hAnsi="宋体"/>
                <w:b/>
                <w:sz w:val="24"/>
              </w:rPr>
              <w:t>用户名称</w:t>
            </w:r>
          </w:p>
        </w:tc>
        <w:tc>
          <w:tcPr>
            <w:tcW w:w="1367" w:type="dxa"/>
            <w:vAlign w:val="center"/>
          </w:tcPr>
          <w:p>
            <w:pPr>
              <w:snapToGrid w:val="0"/>
              <w:spacing w:line="360" w:lineRule="auto"/>
              <w:textAlignment w:val="baseline"/>
              <w:rPr>
                <w:rFonts w:ascii="宋体" w:hAnsi="宋体"/>
                <w:b/>
                <w:sz w:val="24"/>
              </w:rPr>
            </w:pPr>
            <w:r>
              <w:rPr>
                <w:rFonts w:hint="eastAsia" w:ascii="宋体" w:hAnsi="宋体"/>
                <w:b/>
                <w:sz w:val="24"/>
              </w:rPr>
              <w:t>合同金额</w:t>
            </w:r>
          </w:p>
        </w:tc>
        <w:tc>
          <w:tcPr>
            <w:tcW w:w="1646" w:type="dxa"/>
            <w:vAlign w:val="center"/>
          </w:tcPr>
          <w:p>
            <w:pPr>
              <w:snapToGrid w:val="0"/>
              <w:spacing w:line="360" w:lineRule="auto"/>
              <w:textAlignment w:val="baseline"/>
              <w:rPr>
                <w:rFonts w:ascii="宋体" w:hAnsi="宋体"/>
                <w:b/>
                <w:sz w:val="24"/>
              </w:rPr>
            </w:pPr>
            <w:r>
              <w:rPr>
                <w:rFonts w:hint="eastAsia" w:ascii="宋体" w:hAnsi="宋体"/>
                <w:b/>
                <w:sz w:val="24"/>
              </w:rPr>
              <w:t>用户联系人</w:t>
            </w:r>
          </w:p>
        </w:tc>
        <w:tc>
          <w:tcPr>
            <w:tcW w:w="1924" w:type="dxa"/>
            <w:vAlign w:val="center"/>
          </w:tcPr>
          <w:p>
            <w:pPr>
              <w:snapToGrid w:val="0"/>
              <w:spacing w:line="360" w:lineRule="auto"/>
              <w:textAlignment w:val="baseline"/>
              <w:rPr>
                <w:rFonts w:ascii="宋体" w:hAnsi="宋体"/>
                <w:b/>
                <w:sz w:val="24"/>
              </w:rPr>
            </w:pPr>
            <w:r>
              <w:rPr>
                <w:rFonts w:hint="eastAsia" w:ascii="宋体" w:hAnsi="宋体"/>
                <w:b/>
                <w:sz w:val="24"/>
              </w:rPr>
              <w:t>用户联系电话</w:t>
            </w:r>
          </w:p>
        </w:tc>
        <w:tc>
          <w:tcPr>
            <w:tcW w:w="808" w:type="dxa"/>
            <w:vAlign w:val="center"/>
          </w:tcPr>
          <w:p>
            <w:pPr>
              <w:snapToGrid w:val="0"/>
              <w:spacing w:line="360" w:lineRule="auto"/>
              <w:textAlignment w:val="baseline"/>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08" w:type="dxa"/>
            <w:vAlign w:val="center"/>
          </w:tcPr>
          <w:p>
            <w:pPr>
              <w:snapToGrid w:val="0"/>
              <w:spacing w:line="360" w:lineRule="auto"/>
              <w:jc w:val="center"/>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08" w:type="dxa"/>
            <w:vAlign w:val="center"/>
          </w:tcPr>
          <w:p>
            <w:pPr>
              <w:snapToGrid w:val="0"/>
              <w:spacing w:line="360" w:lineRule="auto"/>
              <w:jc w:val="center"/>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08" w:type="dxa"/>
            <w:vAlign w:val="center"/>
          </w:tcPr>
          <w:p>
            <w:pPr>
              <w:snapToGrid w:val="0"/>
              <w:spacing w:line="360" w:lineRule="auto"/>
              <w:jc w:val="center"/>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08" w:type="dxa"/>
            <w:vAlign w:val="center"/>
          </w:tcPr>
          <w:p>
            <w:pPr>
              <w:snapToGrid w:val="0"/>
              <w:spacing w:line="360" w:lineRule="auto"/>
              <w:jc w:val="center"/>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08" w:type="dxa"/>
            <w:vAlign w:val="center"/>
          </w:tcPr>
          <w:p>
            <w:pPr>
              <w:snapToGrid w:val="0"/>
              <w:spacing w:line="360" w:lineRule="auto"/>
              <w:jc w:val="center"/>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08"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367" w:type="dxa"/>
            <w:vAlign w:val="center"/>
          </w:tcPr>
          <w:p>
            <w:pPr>
              <w:snapToGrid w:val="0"/>
              <w:spacing w:line="360" w:lineRule="auto"/>
              <w:textAlignment w:val="baseline"/>
              <w:rPr>
                <w:rFonts w:ascii="宋体" w:hAnsi="宋体"/>
                <w:sz w:val="24"/>
              </w:rPr>
            </w:pPr>
          </w:p>
        </w:tc>
        <w:tc>
          <w:tcPr>
            <w:tcW w:w="1646" w:type="dxa"/>
            <w:vAlign w:val="center"/>
          </w:tcPr>
          <w:p>
            <w:pPr>
              <w:snapToGrid w:val="0"/>
              <w:spacing w:line="360" w:lineRule="auto"/>
              <w:textAlignment w:val="baseline"/>
              <w:rPr>
                <w:rFonts w:ascii="宋体" w:hAnsi="宋体"/>
                <w:sz w:val="24"/>
              </w:rPr>
            </w:pPr>
          </w:p>
        </w:tc>
        <w:tc>
          <w:tcPr>
            <w:tcW w:w="1924" w:type="dxa"/>
            <w:vAlign w:val="center"/>
          </w:tcPr>
          <w:p>
            <w:pPr>
              <w:snapToGrid w:val="0"/>
              <w:spacing w:line="360" w:lineRule="auto"/>
              <w:textAlignment w:val="baseline"/>
              <w:rPr>
                <w:rFonts w:ascii="宋体" w:hAnsi="宋体"/>
                <w:sz w:val="24"/>
              </w:rPr>
            </w:pPr>
          </w:p>
        </w:tc>
        <w:tc>
          <w:tcPr>
            <w:tcW w:w="808" w:type="dxa"/>
            <w:vAlign w:val="center"/>
          </w:tcPr>
          <w:p>
            <w:pPr>
              <w:snapToGrid w:val="0"/>
              <w:spacing w:line="360" w:lineRule="auto"/>
              <w:textAlignment w:val="baseline"/>
              <w:rPr>
                <w:rFonts w:ascii="宋体" w:hAnsi="宋体"/>
                <w:sz w:val="24"/>
              </w:rPr>
            </w:pPr>
          </w:p>
        </w:tc>
      </w:tr>
    </w:tbl>
    <w:p>
      <w:pPr>
        <w:tabs>
          <w:tab w:val="left" w:pos="5580"/>
        </w:tabs>
        <w:snapToGrid w:val="0"/>
        <w:spacing w:before="360" w:line="360" w:lineRule="auto"/>
        <w:jc w:val="left"/>
        <w:textAlignment w:val="baseline"/>
        <w:rPr>
          <w:b/>
          <w:bCs/>
        </w:rPr>
      </w:pPr>
      <w:r>
        <w:rPr>
          <w:rFonts w:hint="eastAsia"/>
          <w:b/>
          <w:bCs/>
          <w:color w:val="111F2C"/>
          <w:szCs w:val="21"/>
          <w:shd w:val="clear" w:color="auto" w:fill="FFFFFF"/>
        </w:rPr>
        <w:t>注：（所提供合同必须包括合同首页、金额所在页、签字盖章页，评委保留对上述资料原件审核的权力）。</w:t>
      </w:r>
    </w:p>
    <w:p>
      <w:pPr>
        <w:snapToGrid w:val="0"/>
        <w:spacing w:line="360" w:lineRule="auto"/>
        <w:jc w:val="left"/>
        <w:textAlignment w:val="baseline"/>
        <w:rPr>
          <w:rFonts w:ascii="宋体" w:hAnsi="宋体"/>
          <w:b/>
          <w:sz w:val="24"/>
        </w:rPr>
      </w:pPr>
    </w:p>
    <w:p>
      <w:pPr>
        <w:tabs>
          <w:tab w:val="left" w:pos="5580"/>
        </w:tabs>
        <w:snapToGrid w:val="0"/>
        <w:spacing w:before="360" w:line="360" w:lineRule="auto"/>
        <w:ind w:left="1156" w:leftChars="428" w:hanging="300" w:hangingChars="150"/>
        <w:textAlignment w:val="baseline"/>
        <w:rPr>
          <w:rFonts w:ascii="宋体" w:hAnsi="宋体"/>
        </w:rPr>
      </w:pPr>
    </w:p>
    <w:p>
      <w:pPr>
        <w:tabs>
          <w:tab w:val="left" w:pos="5580"/>
        </w:tabs>
        <w:snapToGrid w:val="0"/>
        <w:spacing w:before="360" w:line="360" w:lineRule="auto"/>
        <w:ind w:left="1156" w:leftChars="428" w:hanging="300" w:hangingChars="150"/>
        <w:textAlignment w:val="baseline"/>
        <w:rPr>
          <w:rFonts w:ascii="宋体" w:hAnsi="宋体"/>
        </w:rPr>
      </w:pPr>
    </w:p>
    <w:p>
      <w:pPr>
        <w:tabs>
          <w:tab w:val="left" w:pos="5580"/>
        </w:tabs>
        <w:snapToGrid w:val="0"/>
        <w:spacing w:before="360" w:line="360" w:lineRule="auto"/>
        <w:ind w:left="1156" w:leftChars="428" w:hanging="300" w:hangingChars="150"/>
        <w:textAlignment w:val="baseline"/>
        <w:rPr>
          <w:rFonts w:ascii="宋体" w:hAnsi="宋体"/>
        </w:rPr>
      </w:pPr>
    </w:p>
    <w:p>
      <w:pPr>
        <w:tabs>
          <w:tab w:val="left" w:pos="5580"/>
        </w:tabs>
        <w:snapToGrid w:val="0"/>
        <w:spacing w:before="360" w:line="360" w:lineRule="auto"/>
        <w:ind w:left="1156" w:leftChars="428" w:hanging="300" w:hangingChars="150"/>
        <w:textAlignment w:val="baseline"/>
        <w:rPr>
          <w:rFonts w:ascii="宋体" w:hAnsi="宋体"/>
        </w:rPr>
      </w:pPr>
    </w:p>
    <w:p>
      <w:pPr>
        <w:widowControl/>
        <w:snapToGrid w:val="0"/>
        <w:jc w:val="left"/>
        <w:textAlignment w:val="baseline"/>
        <w:rPr>
          <w:rFonts w:ascii="宋体" w:hAnsi="宋体"/>
        </w:rPr>
        <w:sectPr>
          <w:footerReference r:id="rId17" w:type="first"/>
          <w:footerReference r:id="rId16" w:type="even"/>
          <w:pgSz w:w="11905" w:h="16838"/>
          <w:pgMar w:top="1088" w:right="1417" w:bottom="1400" w:left="1417" w:header="567" w:footer="850" w:gutter="0"/>
          <w:cols w:space="0" w:num="1"/>
          <w:docGrid w:linePitch="312" w:charSpace="0"/>
        </w:sectPr>
      </w:pPr>
    </w:p>
    <w:p>
      <w:pPr>
        <w:pStyle w:val="6"/>
        <w:tabs>
          <w:tab w:val="left" w:pos="900"/>
        </w:tabs>
        <w:snapToGrid w:val="0"/>
        <w:spacing w:line="360" w:lineRule="auto"/>
        <w:jc w:val="center"/>
        <w:textAlignment w:val="baseline"/>
        <w:rPr>
          <w:rFonts w:hint="default"/>
          <w:sz w:val="24"/>
        </w:rPr>
      </w:pPr>
      <w:bookmarkStart w:id="523" w:name="_Toc5895223"/>
      <w:bookmarkStart w:id="524" w:name="_Toc507514592"/>
      <w:bookmarkStart w:id="525" w:name="_Toc21533"/>
      <w:bookmarkStart w:id="526" w:name="_Toc523911440"/>
      <w:bookmarkStart w:id="527" w:name="_Toc499304712"/>
      <w:bookmarkStart w:id="528" w:name="_Toc40111040"/>
      <w:r>
        <w:rPr>
          <w:sz w:val="24"/>
        </w:rPr>
        <w:t>7 投标人基本情况表</w:t>
      </w:r>
      <w:bookmarkEnd w:id="523"/>
      <w:bookmarkEnd w:id="524"/>
      <w:bookmarkEnd w:id="525"/>
      <w:bookmarkEnd w:id="526"/>
      <w:bookmarkEnd w:id="527"/>
      <w:bookmarkEnd w:id="528"/>
    </w:p>
    <w:p>
      <w:pPr>
        <w:snapToGrid w:val="0"/>
        <w:spacing w:line="360" w:lineRule="auto"/>
        <w:textAlignment w:val="baseline"/>
        <w:rPr>
          <w:rFonts w:ascii="宋体" w:hAnsi="宋体"/>
          <w:color w:val="000000"/>
          <w:sz w:val="24"/>
        </w:rPr>
      </w:pPr>
      <w:r>
        <w:rPr>
          <w:rFonts w:hint="eastAsia" w:ascii="宋体" w:hAnsi="宋体"/>
          <w:color w:val="000000"/>
          <w:sz w:val="24"/>
        </w:rPr>
        <w:t>投标人名称：（公章）                                                       填表日期：</w:t>
      </w:r>
    </w:p>
    <w:tbl>
      <w:tblPr>
        <w:tblStyle w:val="55"/>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地址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p>
          <w:p>
            <w:pPr>
              <w:snapToGrid w:val="0"/>
              <w:spacing w:line="360" w:lineRule="auto"/>
              <w:ind w:left="1080" w:hanging="1080" w:hangingChars="450"/>
              <w:textAlignment w:val="baseline"/>
              <w:rPr>
                <w:rFonts w:ascii="宋体" w:hAnsi="宋体"/>
                <w:color w:val="000000"/>
                <w:sz w:val="24"/>
              </w:rPr>
            </w:pPr>
            <w:r>
              <w:rPr>
                <w:rFonts w:hint="eastAsia" w:ascii="宋体" w:hAnsi="宋体"/>
                <w:color w:val="000000"/>
                <w:sz w:val="24"/>
              </w:rPr>
              <w:t>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生产工人         人</w:t>
            </w:r>
          </w:p>
          <w:p>
            <w:pPr>
              <w:snapToGrid w:val="0"/>
              <w:spacing w:line="360" w:lineRule="auto"/>
              <w:textAlignment w:val="baseline"/>
              <w:rPr>
                <w:rFonts w:ascii="宋体" w:hAnsi="宋体"/>
                <w:color w:val="000000"/>
                <w:sz w:val="24"/>
              </w:rPr>
            </w:pPr>
            <w:r>
              <w:rPr>
                <w:rFonts w:hint="eastAsia" w:ascii="宋体" w:hAnsi="宋体"/>
                <w:color w:val="000000"/>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761"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自有资金</w:t>
            </w:r>
          </w:p>
        </w:tc>
        <w:tc>
          <w:tcPr>
            <w:tcW w:w="702"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银行贷款</w:t>
            </w:r>
          </w:p>
        </w:tc>
        <w:tc>
          <w:tcPr>
            <w:tcW w:w="702"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r>
              <w:rPr>
                <w:rFonts w:hint="eastAsia" w:ascii="宋体" w:hAnsi="宋体"/>
                <w:color w:val="000000"/>
                <w:sz w:val="24"/>
              </w:rPr>
              <w:t>原值万元</w:t>
            </w:r>
          </w:p>
          <w:p>
            <w:pPr>
              <w:snapToGrid w:val="0"/>
              <w:spacing w:line="360" w:lineRule="auto"/>
              <w:textAlignment w:val="baseline"/>
              <w:rPr>
                <w:rFonts w:ascii="宋体" w:hAnsi="宋体"/>
                <w:color w:val="000000"/>
                <w:sz w:val="24"/>
              </w:rPr>
            </w:pPr>
            <w:r>
              <w:rPr>
                <w:rFonts w:hint="eastAsia" w:ascii="宋体" w:hAnsi="宋体"/>
                <w:color w:val="000000"/>
                <w:sz w:val="24"/>
              </w:rPr>
              <w:t>净值万元</w:t>
            </w:r>
          </w:p>
        </w:tc>
        <w:tc>
          <w:tcPr>
            <w:tcW w:w="761"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生产性</w:t>
            </w:r>
          </w:p>
        </w:tc>
        <w:tc>
          <w:tcPr>
            <w:tcW w:w="702"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非生产性</w:t>
            </w:r>
          </w:p>
        </w:tc>
        <w:tc>
          <w:tcPr>
            <w:tcW w:w="702" w:type="dxa"/>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textAlignment w:val="baseline"/>
              <w:rPr>
                <w:rFonts w:ascii="宋体" w:hAnsi="宋体"/>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房屋建筑面积平方米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napToGrid w:val="0"/>
              <w:spacing w:line="360" w:lineRule="auto"/>
              <w:textAlignment w:val="baseline"/>
              <w:rPr>
                <w:rFonts w:ascii="宋体" w:hAnsi="宋体"/>
                <w:color w:val="000000"/>
                <w:sz w:val="24"/>
              </w:rPr>
            </w:pPr>
            <w:r>
              <w:rPr>
                <w:rFonts w:hint="eastAsia" w:ascii="宋体" w:hAnsi="宋体"/>
                <w:color w:val="000000"/>
                <w:sz w:val="24"/>
              </w:rPr>
              <w:t>厂房建筑面积平方米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jc w:val="left"/>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r>
              <w:rPr>
                <w:rFonts w:hint="eastAsia" w:ascii="宋体" w:hAnsi="宋体"/>
                <w:color w:val="000000"/>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textAlignment w:val="baseline"/>
              <w:rPr>
                <w:rFonts w:ascii="宋体" w:hAnsi="宋体"/>
                <w:color w:val="000000"/>
                <w:sz w:val="24"/>
              </w:rPr>
            </w:pPr>
          </w:p>
        </w:tc>
      </w:tr>
    </w:tbl>
    <w:p>
      <w:pPr>
        <w:snapToGrid w:val="0"/>
        <w:spacing w:line="360" w:lineRule="auto"/>
        <w:textAlignment w:val="baseline"/>
        <w:rPr>
          <w:rFonts w:ascii="宋体" w:hAnsi="宋体"/>
          <w:color w:val="000000"/>
          <w:sz w:val="24"/>
        </w:rPr>
        <w:sectPr>
          <w:pgSz w:w="16838" w:h="11905" w:orient="landscape"/>
          <w:pgMar w:top="1417" w:right="1088" w:bottom="1417" w:left="1400" w:header="567" w:footer="850" w:gutter="0"/>
          <w:cols w:space="0" w:num="1"/>
          <w:docGrid w:linePitch="312" w:charSpace="0"/>
        </w:sectPr>
      </w:pPr>
    </w:p>
    <w:p>
      <w:pPr>
        <w:pStyle w:val="6"/>
        <w:tabs>
          <w:tab w:val="left" w:pos="900"/>
        </w:tabs>
        <w:snapToGrid w:val="0"/>
        <w:spacing w:line="360" w:lineRule="auto"/>
        <w:jc w:val="center"/>
        <w:textAlignment w:val="baseline"/>
        <w:rPr>
          <w:rFonts w:hint="default"/>
          <w:sz w:val="24"/>
        </w:rPr>
      </w:pPr>
      <w:bookmarkStart w:id="529" w:name="_Toc22685"/>
      <w:bookmarkStart w:id="530" w:name="_Toc5895225"/>
      <w:bookmarkStart w:id="531" w:name="_Toc40111041"/>
      <w:bookmarkStart w:id="532" w:name="_Toc523911442"/>
      <w:bookmarkStart w:id="533" w:name="_Toc310195770"/>
      <w:r>
        <w:rPr>
          <w:sz w:val="24"/>
        </w:rPr>
        <w:t xml:space="preserve">8 </w:t>
      </w:r>
      <w:r>
        <w:rPr>
          <w:sz w:val="24"/>
          <w:lang w:val="en-US"/>
        </w:rPr>
        <w:t>实施</w:t>
      </w:r>
      <w:r>
        <w:rPr>
          <w:sz w:val="24"/>
        </w:rPr>
        <w:t>方案</w:t>
      </w:r>
      <w:bookmarkEnd w:id="529"/>
      <w:bookmarkEnd w:id="530"/>
      <w:bookmarkEnd w:id="531"/>
      <w:bookmarkEnd w:id="532"/>
      <w:bookmarkStart w:id="534" w:name="_Toc31453"/>
    </w:p>
    <w:p>
      <w:pPr>
        <w:pStyle w:val="5"/>
        <w:snapToGrid w:val="0"/>
        <w:jc w:val="center"/>
        <w:textAlignment w:val="baseline"/>
      </w:pPr>
      <w:r>
        <w:t>（</w:t>
      </w:r>
      <w:r>
        <w:rPr>
          <w:rFonts w:hint="eastAsia"/>
          <w:lang w:val="en-US"/>
        </w:rPr>
        <w:t>格式自拟</w:t>
      </w:r>
      <w:r>
        <w:t>）</w:t>
      </w:r>
      <w:bookmarkEnd w:id="533"/>
      <w:bookmarkEnd w:id="534"/>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snapToGrid w:val="0"/>
        <w:spacing w:line="360" w:lineRule="auto"/>
        <w:ind w:firstLine="2800" w:firstLineChars="1400"/>
        <w:textAlignment w:val="baseline"/>
      </w:pPr>
    </w:p>
    <w:p>
      <w:pPr>
        <w:widowControl/>
        <w:snapToGrid w:val="0"/>
        <w:jc w:val="left"/>
        <w:textAlignment w:val="baseline"/>
      </w:pPr>
      <w:r>
        <w:br w:type="page"/>
      </w:r>
    </w:p>
    <w:p>
      <w:pPr>
        <w:pStyle w:val="6"/>
        <w:tabs>
          <w:tab w:val="left" w:pos="900"/>
        </w:tabs>
        <w:snapToGrid w:val="0"/>
        <w:spacing w:line="360" w:lineRule="auto"/>
        <w:jc w:val="center"/>
        <w:textAlignment w:val="baseline"/>
        <w:rPr>
          <w:rFonts w:hint="default"/>
          <w:sz w:val="24"/>
        </w:rPr>
      </w:pPr>
      <w:bookmarkStart w:id="535" w:name="_Toc5895226"/>
      <w:bookmarkStart w:id="536" w:name="_Toc30116"/>
      <w:bookmarkStart w:id="537" w:name="_Toc40111042"/>
      <w:r>
        <w:rPr>
          <w:sz w:val="24"/>
        </w:rPr>
        <w:t>9 售后服务及培训计划</w:t>
      </w:r>
      <w:bookmarkEnd w:id="535"/>
      <w:bookmarkEnd w:id="536"/>
      <w:bookmarkEnd w:id="537"/>
    </w:p>
    <w:p>
      <w:pPr>
        <w:pStyle w:val="5"/>
        <w:snapToGrid w:val="0"/>
        <w:jc w:val="center"/>
        <w:textAlignment w:val="baseline"/>
      </w:pPr>
      <w:r>
        <w:rPr>
          <w:rFonts w:hint="eastAsia"/>
        </w:rPr>
        <w:t>（</w:t>
      </w:r>
      <w:r>
        <w:rPr>
          <w:rFonts w:hint="eastAsia"/>
          <w:lang w:val="en-US"/>
        </w:rPr>
        <w:t>格式自拟</w:t>
      </w:r>
      <w:r>
        <w:rPr>
          <w:rFonts w:hint="eastAsia"/>
        </w:rPr>
        <w:t>）</w:t>
      </w:r>
      <w:r>
        <w:br w:type="page"/>
      </w:r>
    </w:p>
    <w:p>
      <w:pPr>
        <w:pStyle w:val="5"/>
        <w:snapToGrid w:val="0"/>
        <w:spacing w:line="360" w:lineRule="auto"/>
        <w:ind w:firstLine="0"/>
        <w:jc w:val="center"/>
        <w:textAlignment w:val="baseline"/>
        <w:rPr>
          <w:rFonts w:hAnsi="宋体"/>
        </w:rPr>
      </w:pPr>
      <w:bookmarkStart w:id="538" w:name="_Toc40111043"/>
      <w:bookmarkStart w:id="539" w:name="_Toc310195772"/>
      <w:r>
        <w:rPr>
          <w:rFonts w:hint="eastAsia" w:hAnsi="宋体"/>
        </w:rPr>
        <w:t>10 提交投标保证金的证明材料</w:t>
      </w:r>
      <w:bookmarkEnd w:id="538"/>
    </w:p>
    <w:p>
      <w:pPr>
        <w:pStyle w:val="5"/>
        <w:snapToGrid w:val="0"/>
        <w:spacing w:line="360" w:lineRule="auto"/>
        <w:ind w:firstLine="0"/>
        <w:jc w:val="center"/>
        <w:textAlignment w:val="baseline"/>
        <w:rPr>
          <w:rFonts w:hAnsi="宋体"/>
        </w:rPr>
      </w:pPr>
      <w:r>
        <w:rPr>
          <w:rFonts w:hint="eastAsia" w:hAnsi="宋体"/>
        </w:rPr>
        <w:t>（须加盖本单位公章）</w:t>
      </w:r>
    </w:p>
    <w:p>
      <w:pPr>
        <w:widowControl/>
        <w:snapToGrid w:val="0"/>
        <w:spacing w:line="360" w:lineRule="auto"/>
        <w:jc w:val="left"/>
        <w:textAlignment w:val="baseline"/>
        <w:rPr>
          <w:rFonts w:hAnsi="宋体"/>
        </w:rPr>
      </w:pPr>
      <w:r>
        <w:rPr>
          <w:rFonts w:hAnsi="宋体"/>
        </w:rPr>
        <w:br w:type="page"/>
      </w:r>
    </w:p>
    <w:p>
      <w:pPr>
        <w:pStyle w:val="6"/>
        <w:tabs>
          <w:tab w:val="left" w:pos="900"/>
        </w:tabs>
        <w:snapToGrid w:val="0"/>
        <w:spacing w:line="360" w:lineRule="auto"/>
        <w:jc w:val="center"/>
        <w:textAlignment w:val="baseline"/>
        <w:rPr>
          <w:rFonts w:hint="default"/>
          <w:sz w:val="24"/>
        </w:rPr>
      </w:pPr>
      <w:bookmarkStart w:id="540" w:name="_Toc523911444"/>
      <w:bookmarkStart w:id="541" w:name="_Toc5895227"/>
      <w:bookmarkStart w:id="542" w:name="_Toc19434"/>
      <w:bookmarkStart w:id="543" w:name="_Toc40111044"/>
      <w:r>
        <w:rPr>
          <w:sz w:val="24"/>
        </w:rPr>
        <w:t>11 中标服务费承诺书</w:t>
      </w:r>
      <w:bookmarkEnd w:id="539"/>
      <w:bookmarkEnd w:id="540"/>
      <w:bookmarkEnd w:id="541"/>
      <w:bookmarkEnd w:id="542"/>
      <w:bookmarkEnd w:id="543"/>
    </w:p>
    <w:p>
      <w:pPr>
        <w:pStyle w:val="5"/>
        <w:snapToGrid w:val="0"/>
        <w:spacing w:line="360" w:lineRule="auto"/>
        <w:textAlignment w:val="baseline"/>
        <w:rPr>
          <w:rFonts w:hAnsi="宋体"/>
        </w:rPr>
      </w:pPr>
    </w:p>
    <w:p>
      <w:pPr>
        <w:snapToGrid w:val="0"/>
        <w:spacing w:line="360" w:lineRule="auto"/>
        <w:textAlignment w:val="baseline"/>
        <w:rPr>
          <w:rFonts w:ascii="宋体" w:hAnsi="宋体"/>
          <w:sz w:val="24"/>
          <w:u w:val="single"/>
        </w:rPr>
      </w:pPr>
      <w:r>
        <w:rPr>
          <w:rFonts w:hint="eastAsia" w:ascii="宋体" w:hAnsi="宋体"/>
          <w:sz w:val="24"/>
        </w:rPr>
        <w:t>致：华采招标集团有限公司</w:t>
      </w:r>
    </w:p>
    <w:p>
      <w:pPr>
        <w:widowControl/>
        <w:snapToGrid w:val="0"/>
        <w:spacing w:line="360" w:lineRule="auto"/>
        <w:ind w:firstLine="480" w:firstLineChars="200"/>
        <w:jc w:val="left"/>
        <w:textAlignment w:val="baseline"/>
        <w:rPr>
          <w:rFonts w:ascii="宋体" w:hAnsi="宋体"/>
          <w:kern w:val="0"/>
          <w:sz w:val="24"/>
        </w:rPr>
      </w:pPr>
      <w:r>
        <w:rPr>
          <w:rFonts w:hint="eastAsia" w:ascii="宋体" w:hAnsi="宋体"/>
          <w:sz w:val="24"/>
        </w:rPr>
        <w:t>我们在贵公司组织的</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rPr>
        <w:t>项目招标中若获中标（项目代理编号：</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rPr>
        <w:t>），我们保证在领取中标通知书时按招标文件的规定，以支票、电汇或现金，向贵公司一次性支付应该交纳的中标服务费用。收费标准参照国家原计价格[2002]1980号文、</w:t>
      </w:r>
      <w:r>
        <w:rPr>
          <w:rFonts w:hint="eastAsia" w:ascii="宋体" w:hAnsi="宋体"/>
          <w:kern w:val="0"/>
          <w:sz w:val="24"/>
        </w:rPr>
        <w:t>发改办价格[2003]857号文及</w:t>
      </w:r>
      <w:r>
        <w:rPr>
          <w:rFonts w:ascii="宋体" w:hAnsi="宋体"/>
          <w:kern w:val="0"/>
          <w:sz w:val="24"/>
        </w:rPr>
        <w:t>发改价格</w:t>
      </w:r>
      <w:r>
        <w:rPr>
          <w:kern w:val="0"/>
          <w:sz w:val="24"/>
        </w:rPr>
        <w:t>[2011]534</w:t>
      </w:r>
      <w:r>
        <w:rPr>
          <w:rFonts w:ascii="宋体" w:hAnsi="宋体"/>
          <w:kern w:val="0"/>
          <w:sz w:val="24"/>
        </w:rPr>
        <w:t>号</w:t>
      </w:r>
      <w:r>
        <w:rPr>
          <w:rFonts w:hint="eastAsia" w:ascii="宋体" w:hAnsi="宋体"/>
          <w:kern w:val="0"/>
          <w:sz w:val="24"/>
        </w:rPr>
        <w:t>文有关规定向中标人收取</w:t>
      </w:r>
      <w:r>
        <w:rPr>
          <w:rFonts w:hint="eastAsia" w:ascii="宋体" w:hAnsi="宋体"/>
          <w:sz w:val="24"/>
        </w:rPr>
        <w:t>中标服务费用。</w:t>
      </w: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ind w:firstLine="480" w:firstLineChars="200"/>
        <w:textAlignment w:val="baseline"/>
        <w:rPr>
          <w:rFonts w:ascii="宋体" w:hAnsi="宋体"/>
          <w:sz w:val="24"/>
        </w:rPr>
      </w:pPr>
      <w:r>
        <w:rPr>
          <w:rFonts w:hint="eastAsia" w:ascii="宋体" w:hAnsi="宋体"/>
          <w:sz w:val="24"/>
        </w:rPr>
        <w:t>特此承诺</w:t>
      </w: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p>
    <w:p>
      <w:pPr>
        <w:snapToGrid w:val="0"/>
        <w:spacing w:line="360" w:lineRule="auto"/>
        <w:textAlignment w:val="baseline"/>
        <w:rPr>
          <w:rFonts w:ascii="宋体" w:hAnsi="宋体"/>
          <w:sz w:val="24"/>
        </w:rPr>
      </w:pPr>
      <w:r>
        <w:rPr>
          <w:rFonts w:hint="eastAsia" w:ascii="宋体" w:hAnsi="宋体"/>
          <w:sz w:val="24"/>
        </w:rPr>
        <w:tab/>
      </w:r>
      <w:r>
        <w:rPr>
          <w:rFonts w:hint="eastAsia" w:ascii="宋体" w:hAnsi="宋体"/>
          <w:sz w:val="24"/>
        </w:rPr>
        <w:t>承诺方法定名称：</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p>
    <w:p>
      <w:pPr>
        <w:snapToGrid w:val="0"/>
        <w:spacing w:line="360" w:lineRule="auto"/>
        <w:textAlignment w:val="baseline"/>
        <w:rPr>
          <w:rFonts w:ascii="宋体" w:hAnsi="宋体"/>
          <w:sz w:val="24"/>
        </w:rPr>
      </w:pPr>
      <w:r>
        <w:rPr>
          <w:rFonts w:hint="eastAsia" w:ascii="宋体" w:hAnsi="宋体"/>
          <w:sz w:val="24"/>
        </w:rPr>
        <w:tab/>
      </w:r>
      <w:r>
        <w:rPr>
          <w:rFonts w:hint="eastAsia" w:ascii="宋体" w:hAnsi="宋体"/>
          <w:sz w:val="24"/>
        </w:rPr>
        <w:t>地址：</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p>
    <w:p>
      <w:pPr>
        <w:snapToGrid w:val="0"/>
        <w:spacing w:line="360" w:lineRule="auto"/>
        <w:textAlignment w:val="baseline"/>
        <w:rPr>
          <w:rFonts w:ascii="宋体" w:hAnsi="宋体"/>
          <w:sz w:val="24"/>
        </w:rPr>
      </w:pPr>
      <w:r>
        <w:rPr>
          <w:rFonts w:hint="eastAsia" w:ascii="宋体" w:hAnsi="宋体"/>
          <w:sz w:val="24"/>
        </w:rPr>
        <w:tab/>
      </w:r>
      <w:r>
        <w:rPr>
          <w:rFonts w:hint="eastAsia" w:ascii="宋体" w:hAnsi="宋体"/>
          <w:sz w:val="24"/>
        </w:rPr>
        <w:t>电话：</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rPr>
        <w:tab/>
      </w:r>
      <w:r>
        <w:rPr>
          <w:rFonts w:hint="eastAsia" w:ascii="宋体" w:hAnsi="宋体"/>
          <w:sz w:val="24"/>
        </w:rPr>
        <w:tab/>
      </w:r>
      <w:r>
        <w:rPr>
          <w:rFonts w:hint="eastAsia" w:ascii="宋体" w:hAnsi="宋体"/>
          <w:sz w:val="24"/>
        </w:rPr>
        <w:t>传真：</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p>
    <w:p>
      <w:pPr>
        <w:snapToGrid w:val="0"/>
        <w:spacing w:line="360" w:lineRule="auto"/>
        <w:textAlignment w:val="baseline"/>
        <w:rPr>
          <w:rFonts w:ascii="宋体" w:hAnsi="宋体"/>
          <w:sz w:val="24"/>
        </w:rPr>
      </w:pPr>
      <w:r>
        <w:rPr>
          <w:rFonts w:hint="eastAsia" w:ascii="宋体" w:hAnsi="宋体"/>
          <w:sz w:val="24"/>
        </w:rPr>
        <w:tab/>
      </w:r>
      <w:r>
        <w:rPr>
          <w:rFonts w:hint="eastAsia" w:ascii="宋体" w:hAnsi="宋体"/>
          <w:sz w:val="24"/>
        </w:rPr>
        <w:t>邮编：</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p>
    <w:p>
      <w:pPr>
        <w:snapToGrid w:val="0"/>
        <w:spacing w:line="360" w:lineRule="auto"/>
        <w:textAlignment w:val="baseline"/>
        <w:rPr>
          <w:rFonts w:ascii="宋体" w:hAnsi="宋体"/>
          <w:sz w:val="24"/>
        </w:rPr>
      </w:pPr>
      <w:r>
        <w:rPr>
          <w:rFonts w:hint="eastAsia" w:ascii="宋体" w:hAnsi="宋体"/>
          <w:sz w:val="24"/>
        </w:rPr>
        <w:tab/>
      </w:r>
      <w:r>
        <w:rPr>
          <w:rFonts w:hint="eastAsia" w:ascii="宋体" w:hAnsi="宋体"/>
          <w:sz w:val="24"/>
        </w:rPr>
        <w:t>承诺方授权代表签字：</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rPr>
        <w:t>（承诺方盖章）</w:t>
      </w:r>
    </w:p>
    <w:p>
      <w:pPr>
        <w:snapToGrid w:val="0"/>
        <w:spacing w:line="360" w:lineRule="auto"/>
        <w:textAlignment w:val="baseline"/>
        <w:rPr>
          <w:rFonts w:ascii="宋体" w:hAnsi="宋体"/>
          <w:sz w:val="24"/>
          <w:u w:val="single"/>
        </w:rPr>
      </w:pPr>
      <w:r>
        <w:rPr>
          <w:rFonts w:hint="eastAsia" w:ascii="宋体" w:hAnsi="宋体"/>
          <w:sz w:val="24"/>
        </w:rPr>
        <w:tab/>
      </w:r>
      <w:r>
        <w:rPr>
          <w:rFonts w:hint="eastAsia" w:ascii="宋体" w:hAnsi="宋体"/>
          <w:sz w:val="24"/>
        </w:rPr>
        <w:t>承诺日期：</w:t>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r>
        <w:rPr>
          <w:rFonts w:hint="eastAsia" w:ascii="宋体" w:hAnsi="宋体"/>
          <w:sz w:val="24"/>
          <w:u w:val="single" w:color="000000"/>
        </w:rPr>
        <w:tab/>
      </w:r>
    </w:p>
    <w:p>
      <w:pPr>
        <w:pStyle w:val="5"/>
        <w:snapToGrid w:val="0"/>
        <w:spacing w:line="360" w:lineRule="auto"/>
        <w:textAlignment w:val="baseline"/>
        <w:rPr>
          <w:rFonts w:hAnsi="宋体"/>
        </w:rPr>
      </w:pPr>
    </w:p>
    <w:p>
      <w:pPr>
        <w:pStyle w:val="5"/>
        <w:snapToGrid w:val="0"/>
        <w:spacing w:line="360" w:lineRule="auto"/>
        <w:textAlignment w:val="baseline"/>
        <w:rPr>
          <w:rFonts w:hAnsi="宋体"/>
        </w:rPr>
      </w:pPr>
    </w:p>
    <w:p>
      <w:pPr>
        <w:tabs>
          <w:tab w:val="left" w:pos="5580"/>
        </w:tabs>
        <w:snapToGrid w:val="0"/>
        <w:spacing w:before="360" w:line="360" w:lineRule="auto"/>
        <w:textAlignment w:val="baseline"/>
        <w:rPr>
          <w:rFonts w:ascii="宋体" w:hAnsi="宋体"/>
          <w:bCs/>
          <w:sz w:val="24"/>
        </w:rPr>
      </w:pPr>
    </w:p>
    <w:p>
      <w:pPr>
        <w:tabs>
          <w:tab w:val="left" w:pos="5580"/>
        </w:tabs>
        <w:snapToGrid w:val="0"/>
        <w:spacing w:before="360" w:line="360" w:lineRule="auto"/>
        <w:textAlignment w:val="baseline"/>
        <w:rPr>
          <w:rFonts w:ascii="宋体" w:hAnsi="宋体"/>
          <w:bCs/>
          <w:sz w:val="24"/>
        </w:rPr>
      </w:pPr>
    </w:p>
    <w:p>
      <w:pPr>
        <w:snapToGrid w:val="0"/>
        <w:textAlignment w:val="baseline"/>
        <w:rPr>
          <w:sz w:val="24"/>
        </w:rPr>
      </w:pPr>
      <w:bookmarkStart w:id="544" w:name="_Toc324255621"/>
      <w:bookmarkStart w:id="545" w:name="_Toc5895228"/>
      <w:bookmarkStart w:id="546" w:name="_Toc523911448"/>
      <w:bookmarkStart w:id="547" w:name="_Toc40111045"/>
      <w:bookmarkStart w:id="548" w:name="_Toc386123377"/>
      <w:r>
        <w:rPr>
          <w:sz w:val="24"/>
        </w:rPr>
        <w:br w:type="page"/>
      </w:r>
    </w:p>
    <w:p>
      <w:pPr>
        <w:pStyle w:val="6"/>
        <w:jc w:val="center"/>
        <w:rPr>
          <w:rFonts w:hint="default"/>
          <w:sz w:val="24"/>
        </w:rPr>
      </w:pPr>
      <w:bookmarkStart w:id="549" w:name="_Toc31284"/>
      <w:r>
        <w:rPr>
          <w:sz w:val="24"/>
        </w:rPr>
        <w:t xml:space="preserve">12 </w:t>
      </w:r>
      <w:bookmarkEnd w:id="544"/>
      <w:bookmarkEnd w:id="545"/>
      <w:bookmarkEnd w:id="546"/>
      <w:bookmarkEnd w:id="547"/>
      <w:bookmarkEnd w:id="548"/>
      <w:r>
        <w:rPr>
          <w:sz w:val="24"/>
        </w:rPr>
        <w:t>中小企业声明函（服务）（如适用）</w:t>
      </w:r>
      <w:bookmarkEnd w:id="549"/>
    </w:p>
    <w:p>
      <w:pPr>
        <w:pStyle w:val="54"/>
        <w:snapToGrid w:val="0"/>
        <w:ind w:left="400"/>
        <w:textAlignment w:val="baseline"/>
      </w:pPr>
    </w:p>
    <w:p>
      <w:pPr>
        <w:snapToGrid w:val="0"/>
        <w:spacing w:line="360" w:lineRule="auto"/>
        <w:ind w:firstLine="480" w:firstLineChars="200"/>
        <w:textAlignment w:val="baseline"/>
        <w:rPr>
          <w:rFonts w:ascii="宋体" w:hAnsi="宋体"/>
          <w:sz w:val="24"/>
        </w:rPr>
      </w:pPr>
      <w:r>
        <w:rPr>
          <w:rFonts w:hint="eastAsia" w:ascii="宋体" w:hAnsi="宋体"/>
          <w:kern w:val="0"/>
          <w:sz w:val="24"/>
        </w:rPr>
        <w:t>本公司（联合体）郑重声明，根据《政府采购促进中小企业发展管理办法》（财库﹝2020﹞46 号）的规定，本公司（联合体）参加</w:t>
      </w:r>
      <w:r>
        <w:rPr>
          <w:rFonts w:hint="eastAsia" w:ascii="宋体" w:hAnsi="宋体"/>
          <w:i/>
          <w:kern w:val="0"/>
          <w:sz w:val="24"/>
          <w:u w:val="single" w:color="000000"/>
        </w:rPr>
        <w:t>（单位名称）</w:t>
      </w:r>
      <w:r>
        <w:rPr>
          <w:rFonts w:hint="eastAsia" w:ascii="宋体" w:hAnsi="宋体"/>
          <w:kern w:val="0"/>
          <w:sz w:val="24"/>
        </w:rPr>
        <w:t>的</w:t>
      </w:r>
      <w:r>
        <w:rPr>
          <w:rFonts w:hint="eastAsia" w:ascii="宋体" w:hAnsi="宋体"/>
          <w:i/>
          <w:kern w:val="0"/>
          <w:sz w:val="24"/>
          <w:u w:val="single" w:color="000000"/>
        </w:rPr>
        <w:t>（项目名称）</w:t>
      </w:r>
      <w:r>
        <w:rPr>
          <w:rFonts w:hint="eastAsia" w:ascii="宋体" w:hAnsi="宋体"/>
          <w:kern w:val="0"/>
          <w:sz w:val="24"/>
        </w:rPr>
        <w:t>采购活动，服务全部由符合政策要求的中小企业承接。相关企业（含联合体中的中小企业、签订分包意向协议的中小企业）的具体情况如下：</w:t>
      </w:r>
    </w:p>
    <w:p>
      <w:pPr>
        <w:snapToGrid w:val="0"/>
        <w:spacing w:line="360" w:lineRule="auto"/>
        <w:ind w:firstLine="480" w:firstLineChars="200"/>
        <w:textAlignment w:val="baseline"/>
        <w:rPr>
          <w:rFonts w:ascii="宋体" w:hAnsi="宋体"/>
          <w:sz w:val="24"/>
        </w:rPr>
      </w:pPr>
      <w:r>
        <w:rPr>
          <w:rFonts w:hint="eastAsia" w:ascii="宋体" w:hAnsi="宋体"/>
          <w:kern w:val="0"/>
          <w:sz w:val="24"/>
        </w:rPr>
        <w:t xml:space="preserve">1. </w:t>
      </w:r>
      <w:r>
        <w:rPr>
          <w:rFonts w:hint="eastAsia" w:ascii="宋体" w:hAnsi="宋体"/>
          <w:i/>
          <w:kern w:val="0"/>
          <w:sz w:val="24"/>
          <w:u w:val="single" w:color="000000"/>
        </w:rPr>
        <w:t>（标的名称）</w:t>
      </w:r>
      <w:r>
        <w:rPr>
          <w:rFonts w:hint="eastAsia" w:ascii="宋体" w:hAnsi="宋体"/>
          <w:kern w:val="0"/>
          <w:sz w:val="24"/>
        </w:rPr>
        <w:t>，属于</w:t>
      </w:r>
      <w:r>
        <w:rPr>
          <w:rFonts w:hint="eastAsia" w:ascii="宋体" w:hAnsi="宋体"/>
          <w:i/>
          <w:kern w:val="0"/>
          <w:sz w:val="24"/>
          <w:u w:val="single" w:color="000000"/>
        </w:rPr>
        <w:t>（采购文件中明确的所属行业）</w:t>
      </w:r>
      <w:r>
        <w:rPr>
          <w:rFonts w:hint="eastAsia" w:ascii="宋体" w:hAnsi="宋体"/>
          <w:kern w:val="0"/>
          <w:sz w:val="24"/>
        </w:rPr>
        <w:t>；承接企业为</w:t>
      </w:r>
      <w:r>
        <w:rPr>
          <w:rFonts w:hint="eastAsia" w:ascii="宋体" w:hAnsi="宋体"/>
          <w:i/>
          <w:kern w:val="0"/>
          <w:sz w:val="24"/>
          <w:u w:val="single" w:color="000000"/>
        </w:rPr>
        <w:t>（企业名称）</w:t>
      </w:r>
      <w:r>
        <w:rPr>
          <w:rFonts w:hint="eastAsia" w:ascii="宋体" w:hAnsi="宋体"/>
          <w:kern w:val="0"/>
          <w:sz w:val="24"/>
        </w:rPr>
        <w:t>，从业人员</w:t>
      </w:r>
      <w:r>
        <w:rPr>
          <w:rFonts w:hint="eastAsia" w:ascii="宋体" w:hAnsi="宋体"/>
          <w:kern w:val="0"/>
          <w:sz w:val="24"/>
          <w:u w:val="single" w:color="000000"/>
        </w:rPr>
        <w:t xml:space="preserve">  </w:t>
      </w:r>
      <w:r>
        <w:rPr>
          <w:rFonts w:hint="eastAsia" w:ascii="宋体" w:hAnsi="宋体"/>
          <w:kern w:val="0"/>
          <w:sz w:val="24"/>
        </w:rPr>
        <w:t>人，营业收入为</w:t>
      </w:r>
      <w:r>
        <w:rPr>
          <w:rFonts w:hint="eastAsia" w:ascii="宋体" w:hAnsi="宋体"/>
          <w:kern w:val="0"/>
          <w:sz w:val="24"/>
          <w:u w:val="single" w:color="000000"/>
        </w:rPr>
        <w:t xml:space="preserve">  </w:t>
      </w:r>
      <w:r>
        <w:rPr>
          <w:rFonts w:hint="eastAsia" w:ascii="宋体" w:hAnsi="宋体"/>
          <w:kern w:val="0"/>
          <w:sz w:val="24"/>
        </w:rPr>
        <w:t>万元，资产总额为</w:t>
      </w:r>
      <w:r>
        <w:rPr>
          <w:rFonts w:hint="eastAsia" w:ascii="宋体" w:hAnsi="宋体"/>
          <w:kern w:val="0"/>
          <w:sz w:val="24"/>
          <w:u w:val="single" w:color="000000"/>
        </w:rPr>
        <w:t xml:space="preserve">  </w:t>
      </w:r>
      <w:r>
        <w:rPr>
          <w:rFonts w:hint="eastAsia" w:ascii="宋体" w:hAnsi="宋体"/>
          <w:kern w:val="0"/>
          <w:sz w:val="24"/>
        </w:rPr>
        <w:t>万元</w:t>
      </w:r>
      <w:r>
        <w:rPr>
          <w:rFonts w:hint="eastAsia" w:ascii="宋体" w:hAnsi="宋体"/>
          <w:kern w:val="0"/>
          <w:sz w:val="24"/>
          <w:vertAlign w:val="superscript"/>
        </w:rPr>
        <w:t>1</w:t>
      </w:r>
      <w:r>
        <w:rPr>
          <w:rFonts w:hint="eastAsia" w:ascii="宋体" w:hAnsi="宋体"/>
          <w:kern w:val="0"/>
          <w:sz w:val="24"/>
        </w:rPr>
        <w:t>，属于</w:t>
      </w:r>
      <w:r>
        <w:rPr>
          <w:rFonts w:hint="eastAsia" w:ascii="宋体" w:hAnsi="宋体"/>
          <w:i/>
          <w:kern w:val="0"/>
          <w:sz w:val="24"/>
          <w:u w:val="single" w:color="000000"/>
        </w:rPr>
        <w:t>（中型企业、小型企业、微型企业）</w:t>
      </w:r>
      <w:r>
        <w:rPr>
          <w:rFonts w:hint="eastAsia" w:ascii="宋体" w:hAnsi="宋体"/>
          <w:kern w:val="0"/>
          <w:sz w:val="24"/>
        </w:rPr>
        <w:t xml:space="preserve">； </w:t>
      </w:r>
    </w:p>
    <w:p>
      <w:pPr>
        <w:snapToGrid w:val="0"/>
        <w:spacing w:line="360" w:lineRule="auto"/>
        <w:ind w:firstLine="480" w:firstLineChars="200"/>
        <w:textAlignment w:val="baseline"/>
        <w:rPr>
          <w:rFonts w:ascii="宋体" w:hAnsi="宋体"/>
          <w:sz w:val="24"/>
        </w:rPr>
      </w:pPr>
      <w:r>
        <w:rPr>
          <w:rFonts w:hint="eastAsia" w:ascii="宋体" w:hAnsi="宋体"/>
          <w:kern w:val="0"/>
          <w:sz w:val="24"/>
        </w:rPr>
        <w:t xml:space="preserve">2. </w:t>
      </w:r>
      <w:r>
        <w:rPr>
          <w:rFonts w:hint="eastAsia" w:ascii="宋体" w:hAnsi="宋体"/>
          <w:i/>
          <w:kern w:val="0"/>
          <w:sz w:val="24"/>
          <w:u w:val="single" w:color="000000"/>
        </w:rPr>
        <w:t>（标的名称）</w:t>
      </w:r>
      <w:r>
        <w:rPr>
          <w:rFonts w:hint="eastAsia" w:ascii="宋体" w:hAnsi="宋体"/>
          <w:kern w:val="0"/>
          <w:sz w:val="24"/>
        </w:rPr>
        <w:t>，属于</w:t>
      </w:r>
      <w:r>
        <w:rPr>
          <w:rFonts w:hint="eastAsia" w:ascii="宋体" w:hAnsi="宋体"/>
          <w:i/>
          <w:kern w:val="0"/>
          <w:sz w:val="24"/>
          <w:u w:val="single" w:color="000000"/>
        </w:rPr>
        <w:t>（采购文件中明确的所属行业）</w:t>
      </w:r>
      <w:r>
        <w:rPr>
          <w:rFonts w:hint="eastAsia" w:ascii="宋体" w:hAnsi="宋体"/>
          <w:kern w:val="0"/>
          <w:sz w:val="24"/>
        </w:rPr>
        <w:t>；承接企业为</w:t>
      </w:r>
      <w:r>
        <w:rPr>
          <w:rFonts w:hint="eastAsia" w:ascii="宋体" w:hAnsi="宋体"/>
          <w:i/>
          <w:kern w:val="0"/>
          <w:sz w:val="24"/>
          <w:u w:val="single" w:color="000000"/>
        </w:rPr>
        <w:t>（企业名称）</w:t>
      </w:r>
      <w:r>
        <w:rPr>
          <w:rFonts w:hint="eastAsia" w:ascii="宋体" w:hAnsi="宋体"/>
          <w:kern w:val="0"/>
          <w:sz w:val="24"/>
        </w:rPr>
        <w:t>，从业人员</w:t>
      </w:r>
      <w:r>
        <w:rPr>
          <w:rFonts w:hint="eastAsia" w:ascii="宋体" w:hAnsi="宋体"/>
          <w:kern w:val="0"/>
          <w:sz w:val="24"/>
          <w:u w:val="single" w:color="000000"/>
        </w:rPr>
        <w:t xml:space="preserve">  </w:t>
      </w:r>
      <w:r>
        <w:rPr>
          <w:rFonts w:hint="eastAsia" w:ascii="宋体" w:hAnsi="宋体"/>
          <w:kern w:val="0"/>
          <w:sz w:val="24"/>
        </w:rPr>
        <w:t>人，营业收入为</w:t>
      </w:r>
      <w:r>
        <w:rPr>
          <w:rFonts w:hint="eastAsia" w:ascii="宋体" w:hAnsi="宋体"/>
          <w:kern w:val="0"/>
          <w:sz w:val="24"/>
          <w:u w:val="single" w:color="000000"/>
        </w:rPr>
        <w:t xml:space="preserve">  </w:t>
      </w:r>
      <w:r>
        <w:rPr>
          <w:rFonts w:hint="eastAsia" w:ascii="宋体" w:hAnsi="宋体"/>
          <w:kern w:val="0"/>
          <w:sz w:val="24"/>
        </w:rPr>
        <w:t>万元，资产总额为</w:t>
      </w:r>
      <w:r>
        <w:rPr>
          <w:rFonts w:hint="eastAsia" w:ascii="宋体" w:hAnsi="宋体"/>
          <w:kern w:val="0"/>
          <w:sz w:val="24"/>
          <w:u w:val="single" w:color="000000"/>
        </w:rPr>
        <w:t xml:space="preserve">  </w:t>
      </w:r>
      <w:r>
        <w:rPr>
          <w:rFonts w:hint="eastAsia" w:ascii="宋体" w:hAnsi="宋体"/>
          <w:kern w:val="0"/>
          <w:sz w:val="24"/>
        </w:rPr>
        <w:t>万元，属于</w:t>
      </w:r>
      <w:r>
        <w:rPr>
          <w:rFonts w:hint="eastAsia" w:ascii="宋体" w:hAnsi="宋体"/>
          <w:i/>
          <w:kern w:val="0"/>
          <w:sz w:val="24"/>
        </w:rPr>
        <w:t>（中型企业、 小型企业、微型企业）</w:t>
      </w:r>
      <w:r>
        <w:rPr>
          <w:rFonts w:hint="eastAsia" w:ascii="宋体" w:hAnsi="宋体"/>
          <w:kern w:val="0"/>
          <w:sz w:val="24"/>
        </w:rPr>
        <w:t xml:space="preserve">； </w:t>
      </w:r>
    </w:p>
    <w:p>
      <w:pPr>
        <w:snapToGrid w:val="0"/>
        <w:spacing w:line="360" w:lineRule="auto"/>
        <w:textAlignment w:val="baseline"/>
        <w:rPr>
          <w:rFonts w:ascii="宋体" w:hAnsi="宋体"/>
          <w:sz w:val="24"/>
        </w:rPr>
      </w:pPr>
      <w:r>
        <w:rPr>
          <w:rFonts w:hint="eastAsia" w:ascii="宋体" w:hAnsi="宋体"/>
          <w:kern w:val="0"/>
          <w:sz w:val="24"/>
        </w:rPr>
        <w:t>……</w:t>
      </w:r>
    </w:p>
    <w:p>
      <w:pPr>
        <w:snapToGrid w:val="0"/>
        <w:spacing w:line="360" w:lineRule="auto"/>
        <w:ind w:firstLine="480" w:firstLineChars="200"/>
        <w:textAlignment w:val="baseline"/>
        <w:rPr>
          <w:rFonts w:ascii="宋体" w:hAnsi="宋体"/>
          <w:sz w:val="24"/>
        </w:rPr>
      </w:pPr>
      <w:r>
        <w:rPr>
          <w:rFonts w:hint="eastAsia" w:ascii="宋体" w:hAnsi="宋体"/>
          <w:kern w:val="0"/>
          <w:sz w:val="24"/>
        </w:rPr>
        <w:t>以上企业，不属于大企业的分支机构，不存在控股股东为大企业的情形，也不存在与大企业的负责人为同一人的情形。</w:t>
      </w:r>
    </w:p>
    <w:p>
      <w:pPr>
        <w:snapToGrid w:val="0"/>
        <w:spacing w:line="360" w:lineRule="auto"/>
        <w:ind w:firstLine="480" w:firstLineChars="200"/>
        <w:textAlignment w:val="baseline"/>
        <w:rPr>
          <w:rFonts w:ascii="宋体" w:hAnsi="宋体"/>
          <w:sz w:val="24"/>
        </w:rPr>
      </w:pPr>
      <w:r>
        <w:rPr>
          <w:rFonts w:hint="eastAsia" w:ascii="宋体" w:hAnsi="宋体"/>
          <w:kern w:val="0"/>
          <w:sz w:val="24"/>
        </w:rPr>
        <w:t xml:space="preserve">本企业对上述声明内容的真实性负责。如有虚假，将依法承担相应责任。 </w:t>
      </w:r>
    </w:p>
    <w:p>
      <w:pPr>
        <w:snapToGrid w:val="0"/>
        <w:spacing w:line="360" w:lineRule="auto"/>
        <w:ind w:firstLine="5520" w:firstLineChars="2300"/>
        <w:textAlignment w:val="baseline"/>
        <w:rPr>
          <w:rFonts w:ascii="宋体" w:hAnsi="宋体"/>
          <w:kern w:val="0"/>
          <w:sz w:val="24"/>
        </w:rPr>
      </w:pPr>
    </w:p>
    <w:p>
      <w:pPr>
        <w:snapToGrid w:val="0"/>
        <w:spacing w:line="360" w:lineRule="auto"/>
        <w:ind w:firstLine="5520" w:firstLineChars="2300"/>
        <w:textAlignment w:val="baseline"/>
        <w:rPr>
          <w:rFonts w:ascii="宋体" w:hAnsi="宋体"/>
          <w:kern w:val="0"/>
          <w:sz w:val="24"/>
        </w:rPr>
      </w:pPr>
    </w:p>
    <w:p>
      <w:pPr>
        <w:snapToGrid w:val="0"/>
        <w:spacing w:line="360" w:lineRule="auto"/>
        <w:ind w:firstLine="5520" w:firstLineChars="2300"/>
        <w:textAlignment w:val="baseline"/>
        <w:rPr>
          <w:rFonts w:ascii="宋体" w:hAnsi="宋体"/>
          <w:sz w:val="24"/>
        </w:rPr>
      </w:pPr>
      <w:r>
        <w:rPr>
          <w:rFonts w:hint="eastAsia" w:ascii="宋体" w:hAnsi="宋体"/>
          <w:kern w:val="0"/>
          <w:sz w:val="24"/>
        </w:rPr>
        <w:t xml:space="preserve">企业名称（盖章）： </w:t>
      </w:r>
    </w:p>
    <w:p>
      <w:pPr>
        <w:snapToGrid w:val="0"/>
        <w:spacing w:line="360" w:lineRule="auto"/>
        <w:ind w:firstLine="6480" w:firstLineChars="2700"/>
        <w:textAlignment w:val="baseline"/>
        <w:rPr>
          <w:rFonts w:ascii="宋体" w:hAnsi="宋体"/>
          <w:sz w:val="24"/>
        </w:rPr>
      </w:pPr>
      <w:r>
        <w:rPr>
          <w:rFonts w:hint="eastAsia" w:ascii="宋体" w:hAnsi="宋体"/>
          <w:kern w:val="0"/>
          <w:sz w:val="24"/>
        </w:rPr>
        <w:t xml:space="preserve">日 期： </w:t>
      </w:r>
    </w:p>
    <w:p>
      <w:pPr>
        <w:snapToGrid w:val="0"/>
        <w:textAlignment w:val="baseline"/>
        <w:rPr>
          <w:rFonts w:ascii="宋体" w:hAnsi="宋体"/>
          <w:kern w:val="0"/>
          <w:vertAlign w:val="superscript"/>
        </w:rPr>
      </w:pPr>
    </w:p>
    <w:p>
      <w:pPr>
        <w:snapToGrid w:val="0"/>
        <w:textAlignment w:val="baseline"/>
        <w:rPr>
          <w:rFonts w:ascii="宋体" w:hAnsi="宋体"/>
          <w:kern w:val="0"/>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kern w:val="0"/>
          <w:sz w:val="21"/>
          <w:szCs w:val="21"/>
          <w:vertAlign w:val="superscript"/>
        </w:rPr>
      </w:pPr>
    </w:p>
    <w:p>
      <w:pPr>
        <w:snapToGrid w:val="0"/>
        <w:textAlignment w:val="baseline"/>
        <w:rPr>
          <w:rFonts w:ascii="宋体" w:hAnsi="宋体"/>
          <w:sz w:val="21"/>
          <w:szCs w:val="21"/>
        </w:rPr>
      </w:pPr>
      <w:r>
        <w:rPr>
          <w:rFonts w:hint="eastAsia" w:ascii="宋体" w:hAnsi="宋体"/>
          <w:kern w:val="0"/>
          <w:sz w:val="21"/>
          <w:szCs w:val="21"/>
          <w:vertAlign w:val="superscript"/>
        </w:rPr>
        <w:t>1</w:t>
      </w:r>
      <w:r>
        <w:rPr>
          <w:rFonts w:hint="eastAsia" w:ascii="宋体" w:hAnsi="宋体"/>
          <w:kern w:val="0"/>
          <w:sz w:val="21"/>
          <w:szCs w:val="21"/>
        </w:rPr>
        <w:t xml:space="preserve"> 从业人员、营业收入、资产总额填报上一年度数据，无上一年度数据的新成立企业可不填报。</w:t>
      </w:r>
    </w:p>
    <w:p>
      <w:pPr>
        <w:snapToGrid w:val="0"/>
        <w:textAlignment w:val="baseline"/>
        <w:rPr>
          <w:rFonts w:hint="eastAsia" w:eastAsia="宋体"/>
          <w:lang w:eastAsia="zh-CN"/>
        </w:rPr>
      </w:pPr>
    </w:p>
    <w:p>
      <w:pPr>
        <w:pStyle w:val="2"/>
        <w:rPr>
          <w:rFonts w:hint="eastAsia"/>
          <w:lang w:eastAsia="zh-CN"/>
        </w:rPr>
      </w:pPr>
    </w:p>
    <w:p>
      <w:pPr>
        <w:pStyle w:val="54"/>
        <w:snapToGrid w:val="0"/>
        <w:ind w:left="400"/>
        <w:textAlignment w:val="baseline"/>
      </w:pPr>
      <w:r>
        <w:br w:type="page"/>
      </w:r>
    </w:p>
    <w:p>
      <w:pPr>
        <w:pStyle w:val="6"/>
        <w:tabs>
          <w:tab w:val="left" w:pos="900"/>
        </w:tabs>
        <w:snapToGrid w:val="0"/>
        <w:spacing w:line="360" w:lineRule="auto"/>
        <w:jc w:val="center"/>
        <w:textAlignment w:val="baseline"/>
        <w:rPr>
          <w:rFonts w:hint="default"/>
          <w:sz w:val="24"/>
        </w:rPr>
      </w:pPr>
      <w:bookmarkStart w:id="550" w:name="_Toc40111046"/>
      <w:bookmarkStart w:id="551" w:name="_Toc28791"/>
      <w:r>
        <w:rPr>
          <w:sz w:val="24"/>
        </w:rPr>
        <w:t>13 残疾人福利性单位声明函（如适用）</w:t>
      </w:r>
      <w:bookmarkEnd w:id="550"/>
      <w:bookmarkEnd w:id="551"/>
    </w:p>
    <w:p>
      <w:pPr>
        <w:pStyle w:val="54"/>
        <w:snapToGrid w:val="0"/>
        <w:ind w:left="400"/>
        <w:textAlignment w:val="baseline"/>
        <w:rPr>
          <w:lang w:val="en-GB"/>
        </w:rPr>
      </w:pPr>
    </w:p>
    <w:p>
      <w:pPr>
        <w:pStyle w:val="5"/>
        <w:snapToGrid w:val="0"/>
        <w:spacing w:line="360" w:lineRule="auto"/>
        <w:ind w:firstLine="360" w:firstLineChars="150"/>
        <w:textAlignment w:val="baseline"/>
        <w:rPr>
          <w:lang w:val="en-US"/>
        </w:rPr>
      </w:pPr>
      <w:r>
        <w:rPr>
          <w:rFonts w:hint="eastAsia"/>
          <w:lang w:val="en-US"/>
        </w:rPr>
        <w:t>本单位郑重声明，根据《财政部民政部中国残疾人联合会关于促进残疾人就业政府采购政策的通知》（财库〔2017〕 141号）的规定，本单位为符合条件的残疾人福利性单位，且本单位参加</w:t>
      </w:r>
      <w:r>
        <w:rPr>
          <w:rFonts w:hint="eastAsia"/>
          <w:u w:val="single" w:color="000000"/>
        </w:rPr>
        <w:t xml:space="preserve">         （采购人名称）</w:t>
      </w:r>
      <w:r>
        <w:t>单位的</w:t>
      </w:r>
      <w:r>
        <w:rPr>
          <w:rFonts w:hint="eastAsia"/>
          <w:u w:val="single" w:color="000000"/>
        </w:rPr>
        <w:t xml:space="preserve">       （项目名称）</w:t>
      </w:r>
      <w:r>
        <w:rPr>
          <w:rFonts w:hint="eastAsia"/>
          <w:lang w:val="en-US"/>
        </w:rPr>
        <w:t>采购活动提供本单位制造的货物（由本单位承担工程/提供服务），或者提供其他残疾人福利性单位制造的货物（不包括使用非残疾人福利性单位注册商标的货物）。</w:t>
      </w:r>
    </w:p>
    <w:p>
      <w:pPr>
        <w:pStyle w:val="5"/>
        <w:snapToGrid w:val="0"/>
        <w:spacing w:line="360" w:lineRule="auto"/>
        <w:textAlignment w:val="baseline"/>
        <w:rPr>
          <w:lang w:val="en-US"/>
        </w:rPr>
      </w:pPr>
      <w:r>
        <w:rPr>
          <w:rFonts w:hint="eastAsia"/>
          <w:lang w:val="en-US"/>
        </w:rPr>
        <w:t>本单位对上述声明的真实性负责。如有虚假，将依法承担相应责任。</w:t>
      </w:r>
    </w:p>
    <w:p>
      <w:pPr>
        <w:pStyle w:val="5"/>
        <w:snapToGrid w:val="0"/>
        <w:spacing w:line="360" w:lineRule="auto"/>
        <w:textAlignment w:val="baseline"/>
        <w:rPr>
          <w:lang w:val="en-US"/>
        </w:rPr>
      </w:pPr>
    </w:p>
    <w:p>
      <w:pPr>
        <w:pStyle w:val="5"/>
        <w:snapToGrid w:val="0"/>
        <w:spacing w:line="360" w:lineRule="auto"/>
        <w:textAlignment w:val="baseline"/>
        <w:rPr>
          <w:lang w:val="en-US"/>
        </w:rPr>
      </w:pPr>
    </w:p>
    <w:p>
      <w:pPr>
        <w:pStyle w:val="5"/>
        <w:snapToGrid w:val="0"/>
        <w:spacing w:line="480" w:lineRule="auto"/>
        <w:textAlignment w:val="baseline"/>
        <w:rPr>
          <w:lang w:val="en-US"/>
        </w:rPr>
      </w:pPr>
      <w:r>
        <w:rPr>
          <w:rFonts w:hint="eastAsia"/>
          <w:lang w:val="en-US"/>
        </w:rPr>
        <w:t>投标人名称（盖章）：</w:t>
      </w:r>
    </w:p>
    <w:p>
      <w:pPr>
        <w:pStyle w:val="5"/>
        <w:snapToGrid w:val="0"/>
        <w:spacing w:line="480" w:lineRule="auto"/>
        <w:textAlignment w:val="baseline"/>
        <w:rPr>
          <w:lang w:val="en-US"/>
        </w:rPr>
      </w:pPr>
      <w:r>
        <w:rPr>
          <w:rFonts w:hint="eastAsia"/>
          <w:lang w:val="en-US"/>
        </w:rPr>
        <w:t>日期：</w:t>
      </w:r>
    </w:p>
    <w:p>
      <w:pPr>
        <w:widowControl/>
        <w:snapToGrid w:val="0"/>
        <w:jc w:val="left"/>
        <w:textAlignment w:val="baseline"/>
        <w:rPr>
          <w:rFonts w:ascii="宋体" w:hAnsi="宋体"/>
          <w:kern w:val="0"/>
          <w:sz w:val="24"/>
          <w:szCs w:val="20"/>
          <w:lang w:val="zh-CN"/>
        </w:rPr>
      </w:pPr>
      <w:r>
        <w:rPr>
          <w:rFonts w:ascii="宋体" w:hAnsi="宋体"/>
          <w:kern w:val="0"/>
          <w:sz w:val="24"/>
          <w:szCs w:val="20"/>
          <w:lang w:val="zh-CN"/>
        </w:rPr>
        <w:br w:type="page"/>
      </w:r>
    </w:p>
    <w:p>
      <w:pPr>
        <w:pStyle w:val="6"/>
        <w:tabs>
          <w:tab w:val="left" w:pos="900"/>
        </w:tabs>
        <w:snapToGrid w:val="0"/>
        <w:spacing w:line="360" w:lineRule="auto"/>
        <w:jc w:val="center"/>
        <w:textAlignment w:val="baseline"/>
        <w:rPr>
          <w:rFonts w:hint="default"/>
          <w:sz w:val="24"/>
        </w:rPr>
      </w:pPr>
      <w:bookmarkStart w:id="552" w:name="_Toc3324"/>
      <w:bookmarkStart w:id="553" w:name="_Toc40111047"/>
      <w:bookmarkStart w:id="554" w:name="_Toc5895229"/>
      <w:r>
        <w:rPr>
          <w:sz w:val="24"/>
        </w:rPr>
        <w:t>14 监狱、戒毒企业声明函（如适用）</w:t>
      </w:r>
      <w:bookmarkEnd w:id="552"/>
      <w:bookmarkEnd w:id="553"/>
      <w:bookmarkEnd w:id="554"/>
    </w:p>
    <w:p>
      <w:pPr>
        <w:snapToGrid w:val="0"/>
        <w:spacing w:line="480" w:lineRule="auto"/>
        <w:jc w:val="center"/>
        <w:textAlignment w:val="baseline"/>
        <w:rPr>
          <w:rFonts w:ascii="宋体" w:hAnsi="宋体" w:cs="Arial"/>
          <w:sz w:val="24"/>
        </w:rPr>
      </w:pPr>
      <w:r>
        <w:rPr>
          <w:rFonts w:hint="eastAsia" w:ascii="宋体" w:hAnsi="宋体"/>
          <w:b/>
          <w:sz w:val="24"/>
        </w:rPr>
        <w:t xml:space="preserve"> </w:t>
      </w:r>
      <w:r>
        <w:rPr>
          <w:rFonts w:hint="eastAsia" w:ascii="宋体" w:hAnsi="宋体"/>
          <w:sz w:val="24"/>
        </w:rPr>
        <w:t>（如为</w:t>
      </w:r>
      <w:r>
        <w:rPr>
          <w:rFonts w:ascii="宋体" w:hAnsi="宋体"/>
          <w:sz w:val="24"/>
        </w:rPr>
        <w:t>监狱</w:t>
      </w:r>
      <w:r>
        <w:rPr>
          <w:rFonts w:hint="eastAsia" w:ascii="宋体" w:hAnsi="宋体"/>
          <w:sz w:val="24"/>
        </w:rPr>
        <w:t>、</w:t>
      </w:r>
      <w:r>
        <w:rPr>
          <w:rFonts w:ascii="宋体" w:hAnsi="宋体"/>
          <w:sz w:val="24"/>
        </w:rPr>
        <w:t>戒毒</w:t>
      </w:r>
      <w:r>
        <w:rPr>
          <w:rFonts w:hint="eastAsia" w:ascii="宋体" w:hAnsi="宋体"/>
          <w:sz w:val="24"/>
        </w:rPr>
        <w:t>企业，须提供声明函</w:t>
      </w:r>
      <w:r>
        <w:rPr>
          <w:rFonts w:hint="eastAsia" w:ascii="宋体" w:hAnsi="宋体" w:cs="Arial"/>
          <w:sz w:val="24"/>
        </w:rPr>
        <w:t>）</w:t>
      </w:r>
    </w:p>
    <w:p>
      <w:pPr>
        <w:snapToGrid w:val="0"/>
        <w:spacing w:line="480" w:lineRule="auto"/>
        <w:jc w:val="center"/>
        <w:textAlignment w:val="baseline"/>
        <w:rPr>
          <w:rFonts w:ascii="宋体" w:hAnsi="宋体" w:cs="Arial"/>
          <w:b/>
          <w:bCs/>
          <w:sz w:val="24"/>
        </w:rPr>
      </w:pPr>
    </w:p>
    <w:p>
      <w:pPr>
        <w:pStyle w:val="5"/>
        <w:snapToGrid w:val="0"/>
        <w:spacing w:line="360" w:lineRule="auto"/>
        <w:ind w:firstLine="360" w:firstLineChars="150"/>
        <w:textAlignment w:val="baseline"/>
        <w:rPr>
          <w:lang w:val="en-US"/>
        </w:rPr>
      </w:pPr>
      <w:r>
        <w:rPr>
          <w:rFonts w:hint="eastAsia"/>
          <w:lang w:val="en-US"/>
        </w:rPr>
        <w:t>本公司为______（请填写：监狱、戒毒）企业。即，本公司同时满足以下条件：</w:t>
      </w:r>
    </w:p>
    <w:p>
      <w:pPr>
        <w:pStyle w:val="5"/>
        <w:snapToGrid w:val="0"/>
        <w:spacing w:line="360" w:lineRule="auto"/>
        <w:ind w:firstLine="360" w:firstLineChars="150"/>
        <w:textAlignment w:val="baseline"/>
        <w:rPr>
          <w:lang w:val="en-US"/>
        </w:rPr>
      </w:pPr>
      <w:r>
        <w:rPr>
          <w:rFonts w:hint="eastAsia"/>
          <w:lang w:val="en-US"/>
        </w:rPr>
        <w:t>1.本公司为______（请填写：监狱、戒毒）企业。</w:t>
      </w:r>
    </w:p>
    <w:p>
      <w:pPr>
        <w:pStyle w:val="5"/>
        <w:snapToGrid w:val="0"/>
        <w:spacing w:line="360" w:lineRule="auto"/>
        <w:ind w:firstLine="360" w:firstLineChars="150"/>
        <w:textAlignment w:val="baseline"/>
        <w:rPr>
          <w:lang w:val="en-US"/>
        </w:rPr>
      </w:pPr>
      <w:r>
        <w:rPr>
          <w:rFonts w:hint="eastAsia"/>
          <w:lang w:val="en-US"/>
        </w:rPr>
        <w:t>2.本公司参加     （采购人名称）单位的      （项目名称）采购活动提供本企业制造的货物，由本企业承担工程、提供服务，或者提供其他______（请填写：监狱、戒毒）企业制造的货物。</w:t>
      </w:r>
    </w:p>
    <w:p>
      <w:pPr>
        <w:pStyle w:val="5"/>
        <w:snapToGrid w:val="0"/>
        <w:spacing w:line="360" w:lineRule="auto"/>
        <w:ind w:firstLine="360" w:firstLineChars="150"/>
        <w:textAlignment w:val="baseline"/>
        <w:rPr>
          <w:lang w:val="en-US"/>
        </w:rPr>
      </w:pPr>
      <w:r>
        <w:rPr>
          <w:rFonts w:hint="eastAsia"/>
          <w:lang w:val="en-US"/>
        </w:rPr>
        <w:t>本公司对上述声明的真实性负责。如有虚假，将依法承担相应责任。</w:t>
      </w:r>
    </w:p>
    <w:p>
      <w:pPr>
        <w:pStyle w:val="5"/>
        <w:snapToGrid w:val="0"/>
        <w:spacing w:line="480" w:lineRule="auto"/>
        <w:textAlignment w:val="baseline"/>
        <w:rPr>
          <w:lang w:val="en-US"/>
        </w:rPr>
      </w:pPr>
    </w:p>
    <w:p>
      <w:pPr>
        <w:pStyle w:val="5"/>
        <w:snapToGrid w:val="0"/>
        <w:spacing w:line="480" w:lineRule="auto"/>
        <w:textAlignment w:val="baseline"/>
        <w:rPr>
          <w:lang w:val="en-US"/>
        </w:rPr>
      </w:pPr>
      <w:r>
        <w:rPr>
          <w:rFonts w:hint="eastAsia"/>
          <w:lang w:val="en-US"/>
        </w:rPr>
        <w:t>投标人名称（盖章）：</w:t>
      </w:r>
    </w:p>
    <w:p>
      <w:pPr>
        <w:pStyle w:val="5"/>
        <w:snapToGrid w:val="0"/>
        <w:spacing w:line="480" w:lineRule="auto"/>
        <w:textAlignment w:val="baseline"/>
        <w:rPr>
          <w:lang w:val="en-US"/>
        </w:rPr>
      </w:pPr>
      <w:r>
        <w:rPr>
          <w:rFonts w:hint="eastAsia"/>
          <w:lang w:val="en-US"/>
        </w:rPr>
        <w:t>日期：</w:t>
      </w:r>
    </w:p>
    <w:p>
      <w:pPr>
        <w:pStyle w:val="111"/>
        <w:widowControl w:val="0"/>
        <w:snapToGrid w:val="0"/>
        <w:spacing w:line="480" w:lineRule="auto"/>
        <w:ind w:firstLine="355" w:firstLineChars="177"/>
        <w:textAlignment w:val="baseline"/>
        <w:rPr>
          <w:b/>
          <w:kern w:val="2"/>
        </w:rPr>
      </w:pPr>
    </w:p>
    <w:p>
      <w:pPr>
        <w:pStyle w:val="111"/>
        <w:widowControl w:val="0"/>
        <w:snapToGrid w:val="0"/>
        <w:spacing w:line="480" w:lineRule="auto"/>
        <w:ind w:firstLine="355" w:firstLineChars="177"/>
        <w:textAlignment w:val="baseline"/>
        <w:rPr>
          <w:b/>
          <w:kern w:val="2"/>
        </w:rPr>
      </w:pPr>
      <w:r>
        <w:rPr>
          <w:rFonts w:hint="eastAsia"/>
          <w:b/>
          <w:kern w:val="2"/>
        </w:rPr>
        <w:t>注：</w:t>
      </w:r>
    </w:p>
    <w:p>
      <w:pPr>
        <w:pStyle w:val="111"/>
        <w:widowControl w:val="0"/>
        <w:snapToGrid w:val="0"/>
        <w:spacing w:line="480" w:lineRule="auto"/>
        <w:ind w:left="354" w:leftChars="177"/>
        <w:textAlignment w:val="baseline"/>
        <w:rPr>
          <w:rFonts w:hint="eastAsia" w:eastAsia="宋体"/>
          <w:b/>
          <w:kern w:val="2"/>
          <w:szCs w:val="21"/>
          <w:lang w:eastAsia="zh-CN"/>
        </w:rPr>
      </w:pPr>
      <w:r>
        <w:rPr>
          <w:rFonts w:hint="eastAsia"/>
          <w:b/>
          <w:kern w:val="2"/>
          <w:szCs w:val="21"/>
        </w:rPr>
        <w:t>(1)不符合上述情形的投标人无须提供上述声明函件。</w:t>
      </w:r>
    </w:p>
    <w:p>
      <w:pPr>
        <w:pStyle w:val="111"/>
        <w:widowControl w:val="0"/>
        <w:snapToGrid w:val="0"/>
        <w:spacing w:line="480" w:lineRule="auto"/>
        <w:ind w:left="354" w:leftChars="177"/>
        <w:textAlignment w:val="baseline"/>
        <w:rPr>
          <w:rFonts w:hint="eastAsia" w:eastAsia="宋体"/>
          <w:b/>
          <w:kern w:val="2"/>
          <w:szCs w:val="21"/>
          <w:lang w:eastAsia="zh-CN"/>
        </w:rPr>
      </w:pPr>
      <w:r>
        <w:rPr>
          <w:rFonts w:hint="eastAsia"/>
          <w:b/>
          <w:kern w:val="2"/>
          <w:szCs w:val="21"/>
        </w:rPr>
        <w:t>(2)提供市监狱管理局、市教育矫治局出具的监狱企业的证明文件。</w:t>
      </w:r>
    </w:p>
    <w:p>
      <w:pPr>
        <w:pStyle w:val="111"/>
        <w:widowControl w:val="0"/>
        <w:snapToGrid w:val="0"/>
        <w:spacing w:line="480" w:lineRule="auto"/>
        <w:ind w:left="354" w:leftChars="177"/>
        <w:textAlignment w:val="baseline"/>
        <w:rPr>
          <w:b/>
          <w:kern w:val="2"/>
        </w:rPr>
      </w:pPr>
      <w:r>
        <w:rPr>
          <w:rFonts w:hint="eastAsia"/>
          <w:b/>
          <w:kern w:val="2"/>
          <w:szCs w:val="21"/>
        </w:rPr>
        <w:t>(3)在政府采购活动中，监狱企业视同小型、微型企业，享受预留份额、评审中价格扣除等政府采购促进中小企业发展的相关政策。向监狱企业采购的金额，计入面向中小企业采购的统计数据。</w:t>
      </w:r>
    </w:p>
    <w:p>
      <w:pPr>
        <w:tabs>
          <w:tab w:val="left" w:pos="5580"/>
        </w:tabs>
        <w:snapToGrid w:val="0"/>
        <w:spacing w:before="120" w:line="360" w:lineRule="auto"/>
        <w:ind w:left="-2" w:leftChars="-1" w:firstLine="2"/>
        <w:jc w:val="center"/>
        <w:textAlignment w:val="baseline"/>
        <w:rPr>
          <w:sz w:val="24"/>
        </w:rPr>
      </w:pPr>
    </w:p>
    <w:p>
      <w:pPr>
        <w:pStyle w:val="5"/>
        <w:snapToGrid w:val="0"/>
        <w:textAlignment w:val="baseline"/>
        <w:rPr>
          <w:lang w:val="en-US"/>
        </w:rPr>
        <w:sectPr>
          <w:pgSz w:w="11905" w:h="16838"/>
          <w:pgMar w:top="1088" w:right="2288" w:bottom="1400" w:left="1417" w:header="567" w:footer="850" w:gutter="0"/>
          <w:cols w:space="0" w:num="1"/>
          <w:docGrid w:linePitch="312" w:charSpace="0"/>
        </w:sectPr>
      </w:pPr>
    </w:p>
    <w:p>
      <w:pPr>
        <w:pStyle w:val="6"/>
        <w:tabs>
          <w:tab w:val="left" w:pos="900"/>
        </w:tabs>
        <w:snapToGrid w:val="0"/>
        <w:spacing w:line="360" w:lineRule="auto"/>
        <w:jc w:val="center"/>
        <w:textAlignment w:val="baseline"/>
        <w:rPr>
          <w:rFonts w:hint="default"/>
          <w:sz w:val="24"/>
        </w:rPr>
      </w:pPr>
      <w:bookmarkStart w:id="555" w:name="_Toc5895231"/>
      <w:bookmarkStart w:id="556" w:name="_Toc40111048"/>
      <w:bookmarkStart w:id="557" w:name="_Toc29044"/>
      <w:r>
        <w:rPr>
          <w:sz w:val="24"/>
        </w:rPr>
        <w:t>15</w:t>
      </w:r>
      <w:r>
        <w:rPr>
          <w:sz w:val="24"/>
          <w:lang w:val="en-US"/>
        </w:rPr>
        <w:t xml:space="preserve"> </w:t>
      </w:r>
      <w:r>
        <w:rPr>
          <w:sz w:val="24"/>
        </w:rPr>
        <w:t>投标人认为必要的其他证明文件</w:t>
      </w:r>
      <w:bookmarkEnd w:id="555"/>
      <w:bookmarkEnd w:id="556"/>
      <w:bookmarkEnd w:id="557"/>
    </w:p>
    <w:p>
      <w:pPr>
        <w:snapToGrid w:val="0"/>
        <w:spacing w:before="120" w:line="360" w:lineRule="auto"/>
        <w:jc w:val="center"/>
        <w:textAlignment w:val="baseline"/>
        <w:rPr>
          <w:b/>
          <w:kern w:val="44"/>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sz w:val="28"/>
          <w:szCs w:val="28"/>
        </w:rPr>
      </w:pPr>
    </w:p>
    <w:p>
      <w:pPr>
        <w:snapToGrid w:val="0"/>
        <w:textAlignment w:val="baseline"/>
        <w:rPr>
          <w:b/>
          <w:kern w:val="44"/>
          <w:sz w:val="28"/>
          <w:szCs w:val="28"/>
        </w:rPr>
      </w:pPr>
    </w:p>
    <w:p>
      <w:pPr>
        <w:tabs>
          <w:tab w:val="left" w:pos="7372"/>
        </w:tabs>
        <w:snapToGrid w:val="0"/>
        <w:textAlignment w:val="baseline"/>
        <w:rPr>
          <w:sz w:val="28"/>
          <w:szCs w:val="28"/>
        </w:rPr>
      </w:pPr>
      <w:r>
        <w:rPr>
          <w:sz w:val="28"/>
          <w:szCs w:val="28"/>
        </w:rPr>
        <w:tab/>
      </w:r>
    </w:p>
    <w:sectPr>
      <w:pgSz w:w="11905" w:h="16838"/>
      <w:pgMar w:top="1088" w:right="1417" w:bottom="1400" w:left="1417" w:header="567" w:footer="850" w:gutter="0"/>
      <w:cols w:space="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Cambria">
    <w:altName w:val="Segoe Print"/>
    <w:panose1 w:val="02040503050406030204"/>
    <w:charset w:val="00"/>
    <w:family w:val="roman"/>
    <w:pitch w:val="default"/>
    <w:sig w:usb0="00000000" w:usb1="00000000" w:usb2="02000000" w:usb3="00000000" w:csb0="2000019F" w:csb1="00000000"/>
  </w:font>
  <w:font w:name="Segoe Print">
    <w:panose1 w:val="02000600000000000000"/>
    <w:charset w:val="00"/>
    <w:family w:val="auto"/>
    <w:pitch w:val="default"/>
    <w:sig w:usb0="0000028F" w:usb1="00000000" w:usb2="00000000" w:usb3="00000000" w:csb0="2000009F" w:csb1="4701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Akzidenz Grotesk BQ">
    <w:altName w:val="新宋体"/>
    <w:panose1 w:val="00000000000000000000"/>
    <w:charset w:val="00"/>
    <w:family w:val="swiss"/>
    <w:pitch w:val="default"/>
    <w:sig w:usb0="00000000" w:usb1="00000000" w:usb2="00000010" w:usb3="00000000" w:csb0="00040001" w:csb1="00000000"/>
  </w:font>
  <w:font w:name="新宋体">
    <w:panose1 w:val="02010609030101010101"/>
    <w:charset w:val="86"/>
    <w:family w:val="auto"/>
    <w:pitch w:val="default"/>
    <w:sig w:usb0="00000283" w:usb1="288F0000" w:usb2="00000006" w:usb3="00000000" w:csb0="00040001" w:csb1="00000000"/>
  </w:font>
  <w:font w:name="Frutiger Roman">
    <w:altName w:val="Lucida Sans Unicode"/>
    <w:panose1 w:val="00000000000000000000"/>
    <w:charset w:val="00"/>
    <w:family w:val="swiss"/>
    <w:pitch w:val="default"/>
    <w:sig w:usb0="00000000" w:usb1="00000000" w:usb2="00000000" w:usb3="00000000" w:csb0="00000013"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Neue">
    <w:altName w:val="Sylfaen"/>
    <w:panose1 w:val="00000000000000000000"/>
    <w:charset w:val="00"/>
    <w:family w:val="roman"/>
    <w:pitch w:val="default"/>
    <w:sig w:usb0="00000000" w:usb1="00000000" w:usb2="00000000" w:usb3="00000000" w:csb0="00000000" w:csb1="00000000"/>
  </w:font>
  <w:font w:name="Sylfaen">
    <w:panose1 w:val="010A0502050306030303"/>
    <w:charset w:val="00"/>
    <w:family w:val="auto"/>
    <w:pitch w:val="default"/>
    <w:sig w:usb0="04000687" w:usb1="00000000" w:usb2="00000000" w:usb3="00000000" w:csb0="2000009F" w:csb1="00000000"/>
  </w:font>
  <w:font w:name="Book Antiqua">
    <w:panose1 w:val="02040602050305030304"/>
    <w:charset w:val="00"/>
    <w:family w:val="roman"/>
    <w:pitch w:val="default"/>
    <w:sig w:usb0="00000287" w:usb1="00000000" w:usb2="00000000" w:usb3="00000000" w:csb0="2000009F" w:csb1="DFD70000"/>
  </w:font>
  <w:font w:name="ˎ̥">
    <w:altName w:val="Times New Roman"/>
    <w:panose1 w:val="00000000000000000000"/>
    <w:charset w:val="00"/>
    <w:family w:val="roman"/>
    <w:pitch w:val="default"/>
    <w:sig w:usb0="00000000" w:usb1="00000000" w:usb2="00000000" w:usb3="00000000" w:csb0="00040001" w:csb1="00000000"/>
  </w:font>
  <w:font w:name="??">
    <w:altName w:val="Arial"/>
    <w:panose1 w:val="00000000000000000000"/>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60"/>
      </w:rPr>
    </w:pPr>
    <w:r>
      <w:fldChar w:fldCharType="begin"/>
    </w:r>
    <w:r>
      <w:rPr>
        <w:rStyle w:val="60"/>
      </w:rPr>
      <w:instrText xml:space="preserve">PAGE  </w:instrText>
    </w:r>
    <w:r>
      <w:fldChar w:fldCharType="end"/>
    </w:r>
  </w:p>
  <w:p>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5120484"/>
    </w:sdtPr>
    <w:sdtContent>
      <w:p>
        <w:pPr>
          <w:pStyle w:val="34"/>
          <w:jc w:val="center"/>
        </w:pPr>
        <w:r>
          <w:fldChar w:fldCharType="begin"/>
        </w:r>
        <w:r>
          <w:instrText xml:space="preserve">PAGE   \* MERGEFORMAT</w:instrText>
        </w:r>
        <w:r>
          <w:fldChar w:fldCharType="separate"/>
        </w:r>
        <w:r>
          <w:t>2</w:t>
        </w:r>
        <w:r>
          <w:fldChar w:fldCharType="end"/>
        </w:r>
      </w:p>
    </w:sdtContent>
  </w:sdt>
  <w:p>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60"/>
      </w:rPr>
    </w:pPr>
    <w:r>
      <w:fldChar w:fldCharType="begin"/>
    </w:r>
    <w:r>
      <w:rPr>
        <w:rStyle w:val="60"/>
      </w:rPr>
      <w:instrText xml:space="preserve">PAGE  </w:instrText>
    </w:r>
    <w:r>
      <w:fldChar w:fldCharType="end"/>
    </w:r>
  </w:p>
  <w:p>
    <w:pPr>
      <w:pStyle w:val="34"/>
    </w:pP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pPr>
    <w:r>
      <w:fldChar w:fldCharType="begin"/>
    </w:r>
    <w:r>
      <w:instrText xml:space="preserve">PAGE   \* MERGEFORMAT</w:instrText>
    </w:r>
    <w:r>
      <w:fldChar w:fldCharType="separate"/>
    </w:r>
    <w:r>
      <w:t>33</w:t>
    </w:r>
    <w:r>
      <w:fldChar w:fldCharType="end"/>
    </w:r>
  </w:p>
  <w:p>
    <w:pPr>
      <w:pStyle w:val="34"/>
    </w:pPr>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tabs>
        <w:tab w:val="left" w:pos="4149"/>
        <w:tab w:val="left" w:pos="8016"/>
        <w:tab w:val="clear" w:pos="4153"/>
        <w:tab w:val="clear" w:pos="8306"/>
      </w:tabs>
      <w:rPr>
        <w:rStyle w:val="60"/>
      </w:rPr>
    </w:pPr>
    <w:r>
      <w:rPr>
        <w:rStyle w:val="60"/>
      </w:rPr>
      <w:fldChar w:fldCharType="begin"/>
    </w:r>
    <w:r>
      <w:rPr>
        <w:rStyle w:val="60"/>
      </w:rPr>
      <w:instrText xml:space="preserve">PAGE  </w:instrText>
    </w:r>
    <w:r>
      <w:rPr>
        <w:rStyle w:val="60"/>
      </w:rPr>
      <w:fldChar w:fldCharType="separate"/>
    </w:r>
    <w:r>
      <w:rPr>
        <w:rStyle w:val="60"/>
      </w:rPr>
      <w:t>40</w:t>
    </w:r>
    <w:r>
      <w:rPr>
        <w:rStyle w:val="60"/>
      </w:rPr>
      <w:fldChar w:fldCharType="end"/>
    </w:r>
  </w:p>
  <w:p>
    <w:pPr>
      <w:snapToGrid w:val="0"/>
    </w:pPr>
    <w:r>
      <mc:AlternateContent>
        <mc:Choice Requires="wps">
          <w:drawing>
            <wp:anchor distT="0" distB="0" distL="114300" distR="114300" simplePos="0" relativeHeight="251659264" behindDoc="1" locked="0" layoutInCell="0" allowOverlap="1">
              <wp:simplePos x="0" y="0"/>
              <wp:positionH relativeFrom="page">
                <wp:posOffset>1141095</wp:posOffset>
              </wp:positionH>
              <wp:positionV relativeFrom="page">
                <wp:posOffset>9777095</wp:posOffset>
              </wp:positionV>
              <wp:extent cx="5277485" cy="2838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5277485" cy="28384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89.85pt;margin-top:769.85pt;height:22.35pt;width:415.55pt;mso-position-horizontal-relative:page;mso-position-vertical-relative:page;z-index:-251657216;mso-width-relative:page;mso-height-relative:page;" filled="f" stroked="f" coordsize="21600,21600" o:allowincell="f" o:gfxdata="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JDyq&#10;L9YAAAAOAQAADwAAAAAAAAABACAAAAAiAAAAZHJzL2Rvd25yZXYueG1sUEsBAhQAFAAAAAgAh07i&#10;QAZfeiXrAQAA1AMAAA4AAAAAAAAAAQAgAAAAJQEAAGRycy9lMm9Eb2MueG1sUEsFBgAAAAAGAAYA&#10;WQEAAIIFAAAAAA==&#10;">
              <v:fill on="f" focussize="0,0"/>
              <v:stroke on="f"/>
              <v:imagedata o:title=""/>
              <o:lock v:ext="edit" aspectratio="f"/>
              <v:shadow on="t" color="#A0A0A4" offset="0pt,0pt" origin="0f,0f" matrix="65536f,0f,0f,65536f"/>
              <v:textbox inset="0mm,0mm,0mm,0mm"/>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center"/>
      <w:rPr>
        <w:szCs w:val="18"/>
      </w:rPr>
    </w:pPr>
    <w:r>
      <w:rPr>
        <w:rFonts w:hint="eastAsia"/>
      </w:rPr>
      <w:t xml:space="preserve">2                        </w:t>
    </w:r>
    <w:r>
      <w:rPr>
        <w:rFonts w:hint="eastAsia"/>
        <w:szCs w:val="18"/>
      </w:rPr>
      <w:t>华采招标集团有限公司(HCZB)</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center" w:y="1"/>
      <w:rPr>
        <w:rStyle w:val="60"/>
      </w:rPr>
    </w:pPr>
    <w:r>
      <w:fldChar w:fldCharType="begin"/>
    </w:r>
    <w:r>
      <w:rPr>
        <w:rStyle w:val="60"/>
      </w:rPr>
      <w:instrText xml:space="preserve">PAGE  </w:instrText>
    </w:r>
    <w:r>
      <w:fldChar w:fldCharType="separate"/>
    </w:r>
    <w:r>
      <w:rPr>
        <w:rStyle w:val="60"/>
      </w:rPr>
      <w:t>66</w:t>
    </w:r>
    <w:r>
      <w:fldChar w:fldCharType="end"/>
    </w:r>
  </w:p>
  <w:p>
    <w:pPr>
      <w:pStyle w:val="34"/>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right" w:y="1"/>
      <w:rPr>
        <w:rStyle w:val="60"/>
      </w:rPr>
    </w:pPr>
  </w:p>
  <w:p>
    <w:pPr>
      <w:pStyle w:val="34"/>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rFonts w:ascii="Cambria"/>
        <w:color w:val="FF000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Cambria"/>
        <w:szCs w:val="20"/>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55"/>
      <w:tblW w:w="864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771"/>
      <w:gridCol w:w="850"/>
      <w:gridCol w:w="1028"/>
    </w:tblGrid>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71" w:type="dxa"/>
          <w:tcBorders>
            <w:bottom w:val="nil"/>
          </w:tcBorders>
        </w:tcPr>
        <w:p>
          <w:pPr>
            <w:snapToGrid w:val="0"/>
            <w:rPr>
              <w:rFonts w:ascii="黑体" w:hAnsi="黑体" w:eastAsia="黑体"/>
              <w:sz w:val="18"/>
              <w:szCs w:val="18"/>
            </w:rPr>
          </w:pPr>
        </w:p>
      </w:tc>
      <w:tc>
        <w:tcPr>
          <w:tcW w:w="850" w:type="dxa"/>
          <w:tcBorders>
            <w:bottom w:val="nil"/>
          </w:tcBorders>
        </w:tcPr>
        <w:p>
          <w:pPr>
            <w:snapToGrid w:val="0"/>
            <w:jc w:val="left"/>
            <w:rPr>
              <w:rFonts w:ascii="黑体" w:hAnsi="黑体" w:eastAsia="黑体"/>
              <w:sz w:val="18"/>
              <w:szCs w:val="18"/>
            </w:rPr>
          </w:pPr>
        </w:p>
      </w:tc>
      <w:tc>
        <w:tcPr>
          <w:tcW w:w="1028" w:type="dxa"/>
          <w:tcBorders>
            <w:bottom w:val="nil"/>
          </w:tcBorders>
        </w:tcPr>
        <w:p>
          <w:pPr>
            <w:snapToGrid w:val="0"/>
            <w:jc w:val="left"/>
            <w:rPr>
              <w:rFonts w:ascii="黑体" w:hAnsi="黑体" w:eastAsia="黑体"/>
              <w:sz w:val="18"/>
              <w:szCs w:val="18"/>
            </w:rPr>
          </w:pPr>
        </w:p>
      </w:tc>
    </w:tr>
    <w:tr>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771" w:type="dxa"/>
          <w:tcBorders>
            <w:bottom w:val="nil"/>
          </w:tcBorders>
        </w:tcPr>
        <w:p>
          <w:pPr>
            <w:rPr>
              <w:rFonts w:ascii="黑体" w:eastAsia="黑体"/>
              <w:sz w:val="18"/>
              <w:szCs w:val="18"/>
            </w:rPr>
          </w:pPr>
        </w:p>
      </w:tc>
      <w:tc>
        <w:tcPr>
          <w:tcW w:w="1878" w:type="dxa"/>
          <w:gridSpan w:val="2"/>
          <w:tcBorders>
            <w:bottom w:val="nil"/>
          </w:tcBorders>
        </w:tcPr>
        <w:p>
          <w:pPr>
            <w:snapToGrid w:val="0"/>
            <w:jc w:val="left"/>
            <w:rPr>
              <w:rFonts w:ascii="黑体" w:hAnsi="黑体" w:eastAsia="黑体"/>
              <w:sz w:val="18"/>
              <w:szCs w:val="18"/>
            </w:rPr>
          </w:pPr>
        </w:p>
      </w:tc>
    </w:tr>
  </w:tbl>
  <w:p>
    <w:pPr>
      <w:pStyle w:val="35"/>
      <w:pBdr>
        <w:bottom w:val="none" w:color="auto" w:sz="0" w:space="0"/>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9AF4F2"/>
    <w:multiLevelType w:val="singleLevel"/>
    <w:tmpl w:val="889AF4F2"/>
    <w:lvl w:ilvl="0" w:tentative="0">
      <w:start w:val="4"/>
      <w:numFmt w:val="chineseCounting"/>
      <w:suff w:val="space"/>
      <w:lvlText w:val="第%1章"/>
      <w:lvlJc w:val="left"/>
      <w:rPr>
        <w:rFonts w:hint="eastAsia"/>
      </w:rPr>
    </w:lvl>
  </w:abstractNum>
  <w:abstractNum w:abstractNumId="1">
    <w:nsid w:val="D302BC38"/>
    <w:multiLevelType w:val="singleLevel"/>
    <w:tmpl w:val="D302BC38"/>
    <w:lvl w:ilvl="0" w:tentative="0">
      <w:start w:val="1"/>
      <w:numFmt w:val="chineseCounting"/>
      <w:suff w:val="space"/>
      <w:lvlText w:val="第%1章"/>
      <w:lvlJc w:val="left"/>
      <w:rPr>
        <w:rFonts w:hint="eastAsia"/>
      </w:rPr>
    </w:lvl>
  </w:abstractNum>
  <w:abstractNum w:abstractNumId="2">
    <w:nsid w:val="D942C9D5"/>
    <w:multiLevelType w:val="singleLevel"/>
    <w:tmpl w:val="D942C9D5"/>
    <w:lvl w:ilvl="0" w:tentative="0">
      <w:start w:val="2"/>
      <w:numFmt w:val="chineseCounting"/>
      <w:suff w:val="nothing"/>
      <w:lvlText w:val="%1、"/>
      <w:lvlJc w:val="left"/>
      <w:rPr>
        <w:rFonts w:hint="eastAsia"/>
      </w:rPr>
    </w:lvl>
  </w:abstractNum>
  <w:abstractNum w:abstractNumId="3">
    <w:nsid w:val="423C354E"/>
    <w:multiLevelType w:val="multilevel"/>
    <w:tmpl w:val="423C354E"/>
    <w:lvl w:ilvl="0" w:tentative="0">
      <w:start w:val="1"/>
      <w:numFmt w:val="decimal"/>
      <w:lvlText w:val="%1."/>
      <w:lvlJc w:val="left"/>
      <w:pPr>
        <w:tabs>
          <w:tab w:val="left" w:pos="420"/>
        </w:tabs>
        <w:ind w:left="420" w:hanging="420"/>
      </w:pPr>
    </w:lvl>
    <w:lvl w:ilvl="1" w:tentative="0">
      <w:start w:val="1"/>
      <w:numFmt w:val="bullet"/>
      <w:pStyle w:val="17"/>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861E79E"/>
    <w:multiLevelType w:val="singleLevel"/>
    <w:tmpl w:val="5861E79E"/>
    <w:lvl w:ilvl="0" w:tentative="0">
      <w:start w:val="4"/>
      <w:numFmt w:val="decimal"/>
      <w:suff w:val="nothing"/>
      <w:lvlText w:val="%1、"/>
      <w:lvlJc w:val="left"/>
    </w:lvl>
  </w:abstractNum>
  <w:abstractNum w:abstractNumId="5">
    <w:nsid w:val="6CDC080F"/>
    <w:multiLevelType w:val="multilevel"/>
    <w:tmpl w:val="6CDC080F"/>
    <w:lvl w:ilvl="0" w:tentative="0">
      <w:start w:val="1"/>
      <w:numFmt w:val="decimal"/>
      <w:pStyle w:val="177"/>
      <w:suff w:val="space"/>
      <w:lvlText w:val="%1"/>
      <w:lvlJc w:val="left"/>
      <w:pPr>
        <w:ind w:left="420" w:hanging="42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shd w:val="clear" w:color="000000" w:fill="000000"/>
        <w:vertAlign w:val="baseline"/>
      </w:rPr>
    </w:lvl>
    <w:lvl w:ilvl="1" w:tentative="0">
      <w:start w:val="1"/>
      <w:numFmt w:val="decimal"/>
      <w:pStyle w:val="178"/>
      <w:isLgl/>
      <w:suff w:val="space"/>
      <w:lvlText w:val="%1.%2"/>
      <w:lvlJc w:val="left"/>
      <w:pPr>
        <w:ind w:left="420" w:hanging="42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shd w:val="clear" w:color="000000" w:fill="000000"/>
        <w:vertAlign w:val="baseline"/>
      </w:rPr>
    </w:lvl>
    <w:lvl w:ilvl="2" w:tentative="0">
      <w:start w:val="1"/>
      <w:numFmt w:val="decimal"/>
      <w:pStyle w:val="181"/>
      <w:isLgl/>
      <w:suff w:val="space"/>
      <w:lvlText w:val="%1.%2.%3"/>
      <w:lvlJc w:val="left"/>
      <w:pPr>
        <w:ind w:left="420" w:hanging="42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shd w:val="clear" w:color="000000" w:fill="000000"/>
        <w:vertAlign w:val="baseline"/>
      </w:rPr>
    </w:lvl>
    <w:lvl w:ilvl="3" w:tentative="0">
      <w:start w:val="1"/>
      <w:numFmt w:val="decimal"/>
      <w:isLgl/>
      <w:lvlText w:val="%1.%2.%3.%4"/>
      <w:lvlJc w:val="left"/>
      <w:pPr>
        <w:ind w:left="420" w:hanging="420"/>
      </w:pPr>
      <w:rPr>
        <w:rFonts w:hint="default"/>
      </w:rPr>
    </w:lvl>
    <w:lvl w:ilvl="4" w:tentative="0">
      <w:start w:val="1"/>
      <w:numFmt w:val="decimal"/>
      <w:isLgl/>
      <w:lvlText w:val="%1.%2.%3.%4.%5"/>
      <w:lvlJc w:val="left"/>
      <w:pPr>
        <w:ind w:left="420" w:hanging="420"/>
      </w:pPr>
      <w:rPr>
        <w:rFonts w:hint="default"/>
      </w:rPr>
    </w:lvl>
    <w:lvl w:ilvl="5" w:tentative="0">
      <w:start w:val="1"/>
      <w:numFmt w:val="decimal"/>
      <w:isLgl/>
      <w:lvlText w:val="%1.%2.%3.%4.%5.%6"/>
      <w:lvlJc w:val="left"/>
      <w:pPr>
        <w:ind w:left="420" w:hanging="420"/>
      </w:pPr>
      <w:rPr>
        <w:rFonts w:hint="default"/>
      </w:rPr>
    </w:lvl>
    <w:lvl w:ilvl="6" w:tentative="0">
      <w:start w:val="1"/>
      <w:numFmt w:val="decimal"/>
      <w:isLgl/>
      <w:lvlText w:val="%1.%2.%3.%4.%5.%6.%7"/>
      <w:lvlJc w:val="left"/>
      <w:pPr>
        <w:ind w:left="420" w:hanging="420"/>
      </w:pPr>
      <w:rPr>
        <w:rFonts w:hint="default"/>
      </w:rPr>
    </w:lvl>
    <w:lvl w:ilvl="7" w:tentative="0">
      <w:start w:val="1"/>
      <w:numFmt w:val="decimal"/>
      <w:isLgl/>
      <w:lvlText w:val="%1.%2.%3.%4.%5.%6.%7.%8"/>
      <w:lvlJc w:val="left"/>
      <w:pPr>
        <w:ind w:left="420" w:hanging="420"/>
      </w:pPr>
      <w:rPr>
        <w:rFonts w:hint="default"/>
      </w:rPr>
    </w:lvl>
    <w:lvl w:ilvl="8" w:tentative="0">
      <w:start w:val="1"/>
      <w:numFmt w:val="decimal"/>
      <w:isLgl/>
      <w:lvlText w:val="%1.%2.%3.%4.%5.%6.%7.%8.%9"/>
      <w:lvlJc w:val="left"/>
      <w:pPr>
        <w:ind w:left="420" w:hanging="420"/>
      </w:pPr>
      <w:rPr>
        <w:rFonts w:hint="default"/>
      </w:r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666"/>
    <w:rsid w:val="00000085"/>
    <w:rsid w:val="00001666"/>
    <w:rsid w:val="00001830"/>
    <w:rsid w:val="00006FC1"/>
    <w:rsid w:val="0001041A"/>
    <w:rsid w:val="00011035"/>
    <w:rsid w:val="00015781"/>
    <w:rsid w:val="00025F58"/>
    <w:rsid w:val="00027321"/>
    <w:rsid w:val="000319DB"/>
    <w:rsid w:val="00033578"/>
    <w:rsid w:val="00035D42"/>
    <w:rsid w:val="0004040A"/>
    <w:rsid w:val="00046659"/>
    <w:rsid w:val="00057F67"/>
    <w:rsid w:val="00060675"/>
    <w:rsid w:val="00063435"/>
    <w:rsid w:val="0006383A"/>
    <w:rsid w:val="00063F07"/>
    <w:rsid w:val="000660EA"/>
    <w:rsid w:val="00071311"/>
    <w:rsid w:val="00071D7C"/>
    <w:rsid w:val="0007217B"/>
    <w:rsid w:val="0007438F"/>
    <w:rsid w:val="00076EAD"/>
    <w:rsid w:val="00087239"/>
    <w:rsid w:val="00087CA8"/>
    <w:rsid w:val="00092666"/>
    <w:rsid w:val="0009477A"/>
    <w:rsid w:val="00096358"/>
    <w:rsid w:val="000B2C68"/>
    <w:rsid w:val="000B51AF"/>
    <w:rsid w:val="000B682C"/>
    <w:rsid w:val="000C613A"/>
    <w:rsid w:val="000D3951"/>
    <w:rsid w:val="000E1FD3"/>
    <w:rsid w:val="000E2472"/>
    <w:rsid w:val="000E53E6"/>
    <w:rsid w:val="000F0ED8"/>
    <w:rsid w:val="000F35DA"/>
    <w:rsid w:val="000F51CF"/>
    <w:rsid w:val="000F51D4"/>
    <w:rsid w:val="0010135E"/>
    <w:rsid w:val="00101EAC"/>
    <w:rsid w:val="00106181"/>
    <w:rsid w:val="00106945"/>
    <w:rsid w:val="001074C7"/>
    <w:rsid w:val="001132ED"/>
    <w:rsid w:val="00116F74"/>
    <w:rsid w:val="00120CC0"/>
    <w:rsid w:val="00125051"/>
    <w:rsid w:val="00134C26"/>
    <w:rsid w:val="00137661"/>
    <w:rsid w:val="001440C1"/>
    <w:rsid w:val="00145F89"/>
    <w:rsid w:val="00151E56"/>
    <w:rsid w:val="00152CD8"/>
    <w:rsid w:val="00155AB5"/>
    <w:rsid w:val="001560A9"/>
    <w:rsid w:val="00156236"/>
    <w:rsid w:val="0016024F"/>
    <w:rsid w:val="0016691A"/>
    <w:rsid w:val="00170A77"/>
    <w:rsid w:val="00172493"/>
    <w:rsid w:val="00173C6D"/>
    <w:rsid w:val="00177E05"/>
    <w:rsid w:val="001826F6"/>
    <w:rsid w:val="0018300D"/>
    <w:rsid w:val="001831C3"/>
    <w:rsid w:val="00183B0A"/>
    <w:rsid w:val="001A2584"/>
    <w:rsid w:val="001A3F96"/>
    <w:rsid w:val="001A4A33"/>
    <w:rsid w:val="001A57A7"/>
    <w:rsid w:val="001B3EA2"/>
    <w:rsid w:val="001B4963"/>
    <w:rsid w:val="001C6D9B"/>
    <w:rsid w:val="001D2BE8"/>
    <w:rsid w:val="001D3238"/>
    <w:rsid w:val="001D55BF"/>
    <w:rsid w:val="001D6051"/>
    <w:rsid w:val="001D7880"/>
    <w:rsid w:val="001E10D2"/>
    <w:rsid w:val="001E3254"/>
    <w:rsid w:val="001E43CA"/>
    <w:rsid w:val="001E4C9E"/>
    <w:rsid w:val="001E6523"/>
    <w:rsid w:val="001E7117"/>
    <w:rsid w:val="001E74DA"/>
    <w:rsid w:val="001E7A79"/>
    <w:rsid w:val="001E7F9B"/>
    <w:rsid w:val="001F0EC4"/>
    <w:rsid w:val="001F39AE"/>
    <w:rsid w:val="0020033A"/>
    <w:rsid w:val="00206150"/>
    <w:rsid w:val="00211340"/>
    <w:rsid w:val="00213D88"/>
    <w:rsid w:val="00216A30"/>
    <w:rsid w:val="00220AE0"/>
    <w:rsid w:val="00223E83"/>
    <w:rsid w:val="00231602"/>
    <w:rsid w:val="002337A5"/>
    <w:rsid w:val="0023384E"/>
    <w:rsid w:val="002352A1"/>
    <w:rsid w:val="00236F7E"/>
    <w:rsid w:val="00240778"/>
    <w:rsid w:val="00242A43"/>
    <w:rsid w:val="002441ED"/>
    <w:rsid w:val="00250BA6"/>
    <w:rsid w:val="0025373F"/>
    <w:rsid w:val="002553FB"/>
    <w:rsid w:val="002819A5"/>
    <w:rsid w:val="00283B8D"/>
    <w:rsid w:val="00292E5D"/>
    <w:rsid w:val="002940FF"/>
    <w:rsid w:val="00296F02"/>
    <w:rsid w:val="002A1F1B"/>
    <w:rsid w:val="002A2256"/>
    <w:rsid w:val="002A2360"/>
    <w:rsid w:val="002A26B9"/>
    <w:rsid w:val="002A55FB"/>
    <w:rsid w:val="002A67EB"/>
    <w:rsid w:val="002B1F65"/>
    <w:rsid w:val="002B2123"/>
    <w:rsid w:val="002B6068"/>
    <w:rsid w:val="002C02B8"/>
    <w:rsid w:val="002C0565"/>
    <w:rsid w:val="002C6949"/>
    <w:rsid w:val="002C7375"/>
    <w:rsid w:val="002D23F6"/>
    <w:rsid w:val="002D316E"/>
    <w:rsid w:val="002D7BD7"/>
    <w:rsid w:val="002D7D9F"/>
    <w:rsid w:val="002E4AE5"/>
    <w:rsid w:val="002E72D9"/>
    <w:rsid w:val="002F0F55"/>
    <w:rsid w:val="002F162C"/>
    <w:rsid w:val="002F6E20"/>
    <w:rsid w:val="00300F2F"/>
    <w:rsid w:val="00306026"/>
    <w:rsid w:val="00306B9A"/>
    <w:rsid w:val="00307576"/>
    <w:rsid w:val="00316806"/>
    <w:rsid w:val="00320679"/>
    <w:rsid w:val="00322CB2"/>
    <w:rsid w:val="0032665F"/>
    <w:rsid w:val="00332446"/>
    <w:rsid w:val="00332CF9"/>
    <w:rsid w:val="003339D1"/>
    <w:rsid w:val="00341FDA"/>
    <w:rsid w:val="003448CE"/>
    <w:rsid w:val="00346065"/>
    <w:rsid w:val="0036061E"/>
    <w:rsid w:val="00360AC2"/>
    <w:rsid w:val="003656B9"/>
    <w:rsid w:val="00373F2F"/>
    <w:rsid w:val="00374409"/>
    <w:rsid w:val="00377043"/>
    <w:rsid w:val="00382A8E"/>
    <w:rsid w:val="00391BD8"/>
    <w:rsid w:val="00391E70"/>
    <w:rsid w:val="00393A71"/>
    <w:rsid w:val="0039431A"/>
    <w:rsid w:val="003A077B"/>
    <w:rsid w:val="003A39C2"/>
    <w:rsid w:val="003A3B0E"/>
    <w:rsid w:val="003B2113"/>
    <w:rsid w:val="003B3279"/>
    <w:rsid w:val="003B36B4"/>
    <w:rsid w:val="003B3FAE"/>
    <w:rsid w:val="003B626B"/>
    <w:rsid w:val="003B6D4A"/>
    <w:rsid w:val="003C0371"/>
    <w:rsid w:val="003C0A0D"/>
    <w:rsid w:val="003C2AD8"/>
    <w:rsid w:val="003C71AA"/>
    <w:rsid w:val="003C733C"/>
    <w:rsid w:val="003D0238"/>
    <w:rsid w:val="003D75C1"/>
    <w:rsid w:val="003E0AFE"/>
    <w:rsid w:val="003E4FF1"/>
    <w:rsid w:val="003E512D"/>
    <w:rsid w:val="003E589E"/>
    <w:rsid w:val="003E7CCE"/>
    <w:rsid w:val="003F6965"/>
    <w:rsid w:val="0040074F"/>
    <w:rsid w:val="00403225"/>
    <w:rsid w:val="004043BB"/>
    <w:rsid w:val="00405109"/>
    <w:rsid w:val="004061E8"/>
    <w:rsid w:val="00413F5D"/>
    <w:rsid w:val="004153DB"/>
    <w:rsid w:val="00421AF5"/>
    <w:rsid w:val="004223D1"/>
    <w:rsid w:val="00423873"/>
    <w:rsid w:val="00424352"/>
    <w:rsid w:val="00431112"/>
    <w:rsid w:val="0043459A"/>
    <w:rsid w:val="00437B16"/>
    <w:rsid w:val="00440904"/>
    <w:rsid w:val="004421FE"/>
    <w:rsid w:val="004439B9"/>
    <w:rsid w:val="00445ABB"/>
    <w:rsid w:val="00447768"/>
    <w:rsid w:val="004516EE"/>
    <w:rsid w:val="00454B9D"/>
    <w:rsid w:val="00456F22"/>
    <w:rsid w:val="004607C4"/>
    <w:rsid w:val="00464B45"/>
    <w:rsid w:val="00466D2B"/>
    <w:rsid w:val="00467752"/>
    <w:rsid w:val="00470781"/>
    <w:rsid w:val="00473520"/>
    <w:rsid w:val="00473796"/>
    <w:rsid w:val="004802C6"/>
    <w:rsid w:val="004828A3"/>
    <w:rsid w:val="00491EE2"/>
    <w:rsid w:val="00497665"/>
    <w:rsid w:val="00497C16"/>
    <w:rsid w:val="004A0294"/>
    <w:rsid w:val="004A1F9E"/>
    <w:rsid w:val="004A2D1B"/>
    <w:rsid w:val="004A7C36"/>
    <w:rsid w:val="004B031A"/>
    <w:rsid w:val="004B14D7"/>
    <w:rsid w:val="004B3A5E"/>
    <w:rsid w:val="004B60CA"/>
    <w:rsid w:val="004C0E96"/>
    <w:rsid w:val="004C38B9"/>
    <w:rsid w:val="004C4AD8"/>
    <w:rsid w:val="004C6289"/>
    <w:rsid w:val="004D6D3F"/>
    <w:rsid w:val="004D79E9"/>
    <w:rsid w:val="004E36FB"/>
    <w:rsid w:val="004E6F88"/>
    <w:rsid w:val="004F2075"/>
    <w:rsid w:val="004F373D"/>
    <w:rsid w:val="004F3E65"/>
    <w:rsid w:val="00503EBA"/>
    <w:rsid w:val="0050606E"/>
    <w:rsid w:val="00511539"/>
    <w:rsid w:val="00513660"/>
    <w:rsid w:val="0051761F"/>
    <w:rsid w:val="00517D12"/>
    <w:rsid w:val="00524247"/>
    <w:rsid w:val="0052779B"/>
    <w:rsid w:val="005304B9"/>
    <w:rsid w:val="00530C3C"/>
    <w:rsid w:val="00532FCD"/>
    <w:rsid w:val="00533330"/>
    <w:rsid w:val="00534F8D"/>
    <w:rsid w:val="005455D1"/>
    <w:rsid w:val="00545E87"/>
    <w:rsid w:val="00546C8A"/>
    <w:rsid w:val="00546D39"/>
    <w:rsid w:val="00550676"/>
    <w:rsid w:val="00552CBE"/>
    <w:rsid w:val="005530D0"/>
    <w:rsid w:val="00555B80"/>
    <w:rsid w:val="00560EE0"/>
    <w:rsid w:val="00563955"/>
    <w:rsid w:val="005724D6"/>
    <w:rsid w:val="005727CC"/>
    <w:rsid w:val="005735CE"/>
    <w:rsid w:val="00573E07"/>
    <w:rsid w:val="005753C9"/>
    <w:rsid w:val="00580ABA"/>
    <w:rsid w:val="00581134"/>
    <w:rsid w:val="00581ABF"/>
    <w:rsid w:val="005833D8"/>
    <w:rsid w:val="00586B97"/>
    <w:rsid w:val="005915BF"/>
    <w:rsid w:val="0059169F"/>
    <w:rsid w:val="00593177"/>
    <w:rsid w:val="00597753"/>
    <w:rsid w:val="005A65F3"/>
    <w:rsid w:val="005A7A84"/>
    <w:rsid w:val="005B63F1"/>
    <w:rsid w:val="005C0387"/>
    <w:rsid w:val="005D0A26"/>
    <w:rsid w:val="005D3769"/>
    <w:rsid w:val="005D3BFD"/>
    <w:rsid w:val="005E1291"/>
    <w:rsid w:val="005E1DF6"/>
    <w:rsid w:val="005E6A66"/>
    <w:rsid w:val="005F105B"/>
    <w:rsid w:val="005F2F25"/>
    <w:rsid w:val="0060141E"/>
    <w:rsid w:val="006037C4"/>
    <w:rsid w:val="00603E06"/>
    <w:rsid w:val="00605110"/>
    <w:rsid w:val="00610C30"/>
    <w:rsid w:val="00611779"/>
    <w:rsid w:val="00611AF4"/>
    <w:rsid w:val="0061397B"/>
    <w:rsid w:val="006142A7"/>
    <w:rsid w:val="0061489F"/>
    <w:rsid w:val="00615DAC"/>
    <w:rsid w:val="0062288D"/>
    <w:rsid w:val="00622B4F"/>
    <w:rsid w:val="0062694F"/>
    <w:rsid w:val="00634FAD"/>
    <w:rsid w:val="0064422D"/>
    <w:rsid w:val="00646509"/>
    <w:rsid w:val="00650FBC"/>
    <w:rsid w:val="006517F2"/>
    <w:rsid w:val="00652DC4"/>
    <w:rsid w:val="00653751"/>
    <w:rsid w:val="0065473B"/>
    <w:rsid w:val="0065796D"/>
    <w:rsid w:val="006626D3"/>
    <w:rsid w:val="00665BD3"/>
    <w:rsid w:val="00666234"/>
    <w:rsid w:val="00674F0C"/>
    <w:rsid w:val="00680977"/>
    <w:rsid w:val="00683A7B"/>
    <w:rsid w:val="00685F46"/>
    <w:rsid w:val="0068602B"/>
    <w:rsid w:val="006875F8"/>
    <w:rsid w:val="00692F14"/>
    <w:rsid w:val="006966A0"/>
    <w:rsid w:val="006A2118"/>
    <w:rsid w:val="006A24F2"/>
    <w:rsid w:val="006A2F2D"/>
    <w:rsid w:val="006A3840"/>
    <w:rsid w:val="006A5659"/>
    <w:rsid w:val="006A6F37"/>
    <w:rsid w:val="006B01E4"/>
    <w:rsid w:val="006B2F6B"/>
    <w:rsid w:val="006B62EE"/>
    <w:rsid w:val="006D23CF"/>
    <w:rsid w:val="006D4BAA"/>
    <w:rsid w:val="006E20DC"/>
    <w:rsid w:val="006E29E5"/>
    <w:rsid w:val="006E7D5B"/>
    <w:rsid w:val="006F2FFE"/>
    <w:rsid w:val="006F4140"/>
    <w:rsid w:val="006F72FC"/>
    <w:rsid w:val="007015ED"/>
    <w:rsid w:val="00701E99"/>
    <w:rsid w:val="00702324"/>
    <w:rsid w:val="00704AC6"/>
    <w:rsid w:val="0071489E"/>
    <w:rsid w:val="00721944"/>
    <w:rsid w:val="00722591"/>
    <w:rsid w:val="007244F3"/>
    <w:rsid w:val="007300DD"/>
    <w:rsid w:val="007307B2"/>
    <w:rsid w:val="00734AD9"/>
    <w:rsid w:val="007370D3"/>
    <w:rsid w:val="00742055"/>
    <w:rsid w:val="007436D3"/>
    <w:rsid w:val="007456B7"/>
    <w:rsid w:val="00753421"/>
    <w:rsid w:val="00754A69"/>
    <w:rsid w:val="0075735C"/>
    <w:rsid w:val="007611A3"/>
    <w:rsid w:val="00763680"/>
    <w:rsid w:val="0076501D"/>
    <w:rsid w:val="00766074"/>
    <w:rsid w:val="00766B17"/>
    <w:rsid w:val="00771ED9"/>
    <w:rsid w:val="007736A6"/>
    <w:rsid w:val="00775096"/>
    <w:rsid w:val="00776488"/>
    <w:rsid w:val="00776BFB"/>
    <w:rsid w:val="007867F8"/>
    <w:rsid w:val="00786FC2"/>
    <w:rsid w:val="00790489"/>
    <w:rsid w:val="00790C95"/>
    <w:rsid w:val="0079158F"/>
    <w:rsid w:val="00795D7A"/>
    <w:rsid w:val="00797D18"/>
    <w:rsid w:val="007A2989"/>
    <w:rsid w:val="007A2F68"/>
    <w:rsid w:val="007B26D2"/>
    <w:rsid w:val="007B5798"/>
    <w:rsid w:val="007B74D8"/>
    <w:rsid w:val="007C0E21"/>
    <w:rsid w:val="007C3CB0"/>
    <w:rsid w:val="007D1DE1"/>
    <w:rsid w:val="007D3143"/>
    <w:rsid w:val="007D4D5B"/>
    <w:rsid w:val="007D5A11"/>
    <w:rsid w:val="007D63C4"/>
    <w:rsid w:val="007D698F"/>
    <w:rsid w:val="007E0F51"/>
    <w:rsid w:val="007E39A3"/>
    <w:rsid w:val="007E7535"/>
    <w:rsid w:val="007F2027"/>
    <w:rsid w:val="0080001C"/>
    <w:rsid w:val="00802EB9"/>
    <w:rsid w:val="00805A2E"/>
    <w:rsid w:val="00806DC4"/>
    <w:rsid w:val="008101F6"/>
    <w:rsid w:val="008124F0"/>
    <w:rsid w:val="008159C4"/>
    <w:rsid w:val="00816717"/>
    <w:rsid w:val="00820838"/>
    <w:rsid w:val="00823B41"/>
    <w:rsid w:val="008254F9"/>
    <w:rsid w:val="008277AD"/>
    <w:rsid w:val="0083216D"/>
    <w:rsid w:val="008325B4"/>
    <w:rsid w:val="00834392"/>
    <w:rsid w:val="00836D3C"/>
    <w:rsid w:val="0083787A"/>
    <w:rsid w:val="00843191"/>
    <w:rsid w:val="00845AAF"/>
    <w:rsid w:val="00847C52"/>
    <w:rsid w:val="00850814"/>
    <w:rsid w:val="00850B69"/>
    <w:rsid w:val="00851FD8"/>
    <w:rsid w:val="00855AC4"/>
    <w:rsid w:val="0086385D"/>
    <w:rsid w:val="0087421D"/>
    <w:rsid w:val="00880999"/>
    <w:rsid w:val="0088346F"/>
    <w:rsid w:val="008A0D3B"/>
    <w:rsid w:val="008A15E0"/>
    <w:rsid w:val="008A352A"/>
    <w:rsid w:val="008A418B"/>
    <w:rsid w:val="008A6324"/>
    <w:rsid w:val="008A7BF9"/>
    <w:rsid w:val="008C3127"/>
    <w:rsid w:val="008C3DA9"/>
    <w:rsid w:val="008D435D"/>
    <w:rsid w:val="008F024C"/>
    <w:rsid w:val="008F2D5D"/>
    <w:rsid w:val="008F35FC"/>
    <w:rsid w:val="008F6A06"/>
    <w:rsid w:val="009009E0"/>
    <w:rsid w:val="00906D50"/>
    <w:rsid w:val="009227D8"/>
    <w:rsid w:val="0092539E"/>
    <w:rsid w:val="00932726"/>
    <w:rsid w:val="00933544"/>
    <w:rsid w:val="009343ED"/>
    <w:rsid w:val="00935F63"/>
    <w:rsid w:val="009410C5"/>
    <w:rsid w:val="009428AE"/>
    <w:rsid w:val="009432EE"/>
    <w:rsid w:val="00946C72"/>
    <w:rsid w:val="009529E2"/>
    <w:rsid w:val="00954F70"/>
    <w:rsid w:val="00960074"/>
    <w:rsid w:val="00960F16"/>
    <w:rsid w:val="00971C7E"/>
    <w:rsid w:val="009771ED"/>
    <w:rsid w:val="00986478"/>
    <w:rsid w:val="0098748D"/>
    <w:rsid w:val="0099204C"/>
    <w:rsid w:val="00992C43"/>
    <w:rsid w:val="009964D0"/>
    <w:rsid w:val="009A0851"/>
    <w:rsid w:val="009A295F"/>
    <w:rsid w:val="009A3115"/>
    <w:rsid w:val="009A5578"/>
    <w:rsid w:val="009B7F4D"/>
    <w:rsid w:val="009C245C"/>
    <w:rsid w:val="009C6C30"/>
    <w:rsid w:val="009D0221"/>
    <w:rsid w:val="009D1B58"/>
    <w:rsid w:val="009D3FBF"/>
    <w:rsid w:val="009D4FC1"/>
    <w:rsid w:val="009E0E8D"/>
    <w:rsid w:val="009E2758"/>
    <w:rsid w:val="009F20DE"/>
    <w:rsid w:val="009F47C5"/>
    <w:rsid w:val="009F56E3"/>
    <w:rsid w:val="009F67BA"/>
    <w:rsid w:val="00A012AC"/>
    <w:rsid w:val="00A12D57"/>
    <w:rsid w:val="00A1630D"/>
    <w:rsid w:val="00A16676"/>
    <w:rsid w:val="00A168CB"/>
    <w:rsid w:val="00A237F0"/>
    <w:rsid w:val="00A31059"/>
    <w:rsid w:val="00A31B59"/>
    <w:rsid w:val="00A31FE4"/>
    <w:rsid w:val="00A32582"/>
    <w:rsid w:val="00A361F6"/>
    <w:rsid w:val="00A4152E"/>
    <w:rsid w:val="00A42970"/>
    <w:rsid w:val="00A43723"/>
    <w:rsid w:val="00A44865"/>
    <w:rsid w:val="00A458DD"/>
    <w:rsid w:val="00A61CFA"/>
    <w:rsid w:val="00A64704"/>
    <w:rsid w:val="00A64F74"/>
    <w:rsid w:val="00A67257"/>
    <w:rsid w:val="00A734BB"/>
    <w:rsid w:val="00A741AC"/>
    <w:rsid w:val="00A81636"/>
    <w:rsid w:val="00A8250A"/>
    <w:rsid w:val="00A94911"/>
    <w:rsid w:val="00A972CE"/>
    <w:rsid w:val="00AA1DAB"/>
    <w:rsid w:val="00AA32F1"/>
    <w:rsid w:val="00AA4472"/>
    <w:rsid w:val="00AA6B46"/>
    <w:rsid w:val="00AA7450"/>
    <w:rsid w:val="00AB6748"/>
    <w:rsid w:val="00AC0724"/>
    <w:rsid w:val="00AC0AA2"/>
    <w:rsid w:val="00AE0327"/>
    <w:rsid w:val="00AE0D8F"/>
    <w:rsid w:val="00AE388C"/>
    <w:rsid w:val="00AF39E8"/>
    <w:rsid w:val="00AF4F40"/>
    <w:rsid w:val="00AF69D5"/>
    <w:rsid w:val="00AF727F"/>
    <w:rsid w:val="00B064E9"/>
    <w:rsid w:val="00B10D86"/>
    <w:rsid w:val="00B13964"/>
    <w:rsid w:val="00B13AB3"/>
    <w:rsid w:val="00B15442"/>
    <w:rsid w:val="00B24AD6"/>
    <w:rsid w:val="00B277BA"/>
    <w:rsid w:val="00B27EA7"/>
    <w:rsid w:val="00B43A69"/>
    <w:rsid w:val="00B45B84"/>
    <w:rsid w:val="00B45F29"/>
    <w:rsid w:val="00B5163B"/>
    <w:rsid w:val="00B51F2D"/>
    <w:rsid w:val="00B53C02"/>
    <w:rsid w:val="00B55364"/>
    <w:rsid w:val="00B55CB8"/>
    <w:rsid w:val="00B571FE"/>
    <w:rsid w:val="00B574A6"/>
    <w:rsid w:val="00B655CA"/>
    <w:rsid w:val="00B75498"/>
    <w:rsid w:val="00B803A5"/>
    <w:rsid w:val="00B82EC3"/>
    <w:rsid w:val="00B85A89"/>
    <w:rsid w:val="00B91958"/>
    <w:rsid w:val="00B924CE"/>
    <w:rsid w:val="00B92E3C"/>
    <w:rsid w:val="00B953F3"/>
    <w:rsid w:val="00B95512"/>
    <w:rsid w:val="00BA3C3B"/>
    <w:rsid w:val="00BA5C9C"/>
    <w:rsid w:val="00BA75F8"/>
    <w:rsid w:val="00BB12E6"/>
    <w:rsid w:val="00BB1A99"/>
    <w:rsid w:val="00BB2D86"/>
    <w:rsid w:val="00BB3D27"/>
    <w:rsid w:val="00BB71A3"/>
    <w:rsid w:val="00BC28D9"/>
    <w:rsid w:val="00BC3E57"/>
    <w:rsid w:val="00BC4FCC"/>
    <w:rsid w:val="00BC5212"/>
    <w:rsid w:val="00BD2C45"/>
    <w:rsid w:val="00BD530B"/>
    <w:rsid w:val="00BE0C12"/>
    <w:rsid w:val="00BF0322"/>
    <w:rsid w:val="00BF1320"/>
    <w:rsid w:val="00BF21EA"/>
    <w:rsid w:val="00BF2405"/>
    <w:rsid w:val="00C12A18"/>
    <w:rsid w:val="00C1334B"/>
    <w:rsid w:val="00C1555A"/>
    <w:rsid w:val="00C22519"/>
    <w:rsid w:val="00C33328"/>
    <w:rsid w:val="00C342C4"/>
    <w:rsid w:val="00C365E0"/>
    <w:rsid w:val="00C50079"/>
    <w:rsid w:val="00C627C9"/>
    <w:rsid w:val="00C64D09"/>
    <w:rsid w:val="00C66F3E"/>
    <w:rsid w:val="00C67975"/>
    <w:rsid w:val="00C7002B"/>
    <w:rsid w:val="00C77D97"/>
    <w:rsid w:val="00C82F55"/>
    <w:rsid w:val="00C832A6"/>
    <w:rsid w:val="00C84B17"/>
    <w:rsid w:val="00C90E40"/>
    <w:rsid w:val="00C92DBD"/>
    <w:rsid w:val="00C931C8"/>
    <w:rsid w:val="00CA0491"/>
    <w:rsid w:val="00CA6C26"/>
    <w:rsid w:val="00CB192B"/>
    <w:rsid w:val="00CB5422"/>
    <w:rsid w:val="00CC26F1"/>
    <w:rsid w:val="00CC475C"/>
    <w:rsid w:val="00CD321B"/>
    <w:rsid w:val="00CE5138"/>
    <w:rsid w:val="00CF170E"/>
    <w:rsid w:val="00CF2347"/>
    <w:rsid w:val="00CF40B9"/>
    <w:rsid w:val="00CF4EBF"/>
    <w:rsid w:val="00D04A35"/>
    <w:rsid w:val="00D05047"/>
    <w:rsid w:val="00D05636"/>
    <w:rsid w:val="00D103B1"/>
    <w:rsid w:val="00D11330"/>
    <w:rsid w:val="00D11B85"/>
    <w:rsid w:val="00D128C4"/>
    <w:rsid w:val="00D15812"/>
    <w:rsid w:val="00D17088"/>
    <w:rsid w:val="00D216CC"/>
    <w:rsid w:val="00D249DC"/>
    <w:rsid w:val="00D32F6F"/>
    <w:rsid w:val="00D35FDB"/>
    <w:rsid w:val="00D4141B"/>
    <w:rsid w:val="00D43E34"/>
    <w:rsid w:val="00D465B7"/>
    <w:rsid w:val="00D52512"/>
    <w:rsid w:val="00D61A94"/>
    <w:rsid w:val="00D62CCF"/>
    <w:rsid w:val="00D73429"/>
    <w:rsid w:val="00D7384A"/>
    <w:rsid w:val="00D752BC"/>
    <w:rsid w:val="00D80746"/>
    <w:rsid w:val="00D83BDD"/>
    <w:rsid w:val="00D87C65"/>
    <w:rsid w:val="00D95D2C"/>
    <w:rsid w:val="00DA1D0F"/>
    <w:rsid w:val="00DA1DCC"/>
    <w:rsid w:val="00DA26E8"/>
    <w:rsid w:val="00DA5D81"/>
    <w:rsid w:val="00DB0DD7"/>
    <w:rsid w:val="00DB1F16"/>
    <w:rsid w:val="00DB27B3"/>
    <w:rsid w:val="00DB2DC6"/>
    <w:rsid w:val="00DB6A3F"/>
    <w:rsid w:val="00DB7E4A"/>
    <w:rsid w:val="00DC02F8"/>
    <w:rsid w:val="00DC2ABC"/>
    <w:rsid w:val="00DC4BB1"/>
    <w:rsid w:val="00DC4E4E"/>
    <w:rsid w:val="00DC5EEC"/>
    <w:rsid w:val="00DC7989"/>
    <w:rsid w:val="00DD24CE"/>
    <w:rsid w:val="00DD34DC"/>
    <w:rsid w:val="00DD498E"/>
    <w:rsid w:val="00DE01D2"/>
    <w:rsid w:val="00DE0EEB"/>
    <w:rsid w:val="00DE4295"/>
    <w:rsid w:val="00DE7A7E"/>
    <w:rsid w:val="00DF24BF"/>
    <w:rsid w:val="00DF271F"/>
    <w:rsid w:val="00DF42C6"/>
    <w:rsid w:val="00E01D37"/>
    <w:rsid w:val="00E02444"/>
    <w:rsid w:val="00E03C4A"/>
    <w:rsid w:val="00E07117"/>
    <w:rsid w:val="00E14938"/>
    <w:rsid w:val="00E21F88"/>
    <w:rsid w:val="00E25ECC"/>
    <w:rsid w:val="00E31E70"/>
    <w:rsid w:val="00E33ED6"/>
    <w:rsid w:val="00E36340"/>
    <w:rsid w:val="00E37B48"/>
    <w:rsid w:val="00E50030"/>
    <w:rsid w:val="00E50740"/>
    <w:rsid w:val="00E50F9F"/>
    <w:rsid w:val="00E51794"/>
    <w:rsid w:val="00E5181A"/>
    <w:rsid w:val="00E63CC7"/>
    <w:rsid w:val="00E66760"/>
    <w:rsid w:val="00E80147"/>
    <w:rsid w:val="00E83477"/>
    <w:rsid w:val="00E8393E"/>
    <w:rsid w:val="00E93968"/>
    <w:rsid w:val="00E942E4"/>
    <w:rsid w:val="00E958A8"/>
    <w:rsid w:val="00EA3543"/>
    <w:rsid w:val="00EA3CA1"/>
    <w:rsid w:val="00EA5167"/>
    <w:rsid w:val="00EA5BAF"/>
    <w:rsid w:val="00EA6D78"/>
    <w:rsid w:val="00EB5898"/>
    <w:rsid w:val="00EC5FBD"/>
    <w:rsid w:val="00EC6497"/>
    <w:rsid w:val="00EC7B05"/>
    <w:rsid w:val="00ED4475"/>
    <w:rsid w:val="00ED6D18"/>
    <w:rsid w:val="00EE0A99"/>
    <w:rsid w:val="00EE181F"/>
    <w:rsid w:val="00EE2B11"/>
    <w:rsid w:val="00EE7199"/>
    <w:rsid w:val="00EF4B47"/>
    <w:rsid w:val="00F00408"/>
    <w:rsid w:val="00F04CA1"/>
    <w:rsid w:val="00F050FC"/>
    <w:rsid w:val="00F06030"/>
    <w:rsid w:val="00F112A9"/>
    <w:rsid w:val="00F13E9D"/>
    <w:rsid w:val="00F212A1"/>
    <w:rsid w:val="00F25697"/>
    <w:rsid w:val="00F33A97"/>
    <w:rsid w:val="00F33DF4"/>
    <w:rsid w:val="00F34392"/>
    <w:rsid w:val="00F34706"/>
    <w:rsid w:val="00F3567D"/>
    <w:rsid w:val="00F37E1B"/>
    <w:rsid w:val="00F40BFD"/>
    <w:rsid w:val="00F4533F"/>
    <w:rsid w:val="00F47249"/>
    <w:rsid w:val="00F477B6"/>
    <w:rsid w:val="00F53F49"/>
    <w:rsid w:val="00F55CF3"/>
    <w:rsid w:val="00F65BD7"/>
    <w:rsid w:val="00F66149"/>
    <w:rsid w:val="00F7093E"/>
    <w:rsid w:val="00F77F2C"/>
    <w:rsid w:val="00F8256A"/>
    <w:rsid w:val="00F84A78"/>
    <w:rsid w:val="00F85763"/>
    <w:rsid w:val="00F86656"/>
    <w:rsid w:val="00F8774E"/>
    <w:rsid w:val="00F87D6F"/>
    <w:rsid w:val="00F93BB8"/>
    <w:rsid w:val="00FA278B"/>
    <w:rsid w:val="00FA2BB7"/>
    <w:rsid w:val="00FA6209"/>
    <w:rsid w:val="00FA7DF4"/>
    <w:rsid w:val="00FB42C1"/>
    <w:rsid w:val="00FB4DB8"/>
    <w:rsid w:val="00FC17DE"/>
    <w:rsid w:val="00FC6CF5"/>
    <w:rsid w:val="00FD20CB"/>
    <w:rsid w:val="00FD33EF"/>
    <w:rsid w:val="00FE2166"/>
    <w:rsid w:val="00FE4ACB"/>
    <w:rsid w:val="00FE7214"/>
    <w:rsid w:val="00FF15F4"/>
    <w:rsid w:val="00FF1ACF"/>
    <w:rsid w:val="00FF2898"/>
    <w:rsid w:val="00FF4365"/>
    <w:rsid w:val="00FF43A3"/>
    <w:rsid w:val="00FF606E"/>
    <w:rsid w:val="00FF6985"/>
    <w:rsid w:val="00FF7144"/>
    <w:rsid w:val="010C420C"/>
    <w:rsid w:val="011737A8"/>
    <w:rsid w:val="02173A89"/>
    <w:rsid w:val="022009D7"/>
    <w:rsid w:val="02A649FD"/>
    <w:rsid w:val="03234BC5"/>
    <w:rsid w:val="0462238B"/>
    <w:rsid w:val="049E0F2A"/>
    <w:rsid w:val="04AC126E"/>
    <w:rsid w:val="04FA0AC5"/>
    <w:rsid w:val="06717980"/>
    <w:rsid w:val="068C1CAD"/>
    <w:rsid w:val="06AE0212"/>
    <w:rsid w:val="06F32772"/>
    <w:rsid w:val="072529ED"/>
    <w:rsid w:val="07E81FBD"/>
    <w:rsid w:val="08C40A30"/>
    <w:rsid w:val="08DE11B0"/>
    <w:rsid w:val="0A4408A8"/>
    <w:rsid w:val="0B230ADD"/>
    <w:rsid w:val="0BEA5062"/>
    <w:rsid w:val="0C1344F3"/>
    <w:rsid w:val="0C5B60E9"/>
    <w:rsid w:val="0CF807F3"/>
    <w:rsid w:val="0CFF4508"/>
    <w:rsid w:val="0D27367A"/>
    <w:rsid w:val="0D624A00"/>
    <w:rsid w:val="0D710EC8"/>
    <w:rsid w:val="0D8A75B1"/>
    <w:rsid w:val="0DB61763"/>
    <w:rsid w:val="0DC776E7"/>
    <w:rsid w:val="0E1022C5"/>
    <w:rsid w:val="0E8D2C58"/>
    <w:rsid w:val="0F5A746F"/>
    <w:rsid w:val="0F8F39D3"/>
    <w:rsid w:val="0FBF65A6"/>
    <w:rsid w:val="11386696"/>
    <w:rsid w:val="11447FDD"/>
    <w:rsid w:val="11572061"/>
    <w:rsid w:val="118E15DE"/>
    <w:rsid w:val="11E70CE6"/>
    <w:rsid w:val="1223270E"/>
    <w:rsid w:val="13706DDF"/>
    <w:rsid w:val="1466204D"/>
    <w:rsid w:val="14AA1890"/>
    <w:rsid w:val="15206E80"/>
    <w:rsid w:val="15F45AF7"/>
    <w:rsid w:val="170F50F5"/>
    <w:rsid w:val="171A6A48"/>
    <w:rsid w:val="18165A3F"/>
    <w:rsid w:val="183D5238"/>
    <w:rsid w:val="18843E07"/>
    <w:rsid w:val="18D849A6"/>
    <w:rsid w:val="191E06A2"/>
    <w:rsid w:val="194A3D3B"/>
    <w:rsid w:val="1A5643B8"/>
    <w:rsid w:val="1A5A63FB"/>
    <w:rsid w:val="1A87308F"/>
    <w:rsid w:val="1ACB4A61"/>
    <w:rsid w:val="1AD55A23"/>
    <w:rsid w:val="1AEC0A98"/>
    <w:rsid w:val="1B917CEF"/>
    <w:rsid w:val="1BA02864"/>
    <w:rsid w:val="1C196555"/>
    <w:rsid w:val="1D3F3E9A"/>
    <w:rsid w:val="1D6C34B5"/>
    <w:rsid w:val="1E5C2E2F"/>
    <w:rsid w:val="1E810EEC"/>
    <w:rsid w:val="1ECF2FBF"/>
    <w:rsid w:val="1F222933"/>
    <w:rsid w:val="1FE0155F"/>
    <w:rsid w:val="2012333D"/>
    <w:rsid w:val="20C30CEE"/>
    <w:rsid w:val="20E80859"/>
    <w:rsid w:val="21610C36"/>
    <w:rsid w:val="21B56C3B"/>
    <w:rsid w:val="23115A14"/>
    <w:rsid w:val="234D3E55"/>
    <w:rsid w:val="23D459A8"/>
    <w:rsid w:val="244A5ED5"/>
    <w:rsid w:val="26D2411B"/>
    <w:rsid w:val="26D570DD"/>
    <w:rsid w:val="2710362F"/>
    <w:rsid w:val="27177C44"/>
    <w:rsid w:val="27D0490C"/>
    <w:rsid w:val="286B2817"/>
    <w:rsid w:val="28D36F49"/>
    <w:rsid w:val="28D76A0D"/>
    <w:rsid w:val="28E76056"/>
    <w:rsid w:val="290751EF"/>
    <w:rsid w:val="29183124"/>
    <w:rsid w:val="298C48C7"/>
    <w:rsid w:val="2A350DAC"/>
    <w:rsid w:val="2A8D56BD"/>
    <w:rsid w:val="2A946625"/>
    <w:rsid w:val="2AA1283F"/>
    <w:rsid w:val="2AC16BD0"/>
    <w:rsid w:val="2B622074"/>
    <w:rsid w:val="2C0F5B3A"/>
    <w:rsid w:val="2C643B47"/>
    <w:rsid w:val="2D56686E"/>
    <w:rsid w:val="2D6A7DDE"/>
    <w:rsid w:val="2D6F0F2B"/>
    <w:rsid w:val="2E071D80"/>
    <w:rsid w:val="2FAD042C"/>
    <w:rsid w:val="2FE950DC"/>
    <w:rsid w:val="3073119B"/>
    <w:rsid w:val="30B54246"/>
    <w:rsid w:val="30C524C6"/>
    <w:rsid w:val="30E45D0B"/>
    <w:rsid w:val="3155115B"/>
    <w:rsid w:val="31C355F6"/>
    <w:rsid w:val="324F2EB6"/>
    <w:rsid w:val="327044EC"/>
    <w:rsid w:val="327938AC"/>
    <w:rsid w:val="3293387A"/>
    <w:rsid w:val="34B3752E"/>
    <w:rsid w:val="356C6225"/>
    <w:rsid w:val="35E620FB"/>
    <w:rsid w:val="3605469C"/>
    <w:rsid w:val="36544D30"/>
    <w:rsid w:val="365502C9"/>
    <w:rsid w:val="3665533B"/>
    <w:rsid w:val="366C4942"/>
    <w:rsid w:val="36E9301C"/>
    <w:rsid w:val="37A03338"/>
    <w:rsid w:val="37DB58D3"/>
    <w:rsid w:val="396B3BA1"/>
    <w:rsid w:val="3A0C01CD"/>
    <w:rsid w:val="3A6217A5"/>
    <w:rsid w:val="3AD95B86"/>
    <w:rsid w:val="3ADE2AAB"/>
    <w:rsid w:val="3B4339AD"/>
    <w:rsid w:val="3B4B018F"/>
    <w:rsid w:val="3B6F2CCC"/>
    <w:rsid w:val="3BA04123"/>
    <w:rsid w:val="3CD26E03"/>
    <w:rsid w:val="3D027900"/>
    <w:rsid w:val="3D664B0A"/>
    <w:rsid w:val="3DC30395"/>
    <w:rsid w:val="3DFC4071"/>
    <w:rsid w:val="3E040B15"/>
    <w:rsid w:val="3E0A4312"/>
    <w:rsid w:val="3E6005E3"/>
    <w:rsid w:val="3EF72F38"/>
    <w:rsid w:val="3F325A8D"/>
    <w:rsid w:val="3F9C593B"/>
    <w:rsid w:val="3FB32002"/>
    <w:rsid w:val="3FC324CF"/>
    <w:rsid w:val="40846B81"/>
    <w:rsid w:val="4126070D"/>
    <w:rsid w:val="4154515C"/>
    <w:rsid w:val="42296259"/>
    <w:rsid w:val="423B32CA"/>
    <w:rsid w:val="4254609A"/>
    <w:rsid w:val="426855AC"/>
    <w:rsid w:val="42AD0510"/>
    <w:rsid w:val="42C56664"/>
    <w:rsid w:val="43DE6B2B"/>
    <w:rsid w:val="453B3680"/>
    <w:rsid w:val="45866132"/>
    <w:rsid w:val="45A457BA"/>
    <w:rsid w:val="45BE64CE"/>
    <w:rsid w:val="45FA224A"/>
    <w:rsid w:val="463E0DA7"/>
    <w:rsid w:val="4788551B"/>
    <w:rsid w:val="486B2820"/>
    <w:rsid w:val="48984B8C"/>
    <w:rsid w:val="48B758E6"/>
    <w:rsid w:val="48BF1C2B"/>
    <w:rsid w:val="49872BD1"/>
    <w:rsid w:val="49A06192"/>
    <w:rsid w:val="49F8132A"/>
    <w:rsid w:val="4A496361"/>
    <w:rsid w:val="4AE10AE0"/>
    <w:rsid w:val="4AE35B30"/>
    <w:rsid w:val="4BEC50C7"/>
    <w:rsid w:val="4BEF3ABB"/>
    <w:rsid w:val="4BF4377A"/>
    <w:rsid w:val="4C601C1D"/>
    <w:rsid w:val="4D121426"/>
    <w:rsid w:val="4D1B3E8C"/>
    <w:rsid w:val="4D304DB6"/>
    <w:rsid w:val="4DCA107D"/>
    <w:rsid w:val="4E7C5340"/>
    <w:rsid w:val="4E973921"/>
    <w:rsid w:val="4EDA029D"/>
    <w:rsid w:val="4F19454A"/>
    <w:rsid w:val="4FE84F81"/>
    <w:rsid w:val="50144180"/>
    <w:rsid w:val="520B3AE7"/>
    <w:rsid w:val="527C3003"/>
    <w:rsid w:val="52A56E74"/>
    <w:rsid w:val="53C85A3C"/>
    <w:rsid w:val="5402230E"/>
    <w:rsid w:val="54991496"/>
    <w:rsid w:val="54CB6960"/>
    <w:rsid w:val="551C495B"/>
    <w:rsid w:val="566327C2"/>
    <w:rsid w:val="571E1F2C"/>
    <w:rsid w:val="573F401C"/>
    <w:rsid w:val="57B56DD8"/>
    <w:rsid w:val="57CF34AB"/>
    <w:rsid w:val="57EE201B"/>
    <w:rsid w:val="57EF2E12"/>
    <w:rsid w:val="59224E16"/>
    <w:rsid w:val="5963327D"/>
    <w:rsid w:val="597A4670"/>
    <w:rsid w:val="597C78E7"/>
    <w:rsid w:val="5ADB273C"/>
    <w:rsid w:val="5AE77394"/>
    <w:rsid w:val="5C4218C2"/>
    <w:rsid w:val="5CC50D99"/>
    <w:rsid w:val="5D132CE3"/>
    <w:rsid w:val="5D815286"/>
    <w:rsid w:val="5E161377"/>
    <w:rsid w:val="5F137042"/>
    <w:rsid w:val="604356E0"/>
    <w:rsid w:val="616B2BD2"/>
    <w:rsid w:val="617308B6"/>
    <w:rsid w:val="6245345D"/>
    <w:rsid w:val="62C02FE7"/>
    <w:rsid w:val="63E60ECB"/>
    <w:rsid w:val="640A7410"/>
    <w:rsid w:val="648B4024"/>
    <w:rsid w:val="64901228"/>
    <w:rsid w:val="651644A5"/>
    <w:rsid w:val="66373794"/>
    <w:rsid w:val="669B6419"/>
    <w:rsid w:val="66D4405E"/>
    <w:rsid w:val="68243197"/>
    <w:rsid w:val="688947EA"/>
    <w:rsid w:val="68F252CC"/>
    <w:rsid w:val="692E53AE"/>
    <w:rsid w:val="69BF36B3"/>
    <w:rsid w:val="6AF67896"/>
    <w:rsid w:val="6BFE66F5"/>
    <w:rsid w:val="6C562A44"/>
    <w:rsid w:val="6D59117E"/>
    <w:rsid w:val="6D9972E0"/>
    <w:rsid w:val="6E3D61EF"/>
    <w:rsid w:val="6E9267BA"/>
    <w:rsid w:val="6E9836F3"/>
    <w:rsid w:val="6ED36EDD"/>
    <w:rsid w:val="6F1E1CBB"/>
    <w:rsid w:val="6FD11431"/>
    <w:rsid w:val="703977F4"/>
    <w:rsid w:val="70B76F11"/>
    <w:rsid w:val="70F26C6D"/>
    <w:rsid w:val="710D052F"/>
    <w:rsid w:val="716C7C93"/>
    <w:rsid w:val="720F4048"/>
    <w:rsid w:val="726B48A8"/>
    <w:rsid w:val="72713DF1"/>
    <w:rsid w:val="72E1597F"/>
    <w:rsid w:val="74DA1522"/>
    <w:rsid w:val="750C4889"/>
    <w:rsid w:val="756B466B"/>
    <w:rsid w:val="75841A4F"/>
    <w:rsid w:val="767B2D46"/>
    <w:rsid w:val="77F160B9"/>
    <w:rsid w:val="79485330"/>
    <w:rsid w:val="795100C0"/>
    <w:rsid w:val="797D444D"/>
    <w:rsid w:val="7A9403E9"/>
    <w:rsid w:val="7B671E56"/>
    <w:rsid w:val="7B6E356E"/>
    <w:rsid w:val="7C076D3C"/>
    <w:rsid w:val="7C5F330D"/>
    <w:rsid w:val="7C9F3232"/>
    <w:rsid w:val="7D8761FB"/>
    <w:rsid w:val="7E0867A3"/>
    <w:rsid w:val="7E52403B"/>
    <w:rsid w:val="7E937D41"/>
    <w:rsid w:val="7E961D75"/>
    <w:rsid w:val="7F0A3502"/>
    <w:rsid w:val="7F652F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semiHidden="0" w:name="caption"/>
    <w:lsdException w:qFormat="1" w:unhideWhenUsed="0" w:uiPriority="0" w:semiHidden="0" w:name="table of figures"/>
    <w:lsdException w:uiPriority="99" w:name="envelope address"/>
    <w:lsdException w:qFormat="1" w:unhideWhenUsed="0"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iPriority="99"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kern w:val="2"/>
      <w:szCs w:val="24"/>
      <w:lang w:val="en-US" w:eastAsia="zh-CN" w:bidi="ar-SA"/>
    </w:rPr>
  </w:style>
  <w:style w:type="paragraph" w:styleId="3">
    <w:name w:val="heading 1"/>
    <w:basedOn w:val="1"/>
    <w:next w:val="1"/>
    <w:link w:val="66"/>
    <w:qFormat/>
    <w:uiPriority w:val="9"/>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4">
    <w:name w:val="heading 2"/>
    <w:basedOn w:val="1"/>
    <w:next w:val="5"/>
    <w:link w:val="67"/>
    <w:qFormat/>
    <w:uiPriority w:val="9"/>
    <w:pPr>
      <w:keepNext/>
      <w:keepLines/>
      <w:autoSpaceDE w:val="0"/>
      <w:autoSpaceDN w:val="0"/>
      <w:adjustRightInd w:val="0"/>
      <w:spacing w:before="120" w:line="300" w:lineRule="auto"/>
      <w:jc w:val="left"/>
      <w:outlineLvl w:val="1"/>
    </w:pPr>
    <w:rPr>
      <w:rFonts w:ascii="Cambria" w:hAnsi="Cambria"/>
      <w:sz w:val="28"/>
    </w:rPr>
  </w:style>
  <w:style w:type="paragraph" w:styleId="6">
    <w:name w:val="heading 3"/>
    <w:basedOn w:val="1"/>
    <w:next w:val="5"/>
    <w:link w:val="68"/>
    <w:qFormat/>
    <w:uiPriority w:val="9"/>
    <w:pPr>
      <w:keepNext/>
      <w:keepLines/>
      <w:autoSpaceDE w:val="0"/>
      <w:autoSpaceDN w:val="0"/>
      <w:adjustRightInd w:val="0"/>
      <w:spacing w:before="360" w:after="120"/>
      <w:jc w:val="left"/>
      <w:outlineLvl w:val="2"/>
    </w:pPr>
    <w:rPr>
      <w:rFonts w:hint="eastAsia" w:ascii="宋体" w:hAnsi="宋体"/>
      <w:kern w:val="0"/>
      <w:szCs w:val="20"/>
      <w:lang w:val="zh-CN"/>
    </w:rPr>
  </w:style>
  <w:style w:type="paragraph" w:styleId="7">
    <w:name w:val="heading 4"/>
    <w:basedOn w:val="1"/>
    <w:next w:val="1"/>
    <w:link w:val="69"/>
    <w:qFormat/>
    <w:uiPriority w:val="0"/>
    <w:pPr>
      <w:keepNext/>
      <w:keepLines/>
      <w:spacing w:before="280" w:after="290" w:line="372" w:lineRule="auto"/>
      <w:outlineLvl w:val="3"/>
    </w:pPr>
    <w:rPr>
      <w:rFonts w:ascii="Cambria" w:hAnsi="Cambria"/>
      <w:b/>
      <w:bCs/>
      <w:sz w:val="28"/>
      <w:szCs w:val="28"/>
      <w:lang w:val="zh-CN"/>
    </w:rPr>
  </w:style>
  <w:style w:type="paragraph" w:styleId="8">
    <w:name w:val="heading 5"/>
    <w:basedOn w:val="1"/>
    <w:next w:val="1"/>
    <w:link w:val="136"/>
    <w:unhideWhenUsed/>
    <w:qFormat/>
    <w:uiPriority w:val="9"/>
    <w:pPr>
      <w:keepNext/>
      <w:keepLines/>
      <w:widowControl/>
      <w:spacing w:before="200"/>
      <w:ind w:left="2100" w:hanging="420"/>
      <w:jc w:val="left"/>
      <w:outlineLvl w:val="4"/>
    </w:pPr>
    <w:rPr>
      <w:rFonts w:ascii="Calibri" w:hAnsi="Calibri" w:cs="Arial"/>
      <w:color w:val="7E97AD"/>
      <w:kern w:val="20"/>
      <w:szCs w:val="20"/>
      <w:lang w:val="zh-CN"/>
    </w:rPr>
  </w:style>
  <w:style w:type="paragraph" w:styleId="9">
    <w:name w:val="heading 6"/>
    <w:basedOn w:val="1"/>
    <w:next w:val="1"/>
    <w:link w:val="137"/>
    <w:unhideWhenUsed/>
    <w:qFormat/>
    <w:uiPriority w:val="9"/>
    <w:pPr>
      <w:keepNext/>
      <w:keepLines/>
      <w:widowControl/>
      <w:snapToGrid w:val="0"/>
      <w:spacing w:before="120" w:after="60" w:line="360" w:lineRule="auto"/>
      <w:ind w:left="737"/>
      <w:jc w:val="left"/>
      <w:outlineLvl w:val="5"/>
    </w:pPr>
    <w:rPr>
      <w:rFonts w:ascii="Calibri" w:hAnsi="Calibri" w:cs="Arial"/>
      <w:b/>
      <w:iCs/>
      <w:kern w:val="20"/>
      <w:szCs w:val="20"/>
      <w:lang w:val="zh-CN"/>
    </w:rPr>
  </w:style>
  <w:style w:type="paragraph" w:styleId="10">
    <w:name w:val="heading 7"/>
    <w:basedOn w:val="1"/>
    <w:next w:val="1"/>
    <w:link w:val="138"/>
    <w:unhideWhenUsed/>
    <w:qFormat/>
    <w:uiPriority w:val="9"/>
    <w:pPr>
      <w:keepNext/>
      <w:keepLines/>
      <w:widowControl/>
      <w:spacing w:before="60" w:after="60" w:line="360" w:lineRule="auto"/>
      <w:ind w:left="737"/>
      <w:jc w:val="left"/>
      <w:outlineLvl w:val="6"/>
    </w:pPr>
    <w:rPr>
      <w:rFonts w:ascii="Calibri" w:hAnsi="Calibri" w:cs="Arial"/>
      <w:b/>
      <w:iCs/>
      <w:color w:val="404040"/>
      <w:kern w:val="20"/>
      <w:szCs w:val="20"/>
      <w:lang w:val="zh-CN"/>
    </w:rPr>
  </w:style>
  <w:style w:type="paragraph" w:styleId="11">
    <w:name w:val="heading 8"/>
    <w:basedOn w:val="1"/>
    <w:next w:val="1"/>
    <w:link w:val="139"/>
    <w:unhideWhenUsed/>
    <w:qFormat/>
    <w:uiPriority w:val="9"/>
    <w:pPr>
      <w:keepNext/>
      <w:keepLines/>
      <w:widowControl/>
      <w:spacing w:before="200"/>
      <w:ind w:left="3360" w:hanging="420"/>
      <w:jc w:val="left"/>
      <w:outlineLvl w:val="7"/>
    </w:pPr>
    <w:rPr>
      <w:rFonts w:ascii="Calibri" w:hAnsi="Calibri" w:cs="Arial"/>
      <w:color w:val="404040"/>
      <w:kern w:val="20"/>
      <w:szCs w:val="20"/>
      <w:lang w:val="zh-CN"/>
    </w:rPr>
  </w:style>
  <w:style w:type="character" w:default="1" w:styleId="58">
    <w:name w:val="Default Paragraph Font"/>
    <w:semiHidden/>
    <w:unhideWhenUsed/>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39"/>
    <w:pPr>
      <w:ind w:left="210"/>
      <w:jc w:val="left"/>
    </w:pPr>
    <w:rPr>
      <w:rFonts w:asciiTheme="minorHAnsi" w:hAnsiTheme="minorHAnsi"/>
      <w:smallCaps/>
      <w:szCs w:val="20"/>
    </w:rPr>
  </w:style>
  <w:style w:type="paragraph" w:styleId="5">
    <w:name w:val="Normal Indent"/>
    <w:basedOn w:val="1"/>
    <w:link w:val="123"/>
    <w:qFormat/>
    <w:uiPriority w:val="0"/>
    <w:pPr>
      <w:autoSpaceDE w:val="0"/>
      <w:autoSpaceDN w:val="0"/>
      <w:adjustRightInd w:val="0"/>
      <w:ind w:firstLine="420"/>
      <w:jc w:val="left"/>
    </w:pPr>
    <w:rPr>
      <w:rFonts w:ascii="宋体"/>
      <w:kern w:val="0"/>
      <w:sz w:val="24"/>
      <w:szCs w:val="20"/>
      <w:lang w:val="zh-CN"/>
    </w:rPr>
  </w:style>
  <w:style w:type="paragraph" w:styleId="12">
    <w:name w:val="toc 7"/>
    <w:basedOn w:val="1"/>
    <w:next w:val="1"/>
    <w:qFormat/>
    <w:uiPriority w:val="39"/>
    <w:pPr>
      <w:ind w:left="1260"/>
      <w:jc w:val="left"/>
    </w:pPr>
    <w:rPr>
      <w:rFonts w:asciiTheme="minorHAnsi" w:hAnsiTheme="minorHAnsi"/>
      <w:sz w:val="18"/>
      <w:szCs w:val="18"/>
    </w:rPr>
  </w:style>
  <w:style w:type="paragraph" w:styleId="13">
    <w:name w:val="index 8"/>
    <w:basedOn w:val="1"/>
    <w:next w:val="1"/>
    <w:qFormat/>
    <w:uiPriority w:val="0"/>
    <w:pPr>
      <w:ind w:left="1400" w:leftChars="1400"/>
    </w:pPr>
  </w:style>
  <w:style w:type="paragraph" w:styleId="14">
    <w:name w:val="caption"/>
    <w:basedOn w:val="15"/>
    <w:next w:val="15"/>
    <w:link w:val="189"/>
    <w:unhideWhenUsed/>
    <w:qFormat/>
    <w:uiPriority w:val="35"/>
    <w:pPr>
      <w:ind w:firstLine="0" w:firstLineChars="0"/>
      <w:jc w:val="center"/>
    </w:pPr>
    <w:rPr>
      <w:rFonts w:cstheme="majorBidi"/>
    </w:rPr>
  </w:style>
  <w:style w:type="paragraph" w:customStyle="1" w:styleId="15">
    <w:name w:val="正文2"/>
    <w:basedOn w:val="1"/>
    <w:link w:val="186"/>
    <w:qFormat/>
    <w:uiPriority w:val="0"/>
    <w:pPr>
      <w:spacing w:before="156" w:line="360" w:lineRule="auto"/>
      <w:ind w:firstLine="510" w:firstLineChars="200"/>
    </w:pPr>
    <w:rPr>
      <w:sz w:val="24"/>
      <w:szCs w:val="20"/>
    </w:rPr>
  </w:style>
  <w:style w:type="paragraph" w:styleId="16">
    <w:name w:val="index 5"/>
    <w:basedOn w:val="1"/>
    <w:next w:val="1"/>
    <w:qFormat/>
    <w:uiPriority w:val="0"/>
    <w:pPr>
      <w:ind w:left="800" w:leftChars="800"/>
    </w:pPr>
  </w:style>
  <w:style w:type="paragraph" w:styleId="17">
    <w:name w:val="List Bullet"/>
    <w:basedOn w:val="18"/>
    <w:qFormat/>
    <w:uiPriority w:val="0"/>
    <w:pPr>
      <w:widowControl/>
      <w:numPr>
        <w:ilvl w:val="1"/>
        <w:numId w:val="1"/>
      </w:numPr>
      <w:spacing w:line="300" w:lineRule="auto"/>
      <w:ind w:firstLine="0" w:firstLineChars="0"/>
    </w:pPr>
    <w:rPr>
      <w:rFonts w:eastAsia="幼圆"/>
      <w:spacing w:val="-5"/>
      <w:kern w:val="0"/>
      <w:sz w:val="24"/>
      <w:szCs w:val="24"/>
      <w:lang w:val="zh-CN"/>
    </w:rPr>
  </w:style>
  <w:style w:type="paragraph" w:styleId="18">
    <w:name w:val="List"/>
    <w:basedOn w:val="1"/>
    <w:qFormat/>
    <w:uiPriority w:val="0"/>
    <w:pPr>
      <w:ind w:left="200" w:hanging="200" w:hangingChars="200"/>
    </w:pPr>
    <w:rPr>
      <w:szCs w:val="20"/>
    </w:rPr>
  </w:style>
  <w:style w:type="paragraph" w:styleId="19">
    <w:name w:val="Document Map"/>
    <w:basedOn w:val="1"/>
    <w:link w:val="74"/>
    <w:qFormat/>
    <w:uiPriority w:val="0"/>
    <w:pPr>
      <w:shd w:val="clear" w:color="auto" w:fill="000080"/>
    </w:pPr>
    <w:rPr>
      <w:kern w:val="0"/>
      <w:sz w:val="16"/>
      <w:szCs w:val="16"/>
      <w:lang w:val="zh-CN"/>
    </w:rPr>
  </w:style>
  <w:style w:type="paragraph" w:styleId="20">
    <w:name w:val="annotation text"/>
    <w:basedOn w:val="1"/>
    <w:link w:val="70"/>
    <w:unhideWhenUsed/>
    <w:qFormat/>
    <w:uiPriority w:val="99"/>
    <w:pPr>
      <w:jc w:val="left"/>
    </w:pPr>
  </w:style>
  <w:style w:type="paragraph" w:styleId="21">
    <w:name w:val="index 6"/>
    <w:basedOn w:val="1"/>
    <w:next w:val="1"/>
    <w:qFormat/>
    <w:uiPriority w:val="0"/>
    <w:pPr>
      <w:ind w:left="1000" w:leftChars="1000"/>
    </w:pPr>
  </w:style>
  <w:style w:type="paragraph" w:styleId="22">
    <w:name w:val="Body Text"/>
    <w:basedOn w:val="1"/>
    <w:link w:val="72"/>
    <w:unhideWhenUsed/>
    <w:qFormat/>
    <w:uiPriority w:val="0"/>
    <w:pPr>
      <w:spacing w:after="120"/>
    </w:pPr>
  </w:style>
  <w:style w:type="paragraph" w:styleId="23">
    <w:name w:val="Body Text Indent"/>
    <w:basedOn w:val="1"/>
    <w:next w:val="24"/>
    <w:link w:val="75"/>
    <w:qFormat/>
    <w:uiPriority w:val="99"/>
    <w:pPr>
      <w:tabs>
        <w:tab w:val="left" w:pos="5580"/>
      </w:tabs>
      <w:spacing w:before="120" w:line="360" w:lineRule="auto"/>
      <w:ind w:firstLine="454"/>
    </w:pPr>
    <w:rPr>
      <w:sz w:val="24"/>
      <w:lang w:val="zh-CN"/>
    </w:rPr>
  </w:style>
  <w:style w:type="paragraph" w:styleId="24">
    <w:name w:val="envelope return"/>
    <w:basedOn w:val="1"/>
    <w:qFormat/>
    <w:uiPriority w:val="99"/>
    <w:pPr>
      <w:snapToGrid w:val="0"/>
    </w:pPr>
    <w:rPr>
      <w:rFonts w:ascii="Arial" w:hAnsi="Arial" w:cs="Arial"/>
    </w:rPr>
  </w:style>
  <w:style w:type="paragraph" w:styleId="25">
    <w:name w:val="index 4"/>
    <w:basedOn w:val="1"/>
    <w:next w:val="1"/>
    <w:qFormat/>
    <w:uiPriority w:val="0"/>
    <w:pPr>
      <w:ind w:left="600" w:leftChars="600"/>
    </w:pPr>
  </w:style>
  <w:style w:type="paragraph" w:styleId="26">
    <w:name w:val="toc 5"/>
    <w:basedOn w:val="1"/>
    <w:next w:val="1"/>
    <w:qFormat/>
    <w:uiPriority w:val="39"/>
    <w:pPr>
      <w:ind w:left="840"/>
      <w:jc w:val="left"/>
    </w:pPr>
    <w:rPr>
      <w:rFonts w:asciiTheme="minorHAnsi" w:hAnsiTheme="minorHAnsi"/>
      <w:sz w:val="18"/>
      <w:szCs w:val="18"/>
    </w:rPr>
  </w:style>
  <w:style w:type="paragraph" w:styleId="27">
    <w:name w:val="toc 3"/>
    <w:basedOn w:val="1"/>
    <w:next w:val="1"/>
    <w:qFormat/>
    <w:uiPriority w:val="39"/>
    <w:pPr>
      <w:ind w:left="420"/>
      <w:jc w:val="left"/>
    </w:pPr>
    <w:rPr>
      <w:rFonts w:asciiTheme="minorHAnsi" w:hAnsiTheme="minorHAnsi"/>
      <w:i/>
      <w:iCs/>
      <w:szCs w:val="20"/>
    </w:rPr>
  </w:style>
  <w:style w:type="paragraph" w:styleId="28">
    <w:name w:val="Plain Text"/>
    <w:basedOn w:val="1"/>
    <w:link w:val="91"/>
    <w:qFormat/>
    <w:uiPriority w:val="99"/>
    <w:rPr>
      <w:rFonts w:ascii="宋体" w:hAnsi="Courier New"/>
      <w:szCs w:val="21"/>
      <w:lang w:val="zh-CN"/>
    </w:rPr>
  </w:style>
  <w:style w:type="paragraph" w:styleId="29">
    <w:name w:val="toc 8"/>
    <w:basedOn w:val="1"/>
    <w:next w:val="1"/>
    <w:qFormat/>
    <w:uiPriority w:val="39"/>
    <w:pPr>
      <w:ind w:left="1470"/>
      <w:jc w:val="left"/>
    </w:pPr>
    <w:rPr>
      <w:rFonts w:asciiTheme="minorHAnsi" w:hAnsiTheme="minorHAnsi"/>
      <w:sz w:val="18"/>
      <w:szCs w:val="18"/>
    </w:rPr>
  </w:style>
  <w:style w:type="paragraph" w:styleId="30">
    <w:name w:val="index 3"/>
    <w:basedOn w:val="1"/>
    <w:next w:val="1"/>
    <w:qFormat/>
    <w:uiPriority w:val="0"/>
    <w:pPr>
      <w:ind w:left="400" w:leftChars="400"/>
    </w:pPr>
  </w:style>
  <w:style w:type="paragraph" w:styleId="31">
    <w:name w:val="Date"/>
    <w:basedOn w:val="1"/>
    <w:next w:val="1"/>
    <w:link w:val="77"/>
    <w:qFormat/>
    <w:uiPriority w:val="99"/>
    <w:pPr>
      <w:ind w:left="100" w:leftChars="2500"/>
    </w:pPr>
    <w:rPr>
      <w:sz w:val="24"/>
      <w:lang w:val="zh-CN"/>
    </w:rPr>
  </w:style>
  <w:style w:type="paragraph" w:styleId="32">
    <w:name w:val="Body Text Indent 2"/>
    <w:basedOn w:val="1"/>
    <w:link w:val="78"/>
    <w:qFormat/>
    <w:uiPriority w:val="0"/>
    <w:pPr>
      <w:ind w:firstLine="480" w:firstLineChars="200"/>
    </w:pPr>
    <w:rPr>
      <w:sz w:val="24"/>
      <w:lang w:val="zh-CN"/>
    </w:rPr>
  </w:style>
  <w:style w:type="paragraph" w:styleId="33">
    <w:name w:val="Balloon Text"/>
    <w:basedOn w:val="1"/>
    <w:link w:val="79"/>
    <w:qFormat/>
    <w:uiPriority w:val="99"/>
    <w:rPr>
      <w:szCs w:val="20"/>
      <w:lang w:val="zh-CN"/>
    </w:rPr>
  </w:style>
  <w:style w:type="paragraph" w:styleId="34">
    <w:name w:val="footer"/>
    <w:basedOn w:val="1"/>
    <w:link w:val="80"/>
    <w:qFormat/>
    <w:uiPriority w:val="99"/>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35">
    <w:name w:val="header"/>
    <w:basedOn w:val="1"/>
    <w:link w:val="81"/>
    <w:qFormat/>
    <w:uiPriority w:val="99"/>
    <w:pPr>
      <w:pBdr>
        <w:bottom w:val="single" w:color="auto" w:sz="6" w:space="1"/>
      </w:pBdr>
      <w:tabs>
        <w:tab w:val="center" w:pos="4153"/>
        <w:tab w:val="right" w:pos="8306"/>
      </w:tabs>
      <w:snapToGrid w:val="0"/>
      <w:jc w:val="center"/>
    </w:pPr>
    <w:rPr>
      <w:sz w:val="18"/>
      <w:szCs w:val="18"/>
      <w:lang w:val="zh-CN"/>
    </w:rPr>
  </w:style>
  <w:style w:type="paragraph" w:styleId="36">
    <w:name w:val="Signature"/>
    <w:basedOn w:val="1"/>
    <w:link w:val="82"/>
    <w:qFormat/>
    <w:uiPriority w:val="0"/>
    <w:pPr>
      <w:adjustRightInd w:val="0"/>
      <w:spacing w:after="600" w:line="312" w:lineRule="atLeast"/>
      <w:jc w:val="center"/>
      <w:textAlignment w:val="baseline"/>
    </w:pPr>
    <w:rPr>
      <w:rFonts w:eastAsia="仿宋_GB2312"/>
      <w:kern w:val="0"/>
      <w:sz w:val="24"/>
      <w:szCs w:val="20"/>
      <w:lang w:val="zh-CN"/>
    </w:rPr>
  </w:style>
  <w:style w:type="paragraph" w:styleId="37">
    <w:name w:val="toc 1"/>
    <w:basedOn w:val="1"/>
    <w:next w:val="1"/>
    <w:qFormat/>
    <w:uiPriority w:val="39"/>
    <w:pPr>
      <w:spacing w:before="120" w:after="120"/>
      <w:jc w:val="left"/>
    </w:pPr>
    <w:rPr>
      <w:rFonts w:asciiTheme="minorHAnsi" w:hAnsiTheme="minorHAnsi"/>
      <w:b/>
      <w:bCs/>
      <w:caps/>
      <w:szCs w:val="20"/>
    </w:rPr>
  </w:style>
  <w:style w:type="paragraph" w:styleId="38">
    <w:name w:val="toc 4"/>
    <w:basedOn w:val="1"/>
    <w:next w:val="1"/>
    <w:qFormat/>
    <w:uiPriority w:val="39"/>
    <w:pPr>
      <w:ind w:left="630"/>
      <w:jc w:val="left"/>
    </w:pPr>
    <w:rPr>
      <w:rFonts w:asciiTheme="minorHAnsi" w:hAnsiTheme="minorHAnsi"/>
      <w:sz w:val="18"/>
      <w:szCs w:val="18"/>
    </w:rPr>
  </w:style>
  <w:style w:type="paragraph" w:styleId="39">
    <w:name w:val="index heading"/>
    <w:basedOn w:val="1"/>
    <w:next w:val="40"/>
    <w:qFormat/>
    <w:uiPriority w:val="0"/>
  </w:style>
  <w:style w:type="paragraph" w:styleId="40">
    <w:name w:val="index 1"/>
    <w:basedOn w:val="1"/>
    <w:next w:val="1"/>
    <w:unhideWhenUsed/>
    <w:qFormat/>
    <w:uiPriority w:val="0"/>
  </w:style>
  <w:style w:type="paragraph" w:styleId="41">
    <w:name w:val="toc 6"/>
    <w:basedOn w:val="1"/>
    <w:next w:val="1"/>
    <w:qFormat/>
    <w:uiPriority w:val="39"/>
    <w:pPr>
      <w:ind w:left="1050"/>
      <w:jc w:val="left"/>
    </w:pPr>
    <w:rPr>
      <w:rFonts w:asciiTheme="minorHAnsi" w:hAnsiTheme="minorHAnsi"/>
      <w:sz w:val="18"/>
      <w:szCs w:val="18"/>
    </w:rPr>
  </w:style>
  <w:style w:type="paragraph" w:styleId="42">
    <w:name w:val="Body Text Indent 3"/>
    <w:basedOn w:val="1"/>
    <w:link w:val="83"/>
    <w:qFormat/>
    <w:uiPriority w:val="0"/>
    <w:pPr>
      <w:autoSpaceDE w:val="0"/>
      <w:autoSpaceDN w:val="0"/>
      <w:adjustRightInd w:val="0"/>
      <w:spacing w:before="120" w:line="22" w:lineRule="atLeast"/>
      <w:ind w:left="720" w:firstLine="480"/>
      <w:jc w:val="left"/>
    </w:pPr>
    <w:rPr>
      <w:sz w:val="16"/>
      <w:szCs w:val="16"/>
      <w:lang w:val="zh-CN"/>
    </w:rPr>
  </w:style>
  <w:style w:type="paragraph" w:styleId="43">
    <w:name w:val="index 7"/>
    <w:basedOn w:val="1"/>
    <w:next w:val="1"/>
    <w:qFormat/>
    <w:uiPriority w:val="0"/>
    <w:pPr>
      <w:ind w:left="1200" w:leftChars="1200"/>
    </w:pPr>
  </w:style>
  <w:style w:type="paragraph" w:styleId="44">
    <w:name w:val="index 9"/>
    <w:basedOn w:val="1"/>
    <w:next w:val="1"/>
    <w:qFormat/>
    <w:uiPriority w:val="0"/>
    <w:pPr>
      <w:ind w:left="1600" w:leftChars="1600"/>
    </w:pPr>
  </w:style>
  <w:style w:type="paragraph" w:styleId="45">
    <w:name w:val="table of figures"/>
    <w:basedOn w:val="1"/>
    <w:next w:val="1"/>
    <w:qFormat/>
    <w:uiPriority w:val="0"/>
    <w:pPr>
      <w:ind w:left="840" w:leftChars="200" w:hanging="420" w:hangingChars="200"/>
    </w:pPr>
  </w:style>
  <w:style w:type="paragraph" w:styleId="46">
    <w:name w:val="toc 9"/>
    <w:basedOn w:val="1"/>
    <w:next w:val="1"/>
    <w:qFormat/>
    <w:uiPriority w:val="39"/>
    <w:pPr>
      <w:ind w:left="1680"/>
      <w:jc w:val="left"/>
    </w:pPr>
    <w:rPr>
      <w:rFonts w:asciiTheme="minorHAnsi" w:hAnsiTheme="minorHAnsi"/>
      <w:sz w:val="18"/>
      <w:szCs w:val="18"/>
    </w:rPr>
  </w:style>
  <w:style w:type="paragraph" w:styleId="47">
    <w:name w:val="Body Text 2"/>
    <w:basedOn w:val="1"/>
    <w:link w:val="84"/>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8">
    <w:name w:val="Message Header"/>
    <w:basedOn w:val="1"/>
    <w:link w:val="85"/>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9">
    <w:name w:val="Normal (Web)"/>
    <w:basedOn w:val="1"/>
    <w:qFormat/>
    <w:uiPriority w:val="0"/>
    <w:pPr>
      <w:widowControl/>
      <w:spacing w:before="100" w:beforeAutospacing="1" w:after="100" w:afterAutospacing="1"/>
      <w:jc w:val="left"/>
    </w:pPr>
    <w:rPr>
      <w:rFonts w:ascii="宋体" w:hAnsi="宋体"/>
      <w:kern w:val="0"/>
      <w:sz w:val="24"/>
    </w:rPr>
  </w:style>
  <w:style w:type="paragraph" w:styleId="50">
    <w:name w:val="index 2"/>
    <w:basedOn w:val="1"/>
    <w:next w:val="1"/>
    <w:qFormat/>
    <w:uiPriority w:val="0"/>
    <w:pPr>
      <w:ind w:left="200" w:leftChars="200"/>
    </w:pPr>
  </w:style>
  <w:style w:type="paragraph" w:styleId="51">
    <w:name w:val="Title"/>
    <w:basedOn w:val="1"/>
    <w:link w:val="86"/>
    <w:qFormat/>
    <w:uiPriority w:val="0"/>
    <w:pPr>
      <w:spacing w:before="240" w:after="60"/>
      <w:jc w:val="center"/>
      <w:outlineLvl w:val="0"/>
    </w:pPr>
    <w:rPr>
      <w:rFonts w:ascii="Arial" w:hAnsi="Arial"/>
      <w:b/>
      <w:bCs/>
      <w:sz w:val="32"/>
      <w:szCs w:val="32"/>
      <w:lang w:val="zh-CN"/>
    </w:rPr>
  </w:style>
  <w:style w:type="paragraph" w:styleId="52">
    <w:name w:val="annotation subject"/>
    <w:basedOn w:val="20"/>
    <w:next w:val="20"/>
    <w:link w:val="71"/>
    <w:qFormat/>
    <w:uiPriority w:val="99"/>
    <w:rPr>
      <w:b/>
      <w:bCs/>
      <w:lang w:val="zh-CN"/>
    </w:rPr>
  </w:style>
  <w:style w:type="paragraph" w:styleId="53">
    <w:name w:val="Body Text First Indent"/>
    <w:basedOn w:val="22"/>
    <w:link w:val="73"/>
    <w:qFormat/>
    <w:uiPriority w:val="0"/>
    <w:pPr>
      <w:tabs>
        <w:tab w:val="left" w:pos="567"/>
      </w:tabs>
      <w:ind w:firstLine="420" w:firstLineChars="100"/>
    </w:pPr>
    <w:rPr>
      <w:lang w:val="zh-CN"/>
    </w:rPr>
  </w:style>
  <w:style w:type="paragraph" w:styleId="54">
    <w:name w:val="Body Text First Indent 2"/>
    <w:basedOn w:val="23"/>
    <w:qFormat/>
    <w:uiPriority w:val="0"/>
    <w:pPr>
      <w:spacing w:after="120" w:line="240" w:lineRule="auto"/>
      <w:ind w:left="420" w:leftChars="200" w:firstLine="420" w:firstLineChars="200"/>
    </w:pPr>
    <w:rPr>
      <w:sz w:val="21"/>
      <w:szCs w:val="20"/>
    </w:rPr>
  </w:style>
  <w:style w:type="table" w:styleId="56">
    <w:name w:val="Table Grid"/>
    <w:basedOn w:val="5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57">
    <w:name w:val="Table Professional"/>
    <w:basedOn w:val="55"/>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59">
    <w:name w:val="Strong"/>
    <w:qFormat/>
    <w:uiPriority w:val="0"/>
    <w:rPr>
      <w:b/>
      <w:bCs/>
    </w:rPr>
  </w:style>
  <w:style w:type="character" w:styleId="60">
    <w:name w:val="page number"/>
    <w:basedOn w:val="61"/>
    <w:qFormat/>
    <w:uiPriority w:val="0"/>
    <w:rPr>
      <w:rFonts w:ascii="Times New Roman" w:eastAsia="宋体" w:cs="Times New Roman"/>
      <w:color w:val="000000"/>
      <w:spacing w:val="0"/>
      <w:w w:val="100"/>
      <w:sz w:val="21"/>
      <w:u w:val="none" w:color="000000"/>
      <w:vertAlign w:val="baseline"/>
      <w:lang w:val="en-US" w:eastAsia="zh-CN"/>
    </w:rPr>
  </w:style>
  <w:style w:type="character" w:customStyle="1" w:styleId="61">
    <w:name w:val="默认段落字体1"/>
    <w:qFormat/>
    <w:uiPriority w:val="0"/>
    <w:rPr>
      <w:rFonts w:ascii="Times New Roman" w:eastAsia="宋体"/>
      <w:color w:val="000000"/>
      <w:spacing w:val="0"/>
      <w:w w:val="100"/>
      <w:sz w:val="21"/>
      <w:u w:val="none" w:color="000000"/>
      <w:vertAlign w:val="baseline"/>
      <w:lang w:val="en-US" w:eastAsia="zh-CN"/>
    </w:rPr>
  </w:style>
  <w:style w:type="character" w:styleId="62">
    <w:name w:val="FollowedHyperlink"/>
    <w:basedOn w:val="58"/>
    <w:semiHidden/>
    <w:unhideWhenUsed/>
    <w:qFormat/>
    <w:uiPriority w:val="99"/>
    <w:rPr>
      <w:rFonts w:hint="eastAsia" w:ascii="微软雅黑" w:hAnsi="微软雅黑" w:eastAsia="微软雅黑" w:cs="微软雅黑"/>
      <w:color w:val="02396F"/>
      <w:u w:val="single"/>
    </w:rPr>
  </w:style>
  <w:style w:type="character" w:styleId="63">
    <w:name w:val="Emphasis"/>
    <w:qFormat/>
    <w:uiPriority w:val="0"/>
    <w:rPr>
      <w:i/>
      <w:iCs/>
    </w:rPr>
  </w:style>
  <w:style w:type="character" w:styleId="64">
    <w:name w:val="Hyperlink"/>
    <w:qFormat/>
    <w:uiPriority w:val="99"/>
    <w:rPr>
      <w:rFonts w:cs="Times New Roman"/>
      <w:color w:val="0000FF"/>
      <w:u w:val="single"/>
    </w:rPr>
  </w:style>
  <w:style w:type="character" w:styleId="65">
    <w:name w:val="annotation reference"/>
    <w:qFormat/>
    <w:uiPriority w:val="99"/>
    <w:rPr>
      <w:rFonts w:cs="Times New Roman"/>
      <w:sz w:val="21"/>
      <w:szCs w:val="21"/>
    </w:rPr>
  </w:style>
  <w:style w:type="character" w:customStyle="1" w:styleId="66">
    <w:name w:val="标题 1 字符"/>
    <w:basedOn w:val="58"/>
    <w:link w:val="3"/>
    <w:qFormat/>
    <w:uiPriority w:val="99"/>
    <w:rPr>
      <w:rFonts w:ascii="Times New Roman" w:hAnsi="Times New Roman" w:eastAsia="宋体" w:cs="Times New Roman"/>
      <w:b/>
      <w:bCs/>
      <w:kern w:val="44"/>
      <w:sz w:val="28"/>
      <w:szCs w:val="44"/>
      <w:lang w:val="zh-CN"/>
    </w:rPr>
  </w:style>
  <w:style w:type="character" w:customStyle="1" w:styleId="67">
    <w:name w:val="标题 2 字符"/>
    <w:basedOn w:val="58"/>
    <w:link w:val="4"/>
    <w:qFormat/>
    <w:uiPriority w:val="0"/>
    <w:rPr>
      <w:rFonts w:ascii="Cambria" w:hAnsi="Cambria" w:eastAsia="宋体" w:cs="Times New Roman"/>
      <w:b/>
      <w:bCs/>
      <w:sz w:val="28"/>
      <w:szCs w:val="32"/>
      <w:lang w:val="zh-CN"/>
    </w:rPr>
  </w:style>
  <w:style w:type="character" w:customStyle="1" w:styleId="68">
    <w:name w:val="标题 3 字符"/>
    <w:basedOn w:val="58"/>
    <w:link w:val="6"/>
    <w:qFormat/>
    <w:uiPriority w:val="0"/>
    <w:rPr>
      <w:rFonts w:ascii="宋体" w:hAnsi="宋体" w:eastAsia="宋体" w:cs="Times New Roman"/>
      <w:kern w:val="0"/>
      <w:sz w:val="20"/>
      <w:szCs w:val="20"/>
      <w:lang w:val="zh-CN"/>
    </w:rPr>
  </w:style>
  <w:style w:type="character" w:customStyle="1" w:styleId="69">
    <w:name w:val="标题 4 字符"/>
    <w:basedOn w:val="58"/>
    <w:link w:val="7"/>
    <w:qFormat/>
    <w:uiPriority w:val="0"/>
    <w:rPr>
      <w:rFonts w:ascii="Cambria" w:hAnsi="Cambria" w:eastAsia="宋体" w:cs="Times New Roman"/>
      <w:b/>
      <w:bCs/>
      <w:sz w:val="28"/>
      <w:szCs w:val="28"/>
      <w:lang w:val="zh-CN"/>
    </w:rPr>
  </w:style>
  <w:style w:type="character" w:customStyle="1" w:styleId="70">
    <w:name w:val="批注文字 字符"/>
    <w:basedOn w:val="58"/>
    <w:link w:val="20"/>
    <w:qFormat/>
    <w:uiPriority w:val="0"/>
    <w:rPr>
      <w:rFonts w:ascii="Times New Roman" w:hAnsi="Times New Roman" w:eastAsia="宋体" w:cs="Times New Roman"/>
      <w:szCs w:val="24"/>
    </w:rPr>
  </w:style>
  <w:style w:type="character" w:customStyle="1" w:styleId="71">
    <w:name w:val="批注主题 字符"/>
    <w:basedOn w:val="70"/>
    <w:link w:val="52"/>
    <w:qFormat/>
    <w:uiPriority w:val="0"/>
    <w:rPr>
      <w:rFonts w:ascii="Times New Roman" w:hAnsi="Times New Roman" w:eastAsia="宋体" w:cs="Times New Roman"/>
      <w:b/>
      <w:bCs/>
      <w:szCs w:val="24"/>
      <w:lang w:val="zh-CN"/>
    </w:rPr>
  </w:style>
  <w:style w:type="character" w:customStyle="1" w:styleId="72">
    <w:name w:val="正文文本 字符"/>
    <w:basedOn w:val="58"/>
    <w:link w:val="22"/>
    <w:qFormat/>
    <w:uiPriority w:val="0"/>
    <w:rPr>
      <w:rFonts w:ascii="Times New Roman" w:hAnsi="Times New Roman" w:eastAsia="宋体" w:cs="Times New Roman"/>
      <w:szCs w:val="24"/>
    </w:rPr>
  </w:style>
  <w:style w:type="character" w:customStyle="1" w:styleId="73">
    <w:name w:val="正文首行缩进 字符"/>
    <w:basedOn w:val="72"/>
    <w:link w:val="53"/>
    <w:qFormat/>
    <w:uiPriority w:val="0"/>
    <w:rPr>
      <w:rFonts w:ascii="Times New Roman" w:hAnsi="Times New Roman" w:eastAsia="宋体" w:cs="Times New Roman"/>
      <w:szCs w:val="24"/>
      <w:lang w:val="zh-CN"/>
    </w:rPr>
  </w:style>
  <w:style w:type="character" w:customStyle="1" w:styleId="74">
    <w:name w:val="文档结构图 字符"/>
    <w:basedOn w:val="58"/>
    <w:link w:val="19"/>
    <w:qFormat/>
    <w:uiPriority w:val="0"/>
    <w:rPr>
      <w:rFonts w:ascii="Times New Roman" w:hAnsi="Times New Roman" w:eastAsia="宋体" w:cs="Times New Roman"/>
      <w:kern w:val="0"/>
      <w:sz w:val="16"/>
      <w:szCs w:val="16"/>
      <w:shd w:val="clear" w:color="auto" w:fill="000080"/>
      <w:lang w:val="zh-CN"/>
    </w:rPr>
  </w:style>
  <w:style w:type="character" w:customStyle="1" w:styleId="75">
    <w:name w:val="正文文本缩进 字符"/>
    <w:basedOn w:val="58"/>
    <w:link w:val="23"/>
    <w:qFormat/>
    <w:uiPriority w:val="99"/>
    <w:rPr>
      <w:rFonts w:ascii="Times New Roman" w:hAnsi="Times New Roman" w:eastAsia="宋体" w:cs="Times New Roman"/>
      <w:sz w:val="24"/>
      <w:szCs w:val="24"/>
      <w:lang w:val="zh-CN"/>
    </w:rPr>
  </w:style>
  <w:style w:type="character" w:customStyle="1" w:styleId="76">
    <w:name w:val="纯文本 Char"/>
    <w:basedOn w:val="58"/>
    <w:qFormat/>
    <w:uiPriority w:val="0"/>
    <w:rPr>
      <w:rFonts w:ascii="宋体" w:hAnsi="Courier New" w:eastAsia="宋体" w:cs="Courier New"/>
      <w:szCs w:val="21"/>
    </w:rPr>
  </w:style>
  <w:style w:type="character" w:customStyle="1" w:styleId="77">
    <w:name w:val="日期 字符"/>
    <w:basedOn w:val="58"/>
    <w:link w:val="31"/>
    <w:qFormat/>
    <w:uiPriority w:val="0"/>
    <w:rPr>
      <w:rFonts w:ascii="Times New Roman" w:hAnsi="Times New Roman" w:eastAsia="宋体" w:cs="Times New Roman"/>
      <w:sz w:val="24"/>
      <w:szCs w:val="24"/>
      <w:lang w:val="zh-CN"/>
    </w:rPr>
  </w:style>
  <w:style w:type="character" w:customStyle="1" w:styleId="78">
    <w:name w:val="正文文本缩进 2 字符"/>
    <w:basedOn w:val="58"/>
    <w:link w:val="32"/>
    <w:qFormat/>
    <w:uiPriority w:val="0"/>
    <w:rPr>
      <w:rFonts w:ascii="Times New Roman" w:hAnsi="Times New Roman" w:eastAsia="宋体" w:cs="Times New Roman"/>
      <w:sz w:val="24"/>
      <w:szCs w:val="24"/>
      <w:lang w:val="zh-CN"/>
    </w:rPr>
  </w:style>
  <w:style w:type="character" w:customStyle="1" w:styleId="79">
    <w:name w:val="批注框文本 字符"/>
    <w:basedOn w:val="58"/>
    <w:link w:val="33"/>
    <w:qFormat/>
    <w:uiPriority w:val="0"/>
    <w:rPr>
      <w:rFonts w:ascii="Times New Roman" w:hAnsi="Times New Roman" w:eastAsia="宋体" w:cs="Times New Roman"/>
      <w:szCs w:val="20"/>
      <w:lang w:val="zh-CN"/>
    </w:rPr>
  </w:style>
  <w:style w:type="character" w:customStyle="1" w:styleId="80">
    <w:name w:val="页脚 字符"/>
    <w:basedOn w:val="58"/>
    <w:link w:val="34"/>
    <w:qFormat/>
    <w:uiPriority w:val="99"/>
    <w:rPr>
      <w:rFonts w:ascii="宋体" w:hAnsi="Times New Roman" w:eastAsia="宋体" w:cs="Times New Roman"/>
      <w:kern w:val="0"/>
      <w:sz w:val="18"/>
      <w:szCs w:val="20"/>
      <w:lang w:val="zh-CN"/>
    </w:rPr>
  </w:style>
  <w:style w:type="character" w:customStyle="1" w:styleId="81">
    <w:name w:val="页眉 字符"/>
    <w:basedOn w:val="58"/>
    <w:link w:val="35"/>
    <w:qFormat/>
    <w:uiPriority w:val="0"/>
    <w:rPr>
      <w:rFonts w:ascii="Times New Roman" w:hAnsi="Times New Roman" w:eastAsia="宋体" w:cs="Times New Roman"/>
      <w:sz w:val="18"/>
      <w:szCs w:val="18"/>
      <w:lang w:val="zh-CN"/>
    </w:rPr>
  </w:style>
  <w:style w:type="character" w:customStyle="1" w:styleId="82">
    <w:name w:val="签名 字符"/>
    <w:basedOn w:val="58"/>
    <w:link w:val="36"/>
    <w:qFormat/>
    <w:uiPriority w:val="0"/>
    <w:rPr>
      <w:rFonts w:ascii="Times New Roman" w:hAnsi="Times New Roman" w:eastAsia="仿宋_GB2312" w:cs="Times New Roman"/>
      <w:kern w:val="0"/>
      <w:sz w:val="24"/>
      <w:szCs w:val="20"/>
      <w:lang w:val="zh-CN"/>
    </w:rPr>
  </w:style>
  <w:style w:type="character" w:customStyle="1" w:styleId="83">
    <w:name w:val="正文文本缩进 3 字符"/>
    <w:basedOn w:val="58"/>
    <w:link w:val="42"/>
    <w:qFormat/>
    <w:uiPriority w:val="0"/>
    <w:rPr>
      <w:rFonts w:ascii="Times New Roman" w:hAnsi="Times New Roman" w:eastAsia="宋体" w:cs="Times New Roman"/>
      <w:sz w:val="16"/>
      <w:szCs w:val="16"/>
      <w:lang w:val="zh-CN"/>
    </w:rPr>
  </w:style>
  <w:style w:type="character" w:customStyle="1" w:styleId="84">
    <w:name w:val="正文文本 2 字符"/>
    <w:basedOn w:val="58"/>
    <w:link w:val="47"/>
    <w:qFormat/>
    <w:uiPriority w:val="0"/>
    <w:rPr>
      <w:rFonts w:ascii="宋体" w:hAnsi="Times New Roman" w:eastAsia="宋体" w:cs="Times New Roman"/>
      <w:color w:val="000000"/>
      <w:kern w:val="0"/>
      <w:sz w:val="28"/>
      <w:szCs w:val="20"/>
      <w:lang w:val="en-GB"/>
    </w:rPr>
  </w:style>
  <w:style w:type="character" w:customStyle="1" w:styleId="85">
    <w:name w:val="信息标题 字符"/>
    <w:basedOn w:val="58"/>
    <w:link w:val="48"/>
    <w:qFormat/>
    <w:uiPriority w:val="0"/>
    <w:rPr>
      <w:rFonts w:ascii="Cambria" w:hAnsi="Cambria" w:eastAsia="宋体" w:cs="Times New Roman"/>
      <w:sz w:val="24"/>
      <w:szCs w:val="24"/>
      <w:shd w:val="pct20" w:color="auto" w:fill="auto"/>
      <w:lang w:val="zh-CN"/>
    </w:rPr>
  </w:style>
  <w:style w:type="character" w:customStyle="1" w:styleId="86">
    <w:name w:val="标题 字符"/>
    <w:basedOn w:val="58"/>
    <w:link w:val="51"/>
    <w:qFormat/>
    <w:uiPriority w:val="0"/>
    <w:rPr>
      <w:rFonts w:ascii="Arial" w:hAnsi="Arial" w:eastAsia="宋体" w:cs="Times New Roman"/>
      <w:b/>
      <w:bCs/>
      <w:sz w:val="32"/>
      <w:szCs w:val="32"/>
      <w:lang w:val="zh-CN"/>
    </w:rPr>
  </w:style>
  <w:style w:type="character" w:customStyle="1" w:styleId="87">
    <w:name w:val="medium_text1"/>
    <w:qFormat/>
    <w:uiPriority w:val="0"/>
    <w:rPr>
      <w:sz w:val="24"/>
      <w:szCs w:val="24"/>
    </w:rPr>
  </w:style>
  <w:style w:type="character" w:customStyle="1" w:styleId="88">
    <w:name w:val="apple-converted-space"/>
    <w:basedOn w:val="58"/>
    <w:qFormat/>
    <w:uiPriority w:val="0"/>
  </w:style>
  <w:style w:type="character" w:customStyle="1" w:styleId="89">
    <w:name w:val="页眉 Char Char"/>
    <w:qFormat/>
    <w:uiPriority w:val="0"/>
    <w:rPr>
      <w:rFonts w:cs="Times New Roman"/>
      <w:kern w:val="2"/>
      <w:sz w:val="18"/>
      <w:szCs w:val="18"/>
    </w:rPr>
  </w:style>
  <w:style w:type="character" w:customStyle="1" w:styleId="90">
    <w:name w:val="short_text1"/>
    <w:qFormat/>
    <w:uiPriority w:val="0"/>
    <w:rPr>
      <w:sz w:val="26"/>
      <w:szCs w:val="26"/>
    </w:rPr>
  </w:style>
  <w:style w:type="character" w:customStyle="1" w:styleId="91">
    <w:name w:val="纯文本 字符"/>
    <w:link w:val="28"/>
    <w:qFormat/>
    <w:uiPriority w:val="99"/>
    <w:rPr>
      <w:rFonts w:ascii="宋体" w:hAnsi="Courier New" w:eastAsia="宋体" w:cs="Times New Roman"/>
      <w:szCs w:val="21"/>
      <w:lang w:val="zh-CN"/>
    </w:rPr>
  </w:style>
  <w:style w:type="character" w:customStyle="1" w:styleId="92">
    <w:name w:val="普通文字1 Char Char"/>
    <w:qFormat/>
    <w:uiPriority w:val="0"/>
    <w:rPr>
      <w:rFonts w:ascii="宋体" w:hAnsi="Courier New" w:eastAsia="宋体"/>
      <w:kern w:val="2"/>
      <w:sz w:val="21"/>
      <w:lang w:val="en-US" w:eastAsia="zh-CN" w:bidi="ar-SA"/>
    </w:rPr>
  </w:style>
  <w:style w:type="character" w:customStyle="1" w:styleId="93">
    <w:name w:val="标题2 Char"/>
    <w:qFormat/>
    <w:uiPriority w:val="0"/>
    <w:rPr>
      <w:rFonts w:ascii="Arial" w:hAnsi="Arial" w:eastAsia="黑体" w:cs="Times New Roman"/>
      <w:b/>
      <w:kern w:val="0"/>
      <w:sz w:val="30"/>
      <w:szCs w:val="20"/>
    </w:rPr>
  </w:style>
  <w:style w:type="character" w:customStyle="1" w:styleId="94">
    <w:name w:val="标准文本 Char Char"/>
    <w:link w:val="95"/>
    <w:qFormat/>
    <w:uiPriority w:val="0"/>
    <w:rPr>
      <w:rFonts w:eastAsia="宋体" w:cs="宋体"/>
      <w:sz w:val="24"/>
    </w:rPr>
  </w:style>
  <w:style w:type="paragraph" w:customStyle="1" w:styleId="95">
    <w:name w:val="标准文本"/>
    <w:basedOn w:val="1"/>
    <w:link w:val="94"/>
    <w:qFormat/>
    <w:uiPriority w:val="0"/>
    <w:pPr>
      <w:spacing w:line="360" w:lineRule="auto"/>
      <w:ind w:firstLine="480" w:firstLineChars="200"/>
    </w:pPr>
    <w:rPr>
      <w:rFonts w:asciiTheme="minorHAnsi" w:hAnsiTheme="minorHAnsi"/>
      <w:sz w:val="24"/>
      <w:szCs w:val="22"/>
    </w:rPr>
  </w:style>
  <w:style w:type="character" w:customStyle="1" w:styleId="96">
    <w:name w:val="ca-2"/>
    <w:basedOn w:val="58"/>
    <w:qFormat/>
    <w:uiPriority w:val="0"/>
  </w:style>
  <w:style w:type="character" w:customStyle="1" w:styleId="97">
    <w:name w:val="H1 Char"/>
    <w:qFormat/>
    <w:uiPriority w:val="0"/>
    <w:rPr>
      <w:rFonts w:ascii="宋体" w:hAnsi="Times New Roman" w:eastAsia="宋体" w:cs="Times New Roman"/>
      <w:b/>
      <w:kern w:val="44"/>
      <w:sz w:val="32"/>
      <w:szCs w:val="20"/>
    </w:rPr>
  </w:style>
  <w:style w:type="character" w:customStyle="1" w:styleId="98">
    <w:name w:val="apple-style-span"/>
    <w:qFormat/>
    <w:uiPriority w:val="0"/>
    <w:rPr>
      <w:rFonts w:cs="Times New Roman"/>
    </w:rPr>
  </w:style>
  <w:style w:type="paragraph" w:customStyle="1" w:styleId="99">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100">
    <w:name w:val="Pa9"/>
    <w:basedOn w:val="99"/>
    <w:next w:val="99"/>
    <w:qFormat/>
    <w:uiPriority w:val="0"/>
    <w:pPr>
      <w:spacing w:before="120" w:line="161" w:lineRule="atLeast"/>
    </w:pPr>
    <w:rPr>
      <w:rFonts w:cs="Times New Roman"/>
      <w:color w:val="auto"/>
    </w:rPr>
  </w:style>
  <w:style w:type="paragraph" w:customStyle="1" w:styleId="101">
    <w:name w:val="正文 + 小四"/>
    <w:basedOn w:val="1"/>
    <w:qFormat/>
    <w:uiPriority w:val="0"/>
    <w:pPr>
      <w:spacing w:line="360" w:lineRule="auto"/>
      <w:ind w:firstLine="480" w:firstLineChars="200"/>
    </w:pPr>
    <w:rPr>
      <w:sz w:val="24"/>
    </w:rPr>
  </w:style>
  <w:style w:type="paragraph" w:customStyle="1" w:styleId="102">
    <w:name w:val="Normal no space after"/>
    <w:basedOn w:val="1"/>
    <w:qFormat/>
    <w:uiPriority w:val="0"/>
    <w:pPr>
      <w:widowControl/>
      <w:tabs>
        <w:tab w:val="left" w:pos="284"/>
        <w:tab w:val="left" w:pos="567"/>
      </w:tabs>
      <w:spacing w:line="280" w:lineRule="atLeast"/>
      <w:jc w:val="left"/>
    </w:pPr>
    <w:rPr>
      <w:rFonts w:ascii="Frutiger Roman" w:hAnsi="Frutiger Roman"/>
      <w:kern w:val="0"/>
      <w:szCs w:val="20"/>
      <w:lang w:eastAsia="en-US"/>
    </w:rPr>
  </w:style>
  <w:style w:type="paragraph" w:customStyle="1" w:styleId="103">
    <w:name w:val="Char3 Char Char Char"/>
    <w:basedOn w:val="1"/>
    <w:qFormat/>
    <w:uiPriority w:val="0"/>
  </w:style>
  <w:style w:type="paragraph" w:customStyle="1" w:styleId="104">
    <w:name w:val="Char1 Char Char Char Char Char Char"/>
    <w:basedOn w:val="1"/>
    <w:qFormat/>
    <w:uiPriority w:val="0"/>
    <w:rPr>
      <w:rFonts w:ascii="Tahoma" w:hAnsi="Tahoma"/>
      <w:sz w:val="24"/>
      <w:szCs w:val="20"/>
    </w:rPr>
  </w:style>
  <w:style w:type="paragraph" w:customStyle="1" w:styleId="105">
    <w:name w:val="pa-8"/>
    <w:basedOn w:val="1"/>
    <w:qFormat/>
    <w:uiPriority w:val="0"/>
    <w:pPr>
      <w:widowControl/>
      <w:spacing w:before="150" w:after="150"/>
      <w:jc w:val="left"/>
    </w:pPr>
    <w:rPr>
      <w:rFonts w:ascii="宋体" w:hAnsi="宋体"/>
      <w:kern w:val="0"/>
      <w:sz w:val="24"/>
    </w:rPr>
  </w:style>
  <w:style w:type="paragraph" w:customStyle="1" w:styleId="106">
    <w:name w:val="Pa10"/>
    <w:basedOn w:val="99"/>
    <w:next w:val="99"/>
    <w:qFormat/>
    <w:uiPriority w:val="0"/>
    <w:pPr>
      <w:spacing w:line="161" w:lineRule="atLeast"/>
    </w:pPr>
    <w:rPr>
      <w:rFonts w:cs="Times New Roman"/>
      <w:color w:val="auto"/>
    </w:rPr>
  </w:style>
  <w:style w:type="paragraph" w:customStyle="1" w:styleId="10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8">
    <w:name w:val="pa-6"/>
    <w:basedOn w:val="1"/>
    <w:qFormat/>
    <w:uiPriority w:val="0"/>
    <w:pPr>
      <w:widowControl/>
      <w:spacing w:before="150" w:after="150"/>
      <w:jc w:val="left"/>
    </w:pPr>
    <w:rPr>
      <w:rFonts w:ascii="宋体" w:hAnsi="宋体"/>
      <w:kern w:val="0"/>
      <w:sz w:val="24"/>
    </w:rPr>
  </w:style>
  <w:style w:type="paragraph" w:customStyle="1" w:styleId="109">
    <w:name w:val="Char Char Char"/>
    <w:basedOn w:val="1"/>
    <w:qFormat/>
    <w:uiPriority w:val="0"/>
    <w:rPr>
      <w:rFonts w:ascii="Tahoma" w:hAnsi="Tahoma"/>
      <w:sz w:val="24"/>
      <w:szCs w:val="20"/>
    </w:rPr>
  </w:style>
  <w:style w:type="paragraph" w:customStyle="1" w:styleId="110">
    <w:name w:val="修订1"/>
    <w:qFormat/>
    <w:uiPriority w:val="0"/>
    <w:rPr>
      <w:rFonts w:ascii="Times New Roman" w:hAnsi="Times New Roman" w:eastAsia="宋体" w:cs="Times New Roman"/>
      <w:kern w:val="2"/>
      <w:sz w:val="21"/>
      <w:szCs w:val="24"/>
      <w:lang w:val="en-US" w:eastAsia="zh-CN" w:bidi="ar-SA"/>
    </w:rPr>
  </w:style>
  <w:style w:type="paragraph" w:customStyle="1" w:styleId="111">
    <w:name w:val="p0"/>
    <w:basedOn w:val="1"/>
    <w:qFormat/>
    <w:uiPriority w:val="0"/>
    <w:pPr>
      <w:widowControl/>
    </w:pPr>
    <w:rPr>
      <w:kern w:val="0"/>
      <w:szCs w:val="20"/>
    </w:rPr>
  </w:style>
  <w:style w:type="paragraph" w:customStyle="1" w:styleId="112">
    <w:name w:val="列出段落1"/>
    <w:basedOn w:val="1"/>
    <w:qFormat/>
    <w:uiPriority w:val="34"/>
    <w:pPr>
      <w:ind w:firstLine="420" w:firstLineChars="200"/>
    </w:pPr>
    <w:rPr>
      <w:rFonts w:ascii="Calibri" w:hAnsi="Calibri"/>
      <w:szCs w:val="22"/>
    </w:rPr>
  </w:style>
  <w:style w:type="paragraph" w:customStyle="1" w:styleId="113">
    <w:name w:val="Char Char Char1 Char Char Char Char"/>
    <w:basedOn w:val="1"/>
    <w:qFormat/>
    <w:uiPriority w:val="0"/>
    <w:rPr>
      <w:rFonts w:ascii="Tahoma" w:hAnsi="Tahoma"/>
      <w:sz w:val="24"/>
      <w:szCs w:val="20"/>
    </w:rPr>
  </w:style>
  <w:style w:type="paragraph" w:customStyle="1" w:styleId="114">
    <w:name w:val="样式1"/>
    <w:basedOn w:val="3"/>
    <w:qFormat/>
    <w:uiPriority w:val="0"/>
    <w:pPr>
      <w:spacing w:line="360" w:lineRule="auto"/>
    </w:pPr>
    <w:rPr>
      <w:rFonts w:hAnsi="宋体"/>
      <w:sz w:val="24"/>
      <w:szCs w:val="24"/>
    </w:rPr>
  </w:style>
  <w:style w:type="paragraph" w:customStyle="1" w:styleId="115">
    <w:name w:val="文档正文"/>
    <w:basedOn w:val="1"/>
    <w:qFormat/>
    <w:uiPriority w:val="0"/>
    <w:pPr>
      <w:adjustRightInd w:val="0"/>
      <w:spacing w:line="480" w:lineRule="atLeast"/>
      <w:ind w:firstLine="567"/>
      <w:textAlignment w:val="baseline"/>
    </w:pPr>
    <w:rPr>
      <w:kern w:val="0"/>
      <w:sz w:val="24"/>
      <w:szCs w:val="20"/>
    </w:rPr>
  </w:style>
  <w:style w:type="paragraph" w:customStyle="1" w:styleId="116">
    <w:name w:val="Char1"/>
    <w:basedOn w:val="1"/>
    <w:qFormat/>
    <w:uiPriority w:val="0"/>
    <w:rPr>
      <w:rFonts w:ascii="Tahoma" w:hAnsi="Tahoma" w:cs="仿宋_GB2312"/>
      <w:sz w:val="24"/>
      <w:szCs w:val="28"/>
    </w:rPr>
  </w:style>
  <w:style w:type="paragraph" w:customStyle="1" w:styleId="117">
    <w:name w:val="Char2"/>
    <w:basedOn w:val="1"/>
    <w:qFormat/>
    <w:uiPriority w:val="0"/>
    <w:pPr>
      <w:spacing w:line="360" w:lineRule="auto"/>
      <w:ind w:firstLine="200" w:firstLineChars="200"/>
    </w:pPr>
    <w:rPr>
      <w:rFonts w:ascii="宋体" w:hAnsi="宋体"/>
      <w:sz w:val="24"/>
    </w:rPr>
  </w:style>
  <w:style w:type="paragraph" w:customStyle="1" w:styleId="118">
    <w:name w:val="列出段落11"/>
    <w:basedOn w:val="1"/>
    <w:qFormat/>
    <w:uiPriority w:val="34"/>
    <w:pPr>
      <w:ind w:firstLine="420" w:firstLineChars="200"/>
    </w:pPr>
    <w:rPr>
      <w:rFonts w:ascii="Calibri" w:hAnsi="Calibri"/>
      <w:szCs w:val="22"/>
    </w:rPr>
  </w:style>
  <w:style w:type="paragraph" w:customStyle="1" w:styleId="119">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20">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21">
    <w:name w:val="列出段落2"/>
    <w:basedOn w:val="1"/>
    <w:qFormat/>
    <w:uiPriority w:val="0"/>
    <w:pPr>
      <w:ind w:firstLine="420" w:firstLineChars="200"/>
    </w:pPr>
    <w:rPr>
      <w:szCs w:val="20"/>
    </w:rPr>
  </w:style>
  <w:style w:type="paragraph" w:customStyle="1" w:styleId="122">
    <w:name w:val="样式 标题 2 + 宋体 小四"/>
    <w:basedOn w:val="4"/>
    <w:qFormat/>
    <w:uiPriority w:val="99"/>
    <w:pPr>
      <w:autoSpaceDE/>
      <w:autoSpaceDN/>
      <w:adjustRightInd/>
      <w:spacing w:before="0" w:line="360" w:lineRule="auto"/>
      <w:jc w:val="both"/>
    </w:pPr>
    <w:rPr>
      <w:rFonts w:ascii="Times New Roman" w:hAnsi="Times New Roman"/>
      <w:szCs w:val="28"/>
    </w:rPr>
  </w:style>
  <w:style w:type="character" w:customStyle="1" w:styleId="123">
    <w:name w:val="正文缩进 字符"/>
    <w:link w:val="5"/>
    <w:qFormat/>
    <w:uiPriority w:val="99"/>
    <w:rPr>
      <w:rFonts w:ascii="宋体" w:hAnsi="Times New Roman" w:eastAsia="宋体" w:cs="Times New Roman"/>
      <w:kern w:val="0"/>
      <w:sz w:val="24"/>
      <w:szCs w:val="20"/>
      <w:lang w:val="zh-CN"/>
    </w:rPr>
  </w:style>
  <w:style w:type="paragraph" w:customStyle="1" w:styleId="124">
    <w:name w:val="Char21"/>
    <w:basedOn w:val="1"/>
    <w:qFormat/>
    <w:uiPriority w:val="0"/>
    <w:rPr>
      <w:rFonts w:ascii="Tahoma" w:hAnsi="Tahoma"/>
      <w:sz w:val="24"/>
      <w:szCs w:val="20"/>
    </w:rPr>
  </w:style>
  <w:style w:type="paragraph" w:customStyle="1" w:styleId="125">
    <w:name w:val="无间隔1"/>
    <w:link w:val="13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6">
    <w:name w:val="样式 首行缩进:  0.74 厘米"/>
    <w:basedOn w:val="1"/>
    <w:qFormat/>
    <w:uiPriority w:val="0"/>
    <w:pPr>
      <w:ind w:firstLine="420"/>
    </w:pPr>
    <w:rPr>
      <w:rFonts w:ascii="Arial" w:hAnsi="Arial" w:eastAsia="仿宋_GB2312" w:cs="Arial"/>
      <w:bCs/>
      <w:sz w:val="28"/>
      <w:szCs w:val="28"/>
    </w:rPr>
  </w:style>
  <w:style w:type="paragraph" w:customStyle="1" w:styleId="127">
    <w:name w:val="列出段落3"/>
    <w:basedOn w:val="1"/>
    <w:unhideWhenUsed/>
    <w:qFormat/>
    <w:uiPriority w:val="99"/>
    <w:pPr>
      <w:ind w:firstLine="420" w:firstLineChars="200"/>
    </w:pPr>
  </w:style>
  <w:style w:type="paragraph" w:styleId="128">
    <w:name w:val="List Paragraph"/>
    <w:basedOn w:val="1"/>
    <w:qFormat/>
    <w:uiPriority w:val="34"/>
    <w:pPr>
      <w:ind w:firstLine="420" w:firstLineChars="200"/>
    </w:pPr>
  </w:style>
  <w:style w:type="paragraph" w:customStyle="1" w:styleId="129">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30">
    <w:name w:val="默认"/>
    <w:qFormat/>
    <w:uiPriority w:val="0"/>
    <w:rPr>
      <w:rFonts w:ascii="Helvetica Neue" w:hAnsi="Helvetica Neue" w:eastAsia="Helvetica Neue" w:cs="Helvetica Neue"/>
      <w:color w:val="000000"/>
      <w:sz w:val="22"/>
      <w:szCs w:val="22"/>
      <w:lang w:val="en-US" w:eastAsia="zh-CN" w:bidi="ar-SA"/>
    </w:rPr>
  </w:style>
  <w:style w:type="character" w:customStyle="1" w:styleId="131">
    <w:name w:val="纯文本 字符1"/>
    <w:qFormat/>
    <w:uiPriority w:val="0"/>
    <w:rPr>
      <w:rFonts w:ascii="宋体" w:hAnsi="Courier New" w:cs="Courier New"/>
      <w:kern w:val="2"/>
      <w:sz w:val="21"/>
      <w:szCs w:val="21"/>
    </w:rPr>
  </w:style>
  <w:style w:type="character" w:customStyle="1" w:styleId="132">
    <w:name w:val="无间隔 Char"/>
    <w:link w:val="125"/>
    <w:qFormat/>
    <w:uiPriority w:val="0"/>
    <w:rPr>
      <w:kern w:val="2"/>
      <w:sz w:val="21"/>
      <w:szCs w:val="24"/>
    </w:rPr>
  </w:style>
  <w:style w:type="paragraph" w:customStyle="1" w:styleId="133">
    <w:name w:val="TOC 标题1"/>
    <w:basedOn w:val="3"/>
    <w:next w:val="1"/>
    <w:unhideWhenUsed/>
    <w:qFormat/>
    <w:uiPriority w:val="39"/>
    <w:pPr>
      <w:widowControl/>
      <w:autoSpaceDE/>
      <w:autoSpaceDN/>
      <w:adjustRightInd/>
      <w:spacing w:before="480" w:after="0" w:line="276" w:lineRule="auto"/>
      <w:jc w:val="left"/>
      <w:outlineLvl w:val="9"/>
    </w:pPr>
    <w:rPr>
      <w:rFonts w:asciiTheme="majorHAnsi" w:hAnsiTheme="majorHAnsi" w:eastAsiaTheme="majorEastAsia" w:cstheme="majorBidi"/>
      <w:color w:val="376092" w:themeColor="accent1" w:themeShade="BF"/>
      <w:kern w:val="0"/>
      <w:szCs w:val="28"/>
      <w:lang w:val="en-US"/>
    </w:rPr>
  </w:style>
  <w:style w:type="paragraph" w:customStyle="1" w:styleId="134">
    <w:name w:val="Table Text"/>
    <w:basedOn w:val="1"/>
    <w:qFormat/>
    <w:uiPriority w:val="0"/>
    <w:pPr>
      <w:widowControl/>
      <w:autoSpaceDE w:val="0"/>
      <w:autoSpaceDN w:val="0"/>
      <w:spacing w:before="60" w:after="60"/>
      <w:jc w:val="left"/>
    </w:pPr>
    <w:rPr>
      <w:kern w:val="0"/>
      <w:szCs w:val="21"/>
    </w:rPr>
  </w:style>
  <w:style w:type="paragraph" w:customStyle="1" w:styleId="135">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136">
    <w:name w:val="标题 5 字符"/>
    <w:basedOn w:val="58"/>
    <w:link w:val="8"/>
    <w:qFormat/>
    <w:uiPriority w:val="9"/>
    <w:rPr>
      <w:rFonts w:cs="Arial"/>
      <w:color w:val="7E97AD"/>
      <w:kern w:val="20"/>
      <w:sz w:val="21"/>
      <w:lang w:val="zh-CN"/>
    </w:rPr>
  </w:style>
  <w:style w:type="character" w:customStyle="1" w:styleId="137">
    <w:name w:val="标题 6 字符"/>
    <w:basedOn w:val="58"/>
    <w:link w:val="9"/>
    <w:qFormat/>
    <w:uiPriority w:val="9"/>
    <w:rPr>
      <w:rFonts w:cs="Arial"/>
      <w:b/>
      <w:iCs/>
      <w:kern w:val="20"/>
      <w:sz w:val="21"/>
      <w:lang w:val="zh-CN"/>
    </w:rPr>
  </w:style>
  <w:style w:type="character" w:customStyle="1" w:styleId="138">
    <w:name w:val="标题 7 字符"/>
    <w:basedOn w:val="58"/>
    <w:link w:val="10"/>
    <w:qFormat/>
    <w:uiPriority w:val="9"/>
    <w:rPr>
      <w:rFonts w:cs="Arial"/>
      <w:b/>
      <w:iCs/>
      <w:color w:val="404040"/>
      <w:kern w:val="20"/>
      <w:sz w:val="21"/>
      <w:lang w:val="zh-CN"/>
    </w:rPr>
  </w:style>
  <w:style w:type="character" w:customStyle="1" w:styleId="139">
    <w:name w:val="标题 8 字符"/>
    <w:basedOn w:val="58"/>
    <w:link w:val="11"/>
    <w:qFormat/>
    <w:uiPriority w:val="9"/>
    <w:rPr>
      <w:rFonts w:cs="Arial"/>
      <w:color w:val="404040"/>
      <w:kern w:val="20"/>
      <w:sz w:val="21"/>
      <w:lang w:val="zh-CN"/>
    </w:rPr>
  </w:style>
  <w:style w:type="paragraph" w:customStyle="1" w:styleId="140">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1">
    <w:name w:val="Char3"/>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42">
    <w:name w:val="redfilefwwh"/>
    <w:basedOn w:val="58"/>
    <w:qFormat/>
    <w:uiPriority w:val="0"/>
    <w:rPr>
      <w:color w:val="BA2636"/>
      <w:sz w:val="18"/>
      <w:szCs w:val="18"/>
    </w:rPr>
  </w:style>
  <w:style w:type="character" w:customStyle="1" w:styleId="143">
    <w:name w:val="gjfg"/>
    <w:basedOn w:val="58"/>
    <w:qFormat/>
    <w:uiPriority w:val="0"/>
  </w:style>
  <w:style w:type="character" w:customStyle="1" w:styleId="144">
    <w:name w:val="displayarti"/>
    <w:basedOn w:val="58"/>
    <w:qFormat/>
    <w:uiPriority w:val="0"/>
    <w:rPr>
      <w:color w:val="FFFFFF"/>
      <w:shd w:val="clear" w:color="auto" w:fill="A00000"/>
    </w:rPr>
  </w:style>
  <w:style w:type="character" w:customStyle="1" w:styleId="145">
    <w:name w:val="redfilenumber"/>
    <w:basedOn w:val="58"/>
    <w:qFormat/>
    <w:uiPriority w:val="0"/>
    <w:rPr>
      <w:color w:val="BA2636"/>
      <w:sz w:val="18"/>
      <w:szCs w:val="18"/>
    </w:rPr>
  </w:style>
  <w:style w:type="character" w:customStyle="1" w:styleId="146">
    <w:name w:val="cfdate"/>
    <w:basedOn w:val="58"/>
    <w:qFormat/>
    <w:uiPriority w:val="0"/>
    <w:rPr>
      <w:color w:val="333333"/>
      <w:sz w:val="18"/>
      <w:szCs w:val="18"/>
    </w:rPr>
  </w:style>
  <w:style w:type="character" w:customStyle="1" w:styleId="147">
    <w:name w:val="qxdate"/>
    <w:basedOn w:val="58"/>
    <w:qFormat/>
    <w:uiPriority w:val="0"/>
    <w:rPr>
      <w:color w:val="333333"/>
      <w:sz w:val="18"/>
      <w:szCs w:val="18"/>
    </w:rPr>
  </w:style>
  <w:style w:type="paragraph" w:customStyle="1" w:styleId="148">
    <w:name w:val="正文文字缩进 2"/>
    <w:basedOn w:val="1"/>
    <w:qFormat/>
    <w:uiPriority w:val="0"/>
    <w:pPr>
      <w:spacing w:line="351" w:lineRule="atLeast"/>
      <w:ind w:firstLine="481"/>
    </w:pPr>
    <w:rPr>
      <w:rFonts w:ascii="仿宋_GB2312" w:eastAsia="仿宋_GB2312"/>
      <w:sz w:val="24"/>
    </w:rPr>
  </w:style>
  <w:style w:type="paragraph" w:customStyle="1" w:styleId="149">
    <w:name w:val="正文文字缩进 3"/>
    <w:basedOn w:val="1"/>
    <w:qFormat/>
    <w:uiPriority w:val="0"/>
    <w:pPr>
      <w:spacing w:before="119" w:line="272" w:lineRule="atLeast"/>
      <w:ind w:left="719" w:firstLine="481"/>
      <w:jc w:val="left"/>
    </w:pPr>
    <w:rPr>
      <w:rFonts w:ascii="宋体"/>
      <w:sz w:val="24"/>
    </w:rPr>
  </w:style>
  <w:style w:type="paragraph" w:customStyle="1" w:styleId="150">
    <w:name w:val="普通文字"/>
    <w:basedOn w:val="1"/>
    <w:qFormat/>
    <w:uiPriority w:val="0"/>
    <w:pPr>
      <w:spacing w:line="351" w:lineRule="atLeast"/>
      <w:ind w:firstLine="419"/>
    </w:pPr>
    <w:rPr>
      <w:rFonts w:ascii="宋体"/>
    </w:rPr>
  </w:style>
  <w:style w:type="paragraph" w:customStyle="1" w:styleId="151">
    <w:name w:val="正文自"/>
    <w:basedOn w:val="1"/>
    <w:qFormat/>
    <w:uiPriority w:val="0"/>
    <w:pPr>
      <w:spacing w:afterLines="50" w:line="360" w:lineRule="auto"/>
      <w:ind w:left="903" w:leftChars="430" w:firstLine="480" w:firstLineChars="200"/>
    </w:pPr>
    <w:rPr>
      <w:kern w:val="0"/>
      <w:sz w:val="24"/>
      <w:szCs w:val="20"/>
    </w:rPr>
  </w:style>
  <w:style w:type="paragraph" w:customStyle="1" w:styleId="152">
    <w:name w:val="newtext"/>
    <w:basedOn w:val="1"/>
    <w:qFormat/>
    <w:uiPriority w:val="0"/>
    <w:pPr>
      <w:widowControl/>
      <w:spacing w:before="100" w:beforeAutospacing="1" w:after="100" w:afterAutospacing="1"/>
      <w:jc w:val="left"/>
    </w:pPr>
    <w:rPr>
      <w:rFonts w:ascii="宋体" w:hAnsi="宋体" w:eastAsia="微软雅黑"/>
      <w:kern w:val="0"/>
      <w:sz w:val="24"/>
    </w:rPr>
  </w:style>
  <w:style w:type="table" w:customStyle="1" w:styleId="153">
    <w:name w:val="Table"/>
    <w:basedOn w:val="57"/>
    <w:qFormat/>
    <w:uiPriority w:val="0"/>
    <w:pPr>
      <w:widowControl w:val="0"/>
      <w:spacing w:line="240" w:lineRule="auto"/>
      <w:jc w:val="center"/>
    </w:pPr>
    <w:rPr>
      <w:rFonts w:ascii="Times New Roman" w:hAnsi="Times New Roman" w:eastAsia="宋体" w:cs="Arial"/>
      <w:sz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rPr>
        <w:rFonts w:cs="Times New Roman"/>
        <w:b w:val="0"/>
        <w:bCs w:val="0"/>
        <w:i w:val="0"/>
        <w:iCs w:val="0"/>
        <w:color w:val="auto"/>
        <w:sz w:val="20"/>
        <w:szCs w:val="20"/>
      </w: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paragraph" w:customStyle="1" w:styleId="154">
    <w:name w:val="标题5"/>
    <w:basedOn w:val="1"/>
    <w:qFormat/>
    <w:uiPriority w:val="0"/>
    <w:pPr>
      <w:spacing w:before="100" w:beforeAutospacing="1" w:after="100" w:afterAutospacing="1"/>
      <w:outlineLvl w:val="4"/>
    </w:pPr>
    <w:rPr>
      <w:b/>
    </w:rPr>
  </w:style>
  <w:style w:type="character" w:customStyle="1" w:styleId="155">
    <w:name w:val="font91"/>
    <w:basedOn w:val="58"/>
    <w:qFormat/>
    <w:uiPriority w:val="0"/>
    <w:rPr>
      <w:rFonts w:hint="eastAsia" w:ascii="宋体" w:hAnsi="宋体" w:eastAsia="宋体" w:cs="宋体"/>
      <w:color w:val="000000"/>
      <w:sz w:val="20"/>
      <w:szCs w:val="20"/>
      <w:u w:val="none"/>
    </w:rPr>
  </w:style>
  <w:style w:type="character" w:customStyle="1" w:styleId="156">
    <w:name w:val="font41"/>
    <w:basedOn w:val="58"/>
    <w:qFormat/>
    <w:uiPriority w:val="0"/>
    <w:rPr>
      <w:rFonts w:hint="eastAsia" w:ascii="宋体" w:hAnsi="宋体" w:eastAsia="宋体" w:cs="宋体"/>
      <w:color w:val="FF0000"/>
      <w:sz w:val="20"/>
      <w:szCs w:val="20"/>
      <w:u w:val="none"/>
    </w:rPr>
  </w:style>
  <w:style w:type="character" w:customStyle="1" w:styleId="157">
    <w:name w:val="font51"/>
    <w:basedOn w:val="58"/>
    <w:qFormat/>
    <w:uiPriority w:val="0"/>
    <w:rPr>
      <w:rFonts w:hint="eastAsia" w:ascii="宋体" w:hAnsi="宋体" w:eastAsia="宋体" w:cs="宋体"/>
      <w:color w:val="000000"/>
      <w:sz w:val="21"/>
      <w:szCs w:val="21"/>
      <w:u w:val="none"/>
    </w:rPr>
  </w:style>
  <w:style w:type="character" w:customStyle="1" w:styleId="158">
    <w:name w:val="font71"/>
    <w:basedOn w:val="58"/>
    <w:qFormat/>
    <w:uiPriority w:val="0"/>
    <w:rPr>
      <w:rFonts w:hint="default" w:ascii="Times New Roman" w:hAnsi="Times New Roman" w:cs="Times New Roman"/>
      <w:color w:val="000000"/>
      <w:sz w:val="21"/>
      <w:szCs w:val="21"/>
      <w:u w:val="none"/>
    </w:rPr>
  </w:style>
  <w:style w:type="character" w:customStyle="1" w:styleId="159">
    <w:name w:val="font61"/>
    <w:basedOn w:val="58"/>
    <w:qFormat/>
    <w:uiPriority w:val="0"/>
    <w:rPr>
      <w:rFonts w:hint="eastAsia" w:ascii="宋体" w:hAnsi="宋体" w:eastAsia="宋体" w:cs="宋体"/>
      <w:color w:val="000000"/>
      <w:sz w:val="20"/>
      <w:szCs w:val="20"/>
      <w:u w:val="none"/>
      <w:vertAlign w:val="superscript"/>
    </w:rPr>
  </w:style>
  <w:style w:type="paragraph" w:customStyle="1" w:styleId="160">
    <w:name w:val="技术方案正文样式"/>
    <w:basedOn w:val="1"/>
    <w:qFormat/>
    <w:uiPriority w:val="0"/>
    <w:pPr>
      <w:autoSpaceDE w:val="0"/>
      <w:autoSpaceDN w:val="0"/>
      <w:adjustRightInd w:val="0"/>
      <w:spacing w:line="400" w:lineRule="exact"/>
      <w:ind w:firstLine="480" w:firstLineChars="200"/>
    </w:pPr>
    <w:rPr>
      <w:rFonts w:ascii="宋体" w:hAnsi="宋体"/>
      <w:sz w:val="24"/>
      <w:szCs w:val="21"/>
    </w:rPr>
  </w:style>
  <w:style w:type="paragraph" w:customStyle="1" w:styleId="161">
    <w:name w:val="WPSOffice手动目录 1"/>
    <w:qFormat/>
    <w:uiPriority w:val="0"/>
    <w:rPr>
      <w:rFonts w:ascii="Times New Roman" w:hAnsi="Times New Roman" w:eastAsia="宋体" w:cs="Times New Roman"/>
      <w:lang w:val="en-US" w:eastAsia="zh-CN" w:bidi="ar-SA"/>
    </w:rPr>
  </w:style>
  <w:style w:type="paragraph" w:customStyle="1" w:styleId="162">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63">
    <w:name w:val="未处理的提及1"/>
    <w:basedOn w:val="58"/>
    <w:semiHidden/>
    <w:unhideWhenUsed/>
    <w:qFormat/>
    <w:uiPriority w:val="99"/>
    <w:rPr>
      <w:color w:val="605E5C"/>
      <w:shd w:val="clear" w:color="auto" w:fill="E1DFDD"/>
    </w:rPr>
  </w:style>
  <w:style w:type="character" w:customStyle="1" w:styleId="164">
    <w:name w:val="未处理的提及2"/>
    <w:basedOn w:val="58"/>
    <w:semiHidden/>
    <w:unhideWhenUsed/>
    <w:qFormat/>
    <w:uiPriority w:val="99"/>
    <w:rPr>
      <w:color w:val="605E5C"/>
      <w:shd w:val="clear" w:color="auto" w:fill="E1DFDD"/>
    </w:rPr>
  </w:style>
  <w:style w:type="paragraph" w:customStyle="1" w:styleId="165">
    <w:name w:val="TOC 标题2"/>
    <w:basedOn w:val="3"/>
    <w:next w:val="1"/>
    <w:unhideWhenUsed/>
    <w:qFormat/>
    <w:uiPriority w:val="39"/>
    <w:pPr>
      <w:widowControl/>
      <w:autoSpaceDE/>
      <w:autoSpaceDN/>
      <w:adjustRightInd/>
      <w:spacing w:after="0" w:line="259" w:lineRule="auto"/>
      <w:jc w:val="left"/>
      <w:outlineLvl w:val="9"/>
    </w:pPr>
    <w:rPr>
      <w:rFonts w:asciiTheme="majorHAnsi" w:hAnsiTheme="majorHAnsi" w:eastAsiaTheme="majorEastAsia" w:cstheme="majorBidi"/>
      <w:b w:val="0"/>
      <w:bCs w:val="0"/>
      <w:color w:val="376092" w:themeColor="accent1" w:themeShade="BF"/>
      <w:kern w:val="0"/>
      <w:sz w:val="32"/>
      <w:szCs w:val="32"/>
      <w:lang w:val="en-US"/>
    </w:rPr>
  </w:style>
  <w:style w:type="table" w:customStyle="1" w:styleId="166">
    <w:name w:val="Table1"/>
    <w:basedOn w:val="57"/>
    <w:qFormat/>
    <w:uiPriority w:val="0"/>
    <w:pPr>
      <w:widowControl w:val="0"/>
      <w:spacing w:line="240" w:lineRule="auto"/>
      <w:jc w:val="center"/>
    </w:pPr>
    <w:rPr>
      <w:rFonts w:ascii="Times New Roman" w:hAnsi="Times New Roman" w:eastAsia="宋体" w:cs="Arial"/>
      <w:sz w:val="21"/>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jc w:val="center"/>
    </w:trPr>
    <w:tcPr>
      <w:vAlign w:val="center"/>
    </w:tcPr>
    <w:tblStylePr w:type="firstRow">
      <w:rPr>
        <w:rFonts w:cs="Times New Roman"/>
        <w:b w:val="0"/>
        <w:bCs w:val="0"/>
        <w:i w:val="0"/>
        <w:iCs w:val="0"/>
        <w:color w:val="auto"/>
        <w:sz w:val="20"/>
        <w:szCs w:val="20"/>
      </w:rPr>
      <w:tcPr>
        <w:tcBorders>
          <w:top w:val="single" w:color="auto" w:sz="6" w:space="0"/>
          <w:left w:val="single" w:color="auto" w:sz="6" w:space="0"/>
          <w:bottom w:val="single" w:color="auto" w:sz="6" w:space="0"/>
          <w:right w:val="single" w:color="auto" w:sz="6" w:space="0"/>
          <w:insideH w:val="single" w:sz="6" w:space="0"/>
          <w:insideV w:val="single" w:sz="6" w:space="0"/>
          <w:tl2br w:val="nil"/>
          <w:tr2bl w:val="nil"/>
        </w:tcBorders>
        <w:shd w:val="clear" w:color="auto" w:fill="D9D9D9"/>
      </w:tcPr>
    </w:tblStylePr>
  </w:style>
  <w:style w:type="table" w:customStyle="1" w:styleId="167">
    <w:name w:val="网格型2"/>
    <w:basedOn w:val="5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8">
    <w:name w:val="图片"/>
    <w:basedOn w:val="15"/>
    <w:link w:val="188"/>
    <w:qFormat/>
    <w:uiPriority w:val="0"/>
    <w:pPr>
      <w:ind w:left="-1260" w:leftChars="-600" w:right="-1260" w:rightChars="-600" w:firstLine="0" w:firstLineChars="0"/>
      <w:jc w:val="center"/>
    </w:pPr>
  </w:style>
  <w:style w:type="paragraph" w:customStyle="1" w:styleId="169">
    <w:name w:val="表格"/>
    <w:basedOn w:val="15"/>
    <w:link w:val="187"/>
    <w:qFormat/>
    <w:uiPriority w:val="0"/>
    <w:pPr>
      <w:spacing w:line="240" w:lineRule="auto"/>
      <w:ind w:firstLine="0" w:firstLineChars="0"/>
      <w:jc w:val="center"/>
    </w:pPr>
  </w:style>
  <w:style w:type="table" w:customStyle="1" w:styleId="170">
    <w:name w:val="清单表 6 彩色1"/>
    <w:basedOn w:val="55"/>
    <w:qFormat/>
    <w:uiPriority w:val="51"/>
    <w:rPr>
      <w:color w:val="000000" w:themeColor="text1"/>
      <w14:textFill>
        <w14:solidFill>
          <w14:schemeClr w14:val="tx1"/>
        </w14:solidFill>
      </w14:textFill>
    </w:rPr>
    <w:tblPr>
      <w:tblBorders>
        <w:top w:val="single" w:color="000000" w:themeColor="text1" w:sz="4" w:space="0"/>
        <w:bottom w:val="single" w:color="000000" w:themeColor="text1" w:sz="4" w:space="0"/>
      </w:tblBorders>
    </w:tblPr>
    <w:tblStylePr w:type="firstRow">
      <w:rPr>
        <w:b/>
        <w:bCs/>
      </w:rPr>
      <w:tcPr>
        <w:tcBorders>
          <w:bottom w:val="single" w:color="000000" w:themeColor="text1" w:sz="4" w:space="0"/>
        </w:tcBorders>
      </w:tcPr>
    </w:tblStylePr>
    <w:tblStylePr w:type="lastRow">
      <w:rPr>
        <w:b/>
        <w:bCs/>
      </w:rPr>
      <w:tcPr>
        <w:tcBorders>
          <w:top w:val="double" w:color="000000" w:themeColor="text1" w:sz="4" w:space="0"/>
        </w:tcBorders>
      </w:tcPr>
    </w:tblStylePr>
    <w:tblStylePr w:type="firstCol">
      <w:rPr>
        <w:b/>
        <w:bCs/>
      </w:rPr>
    </w:tblStylePr>
    <w:tblStylePr w:type="lastCol">
      <w:rPr>
        <w:b/>
        <w:bCs/>
      </w:rPr>
    </w:tblStylePr>
    <w:tblStylePr w:type="band1Vert">
      <w:tcPr>
        <w:shd w:val="clear" w:color="auto" w:fill="CCCCCC" w:themeFill="text1" w:themeFillTint="33"/>
      </w:tcPr>
    </w:tblStylePr>
    <w:tblStylePr w:type="band1Horz">
      <w:tcPr>
        <w:shd w:val="clear" w:color="auto" w:fill="CCCCCC" w:themeFill="text1" w:themeFillTint="33"/>
      </w:tcPr>
    </w:tblStylePr>
  </w:style>
  <w:style w:type="character" w:customStyle="1" w:styleId="171">
    <w:name w:val="页眉 Char"/>
    <w:qFormat/>
    <w:uiPriority w:val="99"/>
    <w:rPr>
      <w:rFonts w:ascii="Times New Roman" w:hAnsi="Times New Roman" w:eastAsia="宋体" w:cs="Times New Roman"/>
      <w:kern w:val="0"/>
      <w:sz w:val="18"/>
      <w:szCs w:val="18"/>
    </w:rPr>
  </w:style>
  <w:style w:type="character" w:customStyle="1" w:styleId="172">
    <w:name w:val="页脚 Char"/>
    <w:qFormat/>
    <w:uiPriority w:val="99"/>
    <w:rPr>
      <w:rFonts w:ascii="Times New Roman" w:hAnsi="Times New Roman" w:eastAsia="宋体" w:cs="Times New Roman"/>
      <w:kern w:val="0"/>
      <w:sz w:val="18"/>
      <w:szCs w:val="18"/>
    </w:rPr>
  </w:style>
  <w:style w:type="character" w:customStyle="1" w:styleId="173">
    <w:name w:val="批注框文本 Char"/>
    <w:semiHidden/>
    <w:qFormat/>
    <w:uiPriority w:val="99"/>
    <w:rPr>
      <w:rFonts w:ascii="Times New Roman" w:hAnsi="Times New Roman" w:eastAsia="宋体" w:cs="Times New Roman"/>
      <w:kern w:val="0"/>
      <w:sz w:val="18"/>
      <w:szCs w:val="18"/>
    </w:rPr>
  </w:style>
  <w:style w:type="paragraph" w:customStyle="1" w:styleId="174">
    <w:name w:val="_Style 172"/>
    <w:basedOn w:val="1"/>
    <w:next w:val="1"/>
    <w:link w:val="179"/>
    <w:qFormat/>
    <w:uiPriority w:val="34"/>
    <w:pPr>
      <w:tabs>
        <w:tab w:val="right" w:leader="middleDot" w:pos="9061"/>
      </w:tabs>
      <w:adjustRightInd w:val="0"/>
      <w:spacing w:line="440" w:lineRule="exact"/>
      <w:jc w:val="left"/>
      <w:textAlignment w:val="baseline"/>
    </w:pPr>
    <w:rPr>
      <w:kern w:val="0"/>
      <w:szCs w:val="20"/>
    </w:rPr>
  </w:style>
  <w:style w:type="character" w:customStyle="1" w:styleId="175">
    <w:name w:val="标题 1 Char"/>
    <w:qFormat/>
    <w:uiPriority w:val="9"/>
    <w:rPr>
      <w:rFonts w:ascii="Times New Roman" w:hAnsi="Times New Roman" w:eastAsia="宋体" w:cs="Times New Roman"/>
      <w:b/>
      <w:bCs/>
      <w:kern w:val="44"/>
      <w:sz w:val="44"/>
      <w:szCs w:val="44"/>
    </w:rPr>
  </w:style>
  <w:style w:type="paragraph" w:customStyle="1" w:styleId="176">
    <w:name w:val="TOC 标题3"/>
    <w:basedOn w:val="3"/>
    <w:next w:val="1"/>
    <w:semiHidden/>
    <w:unhideWhenUsed/>
    <w:qFormat/>
    <w:uiPriority w:val="39"/>
    <w:pPr>
      <w:widowControl/>
      <w:autoSpaceDE/>
      <w:autoSpaceDN/>
      <w:adjustRightInd/>
      <w:spacing w:before="480" w:after="0" w:line="276" w:lineRule="auto"/>
      <w:jc w:val="left"/>
      <w:outlineLvl w:val="9"/>
    </w:pPr>
    <w:rPr>
      <w:rFonts w:ascii="Cambria" w:hAnsi="Cambria"/>
      <w:color w:val="365F91"/>
      <w:kern w:val="0"/>
      <w:szCs w:val="28"/>
      <w:lang w:val="en-US"/>
    </w:rPr>
  </w:style>
  <w:style w:type="paragraph" w:customStyle="1" w:styleId="177">
    <w:name w:val="一级标题"/>
    <w:basedOn w:val="128"/>
    <w:link w:val="180"/>
    <w:qFormat/>
    <w:uiPriority w:val="0"/>
    <w:pPr>
      <w:numPr>
        <w:ilvl w:val="0"/>
        <w:numId w:val="2"/>
      </w:numPr>
      <w:tabs>
        <w:tab w:val="left" w:pos="7245"/>
      </w:tabs>
      <w:adjustRightInd w:val="0"/>
      <w:spacing w:line="440" w:lineRule="exact"/>
      <w:ind w:firstLine="0" w:firstLineChars="0"/>
      <w:textAlignment w:val="baseline"/>
    </w:pPr>
    <w:rPr>
      <w:rFonts w:eastAsia="Times New Roman"/>
      <w:kern w:val="0"/>
      <w:sz w:val="24"/>
    </w:rPr>
  </w:style>
  <w:style w:type="paragraph" w:customStyle="1" w:styleId="178">
    <w:name w:val="二级标题"/>
    <w:basedOn w:val="128"/>
    <w:link w:val="182"/>
    <w:qFormat/>
    <w:uiPriority w:val="0"/>
    <w:pPr>
      <w:numPr>
        <w:ilvl w:val="1"/>
        <w:numId w:val="2"/>
      </w:numPr>
      <w:tabs>
        <w:tab w:val="left" w:pos="7245"/>
      </w:tabs>
      <w:adjustRightInd w:val="0"/>
      <w:spacing w:line="440" w:lineRule="exact"/>
      <w:ind w:firstLine="0" w:firstLineChars="0"/>
      <w:textAlignment w:val="baseline"/>
    </w:pPr>
    <w:rPr>
      <w:kern w:val="0"/>
      <w:sz w:val="24"/>
    </w:rPr>
  </w:style>
  <w:style w:type="character" w:customStyle="1" w:styleId="179">
    <w:name w:val="列出段落 Char"/>
    <w:link w:val="174"/>
    <w:qFormat/>
    <w:uiPriority w:val="34"/>
  </w:style>
  <w:style w:type="character" w:customStyle="1" w:styleId="180">
    <w:name w:val="一级标题 Char"/>
    <w:link w:val="177"/>
    <w:qFormat/>
    <w:uiPriority w:val="0"/>
    <w:rPr>
      <w:rFonts w:eastAsia="Times New Roman"/>
      <w:sz w:val="24"/>
      <w:szCs w:val="24"/>
    </w:rPr>
  </w:style>
  <w:style w:type="paragraph" w:customStyle="1" w:styleId="181">
    <w:name w:val="三级标题"/>
    <w:basedOn w:val="128"/>
    <w:link w:val="183"/>
    <w:qFormat/>
    <w:uiPriority w:val="0"/>
    <w:pPr>
      <w:numPr>
        <w:ilvl w:val="2"/>
        <w:numId w:val="2"/>
      </w:numPr>
      <w:tabs>
        <w:tab w:val="left" w:pos="7245"/>
      </w:tabs>
      <w:adjustRightInd w:val="0"/>
      <w:spacing w:line="440" w:lineRule="exact"/>
      <w:ind w:firstLine="0" w:firstLineChars="0"/>
      <w:textAlignment w:val="baseline"/>
    </w:pPr>
    <w:rPr>
      <w:kern w:val="0"/>
      <w:sz w:val="24"/>
    </w:rPr>
  </w:style>
  <w:style w:type="character" w:customStyle="1" w:styleId="182">
    <w:name w:val="二级标题 Char"/>
    <w:link w:val="178"/>
    <w:qFormat/>
    <w:uiPriority w:val="0"/>
    <w:rPr>
      <w:sz w:val="24"/>
      <w:szCs w:val="24"/>
    </w:rPr>
  </w:style>
  <w:style w:type="character" w:customStyle="1" w:styleId="183">
    <w:name w:val="三级标题 Char"/>
    <w:link w:val="181"/>
    <w:qFormat/>
    <w:uiPriority w:val="0"/>
    <w:rPr>
      <w:sz w:val="24"/>
      <w:szCs w:val="24"/>
    </w:rPr>
  </w:style>
  <w:style w:type="character" w:customStyle="1" w:styleId="184">
    <w:name w:val="标题 2 Char"/>
    <w:qFormat/>
    <w:uiPriority w:val="9"/>
    <w:rPr>
      <w:rFonts w:ascii="Cambria" w:hAnsi="Cambria" w:eastAsia="宋体" w:cs="Times New Roman"/>
      <w:b/>
      <w:bCs/>
      <w:kern w:val="0"/>
      <w:sz w:val="32"/>
      <w:szCs w:val="32"/>
    </w:rPr>
  </w:style>
  <w:style w:type="character" w:customStyle="1" w:styleId="185">
    <w:name w:val="标题 3 Char"/>
    <w:qFormat/>
    <w:uiPriority w:val="9"/>
    <w:rPr>
      <w:rFonts w:ascii="Times New Roman" w:hAnsi="Times New Roman" w:eastAsia="宋体" w:cs="Times New Roman"/>
      <w:b/>
      <w:bCs/>
      <w:kern w:val="0"/>
      <w:sz w:val="32"/>
      <w:szCs w:val="32"/>
    </w:rPr>
  </w:style>
  <w:style w:type="character" w:customStyle="1" w:styleId="186">
    <w:name w:val="正文2 Char"/>
    <w:link w:val="15"/>
    <w:qFormat/>
    <w:uiPriority w:val="0"/>
    <w:rPr>
      <w:kern w:val="2"/>
      <w:sz w:val="24"/>
    </w:rPr>
  </w:style>
  <w:style w:type="character" w:customStyle="1" w:styleId="187">
    <w:name w:val="表格 Char"/>
    <w:link w:val="169"/>
    <w:qFormat/>
    <w:uiPriority w:val="0"/>
    <w:rPr>
      <w:kern w:val="2"/>
      <w:sz w:val="24"/>
    </w:rPr>
  </w:style>
  <w:style w:type="character" w:customStyle="1" w:styleId="188">
    <w:name w:val="图片 Char"/>
    <w:link w:val="168"/>
    <w:qFormat/>
    <w:uiPriority w:val="0"/>
    <w:rPr>
      <w:kern w:val="2"/>
      <w:sz w:val="24"/>
    </w:rPr>
  </w:style>
  <w:style w:type="character" w:customStyle="1" w:styleId="189">
    <w:name w:val="题注 字符"/>
    <w:link w:val="14"/>
    <w:qFormat/>
    <w:uiPriority w:val="35"/>
    <w:rPr>
      <w:rFonts w:cstheme="majorBidi"/>
      <w:kern w:val="2"/>
      <w:sz w:val="24"/>
    </w:rPr>
  </w:style>
  <w:style w:type="paragraph" w:customStyle="1" w:styleId="190">
    <w:name w:val="修订4"/>
    <w:hidden/>
    <w:semiHidden/>
    <w:qFormat/>
    <w:uiPriority w:val="99"/>
    <w:rPr>
      <w:rFonts w:ascii="Times New Roman" w:hAnsi="Times New Roman" w:eastAsia="宋体" w:cs="Times New Roman"/>
      <w:sz w:val="21"/>
      <w:lang w:val="en-US" w:eastAsia="zh-CN" w:bidi="ar-SA"/>
    </w:rPr>
  </w:style>
  <w:style w:type="character" w:customStyle="1" w:styleId="191">
    <w:name w:val="日期 Char"/>
    <w:semiHidden/>
    <w:qFormat/>
    <w:uiPriority w:val="99"/>
    <w:rPr>
      <w:rFonts w:ascii="Times New Roman" w:hAnsi="Times New Roman" w:eastAsia="宋体" w:cs="Times New Roman"/>
      <w:kern w:val="0"/>
      <w:szCs w:val="20"/>
    </w:rPr>
  </w:style>
  <w:style w:type="character" w:customStyle="1" w:styleId="192">
    <w:name w:val="批注文字 Char"/>
    <w:semiHidden/>
    <w:qFormat/>
    <w:uiPriority w:val="99"/>
    <w:rPr>
      <w:rFonts w:ascii="Times New Roman" w:hAnsi="Times New Roman" w:eastAsia="宋体" w:cs="Times New Roman"/>
      <w:kern w:val="0"/>
      <w:szCs w:val="20"/>
    </w:rPr>
  </w:style>
  <w:style w:type="character" w:customStyle="1" w:styleId="193">
    <w:name w:val="批注主题 Char"/>
    <w:semiHidden/>
    <w:qFormat/>
    <w:uiPriority w:val="99"/>
    <w:rPr>
      <w:rFonts w:ascii="Times New Roman" w:hAnsi="Times New Roman" w:eastAsia="宋体" w:cs="Times New Roman"/>
      <w:b/>
      <w:bCs/>
      <w:kern w:val="0"/>
      <w:szCs w:val="20"/>
    </w:rPr>
  </w:style>
  <w:style w:type="paragraph" w:customStyle="1" w:styleId="194">
    <w:name w:val="Normal_5"/>
    <w:qFormat/>
    <w:uiPriority w:val="0"/>
    <w:pPr>
      <w:spacing w:before="120" w:after="240"/>
      <w:jc w:val="both"/>
    </w:pPr>
    <w:rPr>
      <w:rFonts w:ascii="Calibri" w:hAnsi="Calibri" w:eastAsia="Calibri" w:cs="Times New Roman"/>
      <w:sz w:val="22"/>
      <w:lang w:val="en-US" w:eastAsia="en-US" w:bidi="ar-SA"/>
    </w:rPr>
  </w:style>
  <w:style w:type="paragraph" w:customStyle="1" w:styleId="195">
    <w:name w:val="WPSOffice手动目录 3"/>
    <w:qFormat/>
    <w:uiPriority w:val="0"/>
    <w:pPr>
      <w:ind w:left="400" w:leftChars="400"/>
    </w:pPr>
    <w:rPr>
      <w:rFonts w:ascii="Calibri" w:hAnsi="Calibri" w:eastAsia="宋体" w:cs="Times New Roman"/>
      <w:lang w:val="en-US" w:eastAsia="zh-CN" w:bidi="ar-SA"/>
    </w:rPr>
  </w:style>
  <w:style w:type="character" w:customStyle="1" w:styleId="196">
    <w:name w:val="font11"/>
    <w:basedOn w:val="58"/>
    <w:qFormat/>
    <w:uiPriority w:val="0"/>
    <w:rPr>
      <w:rFonts w:hint="eastAsia" w:ascii="宋体" w:hAnsi="宋体" w:eastAsia="宋体" w:cs="宋体"/>
      <w:color w:val="000000"/>
      <w:sz w:val="18"/>
      <w:szCs w:val="18"/>
      <w:u w:val="none"/>
    </w:rPr>
  </w:style>
  <w:style w:type="paragraph" w:styleId="197">
    <w:name w:val="No Spacing"/>
    <w:qFormat/>
    <w:uiPriority w:val="1"/>
    <w:pPr>
      <w:widowControl w:val="0"/>
      <w:jc w:val="both"/>
    </w:pPr>
    <w:rPr>
      <w:rFonts w:ascii="Book Antiqua" w:hAnsi="Book Antiqua" w:eastAsia="宋体" w:cs="Times New Roman"/>
      <w:b/>
      <w:bCs/>
      <w:kern w:val="2"/>
      <w:sz w:val="32"/>
      <w:szCs w:val="24"/>
      <w:lang w:val="en-US" w:eastAsia="zh-CN" w:bidi="ar-SA"/>
    </w:rPr>
  </w:style>
  <w:style w:type="character" w:customStyle="1" w:styleId="198">
    <w:name w:val="未处理的提及3"/>
    <w:basedOn w:val="58"/>
    <w:semiHidden/>
    <w:unhideWhenUsed/>
    <w:qFormat/>
    <w:uiPriority w:val="99"/>
    <w:rPr>
      <w:color w:val="605E5C"/>
      <w:shd w:val="clear" w:color="auto" w:fill="E1DFDD"/>
    </w:rPr>
  </w:style>
  <w:style w:type="paragraph" w:customStyle="1" w:styleId="199">
    <w:name w:val="修订5"/>
    <w:hidden/>
    <w:semiHidden/>
    <w:qFormat/>
    <w:uiPriority w:val="99"/>
    <w:rPr>
      <w:rFonts w:ascii="Times New Roman" w:hAnsi="Times New Roman" w:eastAsia="宋体" w:cs="宋体"/>
      <w:kern w:val="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4.png"/><Relationship Id="rId21" Type="http://schemas.openxmlformats.org/officeDocument/2006/relationships/image" Target="media/image3.png"/><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5ECC7A-F856-4581-A906-D36F054920E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5791</Words>
  <Characters>33010</Characters>
  <Lines>275</Lines>
  <Paragraphs>77</Paragraphs>
  <TotalTime>137</TotalTime>
  <ScaleCrop>false</ScaleCrop>
  <LinksUpToDate>false</LinksUpToDate>
  <CharactersWithSpaces>38724</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2020-12-24T01:48:00Z</dcterms:created>
  <dc:creator>张晓超</dc:creator>
  <cp:lastModifiedBy>brett</cp:lastModifiedBy>
  <cp:lastPrinted>2020-05-22T07:52:00Z</cp:lastPrinted>
  <dcterms:modified xsi:type="dcterms:W3CDTF">2021-11-09T03:26:21Z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93B11B06F41D4F66A32984116520E858</vt:lpwstr>
  </property>
</Properties>
</file>