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EE9EB">
      <w:pPr>
        <w:pStyle w:val="18"/>
        <w:rPr>
          <w:rFonts w:hint="eastAsia" w:ascii="宋体" w:hAnsi="宋体" w:eastAsia="宋体" w:cs="宋体"/>
          <w:color w:val="auto"/>
          <w:highlight w:val="none"/>
        </w:rPr>
      </w:pPr>
    </w:p>
    <w:p w14:paraId="1DBFAB9A">
      <w:pPr>
        <w:pStyle w:val="18"/>
        <w:rPr>
          <w:rFonts w:hint="eastAsia" w:ascii="宋体" w:hAnsi="宋体" w:eastAsia="宋体" w:cs="宋体"/>
          <w:color w:val="auto"/>
          <w:highlight w:val="none"/>
        </w:rPr>
      </w:pPr>
    </w:p>
    <w:p w14:paraId="3454224F">
      <w:pPr>
        <w:wordWrap w:val="0"/>
        <w:adjustRightInd w:val="0"/>
        <w:snapToGrid w:val="0"/>
        <w:spacing w:line="360" w:lineRule="auto"/>
        <w:jc w:val="center"/>
        <w:outlineLvl w:val="0"/>
        <w:rPr>
          <w:rFonts w:hint="eastAsia" w:ascii="宋体" w:hAnsi="宋体" w:eastAsia="宋体" w:cs="宋体"/>
          <w:b/>
          <w:color w:val="auto"/>
          <w:sz w:val="24"/>
          <w:szCs w:val="22"/>
          <w:highlight w:val="none"/>
          <w:lang w:eastAsia="zh-CN"/>
        </w:rPr>
      </w:pPr>
      <w:r>
        <w:rPr>
          <w:rFonts w:hint="eastAsia" w:hAnsi="宋体" w:cs="宋体"/>
          <w:b/>
          <w:color w:val="auto"/>
          <w:sz w:val="48"/>
          <w:szCs w:val="44"/>
          <w:highlight w:val="none"/>
          <w:lang w:eastAsia="zh-CN"/>
        </w:rPr>
        <w:t>腾冲市固东镇集镇环西路建设项目 (二期工程)二次</w:t>
      </w:r>
    </w:p>
    <w:p w14:paraId="4B345BDC">
      <w:pPr>
        <w:pStyle w:val="18"/>
        <w:rPr>
          <w:rFonts w:hint="eastAsia" w:ascii="宋体" w:hAnsi="宋体" w:eastAsia="宋体" w:cs="宋体"/>
          <w:color w:val="auto"/>
          <w:highlight w:val="none"/>
        </w:rPr>
      </w:pPr>
    </w:p>
    <w:p w14:paraId="2FEC0BD8">
      <w:pPr>
        <w:pStyle w:val="18"/>
        <w:rPr>
          <w:rFonts w:hint="eastAsia" w:ascii="宋体" w:hAnsi="宋体" w:eastAsia="宋体" w:cs="宋体"/>
          <w:color w:val="auto"/>
          <w:highlight w:val="none"/>
        </w:rPr>
      </w:pPr>
    </w:p>
    <w:p w14:paraId="401CDE78">
      <w:pPr>
        <w:pStyle w:val="18"/>
        <w:rPr>
          <w:rFonts w:hint="eastAsia" w:ascii="宋体" w:hAnsi="宋体" w:eastAsia="宋体" w:cs="宋体"/>
          <w:color w:val="auto"/>
          <w:highlight w:val="none"/>
        </w:rPr>
      </w:pPr>
    </w:p>
    <w:p w14:paraId="498219F1">
      <w:pPr>
        <w:pStyle w:val="18"/>
        <w:rPr>
          <w:rFonts w:hint="eastAsia" w:ascii="宋体" w:hAnsi="宋体" w:eastAsia="宋体" w:cs="宋体"/>
          <w:color w:val="auto"/>
          <w:highlight w:val="none"/>
        </w:rPr>
      </w:pPr>
    </w:p>
    <w:p w14:paraId="5544CF61">
      <w:pPr>
        <w:pStyle w:val="18"/>
        <w:rPr>
          <w:rFonts w:hint="eastAsia" w:ascii="宋体" w:hAnsi="宋体" w:eastAsia="宋体" w:cs="宋体"/>
          <w:color w:val="auto"/>
          <w:highlight w:val="none"/>
        </w:rPr>
      </w:pPr>
    </w:p>
    <w:p w14:paraId="0ED75844">
      <w:pPr>
        <w:pStyle w:val="18"/>
        <w:rPr>
          <w:rFonts w:hint="eastAsia" w:ascii="宋体" w:hAnsi="宋体" w:eastAsia="宋体" w:cs="宋体"/>
          <w:color w:val="auto"/>
          <w:highlight w:val="none"/>
        </w:rPr>
      </w:pPr>
    </w:p>
    <w:p w14:paraId="620CA820">
      <w:pPr>
        <w:pStyle w:val="18"/>
        <w:rPr>
          <w:rFonts w:hint="eastAsia" w:ascii="宋体" w:hAnsi="宋体" w:eastAsia="宋体" w:cs="宋体"/>
          <w:color w:val="auto"/>
          <w:highlight w:val="none"/>
        </w:rPr>
      </w:pPr>
    </w:p>
    <w:p w14:paraId="6210E79F">
      <w:pPr>
        <w:pStyle w:val="18"/>
        <w:rPr>
          <w:rFonts w:hint="eastAsia" w:ascii="宋体" w:hAnsi="宋体" w:eastAsia="宋体" w:cs="宋体"/>
          <w:color w:val="auto"/>
          <w:highlight w:val="none"/>
        </w:rPr>
      </w:pPr>
    </w:p>
    <w:p w14:paraId="09286D50">
      <w:pPr>
        <w:pStyle w:val="18"/>
        <w:rPr>
          <w:rFonts w:hint="eastAsia" w:ascii="宋体" w:hAnsi="宋体" w:eastAsia="宋体" w:cs="宋体"/>
          <w:color w:val="auto"/>
          <w:highlight w:val="none"/>
        </w:rPr>
      </w:pPr>
    </w:p>
    <w:p w14:paraId="6F7D3871">
      <w:pPr>
        <w:widowControl/>
        <w:spacing w:line="720" w:lineRule="auto"/>
        <w:jc w:val="center"/>
        <w:outlineLvl w:val="0"/>
        <w:rPr>
          <w:rFonts w:hint="eastAsia" w:ascii="宋体" w:hAnsi="宋体" w:eastAsia="宋体" w:cs="宋体"/>
          <w:b/>
          <w:snapToGrid/>
          <w:color w:val="auto"/>
          <w:kern w:val="0"/>
          <w:sz w:val="72"/>
          <w:szCs w:val="72"/>
          <w:highlight w:val="none"/>
        </w:rPr>
      </w:pPr>
      <w:bookmarkStart w:id="0" w:name="_Toc28174"/>
      <w:bookmarkStart w:id="1" w:name="_Toc25223"/>
      <w:bookmarkStart w:id="2" w:name="_Toc17568"/>
      <w:bookmarkStart w:id="3" w:name="_Toc4663"/>
      <w:r>
        <w:rPr>
          <w:rFonts w:hint="eastAsia" w:ascii="宋体" w:hAnsi="宋体" w:eastAsia="宋体" w:cs="宋体"/>
          <w:b/>
          <w:snapToGrid/>
          <w:color w:val="auto"/>
          <w:kern w:val="0"/>
          <w:sz w:val="56"/>
          <w:szCs w:val="56"/>
          <w:highlight w:val="none"/>
        </w:rPr>
        <w:t>竞争性磋商文件</w:t>
      </w:r>
      <w:bookmarkEnd w:id="0"/>
      <w:bookmarkEnd w:id="1"/>
      <w:bookmarkEnd w:id="2"/>
      <w:bookmarkEnd w:id="3"/>
    </w:p>
    <w:p w14:paraId="6AAA5172">
      <w:pPr>
        <w:widowControl/>
        <w:spacing w:line="720" w:lineRule="auto"/>
        <w:jc w:val="center"/>
        <w:outlineLvl w:val="0"/>
        <w:rPr>
          <w:rFonts w:hint="eastAsia" w:hAnsi="宋体" w:cs="宋体"/>
          <w:b/>
          <w:snapToGrid/>
          <w:color w:val="auto"/>
          <w:kern w:val="0"/>
          <w:sz w:val="28"/>
          <w:szCs w:val="28"/>
          <w:highlight w:val="none"/>
          <w:lang w:val="en-US" w:eastAsia="zh-CN"/>
        </w:rPr>
      </w:pPr>
      <w:bookmarkStart w:id="4" w:name="_Toc15196"/>
      <w:bookmarkStart w:id="5" w:name="_Toc27958"/>
      <w:r>
        <w:rPr>
          <w:rFonts w:hint="eastAsia" w:ascii="宋体" w:hAnsi="宋体" w:eastAsia="宋体" w:cs="宋体"/>
          <w:b/>
          <w:snapToGrid/>
          <w:color w:val="auto"/>
          <w:kern w:val="0"/>
          <w:sz w:val="28"/>
          <w:szCs w:val="28"/>
          <w:highlight w:val="none"/>
        </w:rPr>
        <w:t>项目编号</w:t>
      </w:r>
      <w:r>
        <w:rPr>
          <w:rFonts w:hint="eastAsia" w:hAnsi="宋体" w:cs="宋体"/>
          <w:b/>
          <w:snapToGrid/>
          <w:color w:val="auto"/>
          <w:kern w:val="0"/>
          <w:sz w:val="28"/>
          <w:szCs w:val="28"/>
          <w:highlight w:val="none"/>
          <w:lang w:eastAsia="zh-CN"/>
        </w:rPr>
        <w:t>：</w:t>
      </w:r>
      <w:bookmarkEnd w:id="4"/>
      <w:bookmarkEnd w:id="5"/>
      <w:bookmarkStart w:id="923" w:name="_GoBack"/>
      <w:bookmarkEnd w:id="923"/>
      <w:r>
        <w:rPr>
          <w:rFonts w:hint="eastAsia" w:hAnsi="宋体" w:cs="宋体"/>
          <w:b/>
          <w:snapToGrid/>
          <w:color w:val="auto"/>
          <w:kern w:val="0"/>
          <w:sz w:val="28"/>
          <w:szCs w:val="28"/>
          <w:highlight w:val="none"/>
          <w:lang w:val="en-US" w:eastAsia="zh-CN"/>
        </w:rPr>
        <w:t>BSZC2025-C2-00939-YNXH-0017</w:t>
      </w:r>
    </w:p>
    <w:p w14:paraId="294E9C34">
      <w:pPr>
        <w:spacing w:line="760" w:lineRule="exact"/>
        <w:jc w:val="center"/>
        <w:rPr>
          <w:rFonts w:hint="eastAsia" w:ascii="宋体" w:hAnsi="宋体" w:eastAsia="宋体" w:cs="宋体"/>
          <w:bCs/>
          <w:color w:val="auto"/>
          <w:szCs w:val="21"/>
          <w:highlight w:val="none"/>
        </w:rPr>
      </w:pPr>
    </w:p>
    <w:p w14:paraId="13F005CB">
      <w:pPr>
        <w:rPr>
          <w:rFonts w:hint="eastAsia" w:ascii="宋体" w:hAnsi="宋体" w:eastAsia="宋体" w:cs="宋体"/>
          <w:color w:val="auto"/>
          <w:highlight w:val="none"/>
        </w:rPr>
      </w:pPr>
    </w:p>
    <w:p w14:paraId="3550EB68">
      <w:pPr>
        <w:pStyle w:val="2"/>
        <w:rPr>
          <w:rFonts w:hint="eastAsia"/>
        </w:rPr>
      </w:pPr>
    </w:p>
    <w:p w14:paraId="55EAC532">
      <w:pPr>
        <w:rPr>
          <w:rFonts w:hint="eastAsia" w:ascii="宋体" w:hAnsi="宋体" w:eastAsia="宋体" w:cs="宋体"/>
          <w:color w:val="auto"/>
          <w:highlight w:val="none"/>
        </w:rPr>
      </w:pPr>
    </w:p>
    <w:p w14:paraId="56171543">
      <w:pPr>
        <w:rPr>
          <w:rFonts w:hint="eastAsia" w:ascii="宋体" w:hAnsi="宋体" w:eastAsia="宋体" w:cs="宋体"/>
          <w:color w:val="auto"/>
          <w:highlight w:val="none"/>
        </w:rPr>
      </w:pPr>
    </w:p>
    <w:p w14:paraId="181467E8">
      <w:pPr>
        <w:rPr>
          <w:rFonts w:hint="eastAsia" w:ascii="宋体" w:hAnsi="宋体" w:eastAsia="宋体" w:cs="宋体"/>
          <w:color w:val="auto"/>
          <w:highlight w:val="none"/>
        </w:rPr>
      </w:pPr>
    </w:p>
    <w:p w14:paraId="594F6541">
      <w:pPr>
        <w:rPr>
          <w:rFonts w:hint="eastAsia" w:ascii="宋体" w:hAnsi="宋体" w:eastAsia="宋体" w:cs="宋体"/>
          <w:color w:val="auto"/>
          <w:highlight w:val="none"/>
        </w:rPr>
      </w:pPr>
    </w:p>
    <w:p w14:paraId="5CCE1F56">
      <w:pPr>
        <w:rPr>
          <w:rFonts w:hint="eastAsia" w:ascii="宋体" w:hAnsi="宋体" w:eastAsia="宋体" w:cs="宋体"/>
          <w:color w:val="auto"/>
          <w:highlight w:val="none"/>
        </w:rPr>
      </w:pPr>
    </w:p>
    <w:p w14:paraId="27832A8E">
      <w:pPr>
        <w:keepNext w:val="0"/>
        <w:keepLines w:val="0"/>
        <w:pageBreakBefore w:val="0"/>
        <w:widowControl/>
        <w:kinsoku/>
        <w:wordWrap/>
        <w:overflowPunct/>
        <w:topLinePunct w:val="0"/>
        <w:autoSpaceDE/>
        <w:autoSpaceDN/>
        <w:bidi w:val="0"/>
        <w:adjustRightInd/>
        <w:snapToGrid/>
        <w:spacing w:line="720" w:lineRule="auto"/>
        <w:ind w:firstLine="425"/>
        <w:jc w:val="left"/>
        <w:textAlignment w:val="auto"/>
        <w:rPr>
          <w:rFonts w:hint="eastAsia" w:ascii="宋体" w:hAnsi="宋体" w:eastAsia="宋体" w:cs="宋体"/>
          <w:b/>
          <w:bCs/>
          <w:snapToGrid/>
          <w:color w:val="auto"/>
          <w:kern w:val="0"/>
          <w:sz w:val="30"/>
          <w:szCs w:val="30"/>
          <w:highlight w:val="none"/>
          <w:lang w:eastAsia="zh-CN"/>
        </w:rPr>
      </w:pPr>
      <w:r>
        <w:rPr>
          <w:rFonts w:hint="eastAsia" w:ascii="宋体" w:hAnsi="宋体" w:eastAsia="宋体" w:cs="宋体"/>
          <w:b/>
          <w:bCs/>
          <w:snapToGrid/>
          <w:color w:val="auto"/>
          <w:kern w:val="0"/>
          <w:sz w:val="30"/>
          <w:szCs w:val="30"/>
          <w:highlight w:val="none"/>
        </w:rPr>
        <w:t>采</w:t>
      </w:r>
      <w:r>
        <w:rPr>
          <w:rFonts w:hint="eastAsia" w:hAnsi="宋体" w:cs="宋体"/>
          <w:b/>
          <w:bCs/>
          <w:snapToGrid/>
          <w:color w:val="auto"/>
          <w:kern w:val="0"/>
          <w:sz w:val="30"/>
          <w:szCs w:val="30"/>
          <w:highlight w:val="none"/>
          <w:lang w:val="en-US" w:eastAsia="zh-CN"/>
        </w:rPr>
        <w:t xml:space="preserve">   </w:t>
      </w:r>
      <w:r>
        <w:rPr>
          <w:rFonts w:hint="eastAsia" w:ascii="宋体" w:hAnsi="宋体" w:eastAsia="宋体" w:cs="宋体"/>
          <w:b/>
          <w:bCs/>
          <w:snapToGrid/>
          <w:color w:val="auto"/>
          <w:kern w:val="0"/>
          <w:sz w:val="30"/>
          <w:szCs w:val="30"/>
          <w:highlight w:val="none"/>
        </w:rPr>
        <w:t>购</w:t>
      </w:r>
      <w:r>
        <w:rPr>
          <w:rFonts w:hint="eastAsia" w:hAnsi="宋体" w:cs="宋体"/>
          <w:b/>
          <w:bCs/>
          <w:snapToGrid/>
          <w:color w:val="auto"/>
          <w:kern w:val="0"/>
          <w:sz w:val="30"/>
          <w:szCs w:val="30"/>
          <w:highlight w:val="none"/>
          <w:lang w:val="en-US" w:eastAsia="zh-CN"/>
        </w:rPr>
        <w:t xml:space="preserve">   </w:t>
      </w:r>
      <w:r>
        <w:rPr>
          <w:rFonts w:hint="eastAsia" w:ascii="宋体" w:hAnsi="宋体" w:eastAsia="宋体" w:cs="宋体"/>
          <w:b/>
          <w:bCs/>
          <w:snapToGrid/>
          <w:color w:val="auto"/>
          <w:kern w:val="0"/>
          <w:sz w:val="30"/>
          <w:szCs w:val="30"/>
          <w:highlight w:val="none"/>
        </w:rPr>
        <w:t>人：</w:t>
      </w:r>
      <w:r>
        <w:rPr>
          <w:rFonts w:hint="eastAsia" w:hAnsi="宋体" w:cs="宋体"/>
          <w:b/>
          <w:bCs/>
          <w:snapToGrid/>
          <w:color w:val="auto"/>
          <w:kern w:val="0"/>
          <w:sz w:val="30"/>
          <w:szCs w:val="30"/>
          <w:highlight w:val="none"/>
          <w:u w:val="single"/>
          <w:lang w:val="en-US" w:eastAsia="zh-CN"/>
        </w:rPr>
        <w:t>腾冲市固东镇人民政府</w:t>
      </w:r>
    </w:p>
    <w:p w14:paraId="3913AF23">
      <w:pPr>
        <w:keepNext w:val="0"/>
        <w:keepLines w:val="0"/>
        <w:pageBreakBefore w:val="0"/>
        <w:widowControl/>
        <w:kinsoku/>
        <w:wordWrap/>
        <w:overflowPunct/>
        <w:topLinePunct w:val="0"/>
        <w:autoSpaceDE/>
        <w:autoSpaceDN/>
        <w:bidi w:val="0"/>
        <w:adjustRightInd/>
        <w:snapToGrid/>
        <w:spacing w:line="720" w:lineRule="auto"/>
        <w:ind w:firstLine="425"/>
        <w:jc w:val="left"/>
        <w:textAlignment w:val="auto"/>
        <w:outlineLvl w:val="0"/>
        <w:rPr>
          <w:rFonts w:hint="eastAsia" w:ascii="宋体" w:hAnsi="宋体" w:eastAsia="宋体" w:cs="宋体"/>
          <w:b/>
          <w:bCs/>
          <w:snapToGrid/>
          <w:color w:val="auto"/>
          <w:kern w:val="0"/>
          <w:sz w:val="30"/>
          <w:szCs w:val="30"/>
          <w:highlight w:val="none"/>
          <w:lang w:eastAsia="zh-CN"/>
        </w:rPr>
      </w:pPr>
      <w:bookmarkStart w:id="6" w:name="_Toc9160"/>
      <w:bookmarkStart w:id="7" w:name="_Toc7678"/>
      <w:r>
        <w:rPr>
          <w:rFonts w:hint="eastAsia" w:ascii="宋体" w:hAnsi="宋体" w:eastAsia="宋体" w:cs="宋体"/>
          <w:b/>
          <w:bCs/>
          <w:snapToGrid/>
          <w:color w:val="auto"/>
          <w:kern w:val="0"/>
          <w:sz w:val="30"/>
          <w:szCs w:val="30"/>
          <w:highlight w:val="none"/>
        </w:rPr>
        <w:t>采购代理机构：</w:t>
      </w:r>
      <w:bookmarkEnd w:id="6"/>
      <w:bookmarkEnd w:id="7"/>
      <w:r>
        <w:rPr>
          <w:rFonts w:hint="eastAsia" w:hAnsi="宋体" w:cs="宋体"/>
          <w:b/>
          <w:bCs/>
          <w:snapToGrid/>
          <w:color w:val="auto"/>
          <w:kern w:val="0"/>
          <w:sz w:val="30"/>
          <w:szCs w:val="30"/>
          <w:highlight w:val="none"/>
          <w:u w:val="single"/>
          <w:lang w:eastAsia="zh-CN"/>
        </w:rPr>
        <w:t>云南信活工程服务有限责任公司</w:t>
      </w:r>
    </w:p>
    <w:p w14:paraId="09995873">
      <w:pPr>
        <w:widowControl/>
        <w:spacing w:line="480" w:lineRule="auto"/>
        <w:ind w:firstLine="426"/>
        <w:jc w:val="left"/>
        <w:rPr>
          <w:rFonts w:hint="eastAsia" w:ascii="宋体" w:hAnsi="宋体" w:eastAsia="宋体" w:cs="宋体"/>
          <w:b/>
          <w:bCs/>
          <w:snapToGrid/>
          <w:color w:val="auto"/>
          <w:kern w:val="0"/>
          <w:sz w:val="30"/>
          <w:szCs w:val="30"/>
          <w:highlight w:val="none"/>
        </w:rPr>
      </w:pPr>
      <w:r>
        <w:rPr>
          <w:rFonts w:hint="eastAsia" w:ascii="宋体" w:hAnsi="宋体" w:eastAsia="宋体" w:cs="宋体"/>
          <w:b/>
          <w:bCs/>
          <w:snapToGrid/>
          <w:color w:val="auto"/>
          <w:kern w:val="0"/>
          <w:sz w:val="30"/>
          <w:szCs w:val="30"/>
          <w:highlight w:val="none"/>
          <w:lang w:val="en-US" w:eastAsia="zh-CN"/>
        </w:rPr>
        <w:t>日期：</w:t>
      </w:r>
      <w:r>
        <w:rPr>
          <w:rFonts w:hint="eastAsia" w:ascii="宋体" w:hAnsi="宋体" w:eastAsia="宋体" w:cs="宋体"/>
          <w:b/>
          <w:bCs/>
          <w:snapToGrid/>
          <w:color w:val="auto"/>
          <w:kern w:val="0"/>
          <w:sz w:val="30"/>
          <w:szCs w:val="30"/>
          <w:highlight w:val="none"/>
        </w:rPr>
        <w:t>202</w:t>
      </w:r>
      <w:r>
        <w:rPr>
          <w:rFonts w:hint="eastAsia" w:hAnsi="宋体" w:cs="宋体"/>
          <w:b/>
          <w:bCs/>
          <w:snapToGrid/>
          <w:color w:val="auto"/>
          <w:kern w:val="0"/>
          <w:sz w:val="30"/>
          <w:szCs w:val="30"/>
          <w:highlight w:val="none"/>
          <w:lang w:val="en-US" w:eastAsia="zh-CN"/>
        </w:rPr>
        <w:t>5</w:t>
      </w:r>
      <w:r>
        <w:rPr>
          <w:rFonts w:hint="eastAsia" w:ascii="宋体" w:hAnsi="宋体" w:eastAsia="宋体" w:cs="宋体"/>
          <w:b/>
          <w:bCs/>
          <w:snapToGrid/>
          <w:color w:val="auto"/>
          <w:kern w:val="0"/>
          <w:sz w:val="30"/>
          <w:szCs w:val="30"/>
          <w:highlight w:val="none"/>
        </w:rPr>
        <w:t>年</w:t>
      </w:r>
      <w:r>
        <w:rPr>
          <w:rFonts w:hint="eastAsia" w:hAnsi="宋体" w:cs="宋体"/>
          <w:b/>
          <w:bCs/>
          <w:snapToGrid/>
          <w:color w:val="auto"/>
          <w:kern w:val="0"/>
          <w:sz w:val="30"/>
          <w:szCs w:val="30"/>
          <w:highlight w:val="none"/>
          <w:lang w:val="en-US" w:eastAsia="zh-CN"/>
        </w:rPr>
        <w:t>08</w:t>
      </w:r>
      <w:r>
        <w:rPr>
          <w:rFonts w:hint="eastAsia" w:ascii="宋体" w:hAnsi="宋体" w:eastAsia="宋体" w:cs="宋体"/>
          <w:b/>
          <w:bCs/>
          <w:snapToGrid/>
          <w:color w:val="auto"/>
          <w:kern w:val="0"/>
          <w:sz w:val="30"/>
          <w:szCs w:val="30"/>
          <w:highlight w:val="none"/>
        </w:rPr>
        <w:t>月</w:t>
      </w:r>
    </w:p>
    <w:p w14:paraId="3D5CECD9">
      <w:pPr>
        <w:rPr>
          <w:rFonts w:hint="eastAsia" w:ascii="宋体" w:hAnsi="宋体" w:eastAsia="宋体" w:cs="宋体"/>
          <w:b/>
          <w:bCs/>
          <w:snapToGrid/>
          <w:color w:val="auto"/>
          <w:kern w:val="0"/>
          <w:sz w:val="30"/>
          <w:szCs w:val="30"/>
          <w:highlight w:val="none"/>
        </w:rPr>
      </w:pPr>
      <w:r>
        <w:rPr>
          <w:rFonts w:hint="eastAsia" w:ascii="宋体" w:hAnsi="宋体" w:eastAsia="宋体" w:cs="宋体"/>
          <w:b/>
          <w:bCs/>
          <w:snapToGrid/>
          <w:color w:val="auto"/>
          <w:kern w:val="0"/>
          <w:sz w:val="30"/>
          <w:szCs w:val="30"/>
          <w:highlight w:val="none"/>
        </w:rPr>
        <w:br w:type="page"/>
      </w:r>
    </w:p>
    <w:p w14:paraId="65705222">
      <w:pPr>
        <w:spacing w:line="360" w:lineRule="auto"/>
        <w:jc w:val="center"/>
        <w:outlineLvl w:val="0"/>
        <w:rPr>
          <w:rFonts w:ascii="宋体" w:hAnsi="宋体" w:cs="宋体"/>
          <w:color w:val="auto"/>
          <w:kern w:val="0"/>
          <w:sz w:val="24"/>
          <w:szCs w:val="24"/>
          <w:highlight w:val="none"/>
        </w:rPr>
      </w:pPr>
      <w:bookmarkStart w:id="8" w:name="_Toc1058"/>
      <w:bookmarkStart w:id="9" w:name="_Toc12646"/>
      <w:bookmarkStart w:id="10" w:name="_Toc3736"/>
      <w:r>
        <w:rPr>
          <w:rFonts w:hint="eastAsia" w:ascii="宋体" w:hAnsi="宋体" w:cs="宋体"/>
          <w:b/>
          <w:bCs/>
          <w:color w:val="auto"/>
          <w:kern w:val="0"/>
          <w:sz w:val="24"/>
          <w:szCs w:val="24"/>
          <w:highlight w:val="none"/>
          <w:shd w:val="clear" w:color="auto" w:fill="FFFFFF"/>
        </w:rPr>
        <w:t>政府采购项目电子化交易操作须知</w:t>
      </w:r>
      <w:bookmarkEnd w:id="8"/>
      <w:bookmarkEnd w:id="9"/>
      <w:bookmarkEnd w:id="10"/>
    </w:p>
    <w:p w14:paraId="5A46E2B6">
      <w:pPr>
        <w:spacing w:line="360" w:lineRule="auto"/>
        <w:ind w:firstLine="480" w:firstLineChars="200"/>
        <w:jc w:val="left"/>
        <w:rPr>
          <w:rFonts w:ascii="宋体" w:hAnsi="宋体" w:cs="宋体"/>
          <w:b/>
          <w:bCs/>
          <w:color w:val="auto"/>
          <w:kern w:val="0"/>
          <w:sz w:val="24"/>
          <w:szCs w:val="24"/>
          <w:highlight w:val="none"/>
          <w:shd w:val="clear" w:color="auto" w:fill="FFFFFF"/>
        </w:rPr>
      </w:pPr>
      <w:r>
        <w:rPr>
          <w:rFonts w:hint="eastAsia" w:ascii="宋体" w:hAnsi="宋体" w:cs="宋体"/>
          <w:color w:val="auto"/>
          <w:kern w:val="0"/>
          <w:sz w:val="24"/>
          <w:szCs w:val="24"/>
          <w:highlight w:val="none"/>
        </w:rPr>
        <w:t>为规范</w:t>
      </w:r>
      <w:r>
        <w:rPr>
          <w:rFonts w:hint="eastAsia" w:hAnsi="宋体" w:cs="宋体"/>
          <w:color w:val="auto"/>
          <w:kern w:val="0"/>
          <w:sz w:val="24"/>
          <w:szCs w:val="24"/>
          <w:highlight w:val="none"/>
          <w:lang w:val="en-US" w:eastAsia="zh-CN"/>
        </w:rPr>
        <w:t>腾冲市</w:t>
      </w:r>
      <w:r>
        <w:rPr>
          <w:rFonts w:hint="eastAsia" w:ascii="宋体" w:hAnsi="宋体" w:cs="宋体"/>
          <w:color w:val="auto"/>
          <w:kern w:val="0"/>
          <w:sz w:val="24"/>
          <w:szCs w:val="24"/>
          <w:highlight w:val="none"/>
        </w:rPr>
        <w:t>政府采购电子交易平台操作和使用，整理交易操作流程等内容供各位潜在</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学习，请认真阅读以免影响投标。</w:t>
      </w:r>
    </w:p>
    <w:p w14:paraId="4D1F6C3B">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1.凡有意参加投标者，须提前在政采云平台注册账号并办理数字证书（CA）。</w:t>
      </w:r>
    </w:p>
    <w:p w14:paraId="01E8D149">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涉及电子交易平台使用问题的，请致电“政采云”平台：95763</w:t>
      </w:r>
      <w:r>
        <w:rPr>
          <w:rFonts w:hint="eastAsia" w:ascii="宋体" w:hAnsi="宋体" w:eastAsia="宋体" w:cs="宋体"/>
          <w:color w:val="auto"/>
          <w:highlight w:val="none"/>
        </w:rPr>
        <w:t>。</w:t>
      </w:r>
    </w:p>
    <w:p w14:paraId="596EFCC6">
      <w:pPr>
        <w:spacing w:line="360" w:lineRule="auto"/>
        <w:ind w:firstLine="482" w:firstLineChars="200"/>
        <w:rPr>
          <w:rFonts w:ascii="宋体" w:hAnsi="宋体" w:cs="宋体"/>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1.1政采云平台</w:t>
      </w:r>
      <w:r>
        <w:rPr>
          <w:rFonts w:hint="eastAsia" w:ascii="宋体" w:hAnsi="宋体" w:cs="宋体"/>
          <w:b/>
          <w:bCs/>
          <w:color w:val="auto"/>
          <w:kern w:val="0"/>
          <w:sz w:val="24"/>
          <w:szCs w:val="24"/>
          <w:highlight w:val="none"/>
          <w:shd w:val="clear" w:color="auto" w:fill="FFFFFF"/>
          <w:lang w:eastAsia="zh-CN"/>
        </w:rPr>
        <w:t>供应商</w:t>
      </w:r>
      <w:r>
        <w:rPr>
          <w:rFonts w:hint="eastAsia" w:ascii="宋体" w:hAnsi="宋体" w:cs="宋体"/>
          <w:b/>
          <w:bCs/>
          <w:color w:val="auto"/>
          <w:kern w:val="0"/>
          <w:sz w:val="24"/>
          <w:szCs w:val="24"/>
          <w:highlight w:val="none"/>
          <w:shd w:val="clear" w:color="auto" w:fill="FFFFFF"/>
        </w:rPr>
        <w:t>账号注册：</w:t>
      </w:r>
      <w:r>
        <w:rPr>
          <w:rFonts w:hint="eastAsia" w:ascii="宋体" w:hAnsi="宋体" w:cs="宋体"/>
          <w:color w:val="auto"/>
          <w:kern w:val="0"/>
          <w:sz w:val="24"/>
          <w:szCs w:val="24"/>
          <w:highlight w:val="none"/>
          <w:shd w:val="clear" w:color="auto" w:fill="FFFFFF"/>
        </w:rPr>
        <w:t>登录政府采购云平台（网址https://www.zcygov.cn/，下同）注册账号。操作路径：政府采购云平台首页—商家入驻—云南省（找到云南省立即前往）—云南省政府采购</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入驻登记（立即登记），</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根据平台系统提示逐步进行操作即可。</w:t>
      </w:r>
    </w:p>
    <w:p w14:paraId="337055B2">
      <w:pPr>
        <w:pStyle w:val="13"/>
        <w:spacing w:before="0" w:beforeAutospacing="0" w:after="0" w:afterAutospacing="0" w:line="360" w:lineRule="auto"/>
        <w:ind w:firstLine="482" w:firstLineChars="200"/>
        <w:rPr>
          <w:rFonts w:hint="eastAsia" w:ascii="宋体" w:hAnsi="宋体" w:eastAsia="宋体" w:cs="宋体"/>
          <w:color w:val="auto"/>
          <w:highlight w:val="none"/>
          <w:shd w:val="clear" w:color="auto" w:fill="FFFFFF"/>
        </w:rPr>
      </w:pPr>
      <w:r>
        <w:rPr>
          <w:rFonts w:hint="eastAsia" w:ascii="宋体" w:hAnsi="宋体" w:eastAsia="宋体" w:cs="宋体"/>
          <w:b/>
          <w:bCs/>
          <w:color w:val="auto"/>
          <w:highlight w:val="none"/>
          <w:shd w:val="clear" w:color="auto" w:fill="FFFFFF"/>
        </w:rPr>
        <w:t>1.2须办理数字证书（CA）</w:t>
      </w:r>
      <w:r>
        <w:rPr>
          <w:rFonts w:hint="eastAsia" w:ascii="宋体" w:hAnsi="宋体" w:eastAsia="宋体" w:cs="宋体"/>
          <w:color w:val="auto"/>
          <w:highlight w:val="none"/>
          <w:shd w:val="clear" w:color="auto" w:fill="FFFFFF"/>
        </w:rPr>
        <w:t>，并在政采云绑定数字证书（CA）后线上获取招标文件及其它采购资料。CA申领链接：</w:t>
      </w:r>
      <w:r>
        <w:rPr>
          <w:rFonts w:hint="eastAsia" w:ascii="宋体" w:hAnsi="宋体" w:eastAsia="宋体" w:cs="宋体"/>
          <w:color w:val="auto"/>
          <w:spacing w:val="10"/>
          <w:highlight w:val="none"/>
        </w:rPr>
        <w:t>https://middle.zcygov.cn/ca/apply/list? app_=zcy.sys</w:t>
      </w:r>
      <w:r>
        <w:rPr>
          <w:rFonts w:hint="eastAsia" w:cs="宋体"/>
          <w:color w:val="auto"/>
          <w:spacing w:val="10"/>
          <w:highlight w:val="none"/>
          <w:lang w:eastAsia="zh-CN"/>
        </w:rPr>
        <w:t>；</w:t>
      </w:r>
      <w:r>
        <w:rPr>
          <w:rFonts w:hint="eastAsia" w:ascii="宋体" w:hAnsi="宋体" w:eastAsia="宋体" w:cs="宋体"/>
          <w:color w:val="auto"/>
          <w:highlight w:val="none"/>
          <w:shd w:val="clear" w:color="auto" w:fill="FFFFFF"/>
        </w:rPr>
        <w:t>CA申领后需登陆政采云平台完成数字证书（CA）绑定才可以使用，数字证书（CA）详见其办理流程。</w:t>
      </w:r>
    </w:p>
    <w:p w14:paraId="59D6F070">
      <w:pPr>
        <w:pStyle w:val="13"/>
        <w:spacing w:before="0" w:beforeAutospacing="0" w:after="0" w:afterAutospacing="0" w:line="360" w:lineRule="auto"/>
        <w:ind w:firstLine="480" w:firstLineChars="200"/>
        <w:rPr>
          <w:rFonts w:hint="eastAsia" w:ascii="宋体" w:hAnsi="宋体" w:eastAsia="宋体" w:cs="宋体"/>
          <w:color w:val="auto"/>
          <w:highlight w:val="none"/>
          <w:shd w:val="clear" w:color="auto" w:fill="FFFFFF"/>
        </w:rPr>
      </w:pPr>
      <w:r>
        <w:rPr>
          <w:rFonts w:hint="eastAsia" w:cs="宋体"/>
          <w:color w:val="auto"/>
          <w:highlight w:val="none"/>
          <w:shd w:val="clear" w:color="auto" w:fill="FFFFFF"/>
          <w:lang w:val="en-US" w:eastAsia="zh-CN"/>
        </w:rPr>
        <w:t>也</w:t>
      </w:r>
      <w:r>
        <w:rPr>
          <w:rFonts w:hint="eastAsia" w:ascii="宋体" w:hAnsi="宋体" w:eastAsia="宋体" w:cs="宋体"/>
          <w:color w:val="auto"/>
          <w:highlight w:val="none"/>
          <w:shd w:val="clear" w:color="auto" w:fill="FFFFFF"/>
        </w:rPr>
        <w:t>可选择办理云南壹证通CA。CA申领链接：</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HYPERLINK "http://yzt.ynsmartcert.cn/"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w:t>http://yzt.ynsmartcert.cn/</w: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HYPERLINK "http://yzt.ynsmartcert.cn/cms/yztbnxj16.html"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shd w:val="clear" w:color="auto" w:fill="FFFFFF"/>
        </w:rPr>
        <w:t>云南壹证通CA 可支持线上、线下两种办理方式，并提供7*24小时全天候客户服务支持，客服热线400-004-0628。（紧急CA办理电话：19988166369）政府采购云平台支持多家CA服务商，供应商可自行选择办理。</w:t>
      </w:r>
    </w:p>
    <w:p w14:paraId="22690405">
      <w:pPr>
        <w:pStyle w:val="13"/>
        <w:spacing w:before="0" w:beforeAutospacing="0" w:after="0" w:afterAutospacing="0" w:line="360" w:lineRule="auto"/>
        <w:ind w:firstLine="480" w:firstLineChars="20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如有问题可拨打政采云客户服务热线95763进行咨询，数字证书（CA）问题可咨询24小时技术支持热线400-004-0628（紧急办理可拨：19988166369）</w:t>
      </w:r>
    </w:p>
    <w:p w14:paraId="7B868727">
      <w:pPr>
        <w:spacing w:line="360" w:lineRule="auto"/>
        <w:ind w:firstLine="420" w:firstLineChars="20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在政采云平台注册账号后，登录政府采购云平台（网址：</w:t>
      </w:r>
      <w:r>
        <w:rPr>
          <w:color w:val="auto"/>
          <w:highlight w:val="none"/>
        </w:rPr>
        <w:fldChar w:fldCharType="begin"/>
      </w:r>
      <w:r>
        <w:rPr>
          <w:color w:val="auto"/>
          <w:highlight w:val="none"/>
        </w:rPr>
        <w:instrText xml:space="preserve"> HYPERLINK "http://www.zcygov.cn），凭借数字证书（CA）在线上" </w:instrText>
      </w:r>
      <w:r>
        <w:rPr>
          <w:color w:val="auto"/>
          <w:highlight w:val="none"/>
        </w:rPr>
        <w:fldChar w:fldCharType="separate"/>
      </w:r>
      <w:r>
        <w:rPr>
          <w:rFonts w:hint="eastAsia" w:ascii="宋体" w:hAnsi="宋体" w:eastAsia="宋体" w:cs="宋体"/>
          <w:color w:val="auto"/>
          <w:highlight w:val="none"/>
          <w:shd w:val="clear" w:color="auto" w:fill="FFFFFF"/>
        </w:rPr>
        <w:t>https://www.zcygov.cn/），绑定数字证书（CA）后，在线</w: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shd w:val="clear" w:color="auto" w:fill="FFFFFF"/>
        </w:rPr>
        <w:t>申请获取电子招标（或采购）文件及其他相关资料（如有）；未办理数字证书（CA） 的潜在</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，请登录CA数字证书申请系统注册并在网上申请办理证书；此前已经在云南省公共资源交易电子化平台申请过云南CA数字证书的，不用重复申请数字证书，可以互通共用。</w:t>
      </w:r>
    </w:p>
    <w:p w14:paraId="2F14D5E8">
      <w:pPr>
        <w:spacing w:line="360" w:lineRule="auto"/>
        <w:ind w:firstLine="482" w:firstLineChars="200"/>
        <w:rPr>
          <w:rFonts w:ascii="宋体" w:hAnsi="宋体" w:cs="宋体"/>
          <w:b/>
          <w:bCs/>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2.政府采购项目电子化操作流程</w:t>
      </w:r>
    </w:p>
    <w:p w14:paraId="28ECFEDA">
      <w:pPr>
        <w:pStyle w:val="13"/>
        <w:spacing w:before="0" w:beforeAutospacing="0" w:after="0" w:afterAutospacing="0" w:line="360" w:lineRule="auto"/>
        <w:ind w:firstLine="482" w:firstLineChars="200"/>
        <w:rPr>
          <w:rFonts w:hint="eastAsia" w:ascii="宋体" w:hAnsi="宋体" w:eastAsia="宋体" w:cs="宋体"/>
          <w:color w:val="auto"/>
          <w:highlight w:val="none"/>
          <w:shd w:val="clear" w:color="auto" w:fill="FFFFFF"/>
          <w:lang w:eastAsia="zh-CN"/>
        </w:rPr>
      </w:pPr>
      <w:r>
        <w:rPr>
          <w:rFonts w:hint="eastAsia" w:ascii="宋体" w:hAnsi="宋体" w:eastAsia="宋体" w:cs="宋体"/>
          <w:b/>
          <w:bCs/>
          <w:color w:val="auto"/>
          <w:highlight w:val="none"/>
          <w:shd w:val="clear" w:color="auto" w:fill="FFFFFF"/>
          <w:lang w:eastAsia="zh-CN"/>
        </w:rPr>
        <w:t>2.1政府采购项目电子化操作学习：</w:t>
      </w:r>
      <w:r>
        <w:rPr>
          <w:rFonts w:hint="eastAsia" w:ascii="宋体" w:hAnsi="宋体" w:eastAsia="宋体" w:cs="宋体"/>
          <w:color w:val="auto"/>
          <w:highlight w:val="none"/>
          <w:shd w:val="clear" w:color="auto" w:fill="FFFFFF"/>
          <w:lang w:eastAsia="zh-CN"/>
        </w:rPr>
        <w:t>请各位潜在供应商自行登录“政府采购云平台”进行学习。（操作路径：登录首页—操作指南—登录供应商账号—查看供应商操作手册进行学习）。</w:t>
      </w:r>
    </w:p>
    <w:p w14:paraId="77F33EC5">
      <w:pPr>
        <w:spacing w:line="360" w:lineRule="auto"/>
        <w:ind w:firstLine="482" w:firstLineChars="200"/>
        <w:rPr>
          <w:rFonts w:ascii="宋体" w:hAnsi="宋体" w:cs="宋体"/>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2.2招标（或采购）文件获取</w:t>
      </w:r>
      <w:r>
        <w:rPr>
          <w:rFonts w:hint="eastAsia" w:ascii="宋体" w:hAnsi="宋体" w:cs="宋体"/>
          <w:color w:val="auto"/>
          <w:kern w:val="0"/>
          <w:sz w:val="24"/>
          <w:szCs w:val="24"/>
          <w:highlight w:val="none"/>
          <w:shd w:val="clear" w:color="auto" w:fill="FFFFFF"/>
        </w:rPr>
        <w:t>：</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可自行在“政府采购云平台”下载招标文件（操作路径：登录“政府采购云平台”—项目采购—获取招标文件—找到本项目—点击“申请获取招标文件”）</w:t>
      </w:r>
      <w:r>
        <w:rPr>
          <w:rFonts w:hint="eastAsia" w:ascii="宋体" w:hAnsi="宋体" w:cs="宋体"/>
          <w:color w:val="auto"/>
          <w:sz w:val="24"/>
          <w:szCs w:val="24"/>
          <w:highlight w:val="none"/>
          <w:shd w:val="clear" w:color="auto" w:fill="FFFFFF"/>
        </w:rPr>
        <w:t>。</w:t>
      </w:r>
      <w:r>
        <w:rPr>
          <w:rFonts w:hint="eastAsia" w:ascii="宋体" w:hAnsi="宋体" w:cs="宋体"/>
          <w:bCs/>
          <w:color w:val="auto"/>
          <w:sz w:val="24"/>
          <w:szCs w:val="24"/>
          <w:highlight w:val="none"/>
        </w:rPr>
        <w:t>获取时间截止到截标前，请各位</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合理安排好时间，妥善处理好文件下载与制作</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时间关系。</w:t>
      </w:r>
    </w:p>
    <w:p w14:paraId="369F0371">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编制与导入</w:t>
      </w:r>
    </w:p>
    <w:p w14:paraId="10E03F83">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2.3.1</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编制：（操作路径：政采云投标客户端—</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编制），电子</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应使用政采云平台（https://www.zcygov.cn/）中下载的政采云电子投标客户端制作，并进行电子签章及加密后上传至政采云平台。</w:t>
      </w:r>
    </w:p>
    <w:p w14:paraId="6ECB3289">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2.3.2如</w:t>
      </w:r>
      <w:r>
        <w:rPr>
          <w:rFonts w:hint="eastAsia" w:ascii="宋体" w:hAnsi="宋体" w:eastAsia="宋体" w:cs="宋体"/>
          <w:b/>
          <w:bCs/>
          <w:color w:val="auto"/>
          <w:highlight w:val="none"/>
          <w:shd w:val="clear" w:color="auto" w:fill="FFFFFF"/>
          <w:lang w:eastAsia="zh-CN"/>
        </w:rPr>
        <w:t>供应商</w:t>
      </w:r>
      <w:r>
        <w:rPr>
          <w:rFonts w:hint="eastAsia" w:ascii="宋体" w:hAnsi="宋体" w:eastAsia="宋体" w:cs="宋体"/>
          <w:b/>
          <w:bCs/>
          <w:color w:val="auto"/>
          <w:highlight w:val="none"/>
          <w:shd w:val="clear" w:color="auto" w:fill="FFFFFF"/>
        </w:rPr>
        <w:t>提交的电子标书不符合（1）要求或开标时无法读取导入或解密，其</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将不予受理。</w:t>
      </w:r>
    </w:p>
    <w:p w14:paraId="2310253C">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2.3.3</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导入：单个资料上传不能大于100MB或300MB（具体以政采云平台系统要求为准）。</w:t>
      </w:r>
    </w:p>
    <w:p w14:paraId="2A0FDF72">
      <w:pPr>
        <w:pStyle w:val="13"/>
        <w:spacing w:before="0" w:beforeAutospacing="0" w:after="0" w:afterAutospacing="0" w:line="360" w:lineRule="auto"/>
        <w:ind w:firstLine="482" w:firstLineChars="200"/>
        <w:rPr>
          <w:rFonts w:ascii="宋体" w:hAnsi="宋体" w:eastAsia="宋体" w:cs="宋体"/>
          <w:b/>
          <w:bCs/>
          <w:color w:val="auto"/>
          <w:highlight w:val="none"/>
          <w:u w:val="single"/>
          <w:shd w:val="clear" w:color="auto" w:fill="FFFFFF"/>
        </w:rPr>
      </w:pPr>
      <w:r>
        <w:rPr>
          <w:rFonts w:hint="eastAsia" w:ascii="宋体" w:hAnsi="宋体" w:eastAsia="宋体" w:cs="宋体"/>
          <w:b/>
          <w:bCs/>
          <w:color w:val="auto"/>
          <w:highlight w:val="none"/>
          <w:shd w:val="clear" w:color="auto" w:fill="FFFFFF"/>
        </w:rPr>
        <w:t>2.3.4</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格式：</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应当在政采云电子投标客户端上编制</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，并生成电子加密标书（后缀名：.jmbs），</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制作完成并生成加密标书后，</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需在开标前将加密的</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上传至政采云平台。具体操作请下载附件（</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政府采购电子交易平台操作指南）</w:t>
      </w:r>
    </w:p>
    <w:p w14:paraId="700F42C9">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2.4</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递交</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必须通过“政府采购云平台”递交电子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须在投标截止时间前递交</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，完成所有电子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的上传。</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在</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提交截止时间前可以补充、修改或者撤回</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。补充或者修改</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的，应当先行撤回原文件，补充、修改后重新上传、递交。投标截止时间前未完成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传输的，视为未上传或撤回</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b/>
          <w:bCs/>
          <w:color w:val="auto"/>
          <w:highlight w:val="none"/>
          <w:shd w:val="clear" w:color="auto" w:fill="FFFFFF"/>
        </w:rPr>
        <w:t>不通过“政府采购云平台”递交</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的，均为无效</w:t>
      </w:r>
      <w:r>
        <w:rPr>
          <w:rFonts w:hint="eastAsia" w:ascii="宋体" w:hAnsi="宋体" w:eastAsia="宋体" w:cs="宋体"/>
          <w:b/>
          <w:bCs/>
          <w:color w:val="auto"/>
          <w:highlight w:val="none"/>
          <w:shd w:val="clear" w:color="auto" w:fill="FFFFFF"/>
          <w:lang w:eastAsia="zh-CN"/>
        </w:rPr>
        <w:t>供应商</w:t>
      </w:r>
      <w:r>
        <w:rPr>
          <w:rFonts w:hint="eastAsia" w:ascii="宋体" w:hAnsi="宋体" w:eastAsia="宋体" w:cs="宋体"/>
          <w:b/>
          <w:bCs/>
          <w:color w:val="auto"/>
          <w:highlight w:val="none"/>
          <w:shd w:val="clear" w:color="auto" w:fill="FFFFFF"/>
        </w:rPr>
        <w:t>。</w:t>
      </w:r>
    </w:p>
    <w:p w14:paraId="45528499">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2.5采用网上开标，远程解密</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无须参加开标活动。</w:t>
      </w:r>
    </w:p>
    <w:p w14:paraId="1C40EE7D">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远程解密、签字确认时间：</w:t>
      </w:r>
      <w:r>
        <w:rPr>
          <w:rFonts w:hint="eastAsia" w:ascii="宋体" w:hAnsi="宋体" w:eastAsia="宋体" w:cs="宋体"/>
          <w:b/>
          <w:bCs/>
          <w:color w:val="auto"/>
          <w:highlight w:val="none"/>
          <w:shd w:val="clear" w:color="auto" w:fill="FFFFFF"/>
        </w:rPr>
        <w:t>本项目远程解密时间为30分钟，签名确认时间为5分钟</w:t>
      </w:r>
      <w:r>
        <w:rPr>
          <w:rFonts w:hint="eastAsia" w:ascii="宋体" w:hAnsi="宋体" w:eastAsia="宋体" w:cs="宋体"/>
          <w:color w:val="auto"/>
          <w:highlight w:val="none"/>
          <w:shd w:val="clear" w:color="auto" w:fill="FFFFFF"/>
        </w:rPr>
        <w:t>，请</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务必携带加密数字证书在规定的时间内完成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解密和签名确认工作。若在规定的时间内不能成功完成网上远程解密的，则视为</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放弃此次投标；若未在签名确认时间内完成签名确认，则视为对本次开标无异议。</w:t>
      </w:r>
    </w:p>
    <w:p w14:paraId="2E469607">
      <w:pPr>
        <w:widowControl/>
        <w:spacing w:line="480" w:lineRule="auto"/>
        <w:ind w:firstLine="426"/>
        <w:jc w:val="left"/>
        <w:rPr>
          <w:rFonts w:hint="eastAsia" w:ascii="宋体" w:hAnsi="宋体" w:eastAsia="宋体" w:cs="宋体"/>
          <w:snapToGrid/>
          <w:color w:val="auto"/>
          <w:kern w:val="0"/>
          <w:sz w:val="30"/>
          <w:szCs w:val="30"/>
          <w:highlight w:val="none"/>
        </w:rPr>
      </w:pPr>
    </w:p>
    <w:p w14:paraId="5DB86909">
      <w:pPr>
        <w:rPr>
          <w:rFonts w:hint="eastAsia" w:ascii="宋体" w:hAnsi="宋体" w:eastAsia="宋体" w:cs="宋体"/>
          <w:b/>
          <w:snapToGrid/>
          <w:color w:val="auto"/>
          <w:kern w:val="11"/>
          <w:sz w:val="32"/>
          <w:szCs w:val="32"/>
          <w:highlight w:val="none"/>
        </w:rPr>
      </w:pPr>
      <w:r>
        <w:rPr>
          <w:rFonts w:hint="eastAsia" w:ascii="宋体" w:hAnsi="宋体" w:eastAsia="宋体" w:cs="宋体"/>
          <w:b/>
          <w:snapToGrid/>
          <w:color w:val="auto"/>
          <w:kern w:val="11"/>
          <w:sz w:val="32"/>
          <w:szCs w:val="32"/>
          <w:highlight w:val="none"/>
        </w:rPr>
        <w:br w:type="page"/>
      </w:r>
    </w:p>
    <w:p w14:paraId="1688620F">
      <w:pPr>
        <w:widowControl/>
        <w:spacing w:line="360" w:lineRule="auto"/>
        <w:jc w:val="center"/>
        <w:rPr>
          <w:rFonts w:hint="eastAsia" w:ascii="宋体" w:hAnsi="宋体" w:eastAsia="宋体" w:cs="宋体"/>
          <w:b/>
          <w:snapToGrid/>
          <w:color w:val="auto"/>
          <w:kern w:val="11"/>
          <w:sz w:val="32"/>
          <w:szCs w:val="32"/>
          <w:highlight w:val="none"/>
        </w:rPr>
      </w:pPr>
      <w:r>
        <w:rPr>
          <w:rFonts w:hint="eastAsia" w:ascii="宋体" w:hAnsi="宋体" w:eastAsia="宋体" w:cs="宋体"/>
          <w:b/>
          <w:snapToGrid/>
          <w:color w:val="auto"/>
          <w:kern w:val="11"/>
          <w:sz w:val="32"/>
          <w:szCs w:val="32"/>
          <w:highlight w:val="none"/>
        </w:rPr>
        <w:t>目  录</w:t>
      </w:r>
    </w:p>
    <w:p w14:paraId="0501EB16">
      <w:pPr>
        <w:spacing w:before="0" w:beforeLines="0" w:after="0" w:afterLines="0" w:line="240" w:lineRule="auto"/>
        <w:ind w:left="0" w:leftChars="0" w:right="0" w:rightChars="0" w:firstLine="0" w:firstLineChars="0"/>
        <w:jc w:val="center"/>
        <w:rPr>
          <w:color w:val="auto"/>
          <w:highlight w:val="none"/>
        </w:rPr>
      </w:pPr>
    </w:p>
    <w:sdt>
      <w:sdtPr>
        <w:rPr>
          <w:rFonts w:ascii="宋体" w:hAnsi="宋体" w:eastAsia="宋体" w:cs="Times New Roman"/>
          <w:snapToGrid w:val="0"/>
          <w:kern w:val="21"/>
          <w:sz w:val="21"/>
          <w:szCs w:val="24"/>
          <w:lang w:val="en-US" w:eastAsia="zh-CN" w:bidi="ar-SA"/>
        </w:rPr>
        <w:id w:val="147472054"/>
        <w15:color w:val="DBDBDB"/>
        <w:docPartObj>
          <w:docPartGallery w:val="Table of Contents"/>
          <w:docPartUnique/>
        </w:docPartObj>
      </w:sdtPr>
      <w:sdtEndPr>
        <w:rPr>
          <w:rFonts w:hint="eastAsia" w:ascii="宋体" w:hAnsi="Calibri" w:eastAsia="宋体" w:cs="Times New Roman"/>
          <w:snapToGrid w:val="0"/>
          <w:color w:val="auto"/>
          <w:kern w:val="21"/>
          <w:sz w:val="28"/>
          <w:szCs w:val="36"/>
          <w:highlight w:val="none"/>
          <w:lang w:val="en-US" w:eastAsia="zh-CN" w:bidi="ar-SA"/>
        </w:rPr>
      </w:sdtEndPr>
      <w:sdtContent>
        <w:p w14:paraId="73003F60">
          <w:pPr>
            <w:spacing w:before="0" w:beforeLines="0" w:after="0" w:afterLines="0" w:line="240" w:lineRule="auto"/>
            <w:ind w:left="0" w:leftChars="0" w:right="0" w:rightChars="0" w:firstLine="0" w:firstLineChars="0"/>
            <w:jc w:val="center"/>
          </w:pPr>
        </w:p>
        <w:p w14:paraId="1D60C50A">
          <w:pPr>
            <w:pStyle w:val="12"/>
            <w:tabs>
              <w:tab w:val="right" w:leader="dot" w:pos="9026"/>
            </w:tabs>
            <w:rPr>
              <w:sz w:val="28"/>
              <w:szCs w:val="36"/>
            </w:rPr>
          </w:pPr>
          <w:r>
            <w:rPr>
              <w:rFonts w:hint="eastAsia"/>
              <w:color w:val="auto"/>
              <w:sz w:val="28"/>
              <w:szCs w:val="36"/>
              <w:highlight w:val="none"/>
            </w:rPr>
            <w:fldChar w:fldCharType="begin"/>
          </w:r>
          <w:r>
            <w:rPr>
              <w:rFonts w:hint="eastAsia"/>
              <w:color w:val="auto"/>
              <w:sz w:val="28"/>
              <w:szCs w:val="36"/>
              <w:highlight w:val="none"/>
            </w:rPr>
            <w:instrText xml:space="preserve">TOC \o "1-1" \h \u </w:instrText>
          </w:r>
          <w:r>
            <w:rPr>
              <w:rFonts w:hint="eastAsia"/>
              <w:color w:val="auto"/>
              <w:sz w:val="28"/>
              <w:szCs w:val="36"/>
              <w:highlight w:val="none"/>
            </w:rPr>
            <w:fldChar w:fldCharType="separate"/>
          </w:r>
        </w:p>
        <w:p w14:paraId="63BD99E0">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_Toc32053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第一章  竞争性磋商公告</w:t>
          </w:r>
          <w:r>
            <w:rPr>
              <w:sz w:val="28"/>
              <w:szCs w:val="36"/>
            </w:rPr>
            <w:tab/>
          </w:r>
          <w:r>
            <w:rPr>
              <w:sz w:val="28"/>
              <w:szCs w:val="36"/>
            </w:rPr>
            <w:fldChar w:fldCharType="begin"/>
          </w:r>
          <w:r>
            <w:rPr>
              <w:sz w:val="28"/>
              <w:szCs w:val="36"/>
            </w:rPr>
            <w:instrText xml:space="preserve"> PAGEREF _Toc32053 \h </w:instrText>
          </w:r>
          <w:r>
            <w:rPr>
              <w:sz w:val="28"/>
              <w:szCs w:val="36"/>
            </w:rPr>
            <w:fldChar w:fldCharType="separate"/>
          </w:r>
          <w:r>
            <w:rPr>
              <w:sz w:val="28"/>
              <w:szCs w:val="36"/>
            </w:rPr>
            <w:t>5</w:t>
          </w:r>
          <w:r>
            <w:rPr>
              <w:sz w:val="28"/>
              <w:szCs w:val="36"/>
            </w:rPr>
            <w:fldChar w:fldCharType="end"/>
          </w:r>
          <w:r>
            <w:rPr>
              <w:rFonts w:hint="eastAsia"/>
              <w:color w:val="auto"/>
              <w:sz w:val="28"/>
              <w:szCs w:val="36"/>
              <w:highlight w:val="none"/>
            </w:rPr>
            <w:fldChar w:fldCharType="end"/>
          </w:r>
        </w:p>
        <w:p w14:paraId="5776FB1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_Toc8159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第二章  供应商须知</w:t>
          </w:r>
          <w:r>
            <w:rPr>
              <w:sz w:val="28"/>
              <w:szCs w:val="36"/>
            </w:rPr>
            <w:tab/>
          </w:r>
          <w:r>
            <w:rPr>
              <w:sz w:val="28"/>
              <w:szCs w:val="36"/>
            </w:rPr>
            <w:fldChar w:fldCharType="begin"/>
          </w:r>
          <w:r>
            <w:rPr>
              <w:sz w:val="28"/>
              <w:szCs w:val="36"/>
            </w:rPr>
            <w:instrText xml:space="preserve"> PAGEREF _Toc8159 \h </w:instrText>
          </w:r>
          <w:r>
            <w:rPr>
              <w:sz w:val="28"/>
              <w:szCs w:val="36"/>
            </w:rPr>
            <w:fldChar w:fldCharType="separate"/>
          </w:r>
          <w:r>
            <w:rPr>
              <w:sz w:val="28"/>
              <w:szCs w:val="36"/>
            </w:rPr>
            <w:t>10</w:t>
          </w:r>
          <w:r>
            <w:rPr>
              <w:sz w:val="28"/>
              <w:szCs w:val="36"/>
            </w:rPr>
            <w:fldChar w:fldCharType="end"/>
          </w:r>
          <w:r>
            <w:rPr>
              <w:rFonts w:hint="eastAsia"/>
              <w:color w:val="auto"/>
              <w:sz w:val="28"/>
              <w:szCs w:val="36"/>
              <w:highlight w:val="none"/>
            </w:rPr>
            <w:fldChar w:fldCharType="end"/>
          </w:r>
        </w:p>
        <w:p w14:paraId="3A874476">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_Toc7436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第三章  合同书样式及主要条款</w:t>
          </w:r>
          <w:r>
            <w:rPr>
              <w:sz w:val="28"/>
              <w:szCs w:val="36"/>
            </w:rPr>
            <w:tab/>
          </w:r>
          <w:r>
            <w:rPr>
              <w:sz w:val="28"/>
              <w:szCs w:val="36"/>
            </w:rPr>
            <w:fldChar w:fldCharType="begin"/>
          </w:r>
          <w:r>
            <w:rPr>
              <w:sz w:val="28"/>
              <w:szCs w:val="36"/>
            </w:rPr>
            <w:instrText xml:space="preserve"> PAGEREF _Toc7436 \h </w:instrText>
          </w:r>
          <w:r>
            <w:rPr>
              <w:sz w:val="28"/>
              <w:szCs w:val="36"/>
            </w:rPr>
            <w:fldChar w:fldCharType="separate"/>
          </w:r>
          <w:r>
            <w:rPr>
              <w:sz w:val="28"/>
              <w:szCs w:val="36"/>
            </w:rPr>
            <w:t>32</w:t>
          </w:r>
          <w:r>
            <w:rPr>
              <w:sz w:val="28"/>
              <w:szCs w:val="36"/>
            </w:rPr>
            <w:fldChar w:fldCharType="end"/>
          </w:r>
          <w:r>
            <w:rPr>
              <w:rFonts w:hint="eastAsia"/>
              <w:color w:val="auto"/>
              <w:sz w:val="28"/>
              <w:szCs w:val="36"/>
              <w:highlight w:val="none"/>
            </w:rPr>
            <w:fldChar w:fldCharType="end"/>
          </w:r>
        </w:p>
        <w:p w14:paraId="329FB04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_Toc27671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第四章  响应文件格式</w:t>
          </w:r>
          <w:r>
            <w:rPr>
              <w:sz w:val="28"/>
              <w:szCs w:val="36"/>
            </w:rPr>
            <w:tab/>
          </w:r>
          <w:r>
            <w:rPr>
              <w:sz w:val="28"/>
              <w:szCs w:val="36"/>
            </w:rPr>
            <w:fldChar w:fldCharType="begin"/>
          </w:r>
          <w:r>
            <w:rPr>
              <w:sz w:val="28"/>
              <w:szCs w:val="36"/>
            </w:rPr>
            <w:instrText xml:space="preserve"> PAGEREF _Toc27671 \h </w:instrText>
          </w:r>
          <w:r>
            <w:rPr>
              <w:sz w:val="28"/>
              <w:szCs w:val="36"/>
            </w:rPr>
            <w:fldChar w:fldCharType="separate"/>
          </w:r>
          <w:r>
            <w:rPr>
              <w:sz w:val="28"/>
              <w:szCs w:val="36"/>
            </w:rPr>
            <w:t>53</w:t>
          </w:r>
          <w:r>
            <w:rPr>
              <w:sz w:val="28"/>
              <w:szCs w:val="36"/>
            </w:rPr>
            <w:fldChar w:fldCharType="end"/>
          </w:r>
          <w:r>
            <w:rPr>
              <w:rFonts w:hint="eastAsia"/>
              <w:color w:val="auto"/>
              <w:sz w:val="28"/>
              <w:szCs w:val="36"/>
              <w:highlight w:val="none"/>
            </w:rPr>
            <w:fldChar w:fldCharType="end"/>
          </w:r>
        </w:p>
        <w:p w14:paraId="03E6EE2C">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_Toc11896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 xml:space="preserve">第五章  </w:t>
          </w:r>
          <w:r>
            <w:rPr>
              <w:rFonts w:hint="eastAsia" w:ascii="宋体" w:hAnsi="宋体"/>
              <w:bCs w:val="0"/>
              <w:sz w:val="28"/>
              <w:szCs w:val="36"/>
              <w:highlight w:val="none"/>
              <w:lang w:eastAsia="zh-CN"/>
            </w:rPr>
            <w:t>采购需求</w:t>
          </w:r>
          <w:r>
            <w:rPr>
              <w:sz w:val="28"/>
              <w:szCs w:val="36"/>
            </w:rPr>
            <w:tab/>
          </w:r>
          <w:r>
            <w:rPr>
              <w:sz w:val="28"/>
              <w:szCs w:val="36"/>
            </w:rPr>
            <w:fldChar w:fldCharType="begin"/>
          </w:r>
          <w:r>
            <w:rPr>
              <w:sz w:val="28"/>
              <w:szCs w:val="36"/>
            </w:rPr>
            <w:instrText xml:space="preserve"> PAGEREF _Toc11896 \h </w:instrText>
          </w:r>
          <w:r>
            <w:rPr>
              <w:sz w:val="28"/>
              <w:szCs w:val="36"/>
            </w:rPr>
            <w:fldChar w:fldCharType="separate"/>
          </w:r>
          <w:r>
            <w:rPr>
              <w:sz w:val="28"/>
              <w:szCs w:val="36"/>
            </w:rPr>
            <w:t>76</w:t>
          </w:r>
          <w:r>
            <w:rPr>
              <w:sz w:val="28"/>
              <w:szCs w:val="36"/>
            </w:rPr>
            <w:fldChar w:fldCharType="end"/>
          </w:r>
          <w:r>
            <w:rPr>
              <w:rFonts w:hint="eastAsia"/>
              <w:color w:val="auto"/>
              <w:sz w:val="28"/>
              <w:szCs w:val="36"/>
              <w:highlight w:val="none"/>
            </w:rPr>
            <w:fldChar w:fldCharType="end"/>
          </w:r>
        </w:p>
        <w:p w14:paraId="0108B37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_Toc20845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第六章  评审方法</w:t>
          </w:r>
          <w:r>
            <w:rPr>
              <w:sz w:val="28"/>
              <w:szCs w:val="36"/>
            </w:rPr>
            <w:tab/>
          </w:r>
          <w:r>
            <w:rPr>
              <w:sz w:val="28"/>
              <w:szCs w:val="36"/>
            </w:rPr>
            <w:fldChar w:fldCharType="begin"/>
          </w:r>
          <w:r>
            <w:rPr>
              <w:sz w:val="28"/>
              <w:szCs w:val="36"/>
            </w:rPr>
            <w:instrText xml:space="preserve"> PAGEREF _Toc20845 \h </w:instrText>
          </w:r>
          <w:r>
            <w:rPr>
              <w:sz w:val="28"/>
              <w:szCs w:val="36"/>
            </w:rPr>
            <w:fldChar w:fldCharType="separate"/>
          </w:r>
          <w:r>
            <w:rPr>
              <w:sz w:val="28"/>
              <w:szCs w:val="36"/>
            </w:rPr>
            <w:t>77</w:t>
          </w:r>
          <w:r>
            <w:rPr>
              <w:sz w:val="28"/>
              <w:szCs w:val="36"/>
            </w:rPr>
            <w:fldChar w:fldCharType="end"/>
          </w:r>
          <w:r>
            <w:rPr>
              <w:rFonts w:hint="eastAsia"/>
              <w:color w:val="auto"/>
              <w:sz w:val="28"/>
              <w:szCs w:val="36"/>
              <w:highlight w:val="none"/>
            </w:rPr>
            <w:fldChar w:fldCharType="end"/>
          </w:r>
        </w:p>
        <w:p w14:paraId="574B4DEE">
          <w:pPr>
            <w:rPr>
              <w:rFonts w:hint="eastAsia" w:ascii="宋体" w:hAnsi="Calibri" w:eastAsia="宋体" w:cs="Times New Roman"/>
              <w:snapToGrid w:val="0"/>
              <w:color w:val="auto"/>
              <w:kern w:val="21"/>
              <w:sz w:val="28"/>
              <w:szCs w:val="36"/>
              <w:highlight w:val="none"/>
              <w:lang w:val="en-US" w:eastAsia="zh-CN" w:bidi="ar-SA"/>
            </w:rPr>
          </w:pPr>
          <w:r>
            <w:rPr>
              <w:rFonts w:hint="eastAsia"/>
              <w:color w:val="auto"/>
              <w:sz w:val="28"/>
              <w:szCs w:val="36"/>
              <w:highlight w:val="none"/>
            </w:rPr>
            <w:fldChar w:fldCharType="end"/>
          </w:r>
        </w:p>
      </w:sdtContent>
    </w:sdt>
    <w:p w14:paraId="3CC95CD2">
      <w:pPr>
        <w:pStyle w:val="2"/>
        <w:rPr>
          <w:rFonts w:hint="eastAsia"/>
        </w:rPr>
        <w:sectPr>
          <w:headerReference r:id="rId3" w:type="default"/>
          <w:pgSz w:w="11906" w:h="16838"/>
          <w:pgMar w:top="1440" w:right="1440" w:bottom="1440" w:left="1440" w:header="850" w:footer="992" w:gutter="0"/>
          <w:cols w:space="0" w:num="1"/>
          <w:rtlGutter w:val="0"/>
          <w:docGrid w:type="lines" w:linePitch="317" w:charSpace="0"/>
        </w:sectPr>
      </w:pPr>
    </w:p>
    <w:p w14:paraId="0B4F997F">
      <w:pPr>
        <w:pStyle w:val="2"/>
        <w:pageBreakBefore w:val="0"/>
        <w:widowControl/>
        <w:kinsoku/>
        <w:wordWrap/>
        <w:overflowPunct/>
        <w:topLinePunct w:val="0"/>
        <w:autoSpaceDE/>
        <w:autoSpaceDN/>
        <w:bidi w:val="0"/>
        <w:adjustRightInd/>
        <w:snapToGrid/>
        <w:spacing w:before="240" w:after="240" w:line="396" w:lineRule="auto"/>
        <w:jc w:val="center"/>
        <w:textAlignment w:val="auto"/>
        <w:rPr>
          <w:rFonts w:hint="eastAsia" w:ascii="宋体" w:hAnsi="宋体" w:eastAsia="宋体" w:cs="宋体"/>
          <w:b/>
          <w:bCs w:val="0"/>
          <w:color w:val="auto"/>
          <w:sz w:val="36"/>
          <w:szCs w:val="36"/>
          <w:highlight w:val="none"/>
          <w:lang w:val="zh-CN"/>
        </w:rPr>
      </w:pPr>
      <w:bookmarkStart w:id="11" w:name="_Toc32053"/>
      <w:bookmarkStart w:id="12" w:name="_Toc125054706"/>
      <w:bookmarkStart w:id="13" w:name="_Toc8734"/>
      <w:bookmarkStart w:id="14" w:name="_Toc13904"/>
      <w:r>
        <w:rPr>
          <w:rFonts w:hint="eastAsia" w:ascii="宋体" w:hAnsi="宋体" w:eastAsia="宋体" w:cs="宋体"/>
          <w:b/>
          <w:bCs w:val="0"/>
          <w:color w:val="auto"/>
          <w:sz w:val="36"/>
          <w:szCs w:val="36"/>
          <w:highlight w:val="none"/>
          <w:lang w:val="zh-CN"/>
        </w:rPr>
        <w:t>第一章  竞争性磋商公告</w:t>
      </w:r>
      <w:bookmarkEnd w:id="11"/>
      <w:bookmarkEnd w:id="12"/>
      <w:bookmarkEnd w:id="13"/>
      <w:bookmarkEnd w:id="14"/>
    </w:p>
    <w:p w14:paraId="2B10491C">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9B36CD2">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u w:val="single"/>
          <w:lang w:eastAsia="zh-CN"/>
        </w:rPr>
        <w:t>腾冲市固东镇集镇环西路建设项目 (二期工程)二次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采购项目的潜在供应商应在</w:t>
      </w:r>
      <w:r>
        <w:rPr>
          <w:rFonts w:hint="eastAsia" w:ascii="宋体" w:hAnsi="宋体" w:eastAsia="宋体" w:cs="宋体"/>
          <w:color w:val="auto"/>
          <w:sz w:val="24"/>
          <w:szCs w:val="24"/>
          <w:highlight w:val="none"/>
          <w:u w:val="single"/>
        </w:rPr>
        <w:t xml:space="preserve"> 政府采购云平台（网址：https://www.zcygov.cn/）</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获取竞争性磋商文件，并于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202</w:t>
      </w:r>
      <w:r>
        <w:rPr>
          <w:rFonts w:hint="eastAsia"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年</w:t>
      </w:r>
      <w:r>
        <w:rPr>
          <w:rFonts w:hint="eastAsia" w:hAnsi="宋体" w:cs="宋体"/>
          <w:b/>
          <w:bCs/>
          <w:color w:val="auto"/>
          <w:sz w:val="24"/>
          <w:szCs w:val="24"/>
          <w:highlight w:val="none"/>
          <w:u w:val="single"/>
          <w:lang w:val="en-US" w:eastAsia="zh-CN"/>
        </w:rPr>
        <w:t xml:space="preserve"> 09</w:t>
      </w:r>
      <w:r>
        <w:rPr>
          <w:rFonts w:hint="eastAsia" w:ascii="宋体" w:hAnsi="宋体" w:eastAsia="宋体" w:cs="宋体"/>
          <w:b/>
          <w:bCs/>
          <w:color w:val="auto"/>
          <w:sz w:val="24"/>
          <w:szCs w:val="24"/>
          <w:highlight w:val="none"/>
          <w:u w:val="single"/>
        </w:rPr>
        <w:t>月</w:t>
      </w:r>
      <w:r>
        <w:rPr>
          <w:rFonts w:hint="eastAsia" w:hAnsi="宋体" w:cs="宋体"/>
          <w:b/>
          <w:bCs/>
          <w:color w:val="auto"/>
          <w:sz w:val="24"/>
          <w:szCs w:val="24"/>
          <w:highlight w:val="none"/>
          <w:u w:val="single"/>
          <w:lang w:val="en-US" w:eastAsia="zh-CN"/>
        </w:rPr>
        <w:t>12</w:t>
      </w:r>
      <w:r>
        <w:rPr>
          <w:rFonts w:hint="eastAsia" w:ascii="宋体" w:hAnsi="宋体" w:eastAsia="宋体" w:cs="宋体"/>
          <w:b/>
          <w:bCs/>
          <w:color w:val="auto"/>
          <w:sz w:val="24"/>
          <w:szCs w:val="24"/>
          <w:highlight w:val="none"/>
          <w:u w:val="single"/>
        </w:rPr>
        <w:t>日</w:t>
      </w:r>
      <w:r>
        <w:rPr>
          <w:rFonts w:hint="eastAsia" w:hAnsi="宋体" w:cs="宋体"/>
          <w:b/>
          <w:bCs/>
          <w:color w:val="auto"/>
          <w:sz w:val="24"/>
          <w:szCs w:val="24"/>
          <w:highlight w:val="none"/>
          <w:u w:val="single"/>
          <w:lang w:val="en-US" w:eastAsia="zh-CN"/>
        </w:rPr>
        <w:t xml:space="preserve"> 09 </w:t>
      </w:r>
      <w:r>
        <w:rPr>
          <w:rFonts w:hint="eastAsia" w:ascii="宋体" w:hAnsi="宋体" w:eastAsia="宋体" w:cs="宋体"/>
          <w:b/>
          <w:bCs/>
          <w:color w:val="auto"/>
          <w:sz w:val="24"/>
          <w:szCs w:val="24"/>
          <w:highlight w:val="none"/>
          <w:u w:val="single"/>
        </w:rPr>
        <w:t>点</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rPr>
        <w:t>00</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782404C4">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15" w:name="_Toc35393798"/>
      <w:bookmarkStart w:id="16" w:name="_Toc28359012"/>
      <w:bookmarkStart w:id="17" w:name="_Toc35393629"/>
      <w:bookmarkStart w:id="18" w:name="_Toc28359089"/>
      <w:r>
        <w:rPr>
          <w:rFonts w:hint="eastAsia" w:ascii="宋体" w:hAnsi="宋体" w:eastAsia="宋体" w:cs="宋体"/>
          <w:b/>
          <w:bCs/>
          <w:color w:val="auto"/>
          <w:sz w:val="24"/>
          <w:szCs w:val="24"/>
          <w:highlight w:val="none"/>
        </w:rPr>
        <w:t>一、项目基本情况</w:t>
      </w:r>
      <w:bookmarkEnd w:id="15"/>
      <w:bookmarkEnd w:id="16"/>
      <w:bookmarkEnd w:id="17"/>
      <w:bookmarkEnd w:id="18"/>
    </w:p>
    <w:p w14:paraId="4B7D313F">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项目编号：</w:t>
      </w:r>
      <w:r>
        <w:rPr>
          <w:rFonts w:hint="eastAsia" w:hAnsi="宋体" w:cs="宋体"/>
          <w:color w:val="auto"/>
          <w:sz w:val="24"/>
          <w:szCs w:val="24"/>
          <w:highlight w:val="none"/>
          <w:lang w:val="en-US" w:eastAsia="zh-CN"/>
        </w:rPr>
        <w:t>BSZC2025-C2-00939-YNXH-0017</w:t>
      </w:r>
    </w:p>
    <w:p w14:paraId="6F6F3555">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项目名称：</w:t>
      </w:r>
      <w:r>
        <w:rPr>
          <w:rFonts w:hint="eastAsia" w:hAnsi="宋体" w:cs="宋体"/>
          <w:color w:val="auto"/>
          <w:sz w:val="24"/>
          <w:szCs w:val="24"/>
          <w:highlight w:val="none"/>
          <w:lang w:val="en-US" w:eastAsia="zh-CN"/>
        </w:rPr>
        <w:t>腾冲市固东镇集镇环西路建设项目 (二期工程)二次</w:t>
      </w:r>
    </w:p>
    <w:p w14:paraId="35A81822">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采购方式：竞争性磋商</w:t>
      </w:r>
    </w:p>
    <w:p w14:paraId="2F6D587E">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资格审查方式：资格后审</w:t>
      </w:r>
    </w:p>
    <w:p w14:paraId="2B92516B">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预算金额：¥</w:t>
      </w:r>
      <w:r>
        <w:rPr>
          <w:rFonts w:hint="eastAsia" w:hAnsi="宋体" w:cs="宋体"/>
          <w:color w:val="auto"/>
          <w:sz w:val="24"/>
          <w:szCs w:val="24"/>
          <w:highlight w:val="none"/>
          <w:lang w:val="en-US" w:eastAsia="zh-CN"/>
        </w:rPr>
        <w:t>380万</w:t>
      </w:r>
      <w:r>
        <w:rPr>
          <w:rFonts w:hint="eastAsia" w:ascii="宋体" w:hAnsi="宋体" w:eastAsia="宋体" w:cs="宋体"/>
          <w:color w:val="auto"/>
          <w:sz w:val="24"/>
          <w:szCs w:val="24"/>
          <w:highlight w:val="none"/>
          <w:lang w:val="en-US" w:eastAsia="zh-CN"/>
        </w:rPr>
        <w:t>（大写：</w:t>
      </w:r>
      <w:r>
        <w:rPr>
          <w:rFonts w:hint="eastAsia" w:hAnsi="宋体" w:cs="宋体"/>
          <w:color w:val="auto"/>
          <w:sz w:val="24"/>
          <w:szCs w:val="24"/>
          <w:highlight w:val="none"/>
          <w:lang w:val="en-US" w:eastAsia="zh-CN"/>
        </w:rPr>
        <w:t>叁佰捌拾万元整）</w:t>
      </w:r>
    </w:p>
    <w:p w14:paraId="35AB11EB">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6.最高限价：¥3793526.64</w:t>
      </w:r>
      <w:r>
        <w:rPr>
          <w:rFonts w:hint="eastAsia" w:hAnsi="宋体" w:cs="宋体"/>
          <w:color w:val="auto"/>
          <w:sz w:val="24"/>
          <w:szCs w:val="24"/>
          <w:highlight w:val="none"/>
          <w:lang w:val="en-US" w:eastAsia="zh-CN"/>
        </w:rPr>
        <w:t>元</w:t>
      </w:r>
      <w:r>
        <w:rPr>
          <w:rFonts w:hint="eastAsia" w:ascii="宋体" w:hAnsi="宋体" w:eastAsia="宋体" w:cs="宋体"/>
          <w:color w:val="auto"/>
          <w:sz w:val="24"/>
          <w:szCs w:val="24"/>
          <w:highlight w:val="none"/>
          <w:lang w:val="en-US" w:eastAsia="zh-CN"/>
        </w:rPr>
        <w:t>（大写：</w:t>
      </w:r>
      <w:r>
        <w:rPr>
          <w:rFonts w:hint="eastAsia" w:hAnsi="宋体" w:cs="宋体"/>
          <w:color w:val="auto"/>
          <w:sz w:val="24"/>
          <w:szCs w:val="24"/>
          <w:highlight w:val="none"/>
          <w:lang w:val="en-US" w:eastAsia="zh-CN"/>
        </w:rPr>
        <w:t>叁佰柒拾玖万叁仟伍佰贰拾陆元陆角肆分</w:t>
      </w:r>
      <w:r>
        <w:rPr>
          <w:rFonts w:hint="eastAsia" w:ascii="宋体" w:hAnsi="宋体" w:eastAsia="宋体" w:cs="宋体"/>
          <w:color w:val="auto"/>
          <w:sz w:val="24"/>
          <w:szCs w:val="24"/>
          <w:highlight w:val="none"/>
          <w:lang w:val="en-US" w:eastAsia="zh-CN"/>
        </w:rPr>
        <w:t>）</w:t>
      </w:r>
    </w:p>
    <w:p w14:paraId="3F62CB50">
      <w:pPr>
        <w:keepNext w:val="0"/>
        <w:keepLines w:val="0"/>
        <w:pageBreakBefore w:val="0"/>
        <w:widowControl w:val="0"/>
        <w:kinsoku/>
        <w:wordWrap w:val="0"/>
        <w:overflowPunct/>
        <w:topLinePunct w:val="0"/>
        <w:autoSpaceDE/>
        <w:autoSpaceDN/>
        <w:bidi w:val="0"/>
        <w:adjustRightInd/>
        <w:snapToGrid/>
        <w:spacing w:line="540" w:lineRule="exact"/>
        <w:ind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采购</w:t>
      </w:r>
      <w:r>
        <w:rPr>
          <w:rFonts w:hint="eastAsia" w:hAnsi="宋体" w:cs="宋体"/>
          <w:color w:val="auto"/>
          <w:sz w:val="24"/>
          <w:szCs w:val="24"/>
          <w:highlight w:val="none"/>
          <w:lang w:val="en-US" w:eastAsia="zh-CN"/>
        </w:rPr>
        <w:t>需求</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改建固东集镇沥青混凝土道路一条，长 580 米，宽 16 米，敷设沥青路面 9280 平方米；安装钢带双壁波纹排水管 1800 米（其中：DN600 管 1300 米，DN300 管 500 米）；安装检查井 30 座，雨水井 64 座。（具体内容详见工程量清单） </w:t>
      </w:r>
    </w:p>
    <w:p w14:paraId="7E6532D2">
      <w:pPr>
        <w:pStyle w:val="7"/>
        <w:keepLines w:val="0"/>
        <w:pageBreakBefore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宋体" w:hAnsi="宋体" w:eastAsia="宋体" w:cs="宋体"/>
          <w:color w:val="auto"/>
          <w:sz w:val="24"/>
          <w:szCs w:val="24"/>
          <w:highlight w:val="none"/>
          <w:lang w:val="en-US" w:eastAsia="zh-CN"/>
        </w:rPr>
      </w:pPr>
      <w:bookmarkStart w:id="19" w:name="_Toc35393799"/>
      <w:bookmarkStart w:id="20" w:name="_Toc28359090"/>
      <w:bookmarkStart w:id="21" w:name="_Toc28359013"/>
      <w:bookmarkStart w:id="22" w:name="_Toc35393630"/>
      <w:r>
        <w:rPr>
          <w:rFonts w:hint="eastAsia" w:ascii="宋体" w:hAnsi="宋体" w:eastAsia="宋体" w:cs="宋体"/>
          <w:snapToGrid w:val="0"/>
          <w:color w:val="auto"/>
          <w:kern w:val="21"/>
          <w:sz w:val="24"/>
          <w:szCs w:val="24"/>
          <w:highlight w:val="none"/>
          <w:lang w:val="en-US" w:eastAsia="zh-CN" w:bidi="ar-SA"/>
        </w:rPr>
        <w:t>8.</w:t>
      </w:r>
      <w:r>
        <w:rPr>
          <w:rFonts w:hint="eastAsia" w:hAnsi="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120日历天</w:t>
      </w:r>
      <w:r>
        <w:rPr>
          <w:rFonts w:hint="eastAsia" w:ascii="宋体" w:hAnsi="宋体" w:eastAsia="宋体" w:cs="宋体"/>
          <w:color w:val="auto"/>
          <w:sz w:val="24"/>
          <w:szCs w:val="24"/>
          <w:highlight w:val="none"/>
          <w:lang w:val="en-US" w:eastAsia="zh-CN"/>
        </w:rPr>
        <w:t>。</w:t>
      </w:r>
    </w:p>
    <w:p w14:paraId="0EF27762">
      <w:pPr>
        <w:pStyle w:val="7"/>
        <w:keepLines w:val="0"/>
        <w:pageBreakBefore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21"/>
          <w:sz w:val="24"/>
          <w:szCs w:val="24"/>
          <w:highlight w:val="none"/>
          <w:lang w:val="en-US" w:eastAsia="zh-CN" w:bidi="ar-SA"/>
        </w:rPr>
        <w:t>9.质量标准：</w:t>
      </w:r>
      <w:r>
        <w:rPr>
          <w:rFonts w:hint="eastAsia" w:ascii="宋体" w:hAnsi="宋体" w:eastAsia="宋体" w:cs="宋体"/>
          <w:spacing w:val="-3"/>
          <w:sz w:val="24"/>
          <w:szCs w:val="24"/>
          <w:lang w:val="en-US" w:eastAsia="zh-CN"/>
        </w:rPr>
        <w:t>符合现行行业标准及规范规定的质量标准，一次性验收合格</w:t>
      </w:r>
      <w:r>
        <w:rPr>
          <w:rFonts w:hint="eastAsia" w:hAnsi="宋体" w:cs="宋体"/>
          <w:snapToGrid w:val="0"/>
          <w:color w:val="auto"/>
          <w:kern w:val="21"/>
          <w:sz w:val="24"/>
          <w:szCs w:val="24"/>
          <w:highlight w:val="none"/>
          <w:lang w:val="en-US" w:eastAsia="zh-CN" w:bidi="ar-SA"/>
        </w:rPr>
        <w:t>。</w:t>
      </w:r>
    </w:p>
    <w:p w14:paraId="4F6C584B">
      <w:pPr>
        <w:pStyle w:val="2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10.建设地点：腾冲市固东镇（</w:t>
      </w:r>
      <w:bookmarkStart w:id="23" w:name="OLE_LINK4"/>
      <w:r>
        <w:rPr>
          <w:rFonts w:hint="eastAsia" w:ascii="宋体" w:hAnsi="宋体" w:eastAsia="宋体" w:cs="宋体"/>
          <w:sz w:val="24"/>
          <w:szCs w:val="24"/>
        </w:rPr>
        <w:t>采购人指定地点</w:t>
      </w:r>
      <w:bookmarkEnd w:id="23"/>
      <w:r>
        <w:rPr>
          <w:rFonts w:hint="eastAsia" w:ascii="宋体" w:hAnsi="宋体" w:eastAsia="宋体" w:cs="宋体"/>
          <w:color w:val="auto"/>
          <w:sz w:val="24"/>
          <w:szCs w:val="24"/>
          <w:highlight w:val="none"/>
          <w:lang w:val="en-US" w:eastAsia="zh-CN"/>
        </w:rPr>
        <w:t>）。</w:t>
      </w:r>
    </w:p>
    <w:p w14:paraId="79D2D20A">
      <w:pPr>
        <w:pStyle w:val="2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11.本项目（否）接受联合体。</w:t>
      </w:r>
    </w:p>
    <w:p w14:paraId="13DBE4E2">
      <w:pPr>
        <w:pStyle w:val="20"/>
        <w:keepLines w:val="0"/>
        <w:pageBreakBefore w:val="0"/>
        <w:widowControl/>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的资格要求</w:t>
      </w:r>
      <w:bookmarkEnd w:id="19"/>
      <w:bookmarkEnd w:id="20"/>
      <w:bookmarkEnd w:id="21"/>
      <w:bookmarkEnd w:id="22"/>
    </w:p>
    <w:p w14:paraId="576E64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bookmarkStart w:id="24" w:name="_Toc35393631"/>
      <w:bookmarkStart w:id="25" w:name="_Toc35393800"/>
      <w:bookmarkStart w:id="26" w:name="_Toc28359091"/>
      <w:bookmarkStart w:id="27" w:name="_Toc28359014"/>
      <w:r>
        <w:rPr>
          <w:rFonts w:hint="eastAsia" w:ascii="宋体" w:hAnsi="宋体" w:eastAsia="宋体" w:cs="宋体"/>
          <w:color w:val="auto"/>
          <w:sz w:val="24"/>
          <w:szCs w:val="24"/>
          <w:highlight w:val="none"/>
          <w:lang w:val="en-US" w:eastAsia="zh-CN"/>
        </w:rPr>
        <w:t>1.满足《中华人民共和国政府采购法》第二十二条规定。</w:t>
      </w:r>
    </w:p>
    <w:p w14:paraId="1C47146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1.1具有独立承担民事责任的能力：提供法人或者其他组织的营业执照等证明文件，自然人的身份证明；</w:t>
      </w:r>
    </w:p>
    <w:p w14:paraId="26A0F3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1.2具有良好的商业信誉和健全的财务会计制度：提供202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年财务报表（若为新成立的公司，只需提供公司成立起至今的财务报表，其他组织和自然人，没有财务报表，可以提供银行出具的资信证明）；</w:t>
      </w:r>
    </w:p>
    <w:p w14:paraId="78C66D0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1.3具有履行合同所必需的设备和专业技术能力：提供书面声明；</w:t>
      </w:r>
    </w:p>
    <w:p w14:paraId="5228093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1.4有依法缴纳税收和社会保障资金的良好记录：提供202</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年1月至今任意1个月的缴纳税收及社会保障资金证明材料（若为新成立的公司，只需提供公司成立起至今的缴纳税收及社会保障资金证明材料；若为免税免缴纳企业，提供免税免缴纳相关证明材料）；</w:t>
      </w:r>
    </w:p>
    <w:p w14:paraId="3E8EEC0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1.5参加政府采购活动前三年内，在经营活动中没有重大违法记录：提供书面声明；</w:t>
      </w:r>
    </w:p>
    <w:p w14:paraId="5B47257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1F571F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落实政府采购政策需满足的资格要求：本项目不属于专门面向中小企业采购项目，小微企业价格优惠比例3%；监狱企业和残疾人福利性单位视同小型、微型企业。</w:t>
      </w:r>
    </w:p>
    <w:p w14:paraId="4C40DF5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3.特定资格要求：</w:t>
      </w:r>
    </w:p>
    <w:p w14:paraId="37D7810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3.1供应商须具有建设行政主管部门颁发的公路工程或市政公用工程施工总承包叁级及以上资质；具备有效的安全生产许可证，并在人员、设备、资金等方面具有相应的施工能力；</w:t>
      </w:r>
    </w:p>
    <w:p w14:paraId="6DC09F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3.2拟派本项目负责人须具有建设行政主管部门颁发的公路工程或市政公用工程专业二级及以上注册建造师资格，同时具有主管部门颁发的安全生产考核合格证（B证），且在有效期内，为本单位人员；并且无在岗项目，未在其他项目上任职；</w:t>
      </w:r>
    </w:p>
    <w:p w14:paraId="6A58E0B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条件：供应商不得为中国政府采购网（www.ccgp.gov.cn）政府采购严重违法失信行为记录名单中被财政部门禁止参加政府采购活动的供应商（处罚决定规定的时间和地域范围内），不得为“信用中国”网站（www.creditchina.gov.cn）中列入“失信被执行人</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重大税收违法失信主体”的供应商</w:t>
      </w:r>
      <w:r>
        <w:rPr>
          <w:rFonts w:hint="eastAsia" w:hAnsi="宋体" w:cs="宋体"/>
          <w:color w:val="auto"/>
          <w:sz w:val="24"/>
          <w:szCs w:val="24"/>
          <w:highlight w:val="none"/>
          <w:lang w:val="en-US" w:eastAsia="zh-CN"/>
        </w:rPr>
        <w:t>。</w:t>
      </w:r>
    </w:p>
    <w:p w14:paraId="254851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lang w:val="en-US" w:eastAsia="zh-CN"/>
        </w:rPr>
        <w:t>。</w:t>
      </w:r>
    </w:p>
    <w:p w14:paraId="45259751">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w:t>
      </w:r>
      <w:r>
        <w:rPr>
          <w:rFonts w:hint="eastAsia" w:ascii="宋体" w:hAnsi="宋体" w:eastAsia="宋体" w:cs="宋体"/>
          <w:b/>
          <w:bCs/>
          <w:color w:val="auto"/>
          <w:sz w:val="24"/>
          <w:szCs w:val="24"/>
          <w:highlight w:val="none"/>
          <w:lang w:val="en-US" w:eastAsia="zh-CN"/>
        </w:rPr>
        <w:t>竞争性磋商</w:t>
      </w:r>
      <w:r>
        <w:rPr>
          <w:rFonts w:hint="eastAsia" w:ascii="宋体" w:hAnsi="宋体" w:eastAsia="宋体" w:cs="宋体"/>
          <w:b/>
          <w:bCs/>
          <w:color w:val="auto"/>
          <w:sz w:val="24"/>
          <w:szCs w:val="24"/>
          <w:highlight w:val="none"/>
        </w:rPr>
        <w:t>文件</w:t>
      </w:r>
      <w:bookmarkEnd w:id="24"/>
      <w:bookmarkEnd w:id="25"/>
      <w:bookmarkEnd w:id="26"/>
      <w:bookmarkEnd w:id="27"/>
    </w:p>
    <w:p w14:paraId="129B875D">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09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01</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日至</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hAnsi="宋体" w:cs="宋体"/>
          <w:b w:val="0"/>
          <w:bCs w:val="0"/>
          <w:color w:val="auto"/>
          <w:sz w:val="24"/>
          <w:szCs w:val="24"/>
          <w:highlight w:val="none"/>
          <w:u w:val="single"/>
          <w:lang w:val="en-US" w:eastAsia="zh-CN"/>
        </w:rPr>
        <w:t>08</w:t>
      </w:r>
      <w:r>
        <w:rPr>
          <w:rFonts w:hint="eastAsia" w:ascii="宋体" w:hAnsi="宋体" w:eastAsia="宋体" w:cs="宋体"/>
          <w:b w:val="0"/>
          <w:bCs w:val="0"/>
          <w:color w:val="auto"/>
          <w:sz w:val="24"/>
          <w:szCs w:val="24"/>
          <w:highlight w:val="none"/>
        </w:rPr>
        <w:t>日。</w:t>
      </w:r>
    </w:p>
    <w:p w14:paraId="46C06911">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地点（网址）：</w:t>
      </w:r>
      <w:bookmarkStart w:id="28" w:name="_Hlk123118694"/>
      <w:r>
        <w:rPr>
          <w:rFonts w:hint="eastAsia" w:ascii="宋体" w:hAnsi="宋体" w:eastAsia="宋体" w:cs="宋体"/>
          <w:color w:val="auto"/>
          <w:sz w:val="24"/>
          <w:szCs w:val="24"/>
          <w:highlight w:val="none"/>
        </w:rPr>
        <w:t>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bookmarkEnd w:id="28"/>
    </w:p>
    <w:p w14:paraId="63E30350">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bookmarkStart w:id="29" w:name="_Hlk123118733"/>
      <w:r>
        <w:rPr>
          <w:rFonts w:hint="eastAsia" w:ascii="宋体" w:hAnsi="宋体" w:eastAsia="宋体" w:cs="宋体"/>
          <w:color w:val="auto"/>
          <w:sz w:val="24"/>
          <w:szCs w:val="24"/>
          <w:highlight w:val="none"/>
        </w:rPr>
        <w:t>凡有意参加的供应商，须在政府采购云平台办理数字证书（CA）， CA申领链接：https://middle.zcygov.cn/ca/apply/list? app_=zcy.sys，并通过政采云绑定数字证书（CA）后在网上获取采购文件及其它采购资料，数字证书（CA）详见其办理流程。</w:t>
      </w:r>
    </w:p>
    <w:p w14:paraId="199FA8EA">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供应商如之前已在云南CA在线数字证书办理网进行过注册并办理过企业数字证书（CA）的，直接绑定即可，无需重复办理（2022年1月1日前在云南省公共资源交易平台办理过云南CA证书的需到原办理点进行升级后方可使用）。云南省省外供应商在政府采购云平台办理的其他CA可直接使用，无需重复办理。</w:t>
      </w:r>
    </w:p>
    <w:p w14:paraId="6CEECEE4">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供应商通过CA证书获取采购文件的视为合法获取了项目采购文件，具备本项目的磋商资格。</w:t>
      </w:r>
    </w:p>
    <w:p w14:paraId="5B6777AA">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系统操作问题：请致电政采云：4008817190（客服热线）；</w:t>
      </w:r>
    </w:p>
    <w:p w14:paraId="3A2840C4">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云南CA操作问题：请致电云南CA：4006727666。</w:t>
      </w:r>
    </w:p>
    <w:bookmarkEnd w:id="29"/>
    <w:p w14:paraId="596DFA15">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sz w:val="24"/>
          <w:szCs w:val="24"/>
          <w:highlight w:val="none"/>
        </w:rPr>
      </w:pPr>
      <w:bookmarkStart w:id="30" w:name="_Hlk123119113"/>
      <w:r>
        <w:rPr>
          <w:rFonts w:hint="eastAsia" w:ascii="宋体" w:hAnsi="宋体" w:eastAsia="宋体" w:cs="宋体"/>
          <w:color w:val="auto"/>
          <w:sz w:val="24"/>
          <w:szCs w:val="24"/>
          <w:highlight w:val="none"/>
        </w:rPr>
        <w:t>售价：竞争性磋商文件每套售价</w:t>
      </w:r>
      <w:r>
        <w:rPr>
          <w:rFonts w:hint="eastAsia" w:ascii="宋体" w:hAnsi="宋体" w:eastAsia="宋体" w:cs="宋体"/>
          <w:color w:val="auto"/>
          <w:sz w:val="24"/>
          <w:szCs w:val="24"/>
          <w:highlight w:val="none"/>
          <w:u w:val="single"/>
        </w:rPr>
        <w:t xml:space="preserve"> 0.00 </w:t>
      </w:r>
      <w:r>
        <w:rPr>
          <w:rFonts w:hint="eastAsia" w:ascii="宋体" w:hAnsi="宋体" w:eastAsia="宋体" w:cs="宋体"/>
          <w:color w:val="auto"/>
          <w:sz w:val="24"/>
          <w:szCs w:val="24"/>
          <w:highlight w:val="none"/>
        </w:rPr>
        <w:t>元，售后不退。</w:t>
      </w:r>
    </w:p>
    <w:bookmarkEnd w:id="30"/>
    <w:p w14:paraId="3D367612">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31" w:name="_Toc35393632"/>
      <w:bookmarkStart w:id="32" w:name="_Toc35393801"/>
      <w:bookmarkStart w:id="33" w:name="_Toc28359015"/>
      <w:bookmarkStart w:id="34" w:name="_Toc28359092"/>
      <w:r>
        <w:rPr>
          <w:rFonts w:hint="eastAsia" w:ascii="宋体" w:hAnsi="宋体" w:eastAsia="宋体" w:cs="宋体"/>
          <w:b/>
          <w:bCs/>
          <w:color w:val="auto"/>
          <w:sz w:val="24"/>
          <w:szCs w:val="24"/>
          <w:highlight w:val="none"/>
        </w:rPr>
        <w:t>四、响应文件递交</w:t>
      </w:r>
      <w:bookmarkEnd w:id="31"/>
      <w:bookmarkEnd w:id="32"/>
      <w:bookmarkEnd w:id="33"/>
      <w:bookmarkEnd w:id="34"/>
    </w:p>
    <w:p w14:paraId="1BC74E88">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4.1截止时间：</w:t>
      </w:r>
      <w:r>
        <w:rPr>
          <w:rFonts w:hint="eastAsia"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12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r>
        <w:rPr>
          <w:rFonts w:hint="eastAsia" w:ascii="宋体" w:hAnsi="宋体" w:eastAsia="宋体" w:cs="宋体"/>
          <w:color w:val="auto"/>
          <w:sz w:val="24"/>
          <w:szCs w:val="24"/>
          <w:highlight w:val="none"/>
        </w:rPr>
        <w:t>（北京时间）</w:t>
      </w:r>
    </w:p>
    <w:p w14:paraId="0B002960">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4.2地点：政府采购云平台（网址：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bookmarkStart w:id="35" w:name="_Hlk123128360"/>
      <w:r>
        <w:rPr>
          <w:rFonts w:hint="eastAsia" w:ascii="宋体" w:hAnsi="宋体" w:eastAsia="宋体" w:cs="宋体"/>
          <w:color w:val="auto"/>
          <w:sz w:val="24"/>
          <w:szCs w:val="24"/>
          <w:highlight w:val="none"/>
        </w:rPr>
        <w:t>响应文件的递交方式</w:t>
      </w:r>
      <w:bookmarkEnd w:id="35"/>
      <w:bookmarkStart w:id="36" w:name="_Hlk123128443"/>
      <w:r>
        <w:rPr>
          <w:rFonts w:hint="eastAsia" w:ascii="宋体" w:hAnsi="宋体" w:eastAsia="宋体" w:cs="宋体"/>
          <w:color w:val="auto"/>
          <w:sz w:val="24"/>
          <w:szCs w:val="24"/>
          <w:highlight w:val="none"/>
        </w:rPr>
        <w:t>为网上递交，供应商在响应文件递交的截止时间（磋商截止时间，下同）前，需在网上（网址：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）递交响应文件，具体要求：登录政府采购云平台（网址：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），供应商须在磋商截止时间前完成响应文件的电子签章、加密及上传，磋商截止时间前未完成响应文件上传的，视为撤回响应文件。</w:t>
      </w:r>
    </w:p>
    <w:p w14:paraId="71993D7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16CB80C1">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若供应商熟悉“政府采购云平台”相关投标程序，不到现场参加投标的，应提前（至少在磋商截止时间前30分钟）在自有场地配置有音视频通话（带摄像头及话筒的电脑）功能的相应设备及稳定网络环境，并按“政府采购云平台”开标大厅中的提示完成采购活动。</w:t>
      </w:r>
    </w:p>
    <w:p w14:paraId="5C1EB6E2">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（二）到现场参与投标的供应商，建议于响应文件提交截止时间前携带编制响应文件时的加密数字证书（CA）、具有摄像头及话筒的笔记本电脑至采购代理机构开标地点参与投标。</w:t>
      </w:r>
    </w:p>
    <w:p w14:paraId="0112B445">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（三）采购人宣布开启电子响应文件后，供应商登录“政府采购云平台”开标大厅，使用供应商编制响应文件时的加密数字证书对响应文件进行解密。</w:t>
      </w:r>
    </w:p>
    <w:p w14:paraId="5E860517">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kern w:val="0"/>
          <w:sz w:val="24"/>
          <w:szCs w:val="24"/>
          <w:highlight w:val="none"/>
        </w:rPr>
        <w:t>网上递交的响应文件应使用数字证书进行加密。因供应商自身原因致使响应文件未成功解密的</w:t>
      </w:r>
      <w:r>
        <w:rPr>
          <w:rFonts w:hint="eastAsia" w:ascii="宋体" w:hAnsi="宋体" w:eastAsia="宋体" w:cs="宋体"/>
          <w:color w:val="auto"/>
          <w:sz w:val="24"/>
          <w:szCs w:val="24"/>
          <w:highlight w:val="none"/>
        </w:rPr>
        <w:t>或供应商提交的电子标书不符合本项目电子响应文件编制要求或开标时无法读取导入或解密</w:t>
      </w:r>
      <w:r>
        <w:rPr>
          <w:rFonts w:hint="eastAsia" w:ascii="宋体" w:hAnsi="宋体" w:eastAsia="宋体" w:cs="宋体"/>
          <w:color w:val="auto"/>
          <w:kern w:val="0"/>
          <w:sz w:val="24"/>
          <w:szCs w:val="24"/>
          <w:highlight w:val="none"/>
        </w:rPr>
        <w:t>，其响应文件将不予受理。</w:t>
      </w:r>
      <w:bookmarkEnd w:id="36"/>
    </w:p>
    <w:p w14:paraId="1D26DE9B">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37" w:name="_Toc28359016"/>
      <w:bookmarkStart w:id="38" w:name="_Toc35393802"/>
      <w:bookmarkStart w:id="39" w:name="_Toc28359093"/>
      <w:bookmarkStart w:id="40" w:name="_Toc35393633"/>
      <w:r>
        <w:rPr>
          <w:rFonts w:hint="eastAsia" w:ascii="宋体" w:hAnsi="宋体" w:eastAsia="宋体" w:cs="宋体"/>
          <w:color w:val="auto"/>
          <w:sz w:val="24"/>
          <w:szCs w:val="24"/>
          <w:highlight w:val="none"/>
        </w:rPr>
        <w:t>（五）未办理数字证书（CA）的供应商其编制的响应文件将无法按竞争性磋商文件的要求进行电子签章及加密，由此造成的后果由供应商自行承担。</w:t>
      </w:r>
    </w:p>
    <w:p w14:paraId="6E3D3C25">
      <w:pPr>
        <w:pStyle w:val="2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五、开启</w:t>
      </w:r>
      <w:bookmarkEnd w:id="37"/>
      <w:bookmarkEnd w:id="38"/>
      <w:bookmarkEnd w:id="39"/>
      <w:bookmarkEnd w:id="40"/>
    </w:p>
    <w:p w14:paraId="5377C3E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5.1时间</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ascii="宋体" w:hAnsi="宋体" w:eastAsia="宋体" w:cs="宋体"/>
          <w:b w:val="0"/>
          <w:bCs w:val="0"/>
          <w:color w:val="auto"/>
          <w:sz w:val="24"/>
          <w:szCs w:val="24"/>
          <w:highlight w:val="none"/>
        </w:rPr>
        <w:t>月</w:t>
      </w:r>
      <w:r>
        <w:rPr>
          <w:rFonts w:hint="eastAsia" w:hAnsi="宋体" w:cs="宋体"/>
          <w:b w:val="0"/>
          <w:bCs w:val="0"/>
          <w:color w:val="auto"/>
          <w:sz w:val="24"/>
          <w:szCs w:val="24"/>
          <w:highlight w:val="none"/>
          <w:u w:val="single"/>
          <w:lang w:val="en-US" w:eastAsia="zh-CN"/>
        </w:rPr>
        <w:t xml:space="preserve"> 12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r>
        <w:rPr>
          <w:rFonts w:hint="eastAsia" w:ascii="宋体" w:hAnsi="宋体" w:eastAsia="宋体" w:cs="宋体"/>
          <w:b/>
          <w:bCs/>
          <w:color w:val="auto"/>
          <w:sz w:val="24"/>
          <w:szCs w:val="24"/>
          <w:highlight w:val="none"/>
        </w:rPr>
        <w:t>（北京时间）</w:t>
      </w:r>
    </w:p>
    <w:p w14:paraId="7611C2AE">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5.2地点：政府采购云平台（网址：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p>
    <w:p w14:paraId="486EAE97">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color w:val="auto"/>
          <w:kern w:val="0"/>
          <w:sz w:val="24"/>
          <w:szCs w:val="24"/>
          <w:highlight w:val="none"/>
        </w:rPr>
        <w:t>响应文件解密方式：远程解密或现场解密。</w:t>
      </w:r>
    </w:p>
    <w:p w14:paraId="073C9F0E">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41" w:name="_Toc28359094"/>
      <w:bookmarkStart w:id="42" w:name="_Toc35393634"/>
      <w:bookmarkStart w:id="43" w:name="_Toc28359017"/>
      <w:bookmarkStart w:id="44" w:name="_Toc35393803"/>
      <w:r>
        <w:rPr>
          <w:rFonts w:hint="eastAsia" w:ascii="宋体" w:hAnsi="宋体" w:eastAsia="宋体" w:cs="宋体"/>
          <w:b/>
          <w:bCs/>
          <w:color w:val="auto"/>
          <w:sz w:val="24"/>
          <w:szCs w:val="24"/>
          <w:highlight w:val="none"/>
        </w:rPr>
        <w:t>六、公告期限</w:t>
      </w:r>
      <w:bookmarkEnd w:id="41"/>
      <w:bookmarkEnd w:id="42"/>
      <w:bookmarkEnd w:id="43"/>
      <w:bookmarkEnd w:id="44"/>
    </w:p>
    <w:p w14:paraId="0859D33D">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2C096460">
      <w:pPr>
        <w:pStyle w:val="2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lang w:val="en-US"/>
        </w:rPr>
      </w:pPr>
      <w:bookmarkStart w:id="45" w:name="_Toc35393635"/>
      <w:bookmarkStart w:id="46" w:name="_Toc35393804"/>
      <w:r>
        <w:rPr>
          <w:rFonts w:hint="eastAsia" w:ascii="宋体" w:hAnsi="宋体" w:eastAsia="宋体" w:cs="宋体"/>
          <w:b/>
          <w:bCs/>
          <w:color w:val="auto"/>
          <w:sz w:val="24"/>
          <w:szCs w:val="24"/>
          <w:highlight w:val="none"/>
        </w:rPr>
        <w:t>七、其他补充事宜</w:t>
      </w:r>
      <w:bookmarkEnd w:id="45"/>
      <w:bookmarkEnd w:id="46"/>
    </w:p>
    <w:p w14:paraId="7A52DC9C">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开标方式：智能开标，开标网址：</w:t>
      </w:r>
      <w:r>
        <w:rPr>
          <w:rFonts w:hint="eastAsia" w:ascii="宋体" w:hAnsi="宋体" w:cs="宋体"/>
          <w:color w:val="auto"/>
          <w:kern w:val="0"/>
          <w:sz w:val="24"/>
          <w:szCs w:val="24"/>
          <w:highlight w:val="none"/>
          <w:shd w:val="clear" w:color="auto" w:fill="FFFFFF"/>
        </w:rPr>
        <w:t>https://www.zcygov.cn/</w:t>
      </w:r>
    </w:p>
    <w:p w14:paraId="00C19D97">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是否需要缴纳</w:t>
      </w:r>
      <w:r>
        <w:rPr>
          <w:rFonts w:hint="eastAsia"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eastAsia="zh-CN"/>
        </w:rPr>
        <w:t>是</w:t>
      </w:r>
    </w:p>
    <w:p w14:paraId="16CDB91E">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磋商保证金缴纳金额：</w:t>
      </w:r>
      <w:r>
        <w:rPr>
          <w:rFonts w:hint="eastAsia" w:hAnsi="宋体" w:cs="宋体"/>
          <w:color w:val="auto"/>
          <w:sz w:val="24"/>
          <w:szCs w:val="24"/>
          <w:highlight w:val="none"/>
          <w:lang w:val="en-US" w:eastAsia="zh-CN"/>
        </w:rPr>
        <w:t>30000.00</w:t>
      </w:r>
      <w:r>
        <w:rPr>
          <w:rFonts w:hint="eastAsia" w:ascii="宋体" w:hAnsi="宋体" w:eastAsia="宋体" w:cs="宋体"/>
          <w:color w:val="auto"/>
          <w:sz w:val="24"/>
          <w:szCs w:val="24"/>
          <w:highlight w:val="none"/>
        </w:rPr>
        <w:t>元</w:t>
      </w:r>
    </w:p>
    <w:p w14:paraId="1A430F15">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磋商保证金缴纳方式：转账、电汇、网银、银行转账、银行保函、投标保证保险</w:t>
      </w:r>
    </w:p>
    <w:p w14:paraId="2446389A">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磋商保证金缴纳截止时间：</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12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p>
    <w:p w14:paraId="7168C91F">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p w14:paraId="1DF81E8A">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47" w:name="_Hlk123133972"/>
      <w:r>
        <w:rPr>
          <w:rFonts w:hint="eastAsia" w:ascii="宋体" w:hAnsi="宋体" w:eastAsia="宋体" w:cs="宋体"/>
          <w:color w:val="auto"/>
          <w:sz w:val="24"/>
          <w:szCs w:val="24"/>
          <w:highlight w:val="none"/>
        </w:rPr>
        <w:t>本项目竞争性磋商公告在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云南省政府采购网</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政府采购云平台》</w:t>
      </w:r>
      <w:r>
        <w:rPr>
          <w:rFonts w:hint="eastAsia" w:ascii="宋体" w:hAnsi="宋体" w:eastAsia="宋体" w:cs="宋体"/>
          <w:color w:val="auto"/>
          <w:sz w:val="24"/>
          <w:szCs w:val="24"/>
          <w:highlight w:val="none"/>
        </w:rPr>
        <w:t>上发布，我公司及</w:t>
      </w:r>
      <w:r>
        <w:rPr>
          <w:rFonts w:hint="eastAsia" w:hAnsi="宋体" w:cs="宋体"/>
          <w:color w:val="auto"/>
          <w:sz w:val="24"/>
          <w:szCs w:val="24"/>
          <w:highlight w:val="none"/>
          <w:lang w:eastAsia="zh-CN"/>
        </w:rPr>
        <w:t>云南信活工程服务有限责任公司</w:t>
      </w:r>
      <w:r>
        <w:rPr>
          <w:rFonts w:hint="eastAsia" w:ascii="宋体" w:hAnsi="宋体" w:eastAsia="宋体" w:cs="宋体"/>
          <w:color w:val="auto"/>
          <w:sz w:val="24"/>
          <w:szCs w:val="24"/>
          <w:highlight w:val="none"/>
        </w:rPr>
        <w:t>对其他网站或媒体转载的公告及公告内容不承担任何责任。</w:t>
      </w:r>
    </w:p>
    <w:bookmarkEnd w:id="47"/>
    <w:p w14:paraId="035A2813">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48" w:name="_Toc28359018"/>
      <w:bookmarkStart w:id="49" w:name="_Toc35393636"/>
      <w:bookmarkStart w:id="50" w:name="_Toc35393805"/>
      <w:bookmarkStart w:id="51" w:name="_Toc28359095"/>
      <w:r>
        <w:rPr>
          <w:rFonts w:hint="eastAsia" w:ascii="宋体" w:hAnsi="宋体" w:eastAsia="宋体" w:cs="宋体"/>
          <w:b/>
          <w:bCs/>
          <w:color w:val="auto"/>
          <w:sz w:val="24"/>
          <w:szCs w:val="24"/>
          <w:highlight w:val="none"/>
        </w:rPr>
        <w:t>八、凡对本次采购提出询问，请按以下方式联系。</w:t>
      </w:r>
      <w:bookmarkEnd w:id="48"/>
      <w:bookmarkEnd w:id="49"/>
      <w:bookmarkEnd w:id="50"/>
      <w:bookmarkEnd w:id="51"/>
    </w:p>
    <w:p w14:paraId="72F06726">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52" w:name="_Toc35393806"/>
      <w:bookmarkStart w:id="53" w:name="_Toc28359019"/>
      <w:bookmarkStart w:id="54" w:name="_Toc35393637"/>
      <w:bookmarkStart w:id="55" w:name="_Toc28359096"/>
      <w:r>
        <w:rPr>
          <w:rFonts w:hint="eastAsia" w:ascii="宋体" w:hAnsi="宋体" w:eastAsia="宋体" w:cs="宋体"/>
          <w:color w:val="auto"/>
          <w:sz w:val="24"/>
          <w:szCs w:val="24"/>
          <w:highlight w:val="none"/>
        </w:rPr>
        <w:t>1.采购人信息</w:t>
      </w:r>
      <w:bookmarkEnd w:id="52"/>
      <w:bookmarkEnd w:id="53"/>
      <w:bookmarkEnd w:id="54"/>
      <w:bookmarkEnd w:id="55"/>
      <w:r>
        <w:rPr>
          <w:rFonts w:hint="eastAsia" w:ascii="宋体" w:hAnsi="宋体" w:eastAsia="宋体" w:cs="宋体"/>
          <w:color w:val="auto"/>
          <w:sz w:val="24"/>
          <w:szCs w:val="24"/>
          <w:highlight w:val="none"/>
        </w:rPr>
        <w:t>：</w:t>
      </w:r>
    </w:p>
    <w:p w14:paraId="3153ACCA">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bookmarkStart w:id="56" w:name="_Hlk123134041"/>
      <w:r>
        <w:rPr>
          <w:rFonts w:hint="eastAsia" w:hAnsi="宋体" w:cs="宋体"/>
          <w:color w:val="auto"/>
          <w:sz w:val="24"/>
          <w:szCs w:val="24"/>
          <w:highlight w:val="none"/>
          <w:lang w:val="en-US" w:eastAsia="zh-CN"/>
        </w:rPr>
        <w:t>腾冲市固东镇人民政府</w:t>
      </w:r>
    </w:p>
    <w:bookmarkEnd w:id="56"/>
    <w:p w14:paraId="7579DC31">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bookmarkStart w:id="57" w:name="_Hlk123134056"/>
      <w:r>
        <w:rPr>
          <w:rFonts w:hint="eastAsia" w:hAnsi="宋体" w:cs="宋体"/>
          <w:color w:val="auto"/>
          <w:sz w:val="24"/>
          <w:szCs w:val="24"/>
          <w:highlight w:val="none"/>
          <w:lang w:val="en-US" w:eastAsia="zh-CN"/>
        </w:rPr>
        <w:t xml:space="preserve">云南省保山市腾冲市固东镇河头社区东街组106号 </w:t>
      </w:r>
    </w:p>
    <w:bookmarkEnd w:id="57"/>
    <w:p w14:paraId="09D5ACA7">
      <w:pPr>
        <w:pageBreakBefore w:val="0"/>
        <w:kinsoku/>
        <w:wordWrap/>
        <w:overflowPunct/>
        <w:topLinePunct w:val="0"/>
        <w:autoSpaceDE/>
        <w:autoSpaceDN/>
        <w:bidi w:val="0"/>
        <w:adjustRightInd/>
        <w:snapToGrid/>
        <w:spacing w:line="396" w:lineRule="auto"/>
        <w:ind w:firstLine="480" w:firstLineChars="200"/>
        <w:textAlignment w:val="auto"/>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w:t>
      </w:r>
      <w:r>
        <w:rPr>
          <w:rFonts w:hint="eastAsia" w:hAnsi="宋体" w:cs="宋体"/>
          <w:color w:val="auto"/>
          <w:sz w:val="24"/>
          <w:szCs w:val="24"/>
          <w:highlight w:val="none"/>
          <w:lang w:val="en-US" w:eastAsia="zh-CN"/>
        </w:rPr>
        <w:t>人</w:t>
      </w:r>
      <w:r>
        <w:rPr>
          <w:rFonts w:hint="eastAsia" w:ascii="宋体" w:hAnsi="宋体" w:eastAsia="宋体" w:cs="宋体"/>
          <w:color w:val="auto"/>
          <w:sz w:val="24"/>
          <w:szCs w:val="24"/>
          <w:highlight w:val="none"/>
        </w:rPr>
        <w:t>：</w:t>
      </w:r>
      <w:bookmarkStart w:id="58" w:name="_Toc35393638"/>
      <w:bookmarkStart w:id="59" w:name="_Toc35393807"/>
      <w:bookmarkStart w:id="60" w:name="_Toc28359097"/>
      <w:bookmarkStart w:id="61" w:name="_Toc28359020"/>
      <w:r>
        <w:rPr>
          <w:rFonts w:hint="eastAsia" w:hAnsi="宋体" w:cs="宋体"/>
          <w:color w:val="auto"/>
          <w:sz w:val="24"/>
          <w:szCs w:val="24"/>
          <w:highlight w:val="none"/>
          <w:lang w:val="en-US" w:eastAsia="zh-CN"/>
        </w:rPr>
        <w:t>王先生</w:t>
      </w:r>
    </w:p>
    <w:p w14:paraId="55D3F618">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联系电话：0875-5851021</w:t>
      </w:r>
    </w:p>
    <w:p w14:paraId="5FE8E0EC">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p>
    <w:p w14:paraId="6969573A">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58"/>
      <w:bookmarkEnd w:id="59"/>
      <w:bookmarkEnd w:id="60"/>
      <w:bookmarkEnd w:id="61"/>
      <w:r>
        <w:rPr>
          <w:rFonts w:hint="eastAsia" w:ascii="宋体" w:hAnsi="宋体" w:eastAsia="宋体" w:cs="宋体"/>
          <w:color w:val="auto"/>
          <w:sz w:val="24"/>
          <w:szCs w:val="24"/>
          <w:highlight w:val="none"/>
        </w:rPr>
        <w:t>：</w:t>
      </w:r>
    </w:p>
    <w:p w14:paraId="7D1A9E34">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CN"/>
        </w:rPr>
        <w:t>云南信活工程服务有限责任公司</w:t>
      </w:r>
    </w:p>
    <w:p w14:paraId="4F14B27E">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hAnsi="宋体" w:cs="宋体"/>
          <w:color w:val="auto"/>
          <w:sz w:val="24"/>
          <w:szCs w:val="24"/>
          <w:highlight w:val="none"/>
          <w:lang w:eastAsia="zh-CN"/>
        </w:rPr>
        <w:t>腾冲市腾越镇观音塘社区翡翠古镇小区266栋1单元101</w:t>
      </w:r>
    </w:p>
    <w:p w14:paraId="7FB532AE">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val="en-US" w:eastAsia="zh-CN"/>
        </w:rPr>
        <w:t>蒋先生</w:t>
      </w:r>
    </w:p>
    <w:p w14:paraId="3417E1A4">
      <w:pPr>
        <w:pageBreakBefore w:val="0"/>
        <w:kinsoku/>
        <w:wordWrap/>
        <w:overflowPunct/>
        <w:topLinePunct w:val="0"/>
        <w:autoSpaceDE/>
        <w:autoSpaceDN/>
        <w:bidi w:val="0"/>
        <w:adjustRightInd/>
        <w:snapToGrid/>
        <w:spacing w:line="396" w:lineRule="auto"/>
        <w:ind w:firstLine="480" w:firstLineChars="200"/>
        <w:textAlignment w:val="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15025035273</w:t>
      </w:r>
    </w:p>
    <w:p w14:paraId="09101344">
      <w:pPr>
        <w:pageBreakBefore w:val="0"/>
        <w:kinsoku/>
        <w:wordWrap/>
        <w:overflowPunct/>
        <w:topLinePunct w:val="0"/>
        <w:autoSpaceDE/>
        <w:autoSpaceDN/>
        <w:bidi w:val="0"/>
        <w:adjustRightInd/>
        <w:snapToGrid/>
        <w:spacing w:line="396" w:lineRule="auto"/>
        <w:ind w:firstLine="480" w:firstLineChars="200"/>
        <w:textAlignment w:val="auto"/>
        <w:rPr>
          <w:rFonts w:hint="default" w:hAnsi="宋体" w:cs="宋体"/>
          <w:color w:val="auto"/>
          <w:sz w:val="24"/>
          <w:szCs w:val="24"/>
          <w:highlight w:val="none"/>
          <w:lang w:val="en-US" w:eastAsia="zh-CN"/>
        </w:rPr>
      </w:pPr>
    </w:p>
    <w:p w14:paraId="1DFCD67D">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62" w:name="_Toc13275"/>
      <w:bookmarkStart w:id="63" w:name="_Toc125054707"/>
      <w:r>
        <w:rPr>
          <w:rFonts w:hint="eastAsia" w:ascii="宋体" w:hAnsi="宋体" w:eastAsia="宋体" w:cs="宋体"/>
          <w:color w:val="auto"/>
          <w:sz w:val="24"/>
          <w:szCs w:val="24"/>
          <w:highlight w:val="none"/>
        </w:rPr>
        <w:t>3.项目联系方式</w:t>
      </w:r>
    </w:p>
    <w:p w14:paraId="176BD18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采购代理机构项目联系人：</w:t>
      </w:r>
      <w:r>
        <w:rPr>
          <w:rFonts w:hint="eastAsia" w:hAnsi="宋体" w:cs="宋体"/>
          <w:color w:val="auto"/>
          <w:sz w:val="24"/>
          <w:szCs w:val="24"/>
          <w:highlight w:val="none"/>
          <w:lang w:val="en-US" w:eastAsia="zh-CN"/>
        </w:rPr>
        <w:t>蒋先生</w:t>
      </w:r>
    </w:p>
    <w:p w14:paraId="58B1232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hAnsi="宋体" w:cs="宋体"/>
          <w:color w:val="auto"/>
          <w:sz w:val="24"/>
          <w:szCs w:val="24"/>
          <w:highlight w:val="none"/>
          <w:lang w:val="en-US" w:eastAsia="zh-CN"/>
        </w:rPr>
        <w:t>15025035273</w:t>
      </w:r>
    </w:p>
    <w:p w14:paraId="474CDD50">
      <w:pPr>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br w:type="page"/>
      </w:r>
    </w:p>
    <w:p w14:paraId="546BC3B2">
      <w:pPr>
        <w:pStyle w:val="2"/>
        <w:widowControl/>
        <w:spacing w:before="240" w:after="240" w:line="312" w:lineRule="auto"/>
        <w:jc w:val="center"/>
        <w:rPr>
          <w:rFonts w:hint="eastAsia" w:ascii="宋体" w:hAnsi="宋体" w:eastAsia="宋体" w:cs="宋体"/>
          <w:b/>
          <w:bCs w:val="0"/>
          <w:color w:val="auto"/>
          <w:sz w:val="36"/>
          <w:szCs w:val="36"/>
          <w:highlight w:val="none"/>
          <w:lang w:val="zh-CN"/>
        </w:rPr>
      </w:pPr>
      <w:bookmarkStart w:id="64" w:name="_Toc18370"/>
      <w:bookmarkStart w:id="65" w:name="_Toc8159"/>
      <w:r>
        <w:rPr>
          <w:rFonts w:hint="eastAsia" w:ascii="宋体" w:hAnsi="宋体" w:eastAsia="宋体" w:cs="宋体"/>
          <w:b/>
          <w:bCs w:val="0"/>
          <w:color w:val="auto"/>
          <w:sz w:val="36"/>
          <w:szCs w:val="36"/>
          <w:highlight w:val="none"/>
          <w:lang w:val="zh-CN"/>
        </w:rPr>
        <w:t>第二章  供应商须知</w:t>
      </w:r>
      <w:bookmarkEnd w:id="62"/>
      <w:bookmarkEnd w:id="63"/>
      <w:bookmarkEnd w:id="64"/>
      <w:bookmarkEnd w:id="65"/>
    </w:p>
    <w:p w14:paraId="450220AC">
      <w:pPr>
        <w:pStyle w:val="3"/>
        <w:spacing w:before="0" w:after="120" w:line="360" w:lineRule="auto"/>
        <w:jc w:val="center"/>
        <w:rPr>
          <w:rFonts w:hint="eastAsia" w:ascii="宋体" w:hAnsi="宋体" w:eastAsia="宋体" w:cs="宋体"/>
          <w:b/>
          <w:color w:val="auto"/>
          <w:sz w:val="28"/>
          <w:szCs w:val="28"/>
          <w:highlight w:val="none"/>
          <w:lang w:val="en-US"/>
        </w:rPr>
      </w:pPr>
      <w:bookmarkStart w:id="66" w:name="_Toc125054708"/>
      <w:r>
        <w:rPr>
          <w:rFonts w:hint="eastAsia" w:ascii="宋体" w:hAnsi="宋体" w:eastAsia="宋体" w:cs="宋体"/>
          <w:b/>
          <w:color w:val="auto"/>
          <w:sz w:val="28"/>
          <w:szCs w:val="28"/>
          <w:highlight w:val="none"/>
          <w:lang w:val="en-US"/>
        </w:rPr>
        <w:t>供应商须知前附表</w:t>
      </w:r>
      <w:bookmarkEnd w:id="66"/>
    </w:p>
    <w:tbl>
      <w:tblPr>
        <w:tblStyle w:val="15"/>
        <w:tblW w:w="102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2"/>
        <w:gridCol w:w="1998"/>
        <w:gridCol w:w="7345"/>
      </w:tblGrid>
      <w:tr w14:paraId="297A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E52750A">
            <w:pPr>
              <w:spacing w:line="360" w:lineRule="auto"/>
              <w:jc w:val="center"/>
              <w:rPr>
                <w:rFonts w:hint="eastAsia" w:ascii="宋体" w:hAnsi="宋体" w:eastAsia="宋体" w:cs="宋体"/>
                <w:color w:val="auto"/>
                <w:sz w:val="24"/>
                <w:szCs w:val="24"/>
                <w:highlight w:val="none"/>
              </w:rPr>
            </w:pPr>
            <w:bookmarkStart w:id="67" w:name="_Toc125054709"/>
            <w:r>
              <w:rPr>
                <w:rFonts w:hint="eastAsia" w:ascii="宋体" w:hAnsi="宋体" w:eastAsia="宋体" w:cs="宋体"/>
                <w:color w:val="auto"/>
                <w:sz w:val="24"/>
                <w:szCs w:val="24"/>
                <w:highlight w:val="none"/>
              </w:rPr>
              <w:t>序号</w:t>
            </w:r>
          </w:p>
        </w:tc>
        <w:tc>
          <w:tcPr>
            <w:tcW w:w="1691" w:type="dxa"/>
            <w:noWrap w:val="0"/>
            <w:vAlign w:val="center"/>
          </w:tcPr>
          <w:p w14:paraId="6F5BEF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6217" w:type="dxa"/>
            <w:noWrap w:val="0"/>
            <w:vAlign w:val="center"/>
          </w:tcPr>
          <w:p w14:paraId="385208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    容</w:t>
            </w:r>
          </w:p>
        </w:tc>
      </w:tr>
      <w:tr w14:paraId="789D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EE1C4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691" w:type="dxa"/>
            <w:noWrap w:val="0"/>
            <w:vAlign w:val="center"/>
          </w:tcPr>
          <w:p w14:paraId="3939AF2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采购人</w:t>
            </w:r>
          </w:p>
        </w:tc>
        <w:tc>
          <w:tcPr>
            <w:tcW w:w="6217" w:type="dxa"/>
            <w:noWrap w:val="0"/>
            <w:vAlign w:val="center"/>
          </w:tcPr>
          <w:p w14:paraId="6BF6A7A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val="en-US" w:eastAsia="zh-CN"/>
              </w:rPr>
              <w:t>腾冲市固东镇人民政府</w:t>
            </w:r>
          </w:p>
          <w:p w14:paraId="39A8A528">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hAnsi="宋体" w:cs="宋体"/>
                <w:color w:val="auto"/>
                <w:sz w:val="24"/>
                <w:szCs w:val="24"/>
                <w:highlight w:val="none"/>
                <w:lang w:val="en-US" w:eastAsia="zh-CN"/>
              </w:rPr>
              <w:t xml:space="preserve">云南省保山市腾冲市固东镇河头社区东街组106号 </w:t>
            </w:r>
          </w:p>
          <w:p w14:paraId="5F99AD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hAnsi="宋体" w:cs="宋体"/>
                <w:color w:val="auto"/>
                <w:sz w:val="24"/>
                <w:szCs w:val="24"/>
                <w:highlight w:val="none"/>
                <w:lang w:val="en-US" w:eastAsia="zh-CN"/>
              </w:rPr>
              <w:t xml:space="preserve">王先生 </w:t>
            </w:r>
          </w:p>
          <w:p w14:paraId="6FA3380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0875-5851021</w:t>
            </w:r>
          </w:p>
        </w:tc>
      </w:tr>
      <w:tr w14:paraId="7B36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1992FF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691" w:type="dxa"/>
            <w:noWrap w:val="0"/>
            <w:vAlign w:val="center"/>
          </w:tcPr>
          <w:p w14:paraId="4E650A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采购代理机构</w:t>
            </w:r>
          </w:p>
        </w:tc>
        <w:tc>
          <w:tcPr>
            <w:tcW w:w="6217" w:type="dxa"/>
            <w:noWrap w:val="0"/>
            <w:vAlign w:val="center"/>
          </w:tcPr>
          <w:p w14:paraId="44D7C052">
            <w:pPr>
              <w:spacing w:line="360" w:lineRule="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eastAsia="zh-CN"/>
              </w:rPr>
              <w:t>云南信活工程服务有限责任公司</w:t>
            </w:r>
          </w:p>
          <w:p w14:paraId="098F8A7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hAnsi="宋体" w:cs="宋体"/>
                <w:color w:val="auto"/>
                <w:sz w:val="24"/>
                <w:szCs w:val="24"/>
                <w:highlight w:val="none"/>
                <w:lang w:eastAsia="zh-CN"/>
              </w:rPr>
              <w:t>腾冲市腾越镇观音塘社区翡翠古镇小区266栋1单元101</w:t>
            </w:r>
          </w:p>
          <w:p w14:paraId="737DC805">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hAnsi="宋体" w:cs="宋体"/>
                <w:color w:val="auto"/>
                <w:sz w:val="24"/>
                <w:szCs w:val="24"/>
                <w:highlight w:val="none"/>
                <w:lang w:val="en-US" w:eastAsia="zh-CN"/>
              </w:rPr>
              <w:t>蒋先生</w:t>
            </w:r>
          </w:p>
          <w:p w14:paraId="7A581E07">
            <w:pP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15025035273</w:t>
            </w:r>
          </w:p>
        </w:tc>
      </w:tr>
      <w:tr w14:paraId="0DEA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30" w:type="dxa"/>
            <w:noWrap w:val="0"/>
            <w:vAlign w:val="center"/>
          </w:tcPr>
          <w:p w14:paraId="6579F7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691" w:type="dxa"/>
            <w:noWrap w:val="0"/>
            <w:vAlign w:val="center"/>
          </w:tcPr>
          <w:p w14:paraId="61606A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项目名称及项目编号</w:t>
            </w:r>
          </w:p>
        </w:tc>
        <w:tc>
          <w:tcPr>
            <w:tcW w:w="6217" w:type="dxa"/>
            <w:noWrap w:val="0"/>
            <w:vAlign w:val="center"/>
          </w:tcPr>
          <w:p w14:paraId="5D28097E">
            <w:pPr>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val="en-US" w:eastAsia="zh-CN"/>
              </w:rPr>
              <w:t>腾冲市固东镇集镇环西路建设项目 (二期工程)二次</w:t>
            </w:r>
          </w:p>
          <w:p w14:paraId="5904D76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hAnsi="宋体" w:cs="宋体"/>
                <w:color w:val="auto"/>
                <w:sz w:val="24"/>
                <w:szCs w:val="24"/>
                <w:highlight w:val="none"/>
                <w:lang w:val="en-US" w:eastAsia="zh-CN"/>
              </w:rPr>
              <w:t xml:space="preserve">BSZC2025-C2-00939-YNXH-0017 </w:t>
            </w:r>
          </w:p>
        </w:tc>
      </w:tr>
      <w:tr w14:paraId="2C6C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B8B00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691" w:type="dxa"/>
            <w:noWrap w:val="0"/>
            <w:vAlign w:val="center"/>
          </w:tcPr>
          <w:p w14:paraId="1E3F6D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资金来源及预算金额</w:t>
            </w:r>
          </w:p>
        </w:tc>
        <w:tc>
          <w:tcPr>
            <w:tcW w:w="6217" w:type="dxa"/>
            <w:noWrap w:val="0"/>
            <w:vAlign w:val="center"/>
          </w:tcPr>
          <w:p w14:paraId="0FE0D06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资金来源：2025年第一批中央转移支付资金</w:t>
            </w:r>
            <w:r>
              <w:rPr>
                <w:rFonts w:hint="eastAsia" w:hAnsi="宋体" w:cs="宋体"/>
                <w:color w:val="auto"/>
                <w:sz w:val="24"/>
                <w:szCs w:val="24"/>
                <w:highlight w:val="none"/>
                <w:lang w:eastAsia="zh-CN"/>
              </w:rPr>
              <w:t>。</w:t>
            </w:r>
          </w:p>
          <w:p w14:paraId="76A7A95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预算金额：详见第一章 竞争性磋商公告 一、项目基本情况 “预算金额”</w:t>
            </w:r>
          </w:p>
        </w:tc>
      </w:tr>
      <w:tr w14:paraId="4E81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B88018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1</w:t>
            </w:r>
          </w:p>
        </w:tc>
        <w:tc>
          <w:tcPr>
            <w:tcW w:w="1691" w:type="dxa"/>
            <w:noWrap w:val="0"/>
            <w:vAlign w:val="center"/>
          </w:tcPr>
          <w:p w14:paraId="307EC272">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建设地点</w:t>
            </w:r>
          </w:p>
        </w:tc>
        <w:tc>
          <w:tcPr>
            <w:tcW w:w="6217" w:type="dxa"/>
            <w:noWrap w:val="0"/>
            <w:vAlign w:val="center"/>
          </w:tcPr>
          <w:p w14:paraId="6F941530">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 “</w:t>
            </w:r>
            <w:r>
              <w:rPr>
                <w:rFonts w:hint="eastAsia" w:hAnsi="宋体" w:cs="宋体"/>
                <w:color w:val="auto"/>
                <w:sz w:val="24"/>
                <w:szCs w:val="24"/>
                <w:highlight w:val="none"/>
                <w:lang w:val="en-US" w:eastAsia="zh-CN"/>
              </w:rPr>
              <w:t>建设地点</w:t>
            </w:r>
            <w:r>
              <w:rPr>
                <w:rFonts w:hint="eastAsia" w:ascii="宋体" w:hAnsi="宋体" w:eastAsia="宋体" w:cs="宋体"/>
                <w:color w:val="auto"/>
                <w:sz w:val="24"/>
                <w:szCs w:val="24"/>
                <w:highlight w:val="none"/>
              </w:rPr>
              <w:t>”</w:t>
            </w:r>
          </w:p>
        </w:tc>
      </w:tr>
      <w:tr w14:paraId="6E77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E9333BC">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2</w:t>
            </w:r>
          </w:p>
        </w:tc>
        <w:tc>
          <w:tcPr>
            <w:tcW w:w="1691" w:type="dxa"/>
            <w:noWrap w:val="0"/>
            <w:vAlign w:val="center"/>
          </w:tcPr>
          <w:p w14:paraId="2DDCB43E">
            <w:pPr>
              <w:autoSpaceDE w:val="0"/>
              <w:autoSpaceDN w:val="0"/>
              <w:adjustRightInd w:val="0"/>
              <w:spacing w:line="360" w:lineRule="auto"/>
              <w:ind w:leftChars="-15" w:hanging="36" w:hangingChars="15"/>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质量标准</w:t>
            </w:r>
          </w:p>
        </w:tc>
        <w:tc>
          <w:tcPr>
            <w:tcW w:w="6217" w:type="dxa"/>
            <w:noWrap w:val="0"/>
            <w:vAlign w:val="center"/>
          </w:tcPr>
          <w:p w14:paraId="315640AD">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质量标准</w:t>
            </w:r>
            <w:r>
              <w:rPr>
                <w:rFonts w:hint="eastAsia" w:hAnsi="宋体" w:cs="宋体"/>
                <w:color w:val="auto"/>
                <w:sz w:val="24"/>
                <w:szCs w:val="24"/>
                <w:highlight w:val="none"/>
                <w:lang w:eastAsia="zh-CN"/>
              </w:rPr>
              <w:t>”</w:t>
            </w:r>
          </w:p>
        </w:tc>
      </w:tr>
      <w:tr w14:paraId="01EC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C8DA7C2">
            <w:pPr>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3.3</w:t>
            </w:r>
          </w:p>
        </w:tc>
        <w:tc>
          <w:tcPr>
            <w:tcW w:w="1691" w:type="dxa"/>
            <w:noWrap w:val="0"/>
            <w:vAlign w:val="center"/>
          </w:tcPr>
          <w:p w14:paraId="5D8908EB">
            <w:pPr>
              <w:autoSpaceDE w:val="0"/>
              <w:autoSpaceDN w:val="0"/>
              <w:adjustRightInd w:val="0"/>
              <w:spacing w:line="360" w:lineRule="auto"/>
              <w:ind w:left="5" w:leftChars="-15" w:hanging="36" w:hangingChars="1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合同履行期限（工期）</w:t>
            </w:r>
          </w:p>
        </w:tc>
        <w:tc>
          <w:tcPr>
            <w:tcW w:w="6217" w:type="dxa"/>
            <w:noWrap w:val="0"/>
            <w:vAlign w:val="center"/>
          </w:tcPr>
          <w:p w14:paraId="657136C1">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 “</w:t>
            </w:r>
            <w:r>
              <w:rPr>
                <w:rFonts w:hint="eastAsia" w:ascii="宋体" w:hAnsi="宋体" w:eastAsia="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rPr>
              <w:t>”</w:t>
            </w:r>
          </w:p>
        </w:tc>
      </w:tr>
      <w:tr w14:paraId="46D5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6794F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691" w:type="dxa"/>
            <w:noWrap w:val="0"/>
            <w:vAlign w:val="center"/>
          </w:tcPr>
          <w:p w14:paraId="4867488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供应商资格要求</w:t>
            </w:r>
          </w:p>
        </w:tc>
        <w:tc>
          <w:tcPr>
            <w:tcW w:w="6217" w:type="dxa"/>
            <w:noWrap w:val="0"/>
            <w:vAlign w:val="center"/>
          </w:tcPr>
          <w:p w14:paraId="1DA17720">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“二、</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rPr>
              <w:t>的资格要求”</w:t>
            </w:r>
          </w:p>
        </w:tc>
      </w:tr>
      <w:tr w14:paraId="77BC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730" w:type="dxa"/>
            <w:noWrap w:val="0"/>
            <w:vAlign w:val="center"/>
          </w:tcPr>
          <w:p w14:paraId="0A3D524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1691" w:type="dxa"/>
            <w:noWrap w:val="0"/>
            <w:vAlign w:val="center"/>
          </w:tcPr>
          <w:p w14:paraId="04A816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是否接受联合体参加</w:t>
            </w:r>
          </w:p>
        </w:tc>
        <w:tc>
          <w:tcPr>
            <w:tcW w:w="6217" w:type="dxa"/>
            <w:noWrap w:val="0"/>
            <w:vAlign w:val="center"/>
          </w:tcPr>
          <w:p w14:paraId="5B3EB3CB">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tc>
      </w:tr>
      <w:tr w14:paraId="327F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C0DA1E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p>
        </w:tc>
        <w:tc>
          <w:tcPr>
            <w:tcW w:w="1691" w:type="dxa"/>
            <w:noWrap w:val="0"/>
            <w:vAlign w:val="center"/>
          </w:tcPr>
          <w:p w14:paraId="588C55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217" w:type="dxa"/>
            <w:noWrap w:val="0"/>
            <w:vAlign w:val="center"/>
          </w:tcPr>
          <w:p w14:paraId="2DDB1D0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r>
      <w:tr w14:paraId="4359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4103F23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1691" w:type="dxa"/>
            <w:noWrap w:val="0"/>
            <w:vAlign w:val="center"/>
          </w:tcPr>
          <w:p w14:paraId="581749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6217" w:type="dxa"/>
            <w:noWrap w:val="0"/>
            <w:vAlign w:val="center"/>
          </w:tcPr>
          <w:p w14:paraId="3186044C">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r>
      <w:tr w14:paraId="3C01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DA05E1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691" w:type="dxa"/>
            <w:noWrap w:val="0"/>
            <w:vAlign w:val="center"/>
          </w:tcPr>
          <w:p w14:paraId="452C9ABA">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竞争性磋商文件的询问时间</w:t>
            </w:r>
          </w:p>
        </w:tc>
        <w:tc>
          <w:tcPr>
            <w:tcW w:w="6217" w:type="dxa"/>
            <w:noWrap w:val="0"/>
            <w:vAlign w:val="center"/>
          </w:tcPr>
          <w:p w14:paraId="5808E3DB">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竞争性磋商文件，如有疑问的，供应商可以向采购人或采购代理机构提出询问。所有获取了竞争性磋商文件的潜在供应商凭企业账号【或企业数字证书（CA）】登录政府采购云平台（www.zcygov.cn），通过网络在线方式向采购人或采购代理进行不署名提问，采购人或者采购代理机构在接到询问后的3个工作日内对供应商依法提出的询问作出答复，但答复的内容不涉及商业秘密。</w:t>
            </w:r>
          </w:p>
        </w:tc>
      </w:tr>
      <w:tr w14:paraId="6E81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61ECF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691" w:type="dxa"/>
            <w:noWrap w:val="0"/>
            <w:vAlign w:val="center"/>
          </w:tcPr>
          <w:p w14:paraId="36B160A7">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竞争性磋商文件询问联系方式</w:t>
            </w:r>
          </w:p>
        </w:tc>
        <w:tc>
          <w:tcPr>
            <w:tcW w:w="6217" w:type="dxa"/>
            <w:noWrap w:val="0"/>
            <w:vAlign w:val="center"/>
          </w:tcPr>
          <w:p w14:paraId="08B81ADC">
            <w:pPr>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询问联系人：</w:t>
            </w:r>
            <w:r>
              <w:rPr>
                <w:rFonts w:hint="eastAsia" w:hAnsi="宋体" w:cs="宋体"/>
                <w:color w:val="auto"/>
                <w:sz w:val="24"/>
                <w:szCs w:val="24"/>
                <w:highlight w:val="none"/>
                <w:lang w:val="en-US" w:eastAsia="zh-CN"/>
              </w:rPr>
              <w:t>蒋先生</w:t>
            </w:r>
          </w:p>
          <w:p w14:paraId="72D20BA3">
            <w:pPr>
              <w:spacing w:line="336"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联系电话：</w:t>
            </w:r>
            <w:r>
              <w:rPr>
                <w:rFonts w:hint="eastAsia" w:hAnsi="宋体" w:cs="宋体"/>
                <w:color w:val="auto"/>
                <w:sz w:val="24"/>
                <w:szCs w:val="24"/>
                <w:highlight w:val="none"/>
                <w:lang w:val="en-US" w:eastAsia="zh-CN"/>
              </w:rPr>
              <w:t>15025035273</w:t>
            </w:r>
          </w:p>
          <w:p w14:paraId="0AF21837">
            <w:pPr>
              <w:autoSpaceDE w:val="0"/>
              <w:autoSpaceDN w:val="0"/>
              <w:adjustRightIn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r>
              <w:rPr>
                <w:rFonts w:hint="eastAsia" w:hAnsi="宋体" w:cs="宋体"/>
                <w:color w:val="auto"/>
                <w:sz w:val="24"/>
                <w:szCs w:val="24"/>
                <w:highlight w:val="none"/>
                <w:lang w:val="en-US" w:eastAsia="zh-CN"/>
              </w:rPr>
              <w:t>1664945299</w:t>
            </w:r>
            <w:r>
              <w:rPr>
                <w:rFonts w:hint="eastAsia" w:ascii="宋体" w:hAnsi="宋体" w:eastAsia="宋体" w:cs="宋体"/>
                <w:color w:val="auto"/>
                <w:sz w:val="24"/>
                <w:szCs w:val="24"/>
                <w:highlight w:val="none"/>
              </w:rPr>
              <w:t>@qq.com</w:t>
            </w:r>
          </w:p>
        </w:tc>
      </w:tr>
      <w:tr w14:paraId="3ACD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D4F9AD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691" w:type="dxa"/>
            <w:noWrap w:val="0"/>
            <w:vAlign w:val="center"/>
          </w:tcPr>
          <w:p w14:paraId="23BB3703">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竞争性磋商文件澄清、修改时间</w:t>
            </w:r>
          </w:p>
        </w:tc>
        <w:tc>
          <w:tcPr>
            <w:tcW w:w="6217" w:type="dxa"/>
            <w:noWrap w:val="0"/>
            <w:vAlign w:val="center"/>
          </w:tcPr>
          <w:p w14:paraId="71B9894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竞争性磋商文件澄清、竞争性磋商文件修改文件内容均以网上电子文件为准，当竞争性磋商文件、竞争性磋商文件澄清、竞争性磋商文件修改文件内容</w:t>
            </w:r>
            <w:r>
              <w:rPr>
                <w:rFonts w:hint="eastAsia" w:hAnsi="宋体" w:cs="宋体"/>
                <w:color w:val="auto"/>
                <w:sz w:val="24"/>
                <w:szCs w:val="24"/>
                <w:highlight w:val="none"/>
                <w:lang w:val="en-US" w:eastAsia="zh-CN"/>
              </w:rPr>
              <w:t>前后</w:t>
            </w:r>
            <w:r>
              <w:rPr>
                <w:rFonts w:hint="eastAsia" w:ascii="宋体" w:hAnsi="宋体" w:eastAsia="宋体" w:cs="宋体"/>
                <w:color w:val="auto"/>
                <w:sz w:val="24"/>
                <w:szCs w:val="24"/>
                <w:highlight w:val="none"/>
              </w:rPr>
              <w:t>相互矛盾时，以最新发布的竞争性磋商文件为准。</w:t>
            </w:r>
          </w:p>
        </w:tc>
      </w:tr>
      <w:tr w14:paraId="5A30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50F32A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w:t>
            </w:r>
          </w:p>
        </w:tc>
        <w:tc>
          <w:tcPr>
            <w:tcW w:w="1691" w:type="dxa"/>
            <w:noWrap w:val="0"/>
            <w:vAlign w:val="center"/>
          </w:tcPr>
          <w:p w14:paraId="22C059F1">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供应商确认收到竞争性磋商文件澄清、修改时间</w:t>
            </w:r>
          </w:p>
        </w:tc>
        <w:tc>
          <w:tcPr>
            <w:tcW w:w="6217" w:type="dxa"/>
            <w:noWrap w:val="0"/>
            <w:vAlign w:val="center"/>
          </w:tcPr>
          <w:p w14:paraId="7C41C7CF">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供应商不须回函确认收到竞争性磋商文件澄清、修改，供应商应在磋商截止时间前及时登录政府采购云平台（网址：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w:t>
            </w:r>
          </w:p>
        </w:tc>
      </w:tr>
      <w:tr w14:paraId="4D26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B401A2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p>
        </w:tc>
        <w:tc>
          <w:tcPr>
            <w:tcW w:w="1691" w:type="dxa"/>
            <w:noWrap w:val="0"/>
            <w:vAlign w:val="center"/>
          </w:tcPr>
          <w:p w14:paraId="1218B879">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磋商小组可以根据磋商文件和磋商情况实质性变动内容</w:t>
            </w:r>
          </w:p>
        </w:tc>
        <w:tc>
          <w:tcPr>
            <w:tcW w:w="6217" w:type="dxa"/>
            <w:noWrap w:val="0"/>
            <w:vAlign w:val="center"/>
          </w:tcPr>
          <w:p w14:paraId="092A7804">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4BF7319">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对磋商文件作出的实质性变动是磋商文件的有效组成部分，磋商小组应当及时以书面形式同时通知所有参加磋商的供应商。</w:t>
            </w:r>
          </w:p>
        </w:tc>
      </w:tr>
      <w:tr w14:paraId="123A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97B68C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691" w:type="dxa"/>
            <w:noWrap w:val="0"/>
            <w:vAlign w:val="center"/>
          </w:tcPr>
          <w:p w14:paraId="2CE5465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语言文字</w:t>
            </w:r>
          </w:p>
        </w:tc>
        <w:tc>
          <w:tcPr>
            <w:tcW w:w="6217" w:type="dxa"/>
            <w:noWrap w:val="0"/>
            <w:vAlign w:val="center"/>
          </w:tcPr>
          <w:p w14:paraId="71FF35EF">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供应商的响应文件以及供应商与采购人、采购代理机构、磋商小组就有关磋商的所有来往函电统一使用中文（特别规定除外）。</w:t>
            </w:r>
          </w:p>
        </w:tc>
      </w:tr>
      <w:tr w14:paraId="7803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4201A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1691" w:type="dxa"/>
            <w:noWrap w:val="0"/>
            <w:vAlign w:val="center"/>
          </w:tcPr>
          <w:p w14:paraId="5920187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计量单位</w:t>
            </w:r>
          </w:p>
        </w:tc>
        <w:tc>
          <w:tcPr>
            <w:tcW w:w="6217" w:type="dxa"/>
            <w:noWrap w:val="0"/>
            <w:vAlign w:val="center"/>
          </w:tcPr>
          <w:p w14:paraId="794F9271">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响应文件中使用的计量单位除磋商文件中有特殊规定外，一律使用中华人民共和国法定计量单位。</w:t>
            </w:r>
          </w:p>
        </w:tc>
      </w:tr>
      <w:tr w14:paraId="4210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95D0A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w:t>
            </w:r>
          </w:p>
        </w:tc>
        <w:tc>
          <w:tcPr>
            <w:tcW w:w="1691" w:type="dxa"/>
            <w:noWrap w:val="0"/>
            <w:vAlign w:val="center"/>
          </w:tcPr>
          <w:p w14:paraId="7D19ED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构成响应文件</w:t>
            </w:r>
          </w:p>
          <w:p w14:paraId="5012E5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的其他资料</w:t>
            </w:r>
          </w:p>
        </w:tc>
        <w:tc>
          <w:tcPr>
            <w:tcW w:w="6217" w:type="dxa"/>
            <w:noWrap w:val="0"/>
            <w:vAlign w:val="center"/>
          </w:tcPr>
          <w:p w14:paraId="6E6D6D89">
            <w:pPr>
              <w:autoSpaceDE w:val="0"/>
              <w:autoSpaceDN w:val="0"/>
              <w:adjustRightInd w:val="0"/>
              <w:spacing w:line="360" w:lineRule="auto"/>
              <w:rPr>
                <w:rFonts w:hint="eastAsia" w:ascii="宋体" w:hAnsi="宋体" w:eastAsia="宋体" w:cs="宋体"/>
                <w:color w:val="auto"/>
                <w:sz w:val="24"/>
                <w:szCs w:val="24"/>
                <w:highlight w:val="none"/>
              </w:rPr>
            </w:pPr>
            <w:bookmarkStart w:id="68" w:name="_Hlk122600837"/>
            <w:r>
              <w:rPr>
                <w:rFonts w:hint="eastAsia" w:ascii="宋体" w:hAnsi="宋体" w:eastAsia="宋体" w:cs="宋体"/>
                <w:color w:val="auto"/>
                <w:sz w:val="24"/>
                <w:szCs w:val="24"/>
                <w:highlight w:val="none"/>
              </w:rPr>
              <w:t>竞争性磋商文件中所</w:t>
            </w:r>
            <w:r>
              <w:rPr>
                <w:rFonts w:hint="eastAsia" w:hAnsi="宋体" w:cs="宋体"/>
                <w:color w:val="auto"/>
                <w:sz w:val="24"/>
                <w:szCs w:val="24"/>
                <w:highlight w:val="none"/>
                <w:lang w:eastAsia="zh-CN"/>
              </w:rPr>
              <w:t>涉及的</w:t>
            </w:r>
            <w:r>
              <w:rPr>
                <w:rFonts w:hint="eastAsia" w:ascii="宋体" w:hAnsi="宋体" w:eastAsia="宋体" w:cs="宋体"/>
                <w:color w:val="auto"/>
                <w:sz w:val="24"/>
                <w:szCs w:val="24"/>
                <w:highlight w:val="none"/>
              </w:rPr>
              <w:t>相关资料及证明文件或供应商认为必须提供的其他相关资料。</w:t>
            </w:r>
            <w:bookmarkEnd w:id="68"/>
          </w:p>
        </w:tc>
      </w:tr>
      <w:tr w14:paraId="00AA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493C85B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1691" w:type="dxa"/>
            <w:noWrap w:val="0"/>
            <w:vAlign w:val="center"/>
          </w:tcPr>
          <w:p w14:paraId="2A2FFFEA">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217" w:type="dxa"/>
            <w:noWrap w:val="0"/>
            <w:vAlign w:val="center"/>
          </w:tcPr>
          <w:p w14:paraId="7E5C8E30">
            <w:pPr>
              <w:autoSpaceDE w:val="0"/>
              <w:autoSpaceDN w:val="0"/>
              <w:adjustRightInd w:val="0"/>
              <w:spacing w:line="360" w:lineRule="auto"/>
              <w:ind w:firstLine="240" w:firstLineChars="10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90</w:t>
            </w:r>
            <w:r>
              <w:rPr>
                <w:rFonts w:hint="eastAsia" w:ascii="宋体" w:hAnsi="宋体" w:eastAsia="宋体" w:cs="宋体"/>
                <w:color w:val="auto"/>
                <w:sz w:val="24"/>
                <w:szCs w:val="24"/>
                <w:highlight w:val="none"/>
              </w:rPr>
              <w:t>日历天，从</w:t>
            </w:r>
            <w:r>
              <w:rPr>
                <w:rFonts w:hint="eastAsia" w:hAnsi="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响应文件的截止之日算起。</w:t>
            </w:r>
          </w:p>
        </w:tc>
      </w:tr>
      <w:tr w14:paraId="5336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5D383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1691" w:type="dxa"/>
            <w:noWrap w:val="0"/>
            <w:vAlign w:val="center"/>
          </w:tcPr>
          <w:p w14:paraId="17DE2D9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6217" w:type="dxa"/>
            <w:noWrap w:val="0"/>
            <w:vAlign w:val="center"/>
          </w:tcPr>
          <w:p w14:paraId="340817E6">
            <w:pPr>
              <w:topLinePunct/>
              <w:adjustRightInd w:val="0"/>
              <w:snapToGrid w:val="0"/>
              <w:spacing w:before="93" w:beforeLines="3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input142 \* MERGEFORMAT </w:instrText>
            </w:r>
            <w:r>
              <w:rPr>
                <w:rFonts w:hint="eastAsia" w:ascii="宋体" w:hAnsi="宋体" w:eastAsia="宋体" w:cs="宋体"/>
                <w:color w:val="auto"/>
                <w:sz w:val="24"/>
                <w:szCs w:val="24"/>
                <w:highlight w:val="none"/>
              </w:rPr>
              <w:fldChar w:fldCharType="separate"/>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不要求递交磋商保证金</w:t>
            </w:r>
          </w:p>
          <w:p w14:paraId="1C87784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sym w:font="Wingdings 2" w:char="0052"/>
            </w:r>
            <w:r>
              <w:rPr>
                <w:rFonts w:hint="eastAsia" w:ascii="宋体" w:hAnsi="宋体" w:eastAsia="宋体" w:cs="宋体"/>
                <w:color w:val="auto"/>
                <w:sz w:val="24"/>
                <w:szCs w:val="24"/>
                <w:highlight w:val="none"/>
              </w:rPr>
              <w:t>要求递交磋商保证金</w:t>
            </w:r>
          </w:p>
          <w:p w14:paraId="02331E1A">
            <w:pPr>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磋商保证金的形式：支票、汇票、本票、保函、转账或网银，供应商可根据实际情况，选择保证金的提供或缴纳方式</w:t>
            </w:r>
            <w:r>
              <w:rPr>
                <w:rFonts w:hint="eastAsia" w:ascii="宋体" w:hAnsi="宋体" w:eastAsia="宋体" w:cs="宋体"/>
                <w:color w:val="auto"/>
                <w:sz w:val="24"/>
                <w:szCs w:val="24"/>
                <w:highlight w:val="none"/>
              </w:rPr>
              <w:t>。</w:t>
            </w:r>
          </w:p>
          <w:p w14:paraId="7306ADD9">
            <w:pPr>
              <w:autoSpaceDE w:val="0"/>
              <w:autoSpaceDN w:val="0"/>
              <w:adjustRightInd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保证金的金额：</w:t>
            </w:r>
            <w:r>
              <w:rPr>
                <w:rFonts w:hint="eastAsia" w:ascii="宋体" w:hAnsi="宋体" w:eastAsia="宋体" w:cs="宋体"/>
                <w:b/>
                <w:bCs w:val="0"/>
                <w:color w:val="auto"/>
                <w:sz w:val="24"/>
                <w:szCs w:val="24"/>
                <w:highlight w:val="none"/>
              </w:rPr>
              <w:t>小写：</w:t>
            </w:r>
            <w:r>
              <w:rPr>
                <w:rFonts w:hint="eastAsia" w:hAnsi="宋体" w:cs="宋体"/>
                <w:b/>
                <w:bCs w:val="0"/>
                <w:color w:val="auto"/>
                <w:sz w:val="24"/>
                <w:szCs w:val="24"/>
                <w:highlight w:val="none"/>
                <w:lang w:val="en-US" w:eastAsia="zh-CN"/>
              </w:rPr>
              <w:t>30000.00</w:t>
            </w:r>
            <w:r>
              <w:rPr>
                <w:rFonts w:hint="eastAsia" w:ascii="宋体" w:hAnsi="宋体" w:eastAsia="宋体" w:cs="宋体"/>
                <w:b/>
                <w:bCs w:val="0"/>
                <w:color w:val="auto"/>
                <w:sz w:val="24"/>
                <w:szCs w:val="24"/>
                <w:highlight w:val="none"/>
              </w:rPr>
              <w:t>元（大写：</w:t>
            </w:r>
            <w:r>
              <w:rPr>
                <w:rFonts w:hint="eastAsia" w:hAnsi="宋体" w:cs="宋体"/>
                <w:b/>
                <w:bCs w:val="0"/>
                <w:color w:val="auto"/>
                <w:sz w:val="24"/>
                <w:szCs w:val="24"/>
                <w:highlight w:val="none"/>
                <w:lang w:val="en-US" w:eastAsia="zh-CN"/>
              </w:rPr>
              <w:t>叁万元整</w:t>
            </w:r>
            <w:r>
              <w:rPr>
                <w:rFonts w:hint="eastAsia" w:ascii="宋体" w:hAnsi="宋体" w:eastAsia="宋体" w:cs="宋体"/>
                <w:b/>
                <w:bCs w:val="0"/>
                <w:color w:val="auto"/>
                <w:sz w:val="24"/>
                <w:szCs w:val="24"/>
                <w:highlight w:val="none"/>
              </w:rPr>
              <w:t>）</w:t>
            </w:r>
          </w:p>
          <w:p w14:paraId="438F77D4">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提交时间：以专项账户实际到账时间为准，到账截止时间为提交响应文件的截止时间，未按时到账的保证金无效。</w:t>
            </w:r>
          </w:p>
          <w:p w14:paraId="61A11F27">
            <w:pPr>
              <w:autoSpaceDE w:val="0"/>
              <w:autoSpaceDN w:val="0"/>
              <w:adjustRightInd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开户名称：</w:t>
            </w:r>
            <w:r>
              <w:rPr>
                <w:rFonts w:hint="eastAsia" w:hAnsi="宋体" w:cs="宋体"/>
                <w:b/>
                <w:bCs/>
                <w:color w:val="auto"/>
                <w:sz w:val="24"/>
                <w:szCs w:val="24"/>
                <w:highlight w:val="none"/>
                <w:lang w:eastAsia="zh-CN"/>
              </w:rPr>
              <w:t>云南信活工程服务有限责任公司</w:t>
            </w:r>
          </w:p>
          <w:p w14:paraId="68F67A8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b/>
                <w:bCs/>
                <w:kern w:val="0"/>
                <w:sz w:val="24"/>
                <w:szCs w:val="24"/>
                <w:lang w:eastAsia="zh-CN"/>
              </w:rPr>
              <w:t>云南腾冲农村商业银行股份有限公司腾越支行</w:t>
            </w:r>
          </w:p>
          <w:p w14:paraId="3B30D8C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r>
              <w:rPr>
                <w:rFonts w:hint="eastAsia" w:ascii="宋体" w:hAnsi="宋体" w:eastAsia="宋体" w:cs="宋体"/>
                <w:b/>
                <w:bCs/>
                <w:kern w:val="0"/>
                <w:sz w:val="24"/>
                <w:szCs w:val="24"/>
                <w:lang w:eastAsia="zh-CN"/>
              </w:rPr>
              <w:t>2300014989909012</w:t>
            </w:r>
          </w:p>
          <w:p w14:paraId="299430C6">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注：1、保证金应以供应商自身的名义提交，并且必须以供应商自身名义开具的账户转出，不得以分支机构其他名义提交（按照规定，供应商可以为自然人的项目除外）；</w:t>
            </w:r>
          </w:p>
          <w:p w14:paraId="1F1ED542">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2、保证金截止时间为提交响应文件的截止时间，到账时间以保证金专项账户实际到账时间为准，未按时到账的保证金无效；</w:t>
            </w:r>
          </w:p>
          <w:p w14:paraId="7E236D87">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账凭证上备注栏内必须注明项目名称（备注栏内受字数限制无法写全项目名称的，须注明所投项目的项目编号，并简写项目名称）、供应商联系人及电话，如未注明项目名称（备注栏内受字数限制无法写全项目名称的，须注明所投项目的项目编号，并简写项目名称）导致保证金与所投项目不符，后果由供应商自负；</w:t>
            </w:r>
          </w:p>
          <w:p w14:paraId="705D7945">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4、拒绝私人账户汇款及银行存现；</w:t>
            </w:r>
          </w:p>
          <w:p w14:paraId="4FEDC40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请潜在供应商在跨行转账时考虑以下因素：1</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按照人民银行相关规定，跨行转账在工作日下午四点半前办理手续，可以保证实时跨行到账；2</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跨行转账尽量采用电汇方式。</w:t>
            </w:r>
          </w:p>
        </w:tc>
      </w:tr>
      <w:tr w14:paraId="400D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730" w:type="dxa"/>
            <w:noWrap w:val="0"/>
            <w:vAlign w:val="center"/>
          </w:tcPr>
          <w:p w14:paraId="399E1CF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691" w:type="dxa"/>
            <w:noWrap w:val="0"/>
            <w:vAlign w:val="center"/>
          </w:tcPr>
          <w:p w14:paraId="3D7DE3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响应文件编制及格式</w:t>
            </w:r>
          </w:p>
        </w:tc>
        <w:tc>
          <w:tcPr>
            <w:tcW w:w="6217" w:type="dxa"/>
            <w:noWrap w:val="0"/>
            <w:vAlign w:val="center"/>
          </w:tcPr>
          <w:p w14:paraId="1FB919FA">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响应文件全部采用电子文档，响应文件应包含第四章《响应文件格式》要求的所有内容。</w:t>
            </w:r>
          </w:p>
          <w:p w14:paraId="3E22A6AD">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电子响应文件应使用政府采购云平台（网址：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）中下载的政采云电子投标客户端制作，并进行电子签章及加密后上传至政府采购云平台。编制要求见《电子响应文件编制要求》。</w:t>
            </w:r>
          </w:p>
          <w:p w14:paraId="5C298AE1">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如供应商提交的电子标书不符合上述要求或开标时无法读取导入或解密，其响应文件将不予受理。</w:t>
            </w:r>
          </w:p>
          <w:p w14:paraId="732D3A5D">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特别注意：</w:t>
            </w:r>
          </w:p>
          <w:p w14:paraId="09AF42F7">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（1）供应商不得对竞争性磋商文件格式中的内容进行删减或修改，否则作为无效处理。</w:t>
            </w:r>
          </w:p>
          <w:p w14:paraId="70C9A928">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7AE8483B">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（3）按响应文件格式在空格（下划线）由供应商填写的内容，确实没有需要填写的，可以在空格中用“/”标识，也可以不填（空白）。但竞争性磋商文件中另有规定的从其规定。 </w:t>
            </w:r>
          </w:p>
          <w:p w14:paraId="3F7C4729">
            <w:pPr>
              <w:autoSpaceDE w:val="0"/>
              <w:autoSpaceDN w:val="0"/>
              <w:adjustRightInd w:val="0"/>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（4）响应文件应对竞争性磋商文件提出的所有实质性要求和条件作出实质性响应，并且实质性响应的内容不得互相矛盾。</w:t>
            </w:r>
          </w:p>
        </w:tc>
      </w:tr>
      <w:tr w14:paraId="6E97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7C8BD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w:t>
            </w:r>
          </w:p>
        </w:tc>
        <w:tc>
          <w:tcPr>
            <w:tcW w:w="1691" w:type="dxa"/>
            <w:noWrap w:val="0"/>
            <w:vAlign w:val="center"/>
          </w:tcPr>
          <w:p w14:paraId="27A868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响应文件的签署</w:t>
            </w:r>
          </w:p>
        </w:tc>
        <w:tc>
          <w:tcPr>
            <w:tcW w:w="6217" w:type="dxa"/>
            <w:noWrap w:val="0"/>
            <w:vAlign w:val="center"/>
          </w:tcPr>
          <w:p w14:paraId="57EDBD1A">
            <w:pPr>
              <w:spacing w:line="372" w:lineRule="auto"/>
              <w:rPr>
                <w:rFonts w:hint="eastAsia" w:eastAsia="宋体"/>
                <w:lang w:eastAsia="zh-CN"/>
              </w:rPr>
            </w:pPr>
            <w:r>
              <w:rPr>
                <w:rFonts w:hint="eastAsia" w:ascii="宋体" w:hAnsi="宋体" w:eastAsia="宋体" w:cs="宋体"/>
                <w:color w:val="auto"/>
                <w:sz w:val="24"/>
                <w:szCs w:val="24"/>
                <w:highlight w:val="none"/>
              </w:rPr>
              <w:t>响应文件全部采用电子文档，供应商需采用单位和个人数字证书，按竞争性磋商文件要求在需要电子签章的地方进行电子签章，无需逐页电子签章。由供应商的法定代表人签字或加盖电子签章的，应附法定代表人身份证明，由代理人签字或加盖电子签章的，应附由法定代表人签署的授权委托书。已标价工程量清单不要求造价人员签字或盖章，但必须由供应商法定代表人或委托代理人逐页签字并加盖电子公章</w:t>
            </w:r>
            <w:r>
              <w:rPr>
                <w:rFonts w:hint="eastAsia" w:ascii="宋体" w:hAnsi="宋体" w:eastAsia="宋体" w:cs="宋体"/>
                <w:color w:val="auto"/>
                <w:sz w:val="24"/>
                <w:szCs w:val="24"/>
                <w:highlight w:val="none"/>
                <w:lang w:eastAsia="zh-CN"/>
              </w:rPr>
              <w:t>。</w:t>
            </w:r>
          </w:p>
        </w:tc>
      </w:tr>
      <w:tr w14:paraId="3226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4AAFE9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20.</w:t>
            </w:r>
            <w:r>
              <w:rPr>
                <w:rFonts w:hint="eastAsia" w:hAnsi="宋体" w:cs="宋体"/>
                <w:color w:val="auto"/>
                <w:sz w:val="24"/>
                <w:szCs w:val="24"/>
                <w:highlight w:val="none"/>
                <w:lang w:val="en-US" w:eastAsia="zh-CN"/>
              </w:rPr>
              <w:t>8</w:t>
            </w:r>
          </w:p>
        </w:tc>
        <w:tc>
          <w:tcPr>
            <w:tcW w:w="1691" w:type="dxa"/>
            <w:noWrap w:val="0"/>
            <w:vAlign w:val="center"/>
          </w:tcPr>
          <w:p w14:paraId="54B0427B">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报价货币</w:t>
            </w:r>
          </w:p>
        </w:tc>
        <w:tc>
          <w:tcPr>
            <w:tcW w:w="6217" w:type="dxa"/>
            <w:noWrap w:val="0"/>
            <w:vAlign w:val="center"/>
          </w:tcPr>
          <w:p w14:paraId="3ED75449">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tc>
      </w:tr>
      <w:tr w14:paraId="4550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0C6521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1691" w:type="dxa"/>
            <w:noWrap w:val="0"/>
            <w:vAlign w:val="center"/>
          </w:tcPr>
          <w:p w14:paraId="51FA283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响应文件的递交</w:t>
            </w:r>
          </w:p>
          <w:p w14:paraId="370952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及解密须知</w:t>
            </w:r>
          </w:p>
        </w:tc>
        <w:tc>
          <w:tcPr>
            <w:tcW w:w="6217" w:type="dxa"/>
            <w:noWrap w:val="0"/>
            <w:vAlign w:val="center"/>
          </w:tcPr>
          <w:p w14:paraId="27583767">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、网上递交：网上递交网址为：</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投标文件回执”。响应文件递交截止时间前未完成响应文件上传的，视为撤回响应文件；</w:t>
            </w:r>
          </w:p>
          <w:p w14:paraId="360A6C9B">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网上递交的响应文件应使用数字证书进行加密。供应商使用某个数字证书（CA）对响应文件进行了数字证书（CA）加密，需要在现场或远程解密时使用同一把数字证书（CA）进行现场或远程解密，才能读取或导入响应文件，</w:t>
            </w:r>
            <w:r>
              <w:rPr>
                <w:rFonts w:hint="eastAsia" w:ascii="宋体" w:hAnsi="宋体" w:eastAsia="宋体" w:cs="宋体"/>
                <w:color w:val="auto"/>
                <w:kern w:val="0"/>
                <w:sz w:val="24"/>
                <w:szCs w:val="24"/>
                <w:highlight w:val="none"/>
              </w:rPr>
              <w:t>因供应商自身原因致使响应文件未成功解密的</w:t>
            </w:r>
            <w:r>
              <w:rPr>
                <w:rFonts w:hint="eastAsia" w:ascii="宋体" w:hAnsi="宋体" w:eastAsia="宋体" w:cs="宋体"/>
                <w:color w:val="auto"/>
                <w:sz w:val="24"/>
                <w:szCs w:val="24"/>
                <w:highlight w:val="none"/>
              </w:rPr>
              <w:t>或供应商提交的电子标书不符合本项目电子响应文件编制要求或开标时无法读取导入或解密</w:t>
            </w:r>
            <w:r>
              <w:rPr>
                <w:rFonts w:hint="eastAsia" w:ascii="宋体" w:hAnsi="宋体" w:eastAsia="宋体" w:cs="宋体"/>
                <w:color w:val="auto"/>
                <w:kern w:val="0"/>
                <w:sz w:val="24"/>
                <w:szCs w:val="24"/>
                <w:highlight w:val="none"/>
              </w:rPr>
              <w:t>，其响应文件将不予受理</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未办理数字证书（CA）的供应商其编制的响应文件将无法按竞争性磋商文件的要求进行电子签章及加密，由此造成的后果由供应商自行承担。</w:t>
            </w:r>
          </w:p>
          <w:p w14:paraId="66CCA598">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46B73D6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（1）请各供应商自行登录政府采购云平台（www.zcygov.cn）仔细查看相关操作流程，任何因忽视或误解而导致响应文件未上传或已上传但无法读取导入的，由此造成的后果由供应商自行承担。</w:t>
            </w:r>
          </w:p>
          <w:p w14:paraId="53D5704A">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政府采购云平台（www.zcygov.cn）中供应商网上递交的响应文件应使用数字证书进行加密及电子签章。未办理数字证书（CA）的供应商须先办理数字证书（CA）。供应商须在政府采购云平台办理数字证书（CA），CA申领链接：https://middle.zcygov.cn/ca/apply/list?_app_=zcy.sys，并通过政采云绑定数字证书（CA）后在网上获取采购文件及其它采购资料，数字证书（CA）详见其办理流程。</w:t>
            </w:r>
          </w:p>
          <w:p w14:paraId="381F477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供应商如之前已在云南CA在线数字证书办理网进行过注册并办理过企业数字证书（CA），直接绑定即可，无需重复办理（2022年1月1日前办理的云南CA需到云南CA办理处进行升级）。云南省外省供应商在政府采购云平台办理的其他CA可直接使用，无需重复办理。</w:t>
            </w:r>
          </w:p>
          <w:p w14:paraId="62E856A8">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（3）未办理数字证书（CA）的供应商其编制的响应文件将无法按竞争性磋商文件的要求进行电子签章及加密，由此造成的后果由供应商自行承担。</w:t>
            </w:r>
          </w:p>
        </w:tc>
      </w:tr>
      <w:tr w14:paraId="1A5A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4ECBC5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1691" w:type="dxa"/>
            <w:noWrap w:val="0"/>
            <w:vAlign w:val="center"/>
          </w:tcPr>
          <w:p w14:paraId="12BD200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网上递交响应文件</w:t>
            </w:r>
          </w:p>
        </w:tc>
        <w:tc>
          <w:tcPr>
            <w:tcW w:w="6217" w:type="dxa"/>
            <w:noWrap w:val="0"/>
            <w:vAlign w:val="center"/>
          </w:tcPr>
          <w:p w14:paraId="66C7F5C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递交的响应文件应使用数字证书进行加密。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tc>
      </w:tr>
      <w:tr w14:paraId="3674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B8F2A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p>
        </w:tc>
        <w:tc>
          <w:tcPr>
            <w:tcW w:w="1691" w:type="dxa"/>
            <w:noWrap w:val="0"/>
            <w:vAlign w:val="center"/>
          </w:tcPr>
          <w:p w14:paraId="1D25A539">
            <w:pPr>
              <w:pStyle w:val="13"/>
              <w:spacing w:before="0" w:beforeAutospacing="0" w:after="0" w:afterAutospacing="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递交响应文件的截止时间及地点</w:t>
            </w:r>
          </w:p>
        </w:tc>
        <w:tc>
          <w:tcPr>
            <w:tcW w:w="6217" w:type="dxa"/>
            <w:noWrap w:val="0"/>
            <w:vAlign w:val="center"/>
          </w:tcPr>
          <w:p w14:paraId="0E0BF5A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“四、响应文件递交”</w:t>
            </w:r>
          </w:p>
        </w:tc>
      </w:tr>
      <w:tr w14:paraId="5B96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9" w:hRule="atLeast"/>
        </w:trPr>
        <w:tc>
          <w:tcPr>
            <w:tcW w:w="730" w:type="dxa"/>
            <w:noWrap w:val="0"/>
            <w:vAlign w:val="center"/>
          </w:tcPr>
          <w:p w14:paraId="3C52680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691" w:type="dxa"/>
            <w:noWrap w:val="0"/>
            <w:vAlign w:val="center"/>
          </w:tcPr>
          <w:p w14:paraId="04A9D032">
            <w:pPr>
              <w:pStyle w:val="13"/>
              <w:spacing w:before="0" w:beforeAutospacing="0" w:after="0" w:afterAutospacing="0" w:line="360" w:lineRule="auto"/>
              <w:ind w:left="-31" w:leftChars="-1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w:t>
            </w:r>
          </w:p>
        </w:tc>
        <w:tc>
          <w:tcPr>
            <w:tcW w:w="6217" w:type="dxa"/>
            <w:noWrap w:val="0"/>
            <w:vAlign w:val="center"/>
          </w:tcPr>
          <w:p w14:paraId="67F2307C">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磋商小组由采购人依法组建，磋商由磋商小组负责。磋商小组由采购人代表和评审专家共</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人以上单数组成，其中评审专家人数不得少于磋商小组成员总数的2/3。</w:t>
            </w:r>
          </w:p>
        </w:tc>
      </w:tr>
      <w:tr w14:paraId="0FC1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EACEC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691" w:type="dxa"/>
            <w:noWrap w:val="0"/>
            <w:vAlign w:val="center"/>
          </w:tcPr>
          <w:p w14:paraId="4E852D0A">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6217" w:type="dxa"/>
            <w:noWrap w:val="0"/>
            <w:vAlign w:val="center"/>
          </w:tcPr>
          <w:p w14:paraId="3CAA07C2">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tc>
      </w:tr>
      <w:tr w14:paraId="194B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FC6828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p>
        </w:tc>
        <w:tc>
          <w:tcPr>
            <w:tcW w:w="1691" w:type="dxa"/>
            <w:noWrap w:val="0"/>
            <w:vAlign w:val="center"/>
          </w:tcPr>
          <w:p w14:paraId="2EF16AEA">
            <w:pPr>
              <w:autoSpaceDE w:val="0"/>
              <w:autoSpaceDN w:val="0"/>
              <w:spacing w:line="500" w:lineRule="exact"/>
              <w:ind w:left="4" w:leftChars="2" w:firstLine="120" w:firstLineChars="50"/>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履约保证金金额</w:t>
            </w:r>
          </w:p>
        </w:tc>
        <w:tc>
          <w:tcPr>
            <w:tcW w:w="6217" w:type="dxa"/>
            <w:noWrap w:val="0"/>
            <w:vAlign w:val="center"/>
          </w:tcPr>
          <w:p w14:paraId="57AFCA3A">
            <w:pPr>
              <w:autoSpaceDE w:val="0"/>
              <w:autoSpaceDN w:val="0"/>
              <w:spacing w:line="500" w:lineRule="exact"/>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双方自行协商。</w:t>
            </w:r>
          </w:p>
        </w:tc>
      </w:tr>
      <w:tr w14:paraId="23BE2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30" w:type="dxa"/>
            <w:noWrap w:val="0"/>
            <w:vAlign w:val="center"/>
          </w:tcPr>
          <w:p w14:paraId="4D7BF4FE">
            <w:pPr>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27.3</w:t>
            </w:r>
          </w:p>
        </w:tc>
        <w:tc>
          <w:tcPr>
            <w:tcW w:w="1691" w:type="dxa"/>
            <w:noWrap w:val="0"/>
            <w:vAlign w:val="center"/>
          </w:tcPr>
          <w:p w14:paraId="054B0A89">
            <w:pPr>
              <w:numPr>
                <w:ilvl w:val="0"/>
                <w:numId w:val="0"/>
              </w:numPr>
              <w:spacing w:line="36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付款方式</w:t>
            </w:r>
          </w:p>
        </w:tc>
        <w:tc>
          <w:tcPr>
            <w:tcW w:w="6217" w:type="dxa"/>
            <w:noWrap w:val="0"/>
            <w:vAlign w:val="center"/>
          </w:tcPr>
          <w:p w14:paraId="6D197A9F">
            <w:pPr>
              <w:autoSpaceDE w:val="0"/>
              <w:autoSpaceDN w:val="0"/>
              <w:spacing w:line="500" w:lineRule="exact"/>
              <w:jc w:val="lef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双方自行协商。</w:t>
            </w:r>
          </w:p>
        </w:tc>
      </w:tr>
      <w:tr w14:paraId="7023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1FF81B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w:t>
            </w:r>
          </w:p>
        </w:tc>
        <w:tc>
          <w:tcPr>
            <w:tcW w:w="1691" w:type="dxa"/>
            <w:noWrap w:val="0"/>
            <w:vAlign w:val="center"/>
          </w:tcPr>
          <w:p w14:paraId="08A91950">
            <w:pPr>
              <w:autoSpaceDE w:val="0"/>
              <w:autoSpaceDN w:val="0"/>
              <w:spacing w:line="500" w:lineRule="exact"/>
              <w:ind w:left="4" w:leftChars="2" w:firstLine="120" w:firstLineChars="50"/>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成交服务费</w:t>
            </w:r>
          </w:p>
        </w:tc>
        <w:tc>
          <w:tcPr>
            <w:tcW w:w="6217" w:type="dxa"/>
            <w:noWrap w:val="0"/>
            <w:vAlign w:val="center"/>
          </w:tcPr>
          <w:p w14:paraId="18C26911">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本项目成交服务费参照“云南省建设工程招标投标行业协会关于印发《云南省建设工程招标代理服务收费参考意见》的通知（云建招协〔2024〕58号）”的规定计算，</w:t>
            </w:r>
            <w:r>
              <w:rPr>
                <w:rFonts w:hint="eastAsia" w:hAnsi="宋体" w:cs="宋体"/>
                <w:color w:val="auto"/>
                <w:sz w:val="24"/>
                <w:szCs w:val="24"/>
                <w:highlight w:val="none"/>
                <w:lang w:val="en-US" w:eastAsia="zh-CN"/>
              </w:rPr>
              <w:t>计算结果下浮20%，</w:t>
            </w:r>
            <w:r>
              <w:rPr>
                <w:rFonts w:hint="eastAsia" w:ascii="宋体" w:hAnsi="宋体" w:cs="宋体"/>
                <w:color w:val="auto"/>
                <w:sz w:val="24"/>
                <w:szCs w:val="24"/>
                <w:highlight w:val="none"/>
              </w:rPr>
              <w:t>由成交供应商在领取成交通知书</w:t>
            </w:r>
            <w:r>
              <w:rPr>
                <w:rFonts w:hint="eastAsia" w:hAnsi="宋体" w:cs="宋体"/>
                <w:color w:val="auto"/>
                <w:sz w:val="24"/>
                <w:szCs w:val="24"/>
                <w:highlight w:val="none"/>
                <w:lang w:val="en-US" w:eastAsia="zh-CN"/>
              </w:rPr>
              <w:t>前</w:t>
            </w:r>
            <w:r>
              <w:rPr>
                <w:rFonts w:hint="eastAsia" w:ascii="宋体" w:hAnsi="宋体" w:cs="宋体"/>
                <w:color w:val="auto"/>
                <w:sz w:val="24"/>
                <w:szCs w:val="24"/>
                <w:highlight w:val="none"/>
              </w:rPr>
              <w:t>一次性支付。</w:t>
            </w:r>
          </w:p>
          <w:p w14:paraId="55CC076F">
            <w:pPr>
              <w:autoSpaceDE w:val="0"/>
              <w:autoSpaceDN w:val="0"/>
              <w:spacing w:line="5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收款单位：</w:t>
            </w:r>
            <w:r>
              <w:rPr>
                <w:rFonts w:hint="eastAsia" w:hAnsi="宋体" w:cs="宋体"/>
                <w:color w:val="auto"/>
                <w:sz w:val="24"/>
                <w:szCs w:val="24"/>
                <w:highlight w:val="none"/>
                <w:lang w:val="en-US" w:eastAsia="zh-CN"/>
              </w:rPr>
              <w:t>云南信活工程服务有限责任公司</w:t>
            </w:r>
          </w:p>
        </w:tc>
      </w:tr>
      <w:tr w14:paraId="75D7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6902120">
            <w:pPr>
              <w:spacing w:line="360" w:lineRule="auto"/>
              <w:jc w:val="center"/>
              <w:rPr>
                <w:rFonts w:hint="eastAsia" w:ascii="宋体" w:hAnsi="宋体" w:eastAsia="宋体" w:cs="宋体"/>
                <w:color w:val="auto"/>
                <w:sz w:val="24"/>
                <w:szCs w:val="24"/>
                <w:highlight w:val="none"/>
              </w:rPr>
            </w:pPr>
          </w:p>
        </w:tc>
        <w:tc>
          <w:tcPr>
            <w:tcW w:w="1691" w:type="dxa"/>
            <w:noWrap w:val="0"/>
            <w:vAlign w:val="center"/>
          </w:tcPr>
          <w:p w14:paraId="5C00F2E3">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217" w:type="dxa"/>
            <w:noWrap w:val="0"/>
            <w:vAlign w:val="center"/>
          </w:tcPr>
          <w:p w14:paraId="28E18E2B">
            <w:pPr>
              <w:autoSpaceDE w:val="0"/>
              <w:autoSpaceDN w:val="0"/>
              <w:adjustRightInd w:val="0"/>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w:t>
            </w:r>
          </w:p>
        </w:tc>
      </w:tr>
      <w:tr w14:paraId="11E8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DC0A1E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691" w:type="dxa"/>
            <w:noWrap w:val="0"/>
            <w:vAlign w:val="center"/>
          </w:tcPr>
          <w:p w14:paraId="1BB3E169">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其它内容</w:t>
            </w:r>
          </w:p>
        </w:tc>
        <w:tc>
          <w:tcPr>
            <w:tcW w:w="6217" w:type="dxa"/>
            <w:noWrap w:val="0"/>
            <w:vAlign w:val="center"/>
          </w:tcPr>
          <w:p w14:paraId="06DA2B25">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tc>
      </w:tr>
      <w:tr w14:paraId="041D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49AAA1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691" w:type="dxa"/>
            <w:noWrap w:val="0"/>
            <w:vAlign w:val="center"/>
          </w:tcPr>
          <w:p w14:paraId="73C7AA47">
            <w:pPr>
              <w:pStyle w:val="9"/>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特别提示</w:t>
            </w:r>
          </w:p>
        </w:tc>
        <w:tc>
          <w:tcPr>
            <w:tcW w:w="6217" w:type="dxa"/>
            <w:noWrap w:val="0"/>
            <w:vAlign w:val="center"/>
          </w:tcPr>
          <w:p w14:paraId="4A69823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1、本项目响应文件为网上递交。网上递交响应文件后，在开标时，供应商对响应文件进行解密。</w:t>
            </w:r>
          </w:p>
          <w:p w14:paraId="30E0A69C">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2、按《竞争性磋商文件》的规定，在磋商阶段磋商小组将与通过</w:t>
            </w:r>
            <w:r>
              <w:rPr>
                <w:rFonts w:hint="eastAsia" w:hAnsi="宋体" w:cs="宋体"/>
                <w:b/>
                <w:bCs/>
                <w:color w:val="auto"/>
                <w:sz w:val="24"/>
                <w:szCs w:val="24"/>
                <w:highlight w:val="none"/>
                <w:lang w:val="en-US" w:eastAsia="zh-CN"/>
              </w:rPr>
              <w:t>资格审查及符合性审查</w:t>
            </w:r>
            <w:r>
              <w:rPr>
                <w:rFonts w:hint="eastAsia" w:ascii="宋体" w:hAnsi="宋体" w:eastAsia="宋体" w:cs="宋体"/>
                <w:b/>
                <w:bCs/>
                <w:color w:val="auto"/>
                <w:sz w:val="24"/>
                <w:szCs w:val="24"/>
                <w:highlight w:val="none"/>
              </w:rPr>
              <w:t>的供应商进行磋商。供应商应在规定的时间内在政府采购云平台系统中进行磋商，过程中应保持通讯工具畅通。</w:t>
            </w:r>
          </w:p>
        </w:tc>
      </w:tr>
    </w:tbl>
    <w:p w14:paraId="20DB44D7">
      <w:pPr>
        <w:pStyle w:val="6"/>
        <w:rPr>
          <w:rFonts w:hint="eastAsia" w:ascii="宋体" w:hAnsi="宋体" w:eastAsia="宋体" w:cs="宋体"/>
          <w:color w:val="auto"/>
          <w:highlight w:val="none"/>
          <w:lang w:val="zh-CN"/>
        </w:rPr>
      </w:pPr>
    </w:p>
    <w:p w14:paraId="35E7426C">
      <w:pPr>
        <w:pStyle w:val="3"/>
        <w:pageBreakBefore w:val="0"/>
        <w:widowControl/>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r>
        <w:rPr>
          <w:rFonts w:hint="eastAsia" w:ascii="宋体" w:hAnsi="宋体" w:eastAsia="宋体" w:cs="宋体"/>
          <w:b/>
          <w:color w:val="auto"/>
          <w:kern w:val="0"/>
          <w:szCs w:val="32"/>
          <w:highlight w:val="none"/>
        </w:rPr>
        <w:t>一、总则</w:t>
      </w:r>
      <w:bookmarkEnd w:id="67"/>
    </w:p>
    <w:p w14:paraId="759753B2">
      <w:pPr>
        <w:pStyle w:val="2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69" w:name="_Toc75418528"/>
      <w:bookmarkStart w:id="70" w:name="_Toc46924537"/>
      <w:bookmarkStart w:id="71" w:name="_Toc72489527"/>
      <w:bookmarkStart w:id="72" w:name="_Toc74169238"/>
      <w:r>
        <w:rPr>
          <w:rFonts w:hint="eastAsia" w:ascii="宋体" w:hAnsi="宋体" w:eastAsia="宋体" w:cs="宋体"/>
          <w:b/>
          <w:bCs/>
          <w:color w:val="auto"/>
          <w:sz w:val="24"/>
          <w:szCs w:val="24"/>
          <w:highlight w:val="none"/>
        </w:rPr>
        <w:t>1、项目概况</w:t>
      </w:r>
      <w:bookmarkEnd w:id="69"/>
      <w:bookmarkEnd w:id="70"/>
      <w:bookmarkEnd w:id="71"/>
      <w:bookmarkEnd w:id="72"/>
    </w:p>
    <w:p w14:paraId="44472CEB">
      <w:pPr>
        <w:keepNext/>
        <w:keepLines/>
        <w:pageBreakBefore w:val="0"/>
        <w:widowControl/>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w:t>
      </w:r>
    </w:p>
    <w:p w14:paraId="0B3F373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1.2本项目采购人：详见《供应商须知前附表》。</w:t>
      </w:r>
    </w:p>
    <w:p w14:paraId="385313B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1.3本项目采购代理机构：详见《供应商须知前附表》。</w:t>
      </w:r>
    </w:p>
    <w:p w14:paraId="7304BB2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1.4项目名称及项目编号：详见《供应商须知前附表》。</w:t>
      </w:r>
    </w:p>
    <w:p w14:paraId="48B25FC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73" w:name="_Toc74169239"/>
      <w:bookmarkStart w:id="74" w:name="_Toc46924538"/>
      <w:bookmarkStart w:id="75" w:name="_Toc72489528"/>
      <w:bookmarkStart w:id="76" w:name="_Toc75418529"/>
      <w:r>
        <w:rPr>
          <w:rFonts w:hint="eastAsia" w:ascii="宋体" w:hAnsi="宋体" w:eastAsia="宋体" w:cs="宋体"/>
          <w:b/>
          <w:bCs/>
          <w:color w:val="auto"/>
          <w:sz w:val="24"/>
          <w:szCs w:val="24"/>
          <w:highlight w:val="none"/>
        </w:rPr>
        <w:t>2、资金来源及预算金额</w:t>
      </w:r>
      <w:bookmarkEnd w:id="73"/>
      <w:bookmarkEnd w:id="74"/>
      <w:bookmarkEnd w:id="75"/>
      <w:bookmarkEnd w:id="76"/>
    </w:p>
    <w:p w14:paraId="2609E6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2.1资金来源及预算金额：详见《供应商须知前附表》。</w:t>
      </w:r>
    </w:p>
    <w:p w14:paraId="2764B56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lang w:eastAsia="zh-CN"/>
        </w:rPr>
      </w:pPr>
      <w:bookmarkStart w:id="77" w:name="_Toc75418530"/>
      <w:bookmarkStart w:id="78" w:name="_Toc74169240"/>
      <w:bookmarkStart w:id="79" w:name="_Toc72489529"/>
      <w:bookmarkStart w:id="80" w:name="_Toc46924539"/>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建设地点</w:t>
      </w:r>
      <w:r>
        <w:rPr>
          <w:rFonts w:hint="eastAsia" w:ascii="宋体" w:hAnsi="宋体" w:eastAsia="宋体" w:cs="宋体"/>
          <w:b/>
          <w:bCs/>
          <w:color w:val="auto"/>
          <w:sz w:val="24"/>
          <w:szCs w:val="24"/>
          <w:highlight w:val="none"/>
        </w:rPr>
        <w:t>、质量</w:t>
      </w:r>
      <w:r>
        <w:rPr>
          <w:rFonts w:hint="eastAsia" w:ascii="宋体" w:hAnsi="宋体" w:eastAsia="宋体" w:cs="宋体"/>
          <w:b/>
          <w:bCs/>
          <w:color w:val="auto"/>
          <w:sz w:val="24"/>
          <w:szCs w:val="24"/>
          <w:highlight w:val="none"/>
          <w:lang w:val="en-US" w:eastAsia="zh-CN"/>
        </w:rPr>
        <w:t>标准</w:t>
      </w:r>
      <w:r>
        <w:rPr>
          <w:rFonts w:hint="eastAsia" w:ascii="宋体" w:hAnsi="宋体" w:eastAsia="宋体" w:cs="宋体"/>
          <w:b/>
          <w:bCs/>
          <w:color w:val="auto"/>
          <w:sz w:val="24"/>
          <w:szCs w:val="24"/>
          <w:highlight w:val="none"/>
        </w:rPr>
        <w:t>及</w:t>
      </w:r>
      <w:bookmarkEnd w:id="77"/>
      <w:bookmarkEnd w:id="78"/>
      <w:bookmarkEnd w:id="79"/>
      <w:bookmarkEnd w:id="80"/>
      <w:r>
        <w:rPr>
          <w:rFonts w:hint="eastAsia" w:ascii="宋体" w:hAnsi="宋体" w:eastAsia="宋体" w:cs="宋体"/>
          <w:b/>
          <w:bCs/>
          <w:color w:val="auto"/>
          <w:sz w:val="24"/>
          <w:szCs w:val="24"/>
          <w:highlight w:val="none"/>
          <w:lang w:eastAsia="zh-CN"/>
        </w:rPr>
        <w:t>工期</w:t>
      </w:r>
    </w:p>
    <w:p w14:paraId="0B91F43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hAnsi="宋体" w:cs="宋体"/>
          <w:color w:val="auto"/>
          <w:sz w:val="24"/>
          <w:szCs w:val="24"/>
          <w:highlight w:val="none"/>
          <w:lang w:val="en-US"/>
        </w:rPr>
        <w:t>3.1</w:t>
      </w:r>
      <w:r>
        <w:rPr>
          <w:rFonts w:hint="eastAsia" w:hAnsi="宋体" w:cs="宋体"/>
          <w:color w:val="auto"/>
          <w:sz w:val="24"/>
          <w:szCs w:val="24"/>
          <w:highlight w:val="none"/>
          <w:lang w:val="en-US" w:eastAsia="zh-CN"/>
        </w:rPr>
        <w:t>建设地点：</w:t>
      </w:r>
      <w:r>
        <w:rPr>
          <w:rFonts w:hint="eastAsia" w:ascii="宋体" w:hAnsi="宋体" w:eastAsia="宋体" w:cs="宋体"/>
          <w:color w:val="auto"/>
          <w:sz w:val="24"/>
          <w:szCs w:val="24"/>
          <w:highlight w:val="none"/>
        </w:rPr>
        <w:t>详见《供应商须知前附表》。</w:t>
      </w:r>
    </w:p>
    <w:p w14:paraId="29EED6C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default" w:hAnsi="宋体" w:cs="宋体"/>
          <w:color w:val="auto"/>
          <w:sz w:val="24"/>
          <w:szCs w:val="24"/>
          <w:highlight w:val="none"/>
          <w:lang w:val="en-US"/>
        </w:rPr>
        <w:t>2</w:t>
      </w:r>
      <w:r>
        <w:rPr>
          <w:rFonts w:hint="eastAsia" w:ascii="宋体" w:hAnsi="宋体" w:eastAsia="宋体" w:cs="宋体"/>
          <w:color w:val="auto"/>
          <w:sz w:val="24"/>
          <w:szCs w:val="24"/>
          <w:highlight w:val="none"/>
        </w:rPr>
        <w:t>质量</w:t>
      </w:r>
      <w:r>
        <w:rPr>
          <w:rFonts w:hint="eastAsia" w:hAnsi="宋体" w:cs="宋体"/>
          <w:color w:val="auto"/>
          <w:sz w:val="24"/>
          <w:szCs w:val="24"/>
          <w:highlight w:val="none"/>
          <w:lang w:eastAsia="zh-CN"/>
        </w:rPr>
        <w:t>标准</w:t>
      </w:r>
      <w:r>
        <w:rPr>
          <w:rFonts w:hint="eastAsia" w:ascii="宋体" w:hAnsi="宋体" w:eastAsia="宋体" w:cs="宋体"/>
          <w:color w:val="auto"/>
          <w:sz w:val="24"/>
          <w:szCs w:val="24"/>
          <w:highlight w:val="none"/>
        </w:rPr>
        <w:t>：详见《供应商须知前附表》。</w:t>
      </w:r>
    </w:p>
    <w:p w14:paraId="41A78CF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rPr>
        <w:t>3.3</w:t>
      </w:r>
      <w:r>
        <w:rPr>
          <w:rFonts w:hint="default" w:ascii="宋体" w:hAnsi="宋体" w:eastAsia="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详见《供应商须知前附表》。</w:t>
      </w:r>
    </w:p>
    <w:p w14:paraId="3852AA0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1" w:name="_Toc74169241"/>
      <w:bookmarkStart w:id="82" w:name="_Toc46924540"/>
      <w:bookmarkStart w:id="83" w:name="_Toc75418531"/>
      <w:bookmarkStart w:id="84" w:name="_Toc72489530"/>
      <w:r>
        <w:rPr>
          <w:rFonts w:hint="eastAsia" w:ascii="宋体" w:hAnsi="宋体" w:eastAsia="宋体" w:cs="宋体"/>
          <w:b/>
          <w:bCs/>
          <w:color w:val="auto"/>
          <w:sz w:val="24"/>
          <w:szCs w:val="24"/>
          <w:highlight w:val="none"/>
        </w:rPr>
        <w:t>★4、供应商资格要求</w:t>
      </w:r>
      <w:bookmarkEnd w:id="81"/>
      <w:bookmarkEnd w:id="82"/>
      <w:bookmarkEnd w:id="83"/>
      <w:bookmarkEnd w:id="84"/>
    </w:p>
    <w:p w14:paraId="1E4B49C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4.1供应商资格要求：详见《供应商须知前附表》。</w:t>
      </w:r>
    </w:p>
    <w:p w14:paraId="19825A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4.2是否接受联合体参加：</w:t>
      </w:r>
      <w:r>
        <w:rPr>
          <w:rFonts w:hint="eastAsia" w:hAnsi="宋体" w:cs="宋体"/>
          <w:color w:val="auto"/>
          <w:sz w:val="24"/>
          <w:szCs w:val="24"/>
          <w:highlight w:val="none"/>
          <w:lang w:eastAsia="zh-CN"/>
        </w:rPr>
        <w:t>不接受</w:t>
      </w:r>
      <w:r>
        <w:rPr>
          <w:rFonts w:hint="eastAsia" w:ascii="宋体" w:hAnsi="宋体" w:eastAsia="宋体" w:cs="宋体"/>
          <w:color w:val="auto"/>
          <w:sz w:val="24"/>
          <w:szCs w:val="24"/>
          <w:highlight w:val="none"/>
        </w:rPr>
        <w:t>。</w:t>
      </w:r>
    </w:p>
    <w:p w14:paraId="11A1561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4.3如供应商为满足供应商资格要求提供虚假材料，一经查实，视为未实质性响应竞争性磋商文件，供应商响应文件将按无效响应处理。</w:t>
      </w:r>
    </w:p>
    <w:p w14:paraId="72D7DDA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rPr>
        <w:t>。除单一来源采购项目外，为采购项目提供整体设计、规范编制或者项目管理、监理、检测等服务的供应商，不得再参加该采购项目的其他采购活动。</w:t>
      </w:r>
    </w:p>
    <w:p w14:paraId="243D25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4.5供应商不得与采购人、采购代理机构或其附属机构有任何关联。</w:t>
      </w:r>
    </w:p>
    <w:p w14:paraId="523AD0AD">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4.6符合上述条件的供应商应承担履约中应承担的全部责任与义务。</w:t>
      </w:r>
    </w:p>
    <w:p w14:paraId="0B413A48">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5" w:name="_Toc46924541"/>
      <w:bookmarkStart w:id="86" w:name="_Toc75418532"/>
      <w:bookmarkStart w:id="87" w:name="_Toc74169242"/>
      <w:bookmarkStart w:id="88" w:name="_Toc72489531"/>
      <w:r>
        <w:rPr>
          <w:rFonts w:hint="eastAsia" w:ascii="宋体" w:hAnsi="宋体" w:eastAsia="宋体" w:cs="宋体"/>
          <w:b/>
          <w:bCs/>
          <w:color w:val="auto"/>
          <w:sz w:val="24"/>
          <w:szCs w:val="24"/>
          <w:highlight w:val="none"/>
        </w:rPr>
        <w:t>5、费用承担</w:t>
      </w:r>
      <w:bookmarkEnd w:id="85"/>
      <w:bookmarkEnd w:id="86"/>
      <w:bookmarkEnd w:id="87"/>
      <w:bookmarkEnd w:id="88"/>
    </w:p>
    <w:p w14:paraId="0AAE08C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5.1无论是否成交，供应商自行承担所有与参加本次竞争性磋商采购活动所产生的全部费用。</w:t>
      </w:r>
    </w:p>
    <w:p w14:paraId="6F6CF6B8">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9" w:name="_Toc46924542"/>
      <w:bookmarkStart w:id="90" w:name="_Toc74169243"/>
      <w:bookmarkStart w:id="91" w:name="_Toc75418533"/>
      <w:bookmarkStart w:id="92" w:name="_Toc72489532"/>
      <w:r>
        <w:rPr>
          <w:rFonts w:hint="eastAsia" w:ascii="宋体" w:hAnsi="宋体" w:eastAsia="宋体" w:cs="宋体"/>
          <w:b/>
          <w:bCs/>
          <w:color w:val="auto"/>
          <w:sz w:val="24"/>
          <w:szCs w:val="24"/>
          <w:highlight w:val="none"/>
        </w:rPr>
        <w:t>6、现场考察</w:t>
      </w:r>
      <w:bookmarkEnd w:id="89"/>
      <w:bookmarkEnd w:id="90"/>
      <w:bookmarkEnd w:id="91"/>
      <w:bookmarkEnd w:id="92"/>
    </w:p>
    <w:p w14:paraId="0130748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6.1供应商须知前附表规定组织现场考察的，采购人按《供应商须知前附表》规定的时间、集中地点组织进行现场考察。</w:t>
      </w:r>
    </w:p>
    <w:p w14:paraId="62361FF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6.2现场考察所发生的费用由供应商自理。</w:t>
      </w:r>
    </w:p>
    <w:p w14:paraId="60099AC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6.3除采购人的原因外，供应商自行负责在现场考察中所发生的人员伤亡和财产损失。</w:t>
      </w:r>
    </w:p>
    <w:p w14:paraId="539BDB8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6.4采购人在现场考察中介绍的项目场地和相关的周边环境情况，仅供供应商在编制响应文件时参考，采购人不对供应商据此作出的判断和决策负责。</w:t>
      </w:r>
    </w:p>
    <w:p w14:paraId="57B8A50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93" w:name="_Toc74169244"/>
      <w:bookmarkStart w:id="94" w:name="_Toc75418534"/>
      <w:bookmarkStart w:id="95" w:name="_Toc72489533"/>
      <w:bookmarkStart w:id="96" w:name="_Toc46924543"/>
      <w:r>
        <w:rPr>
          <w:rFonts w:hint="eastAsia" w:ascii="宋体" w:hAnsi="宋体" w:eastAsia="宋体" w:cs="宋体"/>
          <w:b/>
          <w:bCs/>
          <w:color w:val="auto"/>
          <w:sz w:val="24"/>
          <w:szCs w:val="24"/>
          <w:highlight w:val="none"/>
        </w:rPr>
        <w:t>7、磋商前答疑会</w:t>
      </w:r>
      <w:bookmarkEnd w:id="93"/>
      <w:bookmarkEnd w:id="94"/>
      <w:bookmarkEnd w:id="95"/>
      <w:bookmarkEnd w:id="96"/>
    </w:p>
    <w:p w14:paraId="53492DD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7.1供应商须知前附表规定召开采购前答疑会的，采购人按《供应商须知前附表》规定的时间和地点召开采购前答疑会，书面澄清供应商提出的问题。</w:t>
      </w:r>
    </w:p>
    <w:p w14:paraId="57E0F735">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97" w:name="_Toc74169245"/>
      <w:bookmarkStart w:id="98" w:name="_Toc46924544"/>
      <w:bookmarkStart w:id="99" w:name="_Toc72489534"/>
      <w:bookmarkStart w:id="100" w:name="_Toc75418535"/>
      <w:r>
        <w:rPr>
          <w:rFonts w:hint="eastAsia" w:ascii="宋体" w:hAnsi="宋体" w:eastAsia="宋体" w:cs="宋体"/>
          <w:b/>
          <w:bCs/>
          <w:color w:val="auto"/>
          <w:sz w:val="24"/>
          <w:szCs w:val="24"/>
          <w:highlight w:val="none"/>
        </w:rPr>
        <w:t>8、质疑</w:t>
      </w:r>
      <w:bookmarkEnd w:id="97"/>
      <w:bookmarkEnd w:id="98"/>
      <w:bookmarkEnd w:id="99"/>
      <w:bookmarkEnd w:id="100"/>
    </w:p>
    <w:p w14:paraId="379E070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4F872A6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供应商提供的质疑函应符合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0FB85DD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1C6AB79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695B12F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457F105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7CDCBAB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185D03D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6ED28D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供应商为自然人的，应当由本人签字；供应商为法人或者其他组织的，应当由法定代表人、主要负责人，或者其授权代表签字或者盖章，并加盖公章。质疑函须提供签字、加盖公章的原件。</w:t>
      </w:r>
    </w:p>
    <w:p w14:paraId="381C147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8.3采购人、采购代理机构将在收到供应商的书面质疑函后七个工作日内作出答复，但答复的内容不涉及商业秘密。</w:t>
      </w:r>
    </w:p>
    <w:p w14:paraId="391674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4AEDED9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01" w:name="_Toc72489535"/>
      <w:bookmarkStart w:id="102" w:name="_Toc46924545"/>
      <w:bookmarkStart w:id="103" w:name="_Toc75418536"/>
      <w:bookmarkStart w:id="104" w:name="_Toc74169246"/>
      <w:r>
        <w:rPr>
          <w:rFonts w:hint="eastAsia" w:ascii="宋体" w:hAnsi="宋体" w:eastAsia="宋体" w:cs="宋体"/>
          <w:b/>
          <w:bCs/>
          <w:color w:val="auto"/>
          <w:sz w:val="24"/>
          <w:szCs w:val="24"/>
          <w:highlight w:val="none"/>
        </w:rPr>
        <w:t>9、投诉</w:t>
      </w:r>
      <w:bookmarkEnd w:id="101"/>
      <w:bookmarkEnd w:id="102"/>
      <w:bookmarkEnd w:id="103"/>
      <w:bookmarkEnd w:id="104"/>
    </w:p>
    <w:p w14:paraId="041698C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024579B0">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05" w:name="_Toc125054710"/>
      <w:bookmarkStart w:id="106" w:name="_Toc383175282"/>
      <w:bookmarkStart w:id="107" w:name="_Toc383175480"/>
      <w:bookmarkStart w:id="108" w:name="_Toc482343732"/>
      <w:bookmarkStart w:id="109" w:name="_Toc432194832"/>
      <w:bookmarkStart w:id="110" w:name="_Toc383175058"/>
      <w:bookmarkStart w:id="111" w:name="_Toc329810192"/>
      <w:bookmarkStart w:id="112" w:name="_Toc432106481"/>
      <w:bookmarkStart w:id="113" w:name="_Toc470507046"/>
      <w:r>
        <w:rPr>
          <w:rFonts w:hint="eastAsia" w:ascii="宋体" w:hAnsi="宋体" w:eastAsia="宋体" w:cs="宋体"/>
          <w:b/>
          <w:color w:val="auto"/>
          <w:kern w:val="0"/>
          <w:szCs w:val="32"/>
          <w:highlight w:val="none"/>
        </w:rPr>
        <w:t>二、磋商文件</w:t>
      </w:r>
      <w:bookmarkEnd w:id="105"/>
    </w:p>
    <w:p w14:paraId="671A93D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14" w:name="_Toc46924547"/>
      <w:bookmarkStart w:id="115" w:name="_Toc72489537"/>
      <w:bookmarkStart w:id="116" w:name="_Toc75418538"/>
      <w:bookmarkStart w:id="117" w:name="_Toc74169248"/>
      <w:r>
        <w:rPr>
          <w:rFonts w:hint="eastAsia" w:ascii="宋体" w:hAnsi="宋体" w:eastAsia="宋体" w:cs="宋体"/>
          <w:b/>
          <w:bCs/>
          <w:color w:val="auto"/>
          <w:sz w:val="24"/>
          <w:szCs w:val="24"/>
          <w:highlight w:val="none"/>
        </w:rPr>
        <w:t>10、磋商文件的组成</w:t>
      </w:r>
      <w:bookmarkEnd w:id="106"/>
      <w:bookmarkEnd w:id="107"/>
      <w:bookmarkEnd w:id="108"/>
      <w:bookmarkEnd w:id="109"/>
      <w:bookmarkEnd w:id="110"/>
      <w:bookmarkEnd w:id="111"/>
      <w:bookmarkEnd w:id="112"/>
      <w:bookmarkEnd w:id="113"/>
      <w:bookmarkEnd w:id="114"/>
      <w:bookmarkEnd w:id="115"/>
      <w:bookmarkEnd w:id="116"/>
      <w:bookmarkEnd w:id="117"/>
    </w:p>
    <w:p w14:paraId="04271AE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采购人要求提供的货物、工程或者服务、采购过程及合同条款在竞争性磋商文件中均有说明，竞争性磋商文件共六章，各章的内容如下：</w:t>
      </w:r>
    </w:p>
    <w:p w14:paraId="7214B7E6">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竞争性磋商公告</w:t>
      </w:r>
    </w:p>
    <w:p w14:paraId="659458AA">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BBF3D43">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合同书样式及主要条款</w:t>
      </w:r>
    </w:p>
    <w:p w14:paraId="1F759017">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响应文件格式</w:t>
      </w:r>
    </w:p>
    <w:p w14:paraId="242F1A5B">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14:paraId="656744B1">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评审方法</w:t>
      </w:r>
    </w:p>
    <w:p w14:paraId="641729C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18" w:name="_Toc75418539"/>
      <w:bookmarkStart w:id="119" w:name="_Toc46924548"/>
      <w:bookmarkStart w:id="120" w:name="_Toc72489538"/>
      <w:bookmarkStart w:id="121" w:name="_Toc74169249"/>
      <w:r>
        <w:rPr>
          <w:rFonts w:hint="eastAsia" w:ascii="宋体" w:hAnsi="宋体" w:eastAsia="宋体" w:cs="宋体"/>
          <w:b/>
          <w:bCs/>
          <w:color w:val="auto"/>
          <w:sz w:val="24"/>
          <w:szCs w:val="24"/>
          <w:highlight w:val="none"/>
        </w:rPr>
        <w:t>11、竞争性磋商文件的询问、澄清、修改</w:t>
      </w:r>
      <w:bookmarkEnd w:id="118"/>
      <w:bookmarkEnd w:id="119"/>
      <w:bookmarkEnd w:id="120"/>
      <w:bookmarkEnd w:id="121"/>
      <w:r>
        <w:rPr>
          <w:rFonts w:hint="eastAsia" w:ascii="宋体" w:hAnsi="宋体" w:eastAsia="宋体" w:cs="宋体"/>
          <w:b/>
          <w:bCs/>
          <w:color w:val="auto"/>
          <w:sz w:val="24"/>
          <w:szCs w:val="24"/>
          <w:highlight w:val="none"/>
        </w:rPr>
        <w:tab/>
      </w:r>
    </w:p>
    <w:p w14:paraId="641A160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认真阅读竞争性磋商文件，如有疑问的，供应商可以向采购人或采购代理机构提出询问。所有获取了竞争性磋商文件的潜在供应商凭企业账号【或企业数字证书（CA）】登录政府采购云平台，通过网络在线方式向采购人或采购代理进行不署名提问，采购人或者采购代理机构在接到询问后的3个工作日内对供应商依法提出的询问作出答复，但答复的内容不涉及商业秘密。</w:t>
      </w:r>
    </w:p>
    <w:p w14:paraId="7E4DECB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11.2竞争性磋商文件询问联系方式：详见《供应商须知前附表》。</w:t>
      </w:r>
    </w:p>
    <w:p w14:paraId="59FD077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11.3提交首次响应文件截止之日前，采购人、采购代理机构或者磋商小组可以对已发出的磋商文件进行必要的澄清或者修改，澄清或者修改的内容作为磋商文件的组成部分。</w:t>
      </w:r>
    </w:p>
    <w:p w14:paraId="2048EA3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竞争性磋商文件澄清、修改时间：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2F99026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11.5供应商确认收到竞争性磋商文件澄清、修改时间：供应商不须回函确认收到竞争性磋商文件澄清、修改，供应商应在磋商截止时间前及时登录政府采购云平台（网址：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w:t>
      </w:r>
    </w:p>
    <w:p w14:paraId="2B4E0D4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444C7A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11.7实质性变动采购需求中的技术、服务要求以及合同草案条款不得对涉及对竞争性磋商文件公平、公正性内容进行修改、变动。</w:t>
      </w:r>
    </w:p>
    <w:p w14:paraId="410C930C">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22" w:name="_Toc125054711"/>
      <w:r>
        <w:rPr>
          <w:rFonts w:hint="eastAsia" w:ascii="宋体" w:hAnsi="宋体" w:eastAsia="宋体" w:cs="宋体"/>
          <w:b/>
          <w:color w:val="auto"/>
          <w:kern w:val="0"/>
          <w:szCs w:val="32"/>
          <w:highlight w:val="none"/>
        </w:rPr>
        <w:t>三、响应文件</w:t>
      </w:r>
      <w:bookmarkEnd w:id="122"/>
    </w:p>
    <w:p w14:paraId="42C030B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23" w:name="_Toc46924550"/>
      <w:bookmarkStart w:id="124" w:name="_Toc74169251"/>
      <w:bookmarkStart w:id="125" w:name="_Toc75418541"/>
      <w:bookmarkStart w:id="126" w:name="_Toc72489540"/>
      <w:r>
        <w:rPr>
          <w:rFonts w:hint="eastAsia" w:ascii="宋体" w:hAnsi="宋体" w:eastAsia="宋体" w:cs="宋体"/>
          <w:b/>
          <w:bCs/>
          <w:color w:val="auto"/>
          <w:sz w:val="24"/>
          <w:szCs w:val="24"/>
          <w:highlight w:val="none"/>
        </w:rPr>
        <w:t>12、</w:t>
      </w:r>
      <w:bookmarkStart w:id="127" w:name="_Toc329810195"/>
      <w:bookmarkStart w:id="128" w:name="_Toc383175285"/>
      <w:bookmarkStart w:id="129" w:name="_Toc470507049"/>
      <w:bookmarkStart w:id="130" w:name="_Toc482343735"/>
      <w:bookmarkStart w:id="131" w:name="_Toc432106484"/>
      <w:bookmarkStart w:id="132" w:name="_Toc432194835"/>
      <w:bookmarkStart w:id="133" w:name="_Toc383175483"/>
      <w:bookmarkStart w:id="134" w:name="_Toc383175061"/>
      <w:bookmarkStart w:id="135" w:name="_Toc86124052"/>
      <w:r>
        <w:rPr>
          <w:rFonts w:hint="eastAsia" w:ascii="宋体" w:hAnsi="宋体" w:eastAsia="宋体" w:cs="宋体"/>
          <w:b/>
          <w:bCs/>
          <w:color w:val="auto"/>
          <w:sz w:val="24"/>
          <w:szCs w:val="24"/>
          <w:highlight w:val="none"/>
        </w:rPr>
        <w:t>响应文件编写注意事项</w:t>
      </w:r>
      <w:bookmarkEnd w:id="123"/>
      <w:bookmarkEnd w:id="124"/>
      <w:bookmarkEnd w:id="125"/>
      <w:bookmarkEnd w:id="126"/>
      <w:bookmarkEnd w:id="127"/>
      <w:bookmarkEnd w:id="128"/>
      <w:bookmarkEnd w:id="129"/>
      <w:bookmarkEnd w:id="130"/>
      <w:bookmarkEnd w:id="131"/>
      <w:bookmarkEnd w:id="132"/>
      <w:bookmarkEnd w:id="133"/>
      <w:bookmarkEnd w:id="134"/>
      <w:bookmarkEnd w:id="135"/>
    </w:p>
    <w:p w14:paraId="1FB3531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12.1供应商应仔细阅读竞争性磋商文件，在完全了解采购的内容、技术性能要求（见第五章《采购需求》）后，根据竞争性磋商文件要求编写响应文件。</w:t>
      </w:r>
    </w:p>
    <w:p w14:paraId="68DF96F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12.2对磋商文件提出的实质性要求和条件作出响应是指供应商的响应文件必须对竞争性磋商文件中规定的实质性要求和条件作出满足或者优于原要求和条件的承诺，并提供相应的证明材料，否则按无效响应处理。</w:t>
      </w:r>
    </w:p>
    <w:p w14:paraId="5BD13933">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36" w:name="_Toc74169252"/>
      <w:bookmarkStart w:id="137" w:name="_Toc72489541"/>
      <w:bookmarkStart w:id="138" w:name="_Toc75418542"/>
      <w:bookmarkStart w:id="139" w:name="_Toc46924551"/>
      <w:r>
        <w:rPr>
          <w:rFonts w:hint="eastAsia" w:ascii="宋体" w:hAnsi="宋体" w:eastAsia="宋体" w:cs="宋体"/>
          <w:b/>
          <w:bCs/>
          <w:color w:val="auto"/>
          <w:sz w:val="24"/>
          <w:szCs w:val="24"/>
          <w:highlight w:val="none"/>
        </w:rPr>
        <w:t>13、语言文字</w:t>
      </w:r>
      <w:bookmarkEnd w:id="136"/>
      <w:bookmarkEnd w:id="137"/>
      <w:bookmarkEnd w:id="138"/>
      <w:bookmarkEnd w:id="139"/>
    </w:p>
    <w:p w14:paraId="5BDE569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13.1供应商的响应文件以及供应商与采购人、采购代理机构、磋商小组就有关磋商的所有来往函电统一使用中文（特别规定除外）。</w:t>
      </w:r>
    </w:p>
    <w:p w14:paraId="3B6B8D9A">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40" w:name="_Toc46924552"/>
      <w:bookmarkStart w:id="141" w:name="_Toc75418543"/>
      <w:bookmarkStart w:id="142" w:name="_Toc72489542"/>
      <w:bookmarkStart w:id="143" w:name="_Toc74169253"/>
      <w:r>
        <w:rPr>
          <w:rFonts w:hint="eastAsia" w:ascii="宋体" w:hAnsi="宋体" w:eastAsia="宋体" w:cs="宋体"/>
          <w:b/>
          <w:bCs/>
          <w:color w:val="auto"/>
          <w:sz w:val="24"/>
          <w:szCs w:val="24"/>
          <w:highlight w:val="none"/>
        </w:rPr>
        <w:t>14、计量单位</w:t>
      </w:r>
      <w:bookmarkEnd w:id="140"/>
      <w:bookmarkEnd w:id="141"/>
      <w:bookmarkEnd w:id="142"/>
      <w:bookmarkEnd w:id="143"/>
    </w:p>
    <w:p w14:paraId="03B39A0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14.1响应文件中使用的计量单位除磋商文件中有特殊规定外，一律使用中华人民共和国法定计量单位。</w:t>
      </w:r>
    </w:p>
    <w:p w14:paraId="4DF947B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44" w:name="_Toc72489543"/>
      <w:bookmarkStart w:id="145" w:name="_Toc74169254"/>
      <w:bookmarkStart w:id="146" w:name="_Toc46924553"/>
      <w:bookmarkStart w:id="147" w:name="_Toc75418544"/>
      <w:r>
        <w:rPr>
          <w:rFonts w:hint="eastAsia" w:ascii="宋体" w:hAnsi="宋体" w:eastAsia="宋体" w:cs="宋体"/>
          <w:b/>
          <w:bCs/>
          <w:color w:val="auto"/>
          <w:sz w:val="24"/>
          <w:szCs w:val="24"/>
          <w:highlight w:val="none"/>
        </w:rPr>
        <w:t>15、响应文件的组成</w:t>
      </w:r>
      <w:bookmarkEnd w:id="144"/>
      <w:bookmarkEnd w:id="145"/>
      <w:bookmarkEnd w:id="146"/>
      <w:bookmarkEnd w:id="147"/>
    </w:p>
    <w:p w14:paraId="47FADAE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color w:val="auto"/>
          <w:kern w:val="0"/>
          <w:sz w:val="24"/>
          <w:szCs w:val="24"/>
          <w:highlight w:val="none"/>
        </w:rPr>
        <w:t>供应商编写的响应文件应按第四章《响应文件格式》要求填写</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在编写响应文件时，图片建议使用JPG格式（须确保每张图片须清晰可辨，否则造成的后果由供应商自行承担），最终的每份标书文件所占用的磁盘空间应尽量不大于100M，否则可能无法生成响应文件。</w:t>
      </w:r>
    </w:p>
    <w:p w14:paraId="69590B5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15.2本项目若分包（标段）时，供应商同时参与多个包（标段）采购的，响应文件应按包（标段）分别编制，单独上传。</w:t>
      </w:r>
    </w:p>
    <w:p w14:paraId="78F3B83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15.3构成响应文件的其他资料：详见《供应商须知前附表》。</w:t>
      </w:r>
    </w:p>
    <w:p w14:paraId="07E48A2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48" w:name="_Toc74169255"/>
      <w:bookmarkStart w:id="149" w:name="_Toc75418545"/>
      <w:bookmarkStart w:id="150" w:name="_Toc72489544"/>
      <w:bookmarkStart w:id="151" w:name="_Toc46924554"/>
      <w:r>
        <w:rPr>
          <w:rFonts w:hint="eastAsia" w:ascii="宋体" w:hAnsi="宋体" w:eastAsia="宋体" w:cs="宋体"/>
          <w:b/>
          <w:bCs/>
          <w:color w:val="auto"/>
          <w:sz w:val="24"/>
          <w:szCs w:val="24"/>
          <w:highlight w:val="none"/>
        </w:rPr>
        <w:t>★16、响应文件的格式要求</w:t>
      </w:r>
      <w:bookmarkEnd w:id="148"/>
      <w:bookmarkEnd w:id="149"/>
      <w:bookmarkEnd w:id="150"/>
      <w:bookmarkEnd w:id="151"/>
    </w:p>
    <w:p w14:paraId="30C048F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16.1供应商应按第四章《响应文件格式》提供的格式完整地填写，未按竞争性磋商文件规定格式填写的响应文件按无效响应处理。</w:t>
      </w:r>
    </w:p>
    <w:p w14:paraId="51F6EDED">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52" w:name="_Toc75418546"/>
      <w:bookmarkStart w:id="153" w:name="_Toc46924555"/>
      <w:bookmarkStart w:id="154" w:name="_Toc72489545"/>
      <w:bookmarkStart w:id="155" w:name="_Toc74169256"/>
      <w:r>
        <w:rPr>
          <w:rFonts w:hint="eastAsia" w:ascii="宋体" w:hAnsi="宋体" w:eastAsia="宋体" w:cs="宋体"/>
          <w:b/>
          <w:bCs/>
          <w:color w:val="auto"/>
          <w:sz w:val="24"/>
          <w:szCs w:val="24"/>
          <w:highlight w:val="none"/>
        </w:rPr>
        <w:t>★17、响应文件有效期</w:t>
      </w:r>
      <w:bookmarkEnd w:id="152"/>
      <w:bookmarkEnd w:id="153"/>
      <w:bookmarkEnd w:id="154"/>
      <w:bookmarkEnd w:id="155"/>
    </w:p>
    <w:p w14:paraId="0B2A50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17.1在《供应商须知前附表》规定的有效期内，供应商不得要求撤销或修改其响应文件。</w:t>
      </w:r>
    </w:p>
    <w:p w14:paraId="4D6B0F6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因特殊情况需要延长响应文件有效期的，采购人或采购代理机构以书面形式通知供应商延长有效期。供应商同意延长的，应相应延长其响应文件中所有内容及采购保证金的有效期，但不得要求或被允许修改或撤销其响应文件；供应商拒绝延长的，其响应文件失效，但供应商有权收回其采购保证金。</w:t>
      </w:r>
    </w:p>
    <w:p w14:paraId="1553212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56" w:name="_Toc46924556"/>
      <w:bookmarkStart w:id="157" w:name="_Toc72489546"/>
      <w:bookmarkStart w:id="158" w:name="_Toc74169257"/>
      <w:bookmarkStart w:id="159" w:name="_Toc75418547"/>
      <w:r>
        <w:rPr>
          <w:rFonts w:hint="eastAsia" w:ascii="宋体" w:hAnsi="宋体" w:eastAsia="宋体" w:cs="宋体"/>
          <w:b/>
          <w:bCs/>
          <w:color w:val="auto"/>
          <w:sz w:val="24"/>
          <w:szCs w:val="24"/>
          <w:highlight w:val="none"/>
        </w:rPr>
        <w:t>★18、磋商保证金交纳及退还</w:t>
      </w:r>
      <w:bookmarkEnd w:id="156"/>
      <w:bookmarkEnd w:id="157"/>
      <w:bookmarkEnd w:id="158"/>
      <w:bookmarkEnd w:id="159"/>
    </w:p>
    <w:p w14:paraId="719D612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按《供应商须知前附表》规定的金额、形式向采购代理机构交纳磋商保证金，磋商保证金须在响应文件提交截止时间前以供应商自身的名义交纳到指定的账户，并且必须以供应商自身名义开具的账户转出，不得以分支机构其他名义提交（按照规定，供应商可以为自然人的项目除外），供应商未按照磋商文件要求提交磋商保证金的，响应无效。</w:t>
      </w:r>
    </w:p>
    <w:p w14:paraId="11FD01B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520083D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（1）供应商在提交响应文件截止时间后撤回响应文件的；</w:t>
      </w:r>
    </w:p>
    <w:p w14:paraId="7894A7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（2）供应商在响应文件中提供虚假材料的；</w:t>
      </w:r>
    </w:p>
    <w:p w14:paraId="1F6347B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（3）除因不可抗力或磋商文件认可的情形以外，成交供应商不与采购人签订合同的；</w:t>
      </w:r>
    </w:p>
    <w:p w14:paraId="23AA741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（4）供应商与采购人、其他供应商或者采购代理机构恶意串通的；</w:t>
      </w:r>
    </w:p>
    <w:p w14:paraId="0A37398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（5）竞争性磋商文件规定的其他情形。</w:t>
      </w:r>
    </w:p>
    <w:p w14:paraId="5FDC5B8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60" w:name="_Toc46924557"/>
      <w:bookmarkStart w:id="161" w:name="_Toc75418548"/>
      <w:bookmarkStart w:id="162" w:name="_Toc74169258"/>
      <w:bookmarkStart w:id="163" w:name="_Toc72489547"/>
      <w:r>
        <w:rPr>
          <w:rFonts w:hint="eastAsia" w:ascii="宋体" w:hAnsi="宋体" w:eastAsia="宋体" w:cs="宋体"/>
          <w:b/>
          <w:bCs/>
          <w:color w:val="auto"/>
          <w:sz w:val="24"/>
          <w:szCs w:val="24"/>
          <w:highlight w:val="none"/>
        </w:rPr>
        <w:t>19、响应文件的编制</w:t>
      </w:r>
      <w:bookmarkEnd w:id="160"/>
      <w:bookmarkEnd w:id="161"/>
      <w:bookmarkEnd w:id="162"/>
      <w:bookmarkEnd w:id="163"/>
    </w:p>
    <w:p w14:paraId="2C31EAC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kern w:val="0"/>
          <w:sz w:val="24"/>
          <w:szCs w:val="24"/>
          <w:highlight w:val="none"/>
        </w:rPr>
        <w:t>响应文件格式：</w:t>
      </w:r>
      <w:r>
        <w:rPr>
          <w:rFonts w:hint="eastAsia" w:ascii="宋体" w:hAnsi="宋体" w:eastAsia="宋体" w:cs="宋体"/>
          <w:color w:val="auto"/>
          <w:sz w:val="24"/>
          <w:szCs w:val="24"/>
          <w:highlight w:val="none"/>
        </w:rPr>
        <w:t>响应文件应包含第四章《响应文件格式》要求的所有内容。电子响应文件应使用政府采购云平台（网址：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）中下载的政采云电子投标客户端制作，并进行电子签章及加密后上传至政府采购云平台。编制要求见《电子投标文件编制要求》。</w:t>
      </w:r>
    </w:p>
    <w:p w14:paraId="22177E04">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如供应商提交的电子标书不符合上述要求或开标时无法读取导入或解密，其响应文件将不予受理。</w:t>
      </w:r>
    </w:p>
    <w:p w14:paraId="64B23C8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特别注意：</w:t>
      </w:r>
    </w:p>
    <w:p w14:paraId="18DD991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（1）供应商不得对竞争性磋商文件格式中的内容进行删减或修改，否则作为无效处理。</w:t>
      </w:r>
    </w:p>
    <w:p w14:paraId="18CEC24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1D2BDF9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（3）按响应文件格式在空格（下划线）由供应商填写的内容，确实没有需要填写的，可以在空格中用“/”标识，也可以不填（空白）。但竞争性磋商文件中另有规定的从其规定。 </w:t>
      </w:r>
    </w:p>
    <w:p w14:paraId="706BCCF3">
      <w:pPr>
        <w:pageBreakBefore w:val="0"/>
        <w:widowControl/>
        <w:kinsoku/>
        <w:wordWrap w:val="0"/>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（4）响应文件应对竞争性磋商文件提出的所有实质性要求和条件作出实质性响应，并且实质性响应的内容不得互相矛盾。</w:t>
      </w:r>
    </w:p>
    <w:p w14:paraId="1F0E90D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响应文件的签署：响应文件全部采用电子文档，供应商需采用单位和个人数字证书，按竞争性磋商文件要求在需要电子签章的地方进行电子签章，无需逐页电子签章。由供应商的法定代表人签字或加盖电子签章的，应附法定代表人身份证明，由代理人签字或加盖电子签章的，应附由法定代表人签署的授权委托书。已标价工程量清单不要求造价人员签字或盖章，但必须由供应商法定代表人或委托代理人逐页签字并加盖电子公章</w:t>
      </w:r>
      <w:r>
        <w:rPr>
          <w:rFonts w:hint="eastAsia" w:ascii="宋体" w:hAnsi="宋体" w:eastAsia="宋体" w:cs="宋体"/>
          <w:color w:val="auto"/>
          <w:sz w:val="24"/>
          <w:szCs w:val="24"/>
          <w:highlight w:val="none"/>
          <w:lang w:eastAsia="zh-CN"/>
        </w:rPr>
        <w:t>。</w:t>
      </w:r>
    </w:p>
    <w:p w14:paraId="6BFCC9A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19.3响应文件和来往函件均应采用中文书写，计量单位使用中国或国际标准单位。</w:t>
      </w:r>
    </w:p>
    <w:p w14:paraId="0392A36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19.4最后报价采用人民币进行报价，若中文文字形式表示的数值与数字形式表示的数值不一致，以中文文字形式表示的数值为准。</w:t>
      </w:r>
    </w:p>
    <w:p w14:paraId="633E057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19.5响应文件的组成应包括下列内容（但不限于）：详见：本章15、响应文件的组成及《响应文件格式》部分。</w:t>
      </w:r>
    </w:p>
    <w:p w14:paraId="749B520D">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19.6响应文件中提供的资料（包括扫描件）、关键内容、相关证件及证明材料必须清晰可辨，若出现字迹潦草、表达不清、资料内容不全或关键字迹模糊、无法辨认、未按要求填写而导致非唯一理解，视为未实质性响应竞争性磋商文件，响应文件按无效响应处理。</w:t>
      </w:r>
      <w:bookmarkStart w:id="164" w:name="_Toc383175063"/>
      <w:bookmarkStart w:id="165" w:name="_Toc432106486"/>
      <w:bookmarkStart w:id="166" w:name="_Toc383175485"/>
      <w:bookmarkStart w:id="167" w:name="_Toc329810197"/>
      <w:bookmarkStart w:id="168" w:name="_Toc482343737"/>
      <w:bookmarkStart w:id="169" w:name="_Toc470507051"/>
      <w:bookmarkStart w:id="170" w:name="_Toc86124056"/>
      <w:bookmarkStart w:id="171" w:name="_Toc383175287"/>
      <w:bookmarkStart w:id="172" w:name="_Toc432194837"/>
    </w:p>
    <w:bookmarkEnd w:id="164"/>
    <w:bookmarkEnd w:id="165"/>
    <w:bookmarkEnd w:id="166"/>
    <w:bookmarkEnd w:id="167"/>
    <w:bookmarkEnd w:id="168"/>
    <w:bookmarkEnd w:id="169"/>
    <w:bookmarkEnd w:id="170"/>
    <w:bookmarkEnd w:id="171"/>
    <w:bookmarkEnd w:id="172"/>
    <w:p w14:paraId="3565E08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20、报价和报价货币</w:t>
      </w:r>
    </w:p>
    <w:p w14:paraId="0DD6827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bookmarkStart w:id="173" w:name="_Toc125054712"/>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.1本项目</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、招标控制价（最高限价）详见“供应商须知前附表”，最后报价超过招标控制价（最高限价）的供应商将按未实质性响应磋商文件处理。</w:t>
      </w:r>
    </w:p>
    <w:p w14:paraId="7234D35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20.2本项目采用工程量清单综合单价的方式进行报价。</w:t>
      </w:r>
    </w:p>
    <w:p w14:paraId="5E2D206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的磋商总报价为完成本项目全部施工内容所需的全部费用，包括完成该工程项目的直接费（人工费、材料费、施工机械使用费）、措施费、企业管理费、规费、利润、税金、工程保险费、安全生产费、不可预见费（暂列金额）等所有费用；</w:t>
      </w:r>
    </w:p>
    <w:p w14:paraId="245BF37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（2）供应商应按照采购人提供的工程量清单和有关要求，采用固定综合单价形式进行报价。供应商的综合单价包括实施和完成合同工程所需人工、材料、机械、运输、缺陷修复、管理费、利润等费用。</w:t>
      </w:r>
    </w:p>
    <w:p w14:paraId="0CB15EE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3计价方式：本项目采用固定综合单价的方式进行计价。</w:t>
      </w:r>
    </w:p>
    <w:p w14:paraId="646E427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（1）计价时的综合单价指二次报价对应的“已标价工程量清单”中的综合单价；</w:t>
      </w:r>
    </w:p>
    <w:p w14:paraId="675A63D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（2）综合单价不随市场变化因素而变化,设计变更及现场签证严格按照综合单价及合同约定计取费用；</w:t>
      </w:r>
    </w:p>
    <w:p w14:paraId="76293D5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20.4结算方式：结算时，以实际发生并经审计的工程量结合成交供应商二次报价“已标价工程量清单”中的综合单价进行结算。</w:t>
      </w:r>
    </w:p>
    <w:p w14:paraId="1E24DDF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供应商的“已标价工程量清单”包含不可预见费（暂列金额），暂列金额由发包人掌握并使用，余额归发包人所有，用于工程合同签订时尚未确定或者不可预见的所需材料、设备、服务的采购，施工中可能发生的工程变更、合同约定调整因素出现时的工程价款调整以及发生的索赔、现场签证确认等的费用，按照发包人要求使用，发包人的要求应通过监理人发出。</w:t>
      </w:r>
    </w:p>
    <w:p w14:paraId="513316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20.5通过资格审查、符合性评审的供应商，获得二次报价（最终报价）的机会。</w:t>
      </w:r>
    </w:p>
    <w:p w14:paraId="1568168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（1）供应商在编制响应文件时，需同时编制二次报价的“已标价工程量清单”及磋商总报价，作为二次报价的依据。（二次报价时，只需提交磋商总报价，无需提交二次报价“已标价工程量清单”）</w:t>
      </w:r>
    </w:p>
    <w:p w14:paraId="3343761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（2）磋商小组在政府采购云平台上发起二次报价后，供应商从政府采购云平台上下载附件《二次报价表》，按照格式在规定的时间内进行填报并上传。</w:t>
      </w:r>
    </w:p>
    <w:p w14:paraId="04E35C5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请供应商务必在规定的时间内进行二次报价及上传经电子签章后的《二次报价表》，同时保持通讯工具畅通。若供应商未在规定的时间内进行二次报价或联系不上的，磋商小组将视为其放弃二次报价，并将其响应文件中的磋商总报价作为其最后报价参与评审。</w:t>
      </w:r>
    </w:p>
    <w:p w14:paraId="486360F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（3）合同签订前，成交供应商须将已编制完成的二次报价对应的“已标价工程量清单”提交给采购人，用于工程结算使用。二次报价“已标价工程量清单”提交前，应单独装订成册，并按要求签字、盖章。</w:t>
      </w:r>
    </w:p>
    <w:p w14:paraId="357C9A7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r>
        <w:rPr>
          <w:rFonts w:hint="eastAsia" w:ascii="宋体" w:hAnsi="宋体" w:eastAsia="宋体" w:cs="宋体"/>
          <w:color w:val="auto"/>
          <w:sz w:val="24"/>
          <w:szCs w:val="24"/>
          <w:highlight w:val="none"/>
          <w:lang w:eastAsia="zh-CN"/>
        </w:rPr>
        <w:t>。</w:t>
      </w:r>
    </w:p>
    <w:p w14:paraId="6883070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7BE3096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报价货币为人民币。</w:t>
      </w:r>
    </w:p>
    <w:p w14:paraId="6A51D7E3">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r>
        <w:rPr>
          <w:rFonts w:hint="eastAsia" w:ascii="宋体" w:hAnsi="宋体" w:eastAsia="宋体" w:cs="宋体"/>
          <w:b/>
          <w:color w:val="auto"/>
          <w:kern w:val="0"/>
          <w:szCs w:val="32"/>
          <w:highlight w:val="none"/>
        </w:rPr>
        <w:t>四、响应文件递交</w:t>
      </w:r>
      <w:bookmarkEnd w:id="173"/>
    </w:p>
    <w:p w14:paraId="5463D3D0">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74" w:name="_Toc74169261"/>
      <w:bookmarkStart w:id="175" w:name="_Toc75418551"/>
      <w:bookmarkStart w:id="176" w:name="_Toc72489550"/>
      <w:bookmarkStart w:id="177" w:name="_Toc46924560"/>
      <w:r>
        <w:rPr>
          <w:rFonts w:hint="eastAsia" w:ascii="宋体" w:hAnsi="宋体" w:eastAsia="宋体" w:cs="宋体"/>
          <w:b/>
          <w:bCs/>
          <w:color w:val="auto"/>
          <w:sz w:val="24"/>
          <w:szCs w:val="24"/>
          <w:highlight w:val="none"/>
        </w:rPr>
        <w:t>21、响应文件的</w:t>
      </w:r>
      <w:bookmarkEnd w:id="174"/>
      <w:bookmarkEnd w:id="175"/>
      <w:bookmarkEnd w:id="176"/>
      <w:bookmarkEnd w:id="177"/>
      <w:r>
        <w:rPr>
          <w:rFonts w:hint="eastAsia" w:ascii="宋体" w:hAnsi="宋体" w:eastAsia="宋体" w:cs="宋体"/>
          <w:b/>
          <w:bCs/>
          <w:color w:val="auto"/>
          <w:sz w:val="24"/>
          <w:szCs w:val="24"/>
          <w:highlight w:val="none"/>
        </w:rPr>
        <w:t>递交</w:t>
      </w:r>
    </w:p>
    <w:p w14:paraId="769C2A2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供应商应在本章第21.3项规定的磋商截止时间前将电子响应文件上传到政府采购云平台，未按规定在磋商截止时间前上传响应文件的，视为撤回其响应文件。网上递交的响应文件应使用数字证书进行加密。供应商使用某个数字证书（CA）对响应文件进行了数字证书（CA）加密，需要在现场或远程解密时使用同一把数字证书（CA）对该响应文件进行解密才能读取或导入响应文件，因供应商自身原因致使响应文件未成功解密的或供应商提交的电子标书不符合本项目电子响应文件编制要求或开标时无法读取导入或解密，其响应文件将不予受理。未办理数字证书（CA）的供应商其编制的响应文件将无法按竞争性磋商文件的要求进行电子签章及加密，由此造成的后果由供应商自行承担。具体详见供应商须知前附表“响应文件的递交及解密须知”。</w:t>
      </w:r>
    </w:p>
    <w:p w14:paraId="164E0F43">
      <w:pPr>
        <w:pageBreakBefore w:val="0"/>
        <w:kinsoku/>
        <w:overflowPunct/>
        <w:topLinePunct w:val="0"/>
        <w:bidi w:val="0"/>
        <w:spacing w:line="372" w:lineRule="auto"/>
        <w:ind w:firstLine="540" w:firstLine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21.2</w:t>
      </w:r>
      <w:bookmarkStart w:id="178" w:name="_Toc46924561"/>
      <w:bookmarkStart w:id="179" w:name="_Toc74169262"/>
      <w:bookmarkStart w:id="180" w:name="_Toc75418552"/>
      <w:bookmarkStart w:id="181" w:name="_Toc72489551"/>
      <w:r>
        <w:rPr>
          <w:rFonts w:hint="eastAsia" w:ascii="宋体" w:hAnsi="宋体" w:eastAsia="宋体" w:cs="宋体"/>
          <w:color w:val="auto"/>
          <w:sz w:val="24"/>
          <w:szCs w:val="24"/>
          <w:highlight w:val="none"/>
        </w:rPr>
        <w:t>网上递交的响应文件应使用数字证书进行加密。</w:t>
      </w:r>
      <w:r>
        <w:rPr>
          <w:rFonts w:hint="eastAsia" w:ascii="宋体" w:hAnsi="宋体" w:eastAsia="宋体" w:cs="宋体"/>
          <w:color w:val="auto"/>
          <w:kern w:val="0"/>
          <w:sz w:val="24"/>
          <w:szCs w:val="24"/>
          <w:highlight w:val="none"/>
        </w:rPr>
        <w:t>网上递交网址为：</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kern w:val="0"/>
          <w:sz w:val="24"/>
          <w:szCs w:val="24"/>
          <w:highlight w:val="none"/>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投标文件回执”。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bookmarkEnd w:id="178"/>
    <w:bookmarkEnd w:id="179"/>
    <w:bookmarkEnd w:id="180"/>
    <w:bookmarkEnd w:id="181"/>
    <w:p w14:paraId="3973D4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bookmarkStart w:id="182" w:name="_Toc296602445"/>
      <w:r>
        <w:rPr>
          <w:rFonts w:hint="eastAsia" w:ascii="宋体" w:hAnsi="宋体" w:eastAsia="宋体" w:cs="宋体"/>
          <w:color w:val="auto"/>
          <w:sz w:val="24"/>
          <w:szCs w:val="24"/>
          <w:highlight w:val="none"/>
        </w:rPr>
        <w:t>21.</w:t>
      </w:r>
      <w:bookmarkEnd w:id="182"/>
      <w:r>
        <w:rPr>
          <w:rFonts w:hint="eastAsia" w:ascii="宋体" w:hAnsi="宋体" w:eastAsia="宋体" w:cs="宋体"/>
          <w:color w:val="auto"/>
          <w:sz w:val="24"/>
          <w:szCs w:val="24"/>
          <w:highlight w:val="none"/>
        </w:rPr>
        <w:t>3递交响应文件的截止时间及地点：详见《供应商须知前附表》</w:t>
      </w:r>
      <w:r>
        <w:rPr>
          <w:rFonts w:hint="eastAsia" w:hAnsi="宋体" w:cs="宋体"/>
          <w:color w:val="auto"/>
          <w:sz w:val="24"/>
          <w:szCs w:val="24"/>
          <w:highlight w:val="none"/>
          <w:lang w:eastAsia="zh-CN"/>
        </w:rPr>
        <w:t>。</w:t>
      </w:r>
    </w:p>
    <w:p w14:paraId="6F2572C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21.4除《供应商须知前附表》另有规定外，供应商所递交的响应文件不予退还。</w:t>
      </w:r>
    </w:p>
    <w:p w14:paraId="7073501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83" w:name="_Toc72489552"/>
      <w:bookmarkStart w:id="184" w:name="_Toc75418553"/>
      <w:bookmarkStart w:id="185" w:name="_Toc74169263"/>
      <w:bookmarkStart w:id="186" w:name="_Toc46924562"/>
      <w:r>
        <w:rPr>
          <w:rFonts w:hint="eastAsia" w:ascii="宋体" w:hAnsi="宋体" w:eastAsia="宋体" w:cs="宋体"/>
          <w:b/>
          <w:bCs/>
          <w:color w:val="auto"/>
          <w:sz w:val="24"/>
          <w:szCs w:val="24"/>
          <w:highlight w:val="none"/>
        </w:rPr>
        <w:t>22、响应文件的补充、修改或者撤回</w:t>
      </w:r>
      <w:bookmarkEnd w:id="183"/>
      <w:bookmarkEnd w:id="184"/>
      <w:bookmarkEnd w:id="185"/>
      <w:bookmarkEnd w:id="186"/>
    </w:p>
    <w:p w14:paraId="0B3C18E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r>
        <w:rPr>
          <w:rFonts w:hint="eastAsia" w:ascii="宋体" w:hAnsi="宋体" w:eastAsia="宋体" w:cs="宋体"/>
          <w:color w:val="auto"/>
          <w:kern w:val="0"/>
          <w:sz w:val="24"/>
          <w:szCs w:val="24"/>
          <w:highlight w:val="none"/>
        </w:rPr>
        <w:t>在本章第21.3项规定的磋商截止时间前，供应商可以修改或撤回已递交的响应文件，无须书面形式通知采购人。</w:t>
      </w:r>
    </w:p>
    <w:p w14:paraId="58B5036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供应商在提交截止时间前撤回响应文件的，</w:t>
      </w:r>
      <w:r>
        <w:rPr>
          <w:rFonts w:hint="eastAsia" w:ascii="宋体" w:hAnsi="宋体" w:eastAsia="宋体" w:cs="宋体"/>
          <w:color w:val="auto"/>
          <w:kern w:val="0"/>
          <w:sz w:val="24"/>
          <w:szCs w:val="24"/>
          <w:highlight w:val="none"/>
        </w:rPr>
        <w:t>可在规定时间内申请退还已缴纳的磋商保证金。</w:t>
      </w:r>
      <w:r>
        <w:rPr>
          <w:rFonts w:hint="eastAsia" w:ascii="宋体" w:hAnsi="宋体" w:eastAsia="宋体" w:cs="宋体"/>
          <w:color w:val="auto"/>
          <w:sz w:val="24"/>
          <w:szCs w:val="24"/>
          <w:highlight w:val="none"/>
        </w:rPr>
        <w:t>但因供应商自身原因导致无法及时退还的除外。</w:t>
      </w:r>
    </w:p>
    <w:p w14:paraId="0ED8A98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修改的内容为响应文件的组成部分。修改的响应文件应按照本章第19条和第21条规定进行编制和上传。</w:t>
      </w:r>
    </w:p>
    <w:p w14:paraId="6E1280ED">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87" w:name="_Toc125054713"/>
      <w:r>
        <w:rPr>
          <w:rFonts w:hint="eastAsia" w:ascii="宋体" w:hAnsi="宋体" w:eastAsia="宋体" w:cs="宋体"/>
          <w:b/>
          <w:color w:val="auto"/>
          <w:kern w:val="0"/>
          <w:szCs w:val="32"/>
          <w:highlight w:val="none"/>
        </w:rPr>
        <w:t>五、磋商</w:t>
      </w:r>
      <w:bookmarkEnd w:id="187"/>
    </w:p>
    <w:p w14:paraId="2BEA85B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88" w:name="_Toc75418555"/>
      <w:bookmarkStart w:id="189" w:name="_Toc74169265"/>
      <w:bookmarkStart w:id="190" w:name="_Toc72489554"/>
      <w:bookmarkStart w:id="191" w:name="_Toc46924564"/>
      <w:r>
        <w:rPr>
          <w:rFonts w:hint="eastAsia" w:ascii="宋体" w:hAnsi="宋体" w:eastAsia="宋体" w:cs="宋体"/>
          <w:b/>
          <w:bCs/>
          <w:color w:val="auto"/>
          <w:sz w:val="24"/>
          <w:szCs w:val="24"/>
          <w:highlight w:val="none"/>
        </w:rPr>
        <w:t>23、磋商小组</w:t>
      </w:r>
      <w:bookmarkEnd w:id="188"/>
      <w:bookmarkEnd w:id="189"/>
      <w:bookmarkEnd w:id="190"/>
      <w:bookmarkEnd w:id="191"/>
    </w:p>
    <w:p w14:paraId="1FB3BA8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23.1磋商小组将在规定的时间和地点进行磋商，供应商的法定代表人或其授权代理人准时参加。</w:t>
      </w:r>
    </w:p>
    <w:p w14:paraId="7EA6BFF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0859568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23.3磋商小组成员人数及名单在磋商结束之前保密。</w:t>
      </w:r>
    </w:p>
    <w:p w14:paraId="08552D5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23.4采购人委派代表参加磋商会议的，要向采购代理机构出具授权函。除授权代表外，采购人可以委派纪检监察等相关人员进入磋商现场，对磋商工作实施监督，但不得超过2人。</w:t>
      </w:r>
    </w:p>
    <w:p w14:paraId="2F97ACD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23.5评审方法：综合评分法，是指响应文件满足磋商文件全部实质性要求且按评审因素的量化指标评审得分最高的供应商为成交候选供应商的评审方法。</w:t>
      </w:r>
    </w:p>
    <w:p w14:paraId="53FA97E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D7AE5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23.7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C05B0A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324F134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3FA093F0">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23.10磋商小组根据竞争性磋商文件规定的磋商程序和方法对各供应商的响应文件进行综合评分，按照评审得分由高到低顺序推荐3名以上成交候选供应商；</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总得分及报价</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相等时，</w:t>
      </w:r>
      <w:r>
        <w:rPr>
          <w:rFonts w:hint="eastAsia" w:ascii="宋体" w:hAnsi="宋体" w:eastAsia="宋体" w:cs="宋体"/>
          <w:color w:val="auto"/>
          <w:sz w:val="24"/>
          <w:szCs w:val="24"/>
          <w:highlight w:val="none"/>
          <w:lang w:eastAsia="zh-CN"/>
        </w:rPr>
        <w:t>评审小组</w:t>
      </w:r>
      <w:r>
        <w:rPr>
          <w:rFonts w:hint="eastAsia" w:ascii="宋体" w:hAnsi="宋体" w:eastAsia="宋体" w:cs="宋体"/>
          <w:color w:val="auto"/>
          <w:sz w:val="24"/>
          <w:szCs w:val="24"/>
          <w:highlight w:val="none"/>
        </w:rPr>
        <w:t>将依次按技术、商务部分得分高优先的顺序推荐；</w:t>
      </w:r>
      <w:r>
        <w:rPr>
          <w:rFonts w:hint="default" w:ascii="Times New Roman" w:hAnsi="Times New Roman" w:eastAsia="宋体" w:cs="Times New Roman"/>
          <w:caps w:val="0"/>
          <w:smallCaps w:val="0"/>
          <w:color w:val="auto"/>
          <w:sz w:val="24"/>
          <w:highlight w:val="none"/>
        </w:rPr>
        <w:t>节能环保产品参与投标，根据《中华人民共和国政府采购法</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中华人民共和国政府采购法实施条例</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政府采购货物和服务招标投标管理办法》（财政部令第87号）的规定，优先采购节能环保产品</w:t>
      </w:r>
      <w:r>
        <w:rPr>
          <w:rFonts w:hint="eastAsia" w:ascii="Times New Roman" w:hAnsi="Times New Roman" w:eastAsia="宋体" w:cs="Times New Roman"/>
          <w:caps w:val="0"/>
          <w:smallCaps w:val="0"/>
          <w:color w:val="auto"/>
          <w:sz w:val="24"/>
          <w:highlight w:val="none"/>
          <w:lang w:eastAsia="zh-CN"/>
        </w:rPr>
        <w:t>；</w:t>
      </w:r>
      <w:r>
        <w:rPr>
          <w:rFonts w:hint="eastAsia" w:ascii="宋体" w:hAnsi="宋体" w:eastAsia="宋体" w:cs="宋体"/>
          <w:color w:val="auto"/>
          <w:sz w:val="24"/>
          <w:szCs w:val="24"/>
          <w:highlight w:val="none"/>
        </w:rPr>
        <w:t>其余情况由竞争性磋商小组进行投票，得票多者排名在前。</w:t>
      </w:r>
    </w:p>
    <w:p w14:paraId="5FC2F0E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bookmarkStart w:id="192" w:name="_Toc432106496"/>
      <w:bookmarkStart w:id="193" w:name="_Toc383175073"/>
      <w:bookmarkStart w:id="194" w:name="_Toc329810208"/>
      <w:bookmarkStart w:id="195" w:name="_Toc86124068"/>
      <w:bookmarkStart w:id="196" w:name="_Toc383175297"/>
      <w:bookmarkStart w:id="197" w:name="_Toc378499713"/>
      <w:bookmarkStart w:id="198" w:name="_Toc432194847"/>
      <w:bookmarkStart w:id="199" w:name="_Toc470507061"/>
      <w:bookmarkStart w:id="200" w:name="_Toc482343747"/>
      <w:bookmarkStart w:id="201" w:name="_Toc383175495"/>
      <w:r>
        <w:rPr>
          <w:rFonts w:hint="eastAsia" w:ascii="宋体" w:hAnsi="宋体" w:eastAsia="宋体" w:cs="宋体"/>
          <w:color w:val="auto"/>
          <w:sz w:val="24"/>
          <w:szCs w:val="24"/>
          <w:highlight w:val="none"/>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192"/>
      <w:bookmarkEnd w:id="193"/>
      <w:bookmarkEnd w:id="194"/>
      <w:bookmarkEnd w:id="195"/>
      <w:bookmarkEnd w:id="196"/>
      <w:bookmarkEnd w:id="197"/>
      <w:bookmarkEnd w:id="198"/>
      <w:bookmarkEnd w:id="199"/>
      <w:bookmarkEnd w:id="200"/>
      <w:bookmarkEnd w:id="201"/>
    </w:p>
    <w:p w14:paraId="4D8D066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23.12出现下列情形之一的，将终止竞争性磋商采购活动，并发布项目终止公告并说明原因，重新开展采购活动：</w:t>
      </w:r>
    </w:p>
    <w:p w14:paraId="3085C0F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（1）因情况变化，不再符合规定的竞争性磋商采购方式适用情形的；</w:t>
      </w:r>
    </w:p>
    <w:p w14:paraId="10A1D19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7C053DE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（3）在采购过程中符合要求的供应商或者报价未超过采购预算的供应商不足3家的。</w:t>
      </w:r>
    </w:p>
    <w:p w14:paraId="2C4343A1">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202" w:name="_Toc125054714"/>
      <w:r>
        <w:rPr>
          <w:rFonts w:hint="eastAsia" w:ascii="宋体" w:hAnsi="宋体" w:eastAsia="宋体" w:cs="宋体"/>
          <w:b/>
          <w:color w:val="auto"/>
          <w:kern w:val="0"/>
          <w:szCs w:val="32"/>
          <w:highlight w:val="none"/>
        </w:rPr>
        <w:t>六、成交结果</w:t>
      </w:r>
      <w:bookmarkEnd w:id="202"/>
    </w:p>
    <w:p w14:paraId="6960B3A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03" w:name="_Toc75418557"/>
      <w:bookmarkStart w:id="204" w:name="_Toc72489556"/>
      <w:bookmarkStart w:id="205" w:name="_Toc74169267"/>
      <w:bookmarkStart w:id="206" w:name="_Toc46924566"/>
      <w:r>
        <w:rPr>
          <w:rFonts w:hint="eastAsia" w:ascii="宋体" w:hAnsi="宋体" w:eastAsia="宋体" w:cs="宋体"/>
          <w:b/>
          <w:bCs/>
          <w:color w:val="auto"/>
          <w:sz w:val="24"/>
          <w:szCs w:val="24"/>
          <w:highlight w:val="none"/>
        </w:rPr>
        <w:t>24、成交供应商的确定</w:t>
      </w:r>
      <w:bookmarkEnd w:id="203"/>
      <w:bookmarkEnd w:id="204"/>
      <w:bookmarkEnd w:id="205"/>
      <w:bookmarkEnd w:id="206"/>
    </w:p>
    <w:p w14:paraId="7CCA128D">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24.1采购代理机构在评审结束后2个工作日内将评审报告送采购人确认。</w:t>
      </w:r>
    </w:p>
    <w:p w14:paraId="503FCD92">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24.2采购人应当在收到评审报告后5个工作日内，从评审报告提出的成交候选供应商中，按照排序由高到低的原则确定成交供应商。本次竞争性磋商不保证授予最低报价的供应商为成交供应商。</w:t>
      </w:r>
    </w:p>
    <w:p w14:paraId="7F73978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24.3采购代理机构无义务向未成交供应商解释未成交原因和退回响应文件。</w:t>
      </w:r>
    </w:p>
    <w:p w14:paraId="2225D6B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07" w:name="_Toc497127308"/>
      <w:bookmarkStart w:id="208" w:name="_Toc320890573"/>
      <w:bookmarkStart w:id="209" w:name="_Toc112595555"/>
      <w:bookmarkStart w:id="210" w:name="_Toc46924567"/>
      <w:bookmarkStart w:id="211" w:name="_Toc72489557"/>
      <w:bookmarkStart w:id="212" w:name="_Toc75418558"/>
      <w:bookmarkStart w:id="213" w:name="_Toc74169268"/>
      <w:r>
        <w:rPr>
          <w:rFonts w:hint="eastAsia" w:ascii="宋体" w:hAnsi="宋体" w:eastAsia="宋体" w:cs="宋体"/>
          <w:b/>
          <w:bCs/>
          <w:color w:val="auto"/>
          <w:sz w:val="24"/>
          <w:szCs w:val="24"/>
          <w:highlight w:val="none"/>
        </w:rPr>
        <w:t>25、</w:t>
      </w:r>
      <w:bookmarkEnd w:id="207"/>
      <w:bookmarkEnd w:id="208"/>
      <w:bookmarkEnd w:id="209"/>
      <w:r>
        <w:rPr>
          <w:rFonts w:hint="eastAsia" w:ascii="宋体" w:hAnsi="宋体" w:eastAsia="宋体" w:cs="宋体"/>
          <w:b/>
          <w:bCs/>
          <w:color w:val="auto"/>
          <w:sz w:val="24"/>
          <w:szCs w:val="24"/>
          <w:highlight w:val="none"/>
        </w:rPr>
        <w:t>成交通知书</w:t>
      </w:r>
      <w:bookmarkEnd w:id="210"/>
      <w:bookmarkEnd w:id="211"/>
      <w:bookmarkEnd w:id="212"/>
      <w:bookmarkEnd w:id="213"/>
    </w:p>
    <w:p w14:paraId="21710AD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25.1成交供应商确定后2个工作日内，采购代理机构将在竞争性磋商公告发布的同一媒介公告成交结果，同时向成交供应商发出成交通知书。成交公告期限为1个工作日。</w:t>
      </w:r>
    </w:p>
    <w:p w14:paraId="258FCB8E">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25.2成交通知书是合同的一个组成部分。</w:t>
      </w:r>
    </w:p>
    <w:p w14:paraId="33BB8DFF">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14" w:name="_Toc72489558"/>
      <w:bookmarkStart w:id="215" w:name="_Toc74169269"/>
      <w:bookmarkStart w:id="216" w:name="_Toc75418559"/>
      <w:bookmarkStart w:id="217" w:name="_Toc46924568"/>
      <w:r>
        <w:rPr>
          <w:rFonts w:hint="eastAsia" w:ascii="宋体" w:hAnsi="宋体" w:eastAsia="宋体" w:cs="宋体"/>
          <w:b/>
          <w:bCs/>
          <w:color w:val="auto"/>
          <w:sz w:val="24"/>
          <w:szCs w:val="24"/>
          <w:highlight w:val="none"/>
        </w:rPr>
        <w:t>26、签订合同</w:t>
      </w:r>
      <w:bookmarkEnd w:id="214"/>
      <w:bookmarkEnd w:id="215"/>
      <w:bookmarkEnd w:id="216"/>
      <w:bookmarkEnd w:id="217"/>
    </w:p>
    <w:p w14:paraId="214DE1AB">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26.1采购人与成交供应商应当在成交通知书发出之日起30日内，按照磋商文件确定的合同文本以及采购标的、规格型号、采购金额、采购数量、技术和服务要求等事项签订政府采购合同。</w:t>
      </w:r>
    </w:p>
    <w:p w14:paraId="7BF1067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32487AD">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02B03B8B">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76E3997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26.5除不可抗力等因素外，成交通知书发出后，采购人改变成交结果，或者成交供应商拒绝签订政府采购合同的，应当承担相应的法律责任。</w:t>
      </w:r>
    </w:p>
    <w:p w14:paraId="2312678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1932DFF6">
      <w:pPr>
        <w:pStyle w:val="20"/>
        <w:keepLines w:val="0"/>
        <w:pageBreakBefore w:val="0"/>
        <w:widowControl/>
        <w:kinsoku/>
        <w:overflowPunct/>
        <w:topLinePunct w:val="0"/>
        <w:bidi w:val="0"/>
        <w:spacing w:line="372" w:lineRule="auto"/>
        <w:textAlignment w:val="auto"/>
        <w:rPr>
          <w:rFonts w:hint="default" w:ascii="宋体" w:hAnsi="宋体" w:eastAsia="宋体" w:cs="宋体"/>
          <w:b/>
          <w:bCs/>
          <w:color w:val="auto"/>
          <w:sz w:val="24"/>
          <w:szCs w:val="24"/>
          <w:highlight w:val="none"/>
          <w:lang w:val="en-US" w:eastAsia="zh-CN"/>
        </w:rPr>
      </w:pPr>
      <w:bookmarkStart w:id="218" w:name="_Toc144974537"/>
      <w:bookmarkStart w:id="219" w:name="_Toc296602459"/>
      <w:bookmarkStart w:id="220" w:name="_Toc488184244"/>
      <w:bookmarkStart w:id="221" w:name="_Toc152042345"/>
      <w:bookmarkStart w:id="222" w:name="_Toc152045569"/>
      <w:bookmarkStart w:id="223" w:name="_Toc179632587"/>
      <w:bookmarkStart w:id="224" w:name="_Toc247085727"/>
      <w:bookmarkStart w:id="225" w:name="_Toc246996956"/>
      <w:bookmarkStart w:id="226" w:name="_Toc246996213"/>
      <w:bookmarkStart w:id="227" w:name="_Toc461115644"/>
      <w:bookmarkStart w:id="228" w:name="_Toc46924569"/>
      <w:bookmarkStart w:id="229" w:name="_Toc75418560"/>
      <w:bookmarkStart w:id="230" w:name="_Toc74169270"/>
      <w:bookmarkStart w:id="231" w:name="_Toc72489559"/>
      <w:bookmarkStart w:id="232" w:name="_Toc75418561"/>
      <w:bookmarkStart w:id="233" w:name="_Toc74169271"/>
      <w:bookmarkStart w:id="234" w:name="_Toc72489560"/>
      <w:bookmarkStart w:id="235" w:name="_Toc46924570"/>
      <w:r>
        <w:rPr>
          <w:rFonts w:hint="eastAsia" w:ascii="宋体" w:hAnsi="宋体" w:eastAsia="宋体" w:cs="宋体"/>
          <w:b/>
          <w:bCs/>
          <w:color w:val="auto"/>
          <w:sz w:val="24"/>
          <w:szCs w:val="24"/>
          <w:highlight w:val="none"/>
        </w:rPr>
        <w:t>27、</w:t>
      </w:r>
      <w:bookmarkEnd w:id="218"/>
      <w:bookmarkEnd w:id="219"/>
      <w:bookmarkEnd w:id="220"/>
      <w:bookmarkEnd w:id="221"/>
      <w:bookmarkEnd w:id="222"/>
      <w:bookmarkEnd w:id="223"/>
      <w:bookmarkEnd w:id="224"/>
      <w:bookmarkEnd w:id="225"/>
      <w:bookmarkEnd w:id="226"/>
      <w:bookmarkEnd w:id="227"/>
      <w:bookmarkStart w:id="236" w:name="_Toc482343752"/>
      <w:r>
        <w:rPr>
          <w:rFonts w:hint="eastAsia" w:ascii="宋体" w:hAnsi="宋体" w:eastAsia="宋体" w:cs="宋体"/>
          <w:b/>
          <w:bCs/>
          <w:color w:val="auto"/>
          <w:sz w:val="24"/>
          <w:szCs w:val="24"/>
          <w:highlight w:val="none"/>
        </w:rPr>
        <w:t>履约保证金</w:t>
      </w:r>
      <w:bookmarkEnd w:id="228"/>
      <w:bookmarkEnd w:id="229"/>
      <w:bookmarkEnd w:id="230"/>
      <w:bookmarkEnd w:id="231"/>
      <w:bookmarkEnd w:id="236"/>
      <w:r>
        <w:rPr>
          <w:rFonts w:hint="eastAsia" w:ascii="宋体" w:hAnsi="宋体" w:eastAsia="宋体" w:cs="宋体"/>
          <w:b/>
          <w:bCs/>
          <w:color w:val="auto"/>
          <w:sz w:val="24"/>
          <w:szCs w:val="24"/>
          <w:highlight w:val="none"/>
          <w:lang w:val="en-US" w:eastAsia="zh-CN"/>
        </w:rPr>
        <w:t>及付款方式</w:t>
      </w:r>
    </w:p>
    <w:p w14:paraId="5BB1C7F0">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27.1在签订政府采购合同前，成交供应商应向采购人提交履约保证金，履约保证金</w:t>
      </w:r>
      <w:r>
        <w:rPr>
          <w:rFonts w:hint="eastAsia" w:hAnsi="宋体" w:cs="宋体"/>
          <w:color w:val="auto"/>
          <w:sz w:val="24"/>
          <w:szCs w:val="24"/>
          <w:highlight w:val="none"/>
          <w:lang w:val="en-US" w:eastAsia="zh-CN"/>
        </w:rPr>
        <w:t>提交</w:t>
      </w:r>
      <w:r>
        <w:rPr>
          <w:rFonts w:hint="eastAsia" w:ascii="宋体" w:hAnsi="宋体" w:eastAsia="宋体" w:cs="宋体"/>
          <w:color w:val="auto"/>
          <w:sz w:val="24"/>
          <w:szCs w:val="24"/>
          <w:highlight w:val="none"/>
        </w:rPr>
        <w:t>金额及形式详见《供应商须知前附表》。</w:t>
      </w:r>
    </w:p>
    <w:p w14:paraId="14A6580C">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27.2签订合同后，除因不可抗力或磋商文件认可的情形以外，成交供应商不与采购人签订合同的，视为自动放弃，采购人将没收其全部履约保证金，履约保证金不足以赔偿损失的，按实际损失赔偿。</w:t>
      </w:r>
    </w:p>
    <w:p w14:paraId="634D4FD4">
      <w:pPr>
        <w:pStyle w:val="20"/>
        <w:keepLines w:val="0"/>
        <w:pageBreakBefore w:val="0"/>
        <w:widowControl/>
        <w:kinsoku/>
        <w:overflowPunct/>
        <w:topLinePunct w:val="0"/>
        <w:bidi w:val="0"/>
        <w:spacing w:line="372" w:lineRule="auto"/>
        <w:ind w:firstLine="480" w:firstLineChars="200"/>
        <w:textAlignment w:val="auto"/>
        <w:rPr>
          <w:rFonts w:hint="default" w:ascii="宋体" w:hAnsi="宋体" w:eastAsia="宋体" w:cs="宋体"/>
          <w:bCs w:val="0"/>
          <w:snapToGrid w:val="0"/>
          <w:color w:val="auto"/>
          <w:kern w:val="21"/>
          <w:sz w:val="24"/>
          <w:szCs w:val="24"/>
          <w:highlight w:val="none"/>
          <w:lang w:val="en-US" w:eastAsia="zh-CN" w:bidi="ar-SA"/>
        </w:rPr>
      </w:pPr>
      <w:r>
        <w:rPr>
          <w:rFonts w:hint="eastAsia" w:ascii="宋体" w:hAnsi="宋体" w:eastAsia="宋体" w:cs="宋体"/>
          <w:bCs w:val="0"/>
          <w:snapToGrid w:val="0"/>
          <w:color w:val="auto"/>
          <w:kern w:val="21"/>
          <w:sz w:val="24"/>
          <w:szCs w:val="24"/>
          <w:highlight w:val="none"/>
          <w:lang w:val="en-US" w:eastAsia="zh-CN" w:bidi="ar-SA"/>
        </w:rPr>
        <w:t>27.3付款方式：详见“供应商须知前附表”的规定。</w:t>
      </w:r>
    </w:p>
    <w:p w14:paraId="020ED85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28、</w:t>
      </w:r>
      <w:bookmarkEnd w:id="232"/>
      <w:bookmarkEnd w:id="233"/>
      <w:bookmarkEnd w:id="234"/>
      <w:bookmarkEnd w:id="235"/>
      <w:r>
        <w:rPr>
          <w:rFonts w:hint="eastAsia" w:ascii="宋体" w:hAnsi="宋体" w:eastAsia="宋体" w:cs="宋体"/>
          <w:b/>
          <w:bCs/>
          <w:color w:val="auto"/>
          <w:sz w:val="24"/>
          <w:szCs w:val="24"/>
          <w:highlight w:val="none"/>
          <w:lang w:eastAsia="zh-CN"/>
        </w:rPr>
        <w:t>成交服务费</w:t>
      </w:r>
    </w:p>
    <w:p w14:paraId="2347063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28.1参照“云南省建设工程招标投标行业协会关于印发《云南省建设工程招标代理服务收费参考意见》的通知（云建招协〔2024〕58号）”的规定计算。</w:t>
      </w:r>
    </w:p>
    <w:p w14:paraId="4DFFF78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28.2成交供应商应在接收“成交通知书”前向采购代理机构一次付清</w:t>
      </w:r>
      <w:r>
        <w:rPr>
          <w:rFonts w:hint="eastAsia" w:hAnsi="宋体" w:cs="宋体"/>
          <w:color w:val="auto"/>
          <w:sz w:val="24"/>
          <w:szCs w:val="24"/>
          <w:highlight w:val="none"/>
          <w:lang w:eastAsia="zh-CN"/>
        </w:rPr>
        <w:t>成交服务费</w:t>
      </w:r>
      <w:r>
        <w:rPr>
          <w:rFonts w:hint="eastAsia" w:ascii="宋体" w:hAnsi="宋体" w:eastAsia="宋体" w:cs="宋体"/>
          <w:color w:val="auto"/>
          <w:sz w:val="24"/>
          <w:szCs w:val="24"/>
          <w:highlight w:val="none"/>
        </w:rPr>
        <w:t>。</w:t>
      </w:r>
    </w:p>
    <w:p w14:paraId="5E297E19">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37" w:name="_Toc72489561"/>
      <w:bookmarkStart w:id="238" w:name="_Toc75418562"/>
      <w:bookmarkStart w:id="239" w:name="_Toc74169272"/>
      <w:bookmarkStart w:id="240" w:name="_Toc46924571"/>
      <w:r>
        <w:rPr>
          <w:rFonts w:hint="eastAsia" w:ascii="宋体" w:hAnsi="宋体" w:eastAsia="宋体" w:cs="宋体"/>
          <w:b/>
          <w:bCs/>
          <w:color w:val="auto"/>
          <w:sz w:val="24"/>
          <w:szCs w:val="24"/>
          <w:highlight w:val="none"/>
        </w:rPr>
        <w:t>29、磋商文件编制依据</w:t>
      </w:r>
      <w:bookmarkEnd w:id="237"/>
      <w:bookmarkEnd w:id="238"/>
      <w:bookmarkEnd w:id="239"/>
      <w:bookmarkEnd w:id="240"/>
    </w:p>
    <w:p w14:paraId="1A36B76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29.1本竞争性磋商文件根据《中华人民共和国政府采购法</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政府采购竞争性磋商采购方式管理暂行办法》等有关法律、法规和规章进行编制，解释权属于采购人、采购代理机构。</w:t>
      </w:r>
    </w:p>
    <w:p w14:paraId="667EF7A9">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41" w:name="_Toc75418563"/>
      <w:bookmarkStart w:id="242" w:name="_Toc74169273"/>
      <w:bookmarkStart w:id="243" w:name="_Toc72489562"/>
      <w:bookmarkStart w:id="244" w:name="_Toc46924572"/>
      <w:r>
        <w:rPr>
          <w:rFonts w:hint="eastAsia" w:ascii="宋体" w:hAnsi="宋体" w:eastAsia="宋体" w:cs="宋体"/>
          <w:b/>
          <w:bCs/>
          <w:color w:val="auto"/>
          <w:sz w:val="24"/>
          <w:szCs w:val="24"/>
          <w:highlight w:val="none"/>
        </w:rPr>
        <w:t>30、需要补充的其他内容</w:t>
      </w:r>
      <w:bookmarkEnd w:id="241"/>
      <w:bookmarkEnd w:id="242"/>
      <w:bookmarkEnd w:id="243"/>
      <w:bookmarkEnd w:id="244"/>
    </w:p>
    <w:p w14:paraId="0B3EA80F">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30.1关于中小企业：</w:t>
      </w:r>
    </w:p>
    <w:p w14:paraId="1BFD4799">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bookmarkStart w:id="245" w:name="_Hlk110844332"/>
      <w:r>
        <w:rPr>
          <w:rFonts w:hint="eastAsia" w:ascii="宋体" w:hAnsi="宋体" w:eastAsia="宋体" w:cs="宋体"/>
          <w:color w:val="auto"/>
          <w:sz w:val="24"/>
          <w:szCs w:val="24"/>
          <w:highlight w:val="none"/>
        </w:rPr>
        <w:t>30.1.1根据财政部、工业和信息化部印发的《政府采购促进中小企业发展管理办法》（财库</w:t>
      </w:r>
      <w:r>
        <w:rPr>
          <w:rFonts w:hint="eastAsia" w:hAnsi="宋体" w:cs="宋体"/>
          <w:color w:val="auto"/>
          <w:sz w:val="24"/>
          <w:szCs w:val="24"/>
          <w:highlight w:val="none"/>
          <w:lang w:eastAsia="zh-CN"/>
        </w:rPr>
        <w:t>〔2020〕46号</w:t>
      </w:r>
      <w:r>
        <w:rPr>
          <w:rFonts w:hint="eastAsia" w:ascii="宋体" w:hAnsi="宋体" w:eastAsia="宋体" w:cs="宋体"/>
          <w:color w:val="auto"/>
          <w:sz w:val="24"/>
          <w:szCs w:val="24"/>
          <w:highlight w:val="none"/>
        </w:rPr>
        <w:t>文）</w:t>
      </w:r>
      <w:bookmarkStart w:id="246" w:name="_Hlk110759534"/>
      <w:r>
        <w:rPr>
          <w:rFonts w:hint="eastAsia" w:ascii="宋体" w:hAnsi="宋体" w:eastAsia="宋体" w:cs="宋体"/>
          <w:color w:val="auto"/>
          <w:sz w:val="24"/>
          <w:szCs w:val="24"/>
          <w:highlight w:val="none"/>
        </w:rPr>
        <w:t>、《关于进一步加大政府采购支持中小企业力度的通知》（财库</w:t>
      </w:r>
      <w:r>
        <w:rPr>
          <w:rFonts w:hint="eastAsia" w:hAnsi="宋体" w:cs="宋体"/>
          <w:color w:val="auto"/>
          <w:sz w:val="24"/>
          <w:szCs w:val="24"/>
          <w:highlight w:val="none"/>
          <w:lang w:eastAsia="zh-CN"/>
        </w:rPr>
        <w:t>〔2022〕19号</w:t>
      </w:r>
      <w:r>
        <w:rPr>
          <w:rFonts w:hint="eastAsia" w:ascii="宋体" w:hAnsi="宋体" w:eastAsia="宋体" w:cs="宋体"/>
          <w:color w:val="auto"/>
          <w:sz w:val="24"/>
          <w:szCs w:val="24"/>
          <w:highlight w:val="none"/>
        </w:rPr>
        <w:t>）</w:t>
      </w:r>
      <w:bookmarkEnd w:id="246"/>
      <w:r>
        <w:rPr>
          <w:rFonts w:hint="eastAsia" w:ascii="宋体" w:hAnsi="宋体" w:eastAsia="宋体" w:cs="宋体"/>
          <w:color w:val="auto"/>
          <w:sz w:val="24"/>
          <w:szCs w:val="24"/>
          <w:highlight w:val="none"/>
        </w:rPr>
        <w:t>的规定，在政府采购活动中，供应商提供的货物、工程或者服务符合下列情形的，享受中小企业扶持政策：</w:t>
      </w:r>
    </w:p>
    <w:p w14:paraId="4861FD6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24CBC785">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1B69A1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364B0989">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45BE181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E39987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30.1.2本办法所称中小企业，是指</w:t>
      </w:r>
      <w:r>
        <w:rPr>
          <w:rFonts w:hint="eastAsia" w:ascii="宋体" w:hAnsi="宋体" w:eastAsia="宋体" w:cs="宋体"/>
          <w:b w:val="0"/>
          <w:bCs w:val="0"/>
          <w:color w:val="auto"/>
          <w:sz w:val="24"/>
          <w:szCs w:val="24"/>
          <w:highlight w:val="none"/>
          <w:lang w:val="en-US" w:eastAsia="zh-CN"/>
        </w:rPr>
        <w:t>根据国家统计局《统计上大中小微型企业划分办法（2017）》规定的划分标准》</w:t>
      </w:r>
      <w:r>
        <w:rPr>
          <w:rFonts w:hint="eastAsia" w:ascii="宋体" w:hAnsi="宋体" w:eastAsia="宋体" w:cs="宋体"/>
          <w:color w:val="auto"/>
          <w:sz w:val="24"/>
          <w:szCs w:val="24"/>
          <w:highlight w:val="none"/>
        </w:rPr>
        <w:t>确定的中型企业、小型企业和微型企业，但与大企业的负责人为同一人，或者与大企业存在直接控股、管理关系的除外。</w:t>
      </w:r>
    </w:p>
    <w:p w14:paraId="73E9706B">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30.1.3</w:t>
      </w:r>
      <w:r>
        <w:rPr>
          <w:rFonts w:hint="eastAsia" w:ascii="宋体" w:hAnsi="宋体" w:eastAsia="宋体" w:cs="宋体"/>
          <w:b w:val="0"/>
          <w:bCs w:val="0"/>
          <w:color w:val="auto"/>
          <w:sz w:val="24"/>
          <w:szCs w:val="24"/>
          <w:highlight w:val="none"/>
        </w:rPr>
        <w:t>对于经主管预算单位统筹后未预留份额专门面向中小企业采购的采购项目，以及预留份额项目中的非预留部分采购包，对符合规定的小微企业报价给予 10%（工程项目为 3%）的扣除，用扣除后的价格参加评审。</w:t>
      </w:r>
    </w:p>
    <w:p w14:paraId="3DE9276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组成联合体或者接受分包的小微企业与联合体内其他企业、分包企业之间存在直接控股、管理关系的，不享受价格扣除优惠政策。</w:t>
      </w:r>
    </w:p>
    <w:p w14:paraId="301CA6C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30.1.4</w:t>
      </w:r>
      <w:r>
        <w:rPr>
          <w:rFonts w:hint="eastAsia" w:ascii="宋体" w:hAnsi="宋体" w:eastAsia="宋体" w:cs="宋体"/>
          <w:b/>
          <w:bCs/>
          <w:color w:val="auto"/>
          <w:sz w:val="24"/>
          <w:szCs w:val="24"/>
          <w:highlight w:val="none"/>
        </w:rPr>
        <w:t>中小企业参加政府采购活动，应当出具《中小企业声明函》，否则不得享受相关中小企业扶持政策。</w:t>
      </w:r>
    </w:p>
    <w:p w14:paraId="0E49A525">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30.1.5按规定享受扶持政策获得政府采购合同的，小微企业不得将合同分包给大中型企业，中型企业不得将合同分包给大型企业。</w:t>
      </w:r>
      <w:bookmarkEnd w:id="245"/>
    </w:p>
    <w:p w14:paraId="6943894B">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30.2关于节能产品及环境标志产品：</w:t>
      </w:r>
    </w:p>
    <w:p w14:paraId="325E1BB8">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30.2.1供应商根据财政部、发展改革委、生态环境部、市场监管总局“《关于调整优化节能产品、环境标志产品政府采购执行机制的通知》（财库〔2019〕9号）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606E2742">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30.2.2投标产品属于财政部和国家发改委公布的当期《节能产品政府采购品目清单》中以“★”标注类别的节能产品，供应商需在响应文件中提供节能产品认证证书。</w:t>
      </w:r>
    </w:p>
    <w:p w14:paraId="7E7D0E14">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30.2.3财政部、发展改革委、生态环境部、市场监管总局“《关于调整优化节能产品、环境标志产品政府采购执行机制的通知》（财库〔2019〕9号）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3442150E">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30.3关于监狱企业：</w:t>
      </w:r>
    </w:p>
    <w:p w14:paraId="072570E4">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94FF0F">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30.3.2监狱企业参加政府采购活动时，应当提供由省级以上监狱管理局、戒毒管理局（含新疆生产建设兵团）出具的属于监狱企业的证明文件。</w:t>
      </w:r>
    </w:p>
    <w:p w14:paraId="376F0F46">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30.3.3在政府采购活动中，监狱企业视同小型、微型企业，享受预留份额、评审中价格扣除等政府采购促进中小企业发展的政府采购政策。</w:t>
      </w:r>
    </w:p>
    <w:p w14:paraId="0D59018B">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30.4关于残疾人福利性单位：</w:t>
      </w:r>
    </w:p>
    <w:p w14:paraId="748ED893">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31.4.1根据《关于促进残疾人就业政府采购政策的通知》（财库〔2017〕141号）的规定，享受政府采购支持政策的残疾人福利性单位应当同时满足以下条件：</w:t>
      </w:r>
    </w:p>
    <w:p w14:paraId="2B0F4EFF">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53455D5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769384C8">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38D38148">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732F891D">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06577623">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70B8614">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30.4.2符合条件的残疾人福利性单位在参加政府采购活动时，应当按《关于促进残疾人就业政府采购政策的通知》（财库〔2017〕141号）提供规定的《残疾人福利性单位声明函》，并对声明的真实性负责。</w:t>
      </w:r>
    </w:p>
    <w:p w14:paraId="16F2CCEC">
      <w:pPr>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auto"/>
          <w:sz w:val="24"/>
          <w:szCs w:val="24"/>
          <w:highlight w:val="none"/>
        </w:rPr>
      </w:pPr>
      <w:bookmarkStart w:id="247" w:name="_Toc75418564"/>
      <w:bookmarkStart w:id="248" w:name="_Toc72489563"/>
      <w:bookmarkStart w:id="249" w:name="_Toc74169274"/>
      <w:bookmarkStart w:id="250" w:name="_Toc7972"/>
      <w:bookmarkStart w:id="251" w:name="_Toc46924573"/>
      <w:r>
        <w:rPr>
          <w:rFonts w:hint="eastAsia" w:ascii="宋体" w:hAnsi="宋体" w:eastAsia="宋体" w:cs="宋体"/>
          <w:b/>
          <w:bCs/>
          <w:color w:val="auto"/>
          <w:sz w:val="24"/>
          <w:szCs w:val="24"/>
          <w:highlight w:val="none"/>
        </w:rPr>
        <w:t>★31、其它内容</w:t>
      </w:r>
      <w:bookmarkEnd w:id="247"/>
      <w:bookmarkEnd w:id="248"/>
      <w:bookmarkEnd w:id="249"/>
      <w:bookmarkEnd w:id="250"/>
      <w:bookmarkEnd w:id="251"/>
    </w:p>
    <w:p w14:paraId="3154F5B1">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p w14:paraId="72AB3893">
      <w:pPr>
        <w:rPr>
          <w:rFonts w:hint="eastAsia" w:ascii="宋体" w:hAnsi="宋体" w:eastAsia="宋体" w:cs="宋体"/>
        </w:rPr>
      </w:pPr>
    </w:p>
    <w:p w14:paraId="5B989B90">
      <w:pPr>
        <w:spacing w:before="240" w:after="240" w:line="360" w:lineRule="auto"/>
        <w:jc w:val="center"/>
        <w:rPr>
          <w:rFonts w:hint="eastAsia" w:ascii="宋体" w:hAnsi="宋体" w:eastAsia="宋体" w:cs="宋体"/>
          <w:b/>
          <w:color w:val="auto"/>
          <w:kern w:val="0"/>
          <w:szCs w:val="32"/>
          <w:highlight w:val="none"/>
        </w:rPr>
      </w:pPr>
    </w:p>
    <w:p w14:paraId="046DFE49">
      <w:pPr>
        <w:rPr>
          <w:rFonts w:hint="eastAsia" w:ascii="宋体" w:hAnsi="宋体" w:eastAsia="宋体" w:cs="宋体"/>
          <w:color w:val="auto"/>
          <w:sz w:val="36"/>
          <w:szCs w:val="36"/>
          <w:highlight w:val="none"/>
          <w:lang w:val="zh-CN"/>
        </w:rPr>
      </w:pPr>
      <w:bookmarkStart w:id="252" w:name="_Toc30318"/>
      <w:bookmarkStart w:id="253" w:name="_Toc20669"/>
      <w:bookmarkStart w:id="254" w:name="_Toc125054715"/>
      <w:r>
        <w:rPr>
          <w:rFonts w:hint="eastAsia" w:ascii="宋体" w:hAnsi="宋体" w:eastAsia="宋体" w:cs="宋体"/>
          <w:color w:val="auto"/>
          <w:sz w:val="36"/>
          <w:szCs w:val="36"/>
          <w:highlight w:val="none"/>
          <w:lang w:val="zh-CN"/>
        </w:rPr>
        <w:br w:type="page"/>
      </w:r>
    </w:p>
    <w:p w14:paraId="352FA8F9">
      <w:pPr>
        <w:pStyle w:val="2"/>
        <w:widowControl/>
        <w:spacing w:before="240" w:after="240"/>
        <w:jc w:val="center"/>
        <w:rPr>
          <w:rFonts w:hint="eastAsia" w:ascii="宋体" w:hAnsi="宋体" w:eastAsia="宋体" w:cs="宋体"/>
          <w:b/>
          <w:bCs w:val="0"/>
          <w:color w:val="auto"/>
          <w:sz w:val="36"/>
          <w:szCs w:val="36"/>
          <w:highlight w:val="none"/>
          <w:lang w:val="zh-CN"/>
        </w:rPr>
      </w:pPr>
      <w:bookmarkStart w:id="255" w:name="_Toc7436"/>
      <w:r>
        <w:rPr>
          <w:rFonts w:hint="eastAsia" w:ascii="宋体" w:hAnsi="宋体" w:eastAsia="宋体" w:cs="宋体"/>
          <w:b/>
          <w:bCs w:val="0"/>
          <w:color w:val="auto"/>
          <w:sz w:val="36"/>
          <w:szCs w:val="36"/>
          <w:highlight w:val="none"/>
          <w:lang w:val="zh-CN"/>
        </w:rPr>
        <w:t>第三章  合同书样式及主要条款</w:t>
      </w:r>
      <w:bookmarkEnd w:id="252"/>
      <w:bookmarkEnd w:id="253"/>
      <w:bookmarkEnd w:id="254"/>
      <w:bookmarkEnd w:id="255"/>
    </w:p>
    <w:p w14:paraId="0477CC88">
      <w:pPr>
        <w:jc w:val="center"/>
        <w:rPr>
          <w:rFonts w:hint="eastAsia" w:ascii="宋体" w:hAnsi="宋体" w:eastAsia="宋体" w:cs="宋体"/>
          <w:color w:val="auto"/>
          <w:highlight w:val="none"/>
        </w:rPr>
      </w:pPr>
      <w:bookmarkStart w:id="256" w:name="_Hlk122611506"/>
      <w:bookmarkStart w:id="257" w:name="_Toc229583213"/>
      <w:r>
        <w:rPr>
          <w:rFonts w:hint="eastAsia" w:ascii="宋体" w:hAnsi="宋体" w:eastAsia="宋体" w:cs="宋体"/>
          <w:b/>
          <w:bCs/>
          <w:kern w:val="0"/>
          <w:sz w:val="24"/>
          <w:szCs w:val="24"/>
        </w:rPr>
        <w:t>（合同以最终签订的版本为准）</w:t>
      </w:r>
      <w:bookmarkEnd w:id="256"/>
      <w:bookmarkEnd w:id="257"/>
      <w:bookmarkStart w:id="258" w:name="_Toc125054717"/>
    </w:p>
    <w:p w14:paraId="191C3459">
      <w:pPr>
        <w:pStyle w:val="6"/>
        <w:ind w:left="0" w:leftChars="0" w:firstLine="0" w:firstLineChars="0"/>
        <w:rPr>
          <w:rFonts w:hint="eastAsia" w:ascii="宋体" w:hAnsi="宋体" w:eastAsia="宋体" w:cs="宋体"/>
          <w:color w:val="auto"/>
          <w:highlight w:val="none"/>
          <w:lang w:val="en-US" w:eastAsia="zh-CN"/>
        </w:rPr>
      </w:pPr>
      <w:bookmarkStart w:id="259" w:name="_Hlk25337094"/>
    </w:p>
    <w:bookmarkEnd w:id="259"/>
    <w:p w14:paraId="0E8D5499">
      <w:pPr>
        <w:adjustRightInd w:val="0"/>
        <w:snapToGrid w:val="0"/>
        <w:spacing w:line="360" w:lineRule="auto"/>
        <w:jc w:val="center"/>
        <w:rPr>
          <w:rFonts w:ascii="宋体" w:hAnsi="宋体"/>
          <w:b/>
          <w:color w:val="auto"/>
          <w:sz w:val="28"/>
          <w:szCs w:val="28"/>
          <w:highlight w:val="none"/>
        </w:rPr>
      </w:pPr>
      <w:bookmarkStart w:id="260" w:name="_Toc29727"/>
      <w:bookmarkStart w:id="261" w:name="_Toc28819"/>
      <w:r>
        <w:rPr>
          <w:rFonts w:hint="eastAsia" w:ascii="宋体" w:hAnsi="宋体"/>
          <w:b/>
          <w:color w:val="auto"/>
          <w:sz w:val="28"/>
          <w:szCs w:val="28"/>
          <w:highlight w:val="none"/>
        </w:rPr>
        <w:t>第一部分 合同协议书</w:t>
      </w:r>
    </w:p>
    <w:p w14:paraId="60B49957">
      <w:pPr>
        <w:spacing w:line="360" w:lineRule="auto"/>
        <w:rPr>
          <w:rFonts w:ascii="宋体" w:hAnsi="宋体"/>
          <w:color w:val="auto"/>
          <w:sz w:val="24"/>
          <w:highlight w:val="none"/>
          <w:u w:val="single"/>
        </w:rPr>
      </w:pPr>
      <w:r>
        <w:rPr>
          <w:rFonts w:hint="eastAsia" w:ascii="宋体" w:hAnsi="宋体"/>
          <w:color w:val="auto"/>
          <w:sz w:val="24"/>
          <w:highlight w:val="none"/>
        </w:rPr>
        <w:t>发包人（采购人）：</w:t>
      </w:r>
      <w:r>
        <w:rPr>
          <w:rFonts w:hint="eastAsia" w:ascii="宋体" w:hAnsi="宋体"/>
          <w:color w:val="auto"/>
          <w:sz w:val="24"/>
          <w:highlight w:val="none"/>
          <w:u w:val="single"/>
        </w:rPr>
        <w:t>                          </w:t>
      </w:r>
    </w:p>
    <w:p w14:paraId="240439DA">
      <w:pPr>
        <w:spacing w:line="360" w:lineRule="auto"/>
        <w:rPr>
          <w:rFonts w:ascii="宋体" w:hAnsi="宋体"/>
          <w:color w:val="auto"/>
          <w:sz w:val="24"/>
          <w:highlight w:val="none"/>
          <w:u w:val="single"/>
        </w:rPr>
      </w:pPr>
      <w:r>
        <w:rPr>
          <w:rFonts w:hint="eastAsia" w:ascii="宋体" w:hAnsi="宋体"/>
          <w:color w:val="auto"/>
          <w:sz w:val="24"/>
          <w:highlight w:val="none"/>
        </w:rPr>
        <w:t>承包人（成交磋商申请人）：</w:t>
      </w:r>
      <w:r>
        <w:rPr>
          <w:rFonts w:hint="eastAsia" w:ascii="宋体" w:hAnsi="宋体"/>
          <w:color w:val="auto"/>
          <w:sz w:val="24"/>
          <w:highlight w:val="none"/>
          <w:u w:val="single"/>
        </w:rPr>
        <w:t>                      </w:t>
      </w:r>
    </w:p>
    <w:p w14:paraId="06347D3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根据《中华人民共和国合同法</w:t>
      </w:r>
      <w:r>
        <w:rPr>
          <w:rFonts w:hint="eastAsia" w:hAnsi="宋体"/>
          <w:color w:val="auto"/>
          <w:sz w:val="24"/>
          <w:highlight w:val="none"/>
          <w:lang w:eastAsia="zh-CN"/>
        </w:rPr>
        <w:t>》《</w:t>
      </w:r>
      <w:r>
        <w:rPr>
          <w:rFonts w:hint="eastAsia" w:ascii="宋体" w:hAnsi="宋体"/>
          <w:color w:val="auto"/>
          <w:sz w:val="24"/>
          <w:highlight w:val="none"/>
        </w:rPr>
        <w:t>中华人民共和国建筑法》及有关法律规定，遵循平等、自愿、公平和诚实信用的原则，双方就</w:t>
      </w:r>
      <w:r>
        <w:rPr>
          <w:rFonts w:hint="eastAsia" w:ascii="宋体" w:hAnsi="宋体"/>
          <w:color w:val="auto"/>
          <w:sz w:val="24"/>
          <w:highlight w:val="none"/>
          <w:u w:val="single"/>
        </w:rPr>
        <w:t xml:space="preserve">             </w:t>
      </w:r>
      <w:r>
        <w:rPr>
          <w:rFonts w:hint="eastAsia" w:ascii="宋体" w:hAnsi="宋体"/>
          <w:color w:val="auto"/>
          <w:sz w:val="24"/>
          <w:highlight w:val="none"/>
        </w:rPr>
        <w:t>工程施工及有关事项协商一致，共同达成如下协议：</w:t>
      </w:r>
    </w:p>
    <w:p w14:paraId="70CC1E3F">
      <w:pPr>
        <w:spacing w:line="360" w:lineRule="auto"/>
        <w:ind w:firstLine="480" w:firstLineChars="200"/>
        <w:rPr>
          <w:rFonts w:ascii="宋体" w:hAnsi="宋体"/>
          <w:bCs/>
          <w:color w:val="auto"/>
          <w:sz w:val="24"/>
          <w:highlight w:val="none"/>
        </w:rPr>
      </w:pPr>
      <w:bookmarkStart w:id="262" w:name="_Toc351203481"/>
      <w:r>
        <w:rPr>
          <w:rFonts w:hint="eastAsia" w:ascii="宋体" w:hAnsi="宋体"/>
          <w:color w:val="auto"/>
          <w:sz w:val="24"/>
          <w:highlight w:val="none"/>
        </w:rPr>
        <w:t>一、工程概况</w:t>
      </w:r>
      <w:bookmarkEnd w:id="262"/>
    </w:p>
    <w:p w14:paraId="3A5BC129">
      <w:pPr>
        <w:spacing w:line="360" w:lineRule="auto"/>
        <w:ind w:firstLine="470" w:firstLineChars="196"/>
        <w:rPr>
          <w:rFonts w:ascii="宋体" w:hAnsi="宋体"/>
          <w:color w:val="auto"/>
          <w:sz w:val="24"/>
          <w:highlight w:val="none"/>
          <w:u w:val="single"/>
        </w:rPr>
      </w:pPr>
      <w:r>
        <w:rPr>
          <w:rFonts w:hint="eastAsia" w:ascii="宋体" w:hAnsi="宋体"/>
          <w:bCs/>
          <w:color w:val="auto"/>
          <w:sz w:val="24"/>
          <w:highlight w:val="none"/>
        </w:rPr>
        <w:t>1.工程名称</w:t>
      </w:r>
      <w:r>
        <w:rPr>
          <w:rFonts w:hint="eastAsia" w:ascii="宋体" w:hAnsi="宋体"/>
          <w:color w:val="auto"/>
          <w:sz w:val="24"/>
          <w:highlight w:val="none"/>
        </w:rPr>
        <w:t>：</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CDDCCB3">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2.工程地点：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413B71">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3.工程立项批准文号：</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2A9AB89B">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4.资金来源：</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3B65FCEA">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5.工程内容：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2274458">
      <w:pPr>
        <w:spacing w:line="360" w:lineRule="auto"/>
        <w:ind w:firstLine="470" w:firstLineChars="196"/>
        <w:rPr>
          <w:rFonts w:hint="eastAsia" w:ascii="宋体" w:hAnsi="宋体"/>
          <w:bCs/>
          <w:color w:val="auto"/>
          <w:sz w:val="24"/>
          <w:highlight w:val="none"/>
        </w:rPr>
      </w:pPr>
      <w:r>
        <w:rPr>
          <w:rFonts w:hint="eastAsia" w:ascii="宋体" w:hAnsi="宋体"/>
          <w:bCs/>
          <w:color w:val="auto"/>
          <w:sz w:val="24"/>
          <w:highlight w:val="none"/>
        </w:rPr>
        <w:t>6.工程承包范围：</w:t>
      </w:r>
    </w:p>
    <w:p w14:paraId="5AB541E0">
      <w:pPr>
        <w:spacing w:line="360" w:lineRule="auto"/>
        <w:ind w:firstLine="470" w:firstLineChars="196"/>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6.1产品和数量、价格</w:t>
      </w:r>
    </w:p>
    <w:tbl>
      <w:tblPr>
        <w:tblStyle w:val="15"/>
        <w:tblW w:w="8667" w:type="dxa"/>
        <w:jc w:val="center"/>
        <w:tblLayout w:type="fixed"/>
        <w:tblCellMar>
          <w:top w:w="0" w:type="dxa"/>
          <w:left w:w="108" w:type="dxa"/>
          <w:bottom w:w="0" w:type="dxa"/>
          <w:right w:w="108" w:type="dxa"/>
        </w:tblCellMar>
      </w:tblPr>
      <w:tblGrid>
        <w:gridCol w:w="785"/>
        <w:gridCol w:w="2150"/>
        <w:gridCol w:w="1257"/>
        <w:gridCol w:w="1005"/>
        <w:gridCol w:w="960"/>
        <w:gridCol w:w="943"/>
        <w:gridCol w:w="794"/>
        <w:gridCol w:w="773"/>
      </w:tblGrid>
      <w:tr w14:paraId="44CE6F8E">
        <w:tblPrEx>
          <w:tblCellMar>
            <w:top w:w="0" w:type="dxa"/>
            <w:left w:w="108" w:type="dxa"/>
            <w:bottom w:w="0" w:type="dxa"/>
            <w:right w:w="108" w:type="dxa"/>
          </w:tblCellMar>
        </w:tblPrEx>
        <w:trPr>
          <w:trHeight w:val="860" w:hRule="atLeast"/>
          <w:jc w:val="center"/>
        </w:trPr>
        <w:tc>
          <w:tcPr>
            <w:tcW w:w="785" w:type="dxa"/>
            <w:tcBorders>
              <w:top w:val="single" w:color="auto" w:sz="8" w:space="0"/>
              <w:left w:val="single" w:color="auto" w:sz="8" w:space="0"/>
              <w:bottom w:val="single" w:color="auto" w:sz="4" w:space="0"/>
              <w:right w:val="single" w:color="auto" w:sz="4" w:space="0"/>
            </w:tcBorders>
            <w:vAlign w:val="center"/>
          </w:tcPr>
          <w:p w14:paraId="05473008">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序号</w:t>
            </w:r>
          </w:p>
        </w:tc>
        <w:tc>
          <w:tcPr>
            <w:tcW w:w="2150" w:type="dxa"/>
            <w:tcBorders>
              <w:top w:val="single" w:color="auto" w:sz="8" w:space="0"/>
              <w:left w:val="nil"/>
              <w:bottom w:val="single" w:color="auto" w:sz="4" w:space="0"/>
              <w:right w:val="single" w:color="auto" w:sz="4" w:space="0"/>
            </w:tcBorders>
            <w:vAlign w:val="center"/>
          </w:tcPr>
          <w:p w14:paraId="15D3C8F2">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货物名称</w:t>
            </w:r>
          </w:p>
        </w:tc>
        <w:tc>
          <w:tcPr>
            <w:tcW w:w="1257" w:type="dxa"/>
            <w:tcBorders>
              <w:top w:val="single" w:color="auto" w:sz="8" w:space="0"/>
              <w:left w:val="nil"/>
              <w:bottom w:val="single" w:color="auto" w:sz="4" w:space="0"/>
              <w:right w:val="single" w:color="auto" w:sz="4" w:space="0"/>
            </w:tcBorders>
            <w:vAlign w:val="center"/>
          </w:tcPr>
          <w:p w14:paraId="2E93807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技术参数</w:t>
            </w:r>
          </w:p>
        </w:tc>
        <w:tc>
          <w:tcPr>
            <w:tcW w:w="1005" w:type="dxa"/>
            <w:tcBorders>
              <w:top w:val="single" w:color="auto" w:sz="8" w:space="0"/>
              <w:left w:val="nil"/>
              <w:bottom w:val="single" w:color="auto" w:sz="4" w:space="0"/>
              <w:right w:val="single" w:color="auto" w:sz="4" w:space="0"/>
            </w:tcBorders>
            <w:vAlign w:val="center"/>
          </w:tcPr>
          <w:p w14:paraId="4AA9F0AF">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数量</w:t>
            </w:r>
          </w:p>
        </w:tc>
        <w:tc>
          <w:tcPr>
            <w:tcW w:w="960" w:type="dxa"/>
            <w:tcBorders>
              <w:top w:val="single" w:color="auto" w:sz="8" w:space="0"/>
              <w:left w:val="nil"/>
              <w:bottom w:val="single" w:color="auto" w:sz="4" w:space="0"/>
              <w:right w:val="single" w:color="auto" w:sz="4" w:space="0"/>
            </w:tcBorders>
            <w:vAlign w:val="center"/>
          </w:tcPr>
          <w:p w14:paraId="0B2D6D78">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单位</w:t>
            </w:r>
          </w:p>
        </w:tc>
        <w:tc>
          <w:tcPr>
            <w:tcW w:w="943" w:type="dxa"/>
            <w:tcBorders>
              <w:top w:val="single" w:color="auto" w:sz="8" w:space="0"/>
              <w:left w:val="nil"/>
              <w:bottom w:val="single" w:color="auto" w:sz="4" w:space="0"/>
              <w:right w:val="single" w:color="auto" w:sz="4" w:space="0"/>
            </w:tcBorders>
            <w:vAlign w:val="center"/>
          </w:tcPr>
          <w:p w14:paraId="26FA0A2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单价</w:t>
            </w:r>
          </w:p>
        </w:tc>
        <w:tc>
          <w:tcPr>
            <w:tcW w:w="794" w:type="dxa"/>
            <w:tcBorders>
              <w:top w:val="single" w:color="auto" w:sz="8" w:space="0"/>
              <w:left w:val="nil"/>
              <w:bottom w:val="single" w:color="auto" w:sz="4" w:space="0"/>
              <w:right w:val="single" w:color="auto" w:sz="4" w:space="0"/>
            </w:tcBorders>
            <w:vAlign w:val="center"/>
          </w:tcPr>
          <w:p w14:paraId="3166213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合价</w:t>
            </w:r>
          </w:p>
        </w:tc>
        <w:tc>
          <w:tcPr>
            <w:tcW w:w="773" w:type="dxa"/>
            <w:tcBorders>
              <w:top w:val="single" w:color="auto" w:sz="8" w:space="0"/>
              <w:left w:val="nil"/>
              <w:bottom w:val="single" w:color="auto" w:sz="4" w:space="0"/>
              <w:right w:val="single" w:color="auto" w:sz="4" w:space="0"/>
            </w:tcBorders>
            <w:vAlign w:val="center"/>
          </w:tcPr>
          <w:p w14:paraId="6FD44E36">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b w:val="0"/>
                <w:bCs w:val="0"/>
                <w:i w:val="0"/>
                <w:caps w:val="0"/>
                <w:color w:val="auto"/>
                <w:spacing w:val="0"/>
                <w:w w:val="100"/>
                <w:sz w:val="24"/>
                <w:szCs w:val="24"/>
                <w:highlight w:val="none"/>
                <w:lang w:val="en-US" w:eastAsia="zh-CN"/>
              </w:rPr>
              <w:t>备注</w:t>
            </w:r>
          </w:p>
        </w:tc>
      </w:tr>
      <w:tr w14:paraId="26F9C686">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1645689E">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2150" w:type="dxa"/>
            <w:tcBorders>
              <w:top w:val="single" w:color="auto" w:sz="4" w:space="0"/>
              <w:left w:val="single" w:color="auto" w:sz="4" w:space="0"/>
              <w:bottom w:val="single" w:color="auto" w:sz="4" w:space="0"/>
              <w:right w:val="single" w:color="auto" w:sz="4" w:space="0"/>
            </w:tcBorders>
            <w:vAlign w:val="center"/>
          </w:tcPr>
          <w:p w14:paraId="21F59D5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3C5064EC">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7EF36F6">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78A9ECEC">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7AE2E7CA">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6DE30C4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101A65CA">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361B74B4">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7C1DEF21">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p>
        </w:tc>
        <w:tc>
          <w:tcPr>
            <w:tcW w:w="2150" w:type="dxa"/>
            <w:tcBorders>
              <w:top w:val="single" w:color="auto" w:sz="4" w:space="0"/>
              <w:left w:val="single" w:color="auto" w:sz="4" w:space="0"/>
              <w:bottom w:val="single" w:color="auto" w:sz="4" w:space="0"/>
              <w:right w:val="single" w:color="auto" w:sz="4" w:space="0"/>
            </w:tcBorders>
            <w:vAlign w:val="center"/>
          </w:tcPr>
          <w:p w14:paraId="73364783">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17F4ABF2">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2E2690D">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0C33061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5ECAA5B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4C9C48D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061576C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79040C64">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2835296B">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2150" w:type="dxa"/>
            <w:tcBorders>
              <w:top w:val="single" w:color="auto" w:sz="4" w:space="0"/>
              <w:left w:val="single" w:color="auto" w:sz="4" w:space="0"/>
              <w:bottom w:val="single" w:color="auto" w:sz="4" w:space="0"/>
              <w:right w:val="single" w:color="auto" w:sz="4" w:space="0"/>
            </w:tcBorders>
            <w:vAlign w:val="center"/>
          </w:tcPr>
          <w:p w14:paraId="6148E41E">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1B94218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7D66FA5F">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37326223">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0160E08D">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21159970">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7DD4160B">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774976EF">
        <w:tblPrEx>
          <w:tblCellMar>
            <w:top w:w="0" w:type="dxa"/>
            <w:left w:w="108" w:type="dxa"/>
            <w:bottom w:w="0" w:type="dxa"/>
            <w:right w:w="108" w:type="dxa"/>
          </w:tblCellMar>
        </w:tblPrEx>
        <w:trPr>
          <w:trHeight w:val="1211" w:hRule="atLeast"/>
          <w:jc w:val="center"/>
        </w:trPr>
        <w:tc>
          <w:tcPr>
            <w:tcW w:w="2935" w:type="dxa"/>
            <w:gridSpan w:val="2"/>
            <w:tcBorders>
              <w:top w:val="single" w:color="auto" w:sz="4" w:space="0"/>
              <w:left w:val="single" w:color="auto" w:sz="4" w:space="0"/>
              <w:bottom w:val="single" w:color="auto" w:sz="4" w:space="0"/>
              <w:right w:val="single" w:color="auto" w:sz="4" w:space="0"/>
            </w:tcBorders>
            <w:vAlign w:val="center"/>
          </w:tcPr>
          <w:p w14:paraId="4A7AD0D5">
            <w:pPr>
              <w:pStyle w:val="9"/>
              <w:snapToGrid/>
              <w:spacing w:before="0" w:beforeAutospacing="0" w:after="0" w:afterAutospacing="0" w:line="240" w:lineRule="auto"/>
              <w:jc w:val="center"/>
              <w:textAlignment w:val="baseline"/>
              <w:rPr>
                <w:rFonts w:hint="eastAsia" w:asciiTheme="minorEastAsia" w:hAnsiTheme="minorEastAsia" w:eastAsiaTheme="minorEastAsia" w:cstheme="minorEastAsia"/>
                <w:b w:val="0"/>
                <w:i w:val="0"/>
                <w:caps w:val="0"/>
                <w:color w:val="auto"/>
                <w:spacing w:val="0"/>
                <w:w w:val="100"/>
                <w:sz w:val="24"/>
                <w:szCs w:val="24"/>
                <w:highlight w:val="none"/>
              </w:rPr>
            </w:pPr>
            <w:r>
              <w:rPr>
                <w:rFonts w:hint="eastAsia" w:asciiTheme="minorEastAsia" w:hAnsiTheme="minorEastAsia" w:eastAsiaTheme="minorEastAsia" w:cstheme="minorEastAsia"/>
                <w:b w:val="0"/>
                <w:i w:val="0"/>
                <w:caps w:val="0"/>
                <w:color w:val="auto"/>
                <w:spacing w:val="0"/>
                <w:w w:val="100"/>
                <w:sz w:val="24"/>
                <w:szCs w:val="24"/>
                <w:highlight w:val="none"/>
                <w:lang w:val="en-US" w:eastAsia="zh-CN"/>
              </w:rPr>
              <w:t>总价</w:t>
            </w:r>
          </w:p>
        </w:tc>
        <w:tc>
          <w:tcPr>
            <w:tcW w:w="5732" w:type="dxa"/>
            <w:gridSpan w:val="6"/>
            <w:tcBorders>
              <w:top w:val="single" w:color="auto" w:sz="4" w:space="0"/>
              <w:left w:val="single" w:color="auto" w:sz="4" w:space="0"/>
              <w:bottom w:val="single" w:color="auto" w:sz="4" w:space="0"/>
              <w:right w:val="single" w:color="auto" w:sz="4" w:space="0"/>
            </w:tcBorders>
            <w:vAlign w:val="center"/>
          </w:tcPr>
          <w:p w14:paraId="0BB4D05B">
            <w:pPr>
              <w:pStyle w:val="9"/>
              <w:snapToGrid/>
              <w:spacing w:before="0" w:beforeAutospacing="0" w:after="0" w:afterAutospacing="0" w:line="360" w:lineRule="auto"/>
              <w:jc w:val="both"/>
              <w:textAlignment w:val="baseline"/>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大写：</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45858173">
            <w:pPr>
              <w:spacing w:line="360" w:lineRule="auto"/>
              <w:rPr>
                <w:rFonts w:hint="eastAsia" w:asciiTheme="minorEastAsia" w:hAnsiTheme="minorEastAsia" w:eastAsiaTheme="minorEastAsia" w:cstheme="minorEastAsia"/>
                <w:b w:val="0"/>
                <w:i w:val="0"/>
                <w:caps w:val="0"/>
                <w:color w:val="auto"/>
                <w:spacing w:val="0"/>
                <w:w w:val="100"/>
                <w:sz w:val="24"/>
                <w:szCs w:val="24"/>
                <w:highlight w:val="none"/>
              </w:rPr>
            </w:pPr>
            <w:r>
              <w:rPr>
                <w:rFonts w:hint="eastAsia" w:asciiTheme="minorEastAsia" w:hAnsiTheme="minorEastAsia" w:eastAsiaTheme="minorEastAsia" w:cstheme="minorEastAsia"/>
                <w:b w:val="0"/>
                <w:i w:val="0"/>
                <w:caps w:val="0"/>
                <w:color w:val="auto"/>
                <w:spacing w:val="0"/>
                <w:w w:val="100"/>
                <w:sz w:val="24"/>
                <w:szCs w:val="24"/>
                <w:highlight w:val="none"/>
                <w:lang w:val="en-US" w:eastAsia="zh-CN"/>
              </w:rPr>
              <w:t>小写：</w:t>
            </w:r>
            <w:r>
              <w:rPr>
                <w:rFonts w:hint="eastAsia" w:asciiTheme="minorEastAsia" w:hAnsiTheme="minorEastAsia" w:eastAsiaTheme="minorEastAsia" w:cstheme="minorEastAsia"/>
                <w:b w:val="0"/>
                <w:i w:val="0"/>
                <w:caps w:val="0"/>
                <w:color w:val="auto"/>
                <w:spacing w:val="0"/>
                <w:w w:val="100"/>
                <w:sz w:val="24"/>
                <w:szCs w:val="24"/>
                <w:highlight w:val="none"/>
                <w:u w:val="single"/>
                <w:lang w:val="en-US" w:eastAsia="zh-CN"/>
              </w:rPr>
              <w:t xml:space="preserve">                       </w:t>
            </w:r>
          </w:p>
        </w:tc>
      </w:tr>
    </w:tbl>
    <w:p w14:paraId="6018AB55">
      <w:pPr>
        <w:spacing w:line="360" w:lineRule="auto"/>
        <w:ind w:firstLine="470" w:firstLineChars="196"/>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以上价格须包含完成项目所必须的全部费用，包含货物生产(采购)、运输、装卸、安装调试及其他正式验收交付前伴随发生的费用，备品备件费、培训费、税费等;该报价应充分考虑市场风险、价格风险、政策风险、汇率风险等所有因素。</w:t>
      </w:r>
    </w:p>
    <w:p w14:paraId="0D526352">
      <w:pPr>
        <w:spacing w:line="360" w:lineRule="auto"/>
        <w:ind w:firstLine="470" w:firstLineChars="196"/>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如乙方未认真了解本合同所列供货要求，导致发生退货、换货费用增加由乙方自行负责，甲方不承担任何责任。项目实施过程中，部分产品数量与采购清单数量不一致时，按实际所需数量为准，单价固定不变，调整合同结算价。确需更改采购清单部分产品的，由乙方向甲方提出申请，甲方同意后，价格由双方共同认定。</w:t>
      </w:r>
    </w:p>
    <w:p w14:paraId="26060AF2">
      <w:pPr>
        <w:spacing w:line="360" w:lineRule="auto"/>
        <w:ind w:firstLine="472" w:firstLineChars="196"/>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甲方有权拒支付合同价以外的任何费用。</w:t>
      </w:r>
    </w:p>
    <w:p w14:paraId="63C9E161">
      <w:pPr>
        <w:spacing w:line="360" w:lineRule="auto"/>
        <w:ind w:firstLine="470" w:firstLineChars="196"/>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6.2其余详见工程量清单所示内容</w:t>
      </w:r>
    </w:p>
    <w:p w14:paraId="5FED1A5D">
      <w:pPr>
        <w:spacing w:line="360" w:lineRule="auto"/>
        <w:ind w:firstLine="480" w:firstLineChars="200"/>
        <w:rPr>
          <w:rFonts w:ascii="宋体" w:hAnsi="宋体"/>
          <w:color w:val="auto"/>
          <w:sz w:val="24"/>
          <w:highlight w:val="none"/>
        </w:rPr>
      </w:pPr>
      <w:bookmarkStart w:id="263" w:name="_Toc351203482"/>
      <w:r>
        <w:rPr>
          <w:rFonts w:hint="eastAsia" w:ascii="宋体" w:hAnsi="宋体"/>
          <w:color w:val="auto"/>
          <w:sz w:val="24"/>
          <w:highlight w:val="none"/>
        </w:rPr>
        <w:t>二、合同工期</w:t>
      </w:r>
      <w:bookmarkEnd w:id="263"/>
    </w:p>
    <w:p w14:paraId="259FDCBD">
      <w:pPr>
        <w:spacing w:line="360" w:lineRule="auto"/>
        <w:ind w:firstLine="459"/>
        <w:rPr>
          <w:rFonts w:ascii="宋体" w:hAnsi="宋体"/>
          <w:color w:val="auto"/>
          <w:sz w:val="24"/>
          <w:highlight w:val="none"/>
        </w:rPr>
      </w:pPr>
      <w:r>
        <w:rPr>
          <w:rFonts w:hint="eastAsia" w:ascii="宋体" w:hAnsi="宋体"/>
          <w:color w:val="auto"/>
          <w:sz w:val="24"/>
          <w:highlight w:val="none"/>
        </w:rPr>
        <w:t>计划开工日期：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7A6B7D93">
      <w:pPr>
        <w:spacing w:line="360" w:lineRule="auto"/>
        <w:ind w:firstLine="459"/>
        <w:rPr>
          <w:rFonts w:ascii="宋体" w:hAnsi="宋体"/>
          <w:color w:val="auto"/>
          <w:sz w:val="24"/>
          <w:highlight w:val="none"/>
        </w:rPr>
      </w:pPr>
      <w:r>
        <w:rPr>
          <w:rFonts w:hint="eastAsia" w:ascii="宋体" w:hAnsi="宋体"/>
          <w:color w:val="auto"/>
          <w:sz w:val="24"/>
          <w:highlight w:val="none"/>
        </w:rPr>
        <w:t>计划竣工日期：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14F02448">
      <w:pPr>
        <w:spacing w:line="360" w:lineRule="auto"/>
        <w:ind w:firstLine="459"/>
        <w:rPr>
          <w:rFonts w:ascii="宋体" w:hAnsi="宋体"/>
          <w:color w:val="auto"/>
          <w:sz w:val="24"/>
          <w:highlight w:val="none"/>
        </w:rPr>
      </w:pPr>
      <w:r>
        <w:rPr>
          <w:rFonts w:hint="eastAsia" w:ascii="宋体" w:hAnsi="宋体"/>
          <w:color w:val="auto"/>
          <w:sz w:val="24"/>
          <w:highlight w:val="none"/>
        </w:rPr>
        <w:t>工期总日历天数：</w:t>
      </w:r>
      <w:r>
        <w:rPr>
          <w:rFonts w:hint="eastAsia" w:ascii="宋体" w:hAnsi="宋体"/>
          <w:color w:val="auto"/>
          <w:sz w:val="24"/>
          <w:highlight w:val="none"/>
          <w:u w:val="single"/>
        </w:rPr>
        <w:t></w:t>
      </w:r>
      <w:r>
        <w:rPr>
          <w:rFonts w:hint="eastAsia" w:ascii="宋体" w:hAnsi="宋体"/>
          <w:color w:val="auto"/>
          <w:sz w:val="24"/>
          <w:highlight w:val="none"/>
        </w:rPr>
        <w:t>天。工期总日历天数与根据前述计划开竣工日期计算的工期天数不一致的，以工期总日历天数为准。</w:t>
      </w:r>
    </w:p>
    <w:p w14:paraId="5B7A3CC2">
      <w:pPr>
        <w:spacing w:line="360" w:lineRule="auto"/>
        <w:ind w:firstLine="480" w:firstLineChars="200"/>
        <w:rPr>
          <w:rFonts w:ascii="宋体" w:hAnsi="宋体"/>
          <w:bCs/>
          <w:color w:val="auto"/>
          <w:sz w:val="24"/>
          <w:highlight w:val="none"/>
        </w:rPr>
      </w:pPr>
      <w:bookmarkStart w:id="264" w:name="_Toc351203483"/>
      <w:r>
        <w:rPr>
          <w:rFonts w:hint="eastAsia" w:ascii="宋体" w:hAnsi="宋体"/>
          <w:color w:val="auto"/>
          <w:sz w:val="24"/>
          <w:highlight w:val="none"/>
        </w:rPr>
        <w:t>三、质量标准</w:t>
      </w:r>
      <w:bookmarkEnd w:id="264"/>
    </w:p>
    <w:p w14:paraId="6CA8DAE5">
      <w:pPr>
        <w:spacing w:line="360" w:lineRule="auto"/>
        <w:ind w:firstLine="459"/>
        <w:rPr>
          <w:rFonts w:hint="eastAsia" w:ascii="宋体" w:hAnsi="宋体"/>
          <w:color w:val="auto"/>
          <w:sz w:val="24"/>
          <w:highlight w:val="none"/>
          <w:u w:val="single"/>
        </w:rPr>
      </w:pPr>
      <w:r>
        <w:rPr>
          <w:rFonts w:hint="eastAsia" w:ascii="宋体" w:hAnsi="宋体"/>
          <w:color w:val="auto"/>
          <w:sz w:val="24"/>
          <w:highlight w:val="none"/>
        </w:rPr>
        <w:t>（1）产品(货物)部分:</w:t>
      </w:r>
      <w:r>
        <w:rPr>
          <w:rFonts w:hint="eastAsia" w:ascii="宋体" w:hAnsi="宋体"/>
          <w:color w:val="auto"/>
          <w:sz w:val="24"/>
          <w:highlight w:val="none"/>
          <w:u w:val="single"/>
        </w:rPr>
        <w:t>所提供产品(货物)必须是全新未使用过的，符合规定的技术参数和使用要求，符合国家相关部门规定的质量检验标准以及三包要求，并须保证使用方在使用期间不受第三方提出侵犯其专利权、商标权和工业设计权的起诉，满足采购人使用要求。</w:t>
      </w:r>
    </w:p>
    <w:p w14:paraId="1A044A90">
      <w:pPr>
        <w:spacing w:line="360" w:lineRule="auto"/>
        <w:ind w:firstLine="459"/>
        <w:rPr>
          <w:rFonts w:hint="eastAsia" w:ascii="宋体" w:hAnsi="宋体"/>
          <w:color w:val="auto"/>
          <w:sz w:val="24"/>
          <w:highlight w:val="none"/>
          <w:u w:val="single"/>
        </w:rPr>
      </w:pPr>
      <w:r>
        <w:rPr>
          <w:rFonts w:hint="eastAsia" w:ascii="宋体" w:hAnsi="宋体"/>
          <w:color w:val="auto"/>
          <w:sz w:val="24"/>
          <w:highlight w:val="none"/>
        </w:rPr>
        <w:t>（2）工程部分：</w:t>
      </w:r>
      <w:r>
        <w:rPr>
          <w:rFonts w:hint="eastAsia" w:ascii="宋体" w:hAnsi="宋体"/>
          <w:color w:val="auto"/>
          <w:sz w:val="24"/>
          <w:highlight w:val="none"/>
          <w:u w:val="single"/>
        </w:rPr>
        <w:t>符合国家、行业及地方现行的相关标准、规范和设计要求，一次性验收合格。</w:t>
      </w:r>
    </w:p>
    <w:p w14:paraId="265E968B">
      <w:pPr>
        <w:spacing w:line="360" w:lineRule="auto"/>
        <w:ind w:firstLine="480" w:firstLineChars="200"/>
        <w:rPr>
          <w:rFonts w:ascii="宋体" w:hAnsi="宋体"/>
          <w:bCs/>
          <w:color w:val="auto"/>
          <w:sz w:val="24"/>
          <w:highlight w:val="none"/>
        </w:rPr>
      </w:pPr>
      <w:bookmarkStart w:id="265" w:name="_Toc351203484"/>
      <w:r>
        <w:rPr>
          <w:rFonts w:hint="eastAsia" w:ascii="宋体" w:hAnsi="宋体"/>
          <w:color w:val="auto"/>
          <w:sz w:val="24"/>
          <w:highlight w:val="none"/>
        </w:rPr>
        <w:t>四、签约合同价与合同价格形式</w:t>
      </w:r>
      <w:bookmarkEnd w:id="265"/>
      <w:r>
        <w:rPr>
          <w:rFonts w:hint="eastAsia" w:ascii="宋体" w:hAnsi="宋体"/>
          <w:color w:val="auto"/>
          <w:sz w:val="24"/>
          <w:highlight w:val="none"/>
        </w:rPr>
        <w:tab/>
      </w:r>
    </w:p>
    <w:p w14:paraId="6E22746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1.签约合同价为：</w:t>
      </w:r>
    </w:p>
    <w:p w14:paraId="29667869">
      <w:pPr>
        <w:spacing w:line="360" w:lineRule="auto"/>
        <w:ind w:firstLine="600" w:firstLineChars="250"/>
        <w:rPr>
          <w:rFonts w:ascii="宋体" w:hAnsi="宋体"/>
          <w:color w:val="auto"/>
          <w:sz w:val="24"/>
          <w:highlight w:val="non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567B4A1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2.合同价格形式：</w:t>
      </w:r>
      <w:r>
        <w:rPr>
          <w:rFonts w:hint="eastAsia" w:ascii="宋体" w:hAnsi="宋体"/>
          <w:color w:val="auto"/>
          <w:sz w:val="24"/>
          <w:highlight w:val="none"/>
          <w:u w:val="single"/>
        </w:rPr>
        <w:t>                      </w:t>
      </w:r>
      <w:r>
        <w:rPr>
          <w:rFonts w:hint="eastAsia" w:ascii="宋体" w:hAnsi="宋体"/>
          <w:color w:val="auto"/>
          <w:sz w:val="24"/>
          <w:highlight w:val="none"/>
        </w:rPr>
        <w:t>。</w:t>
      </w:r>
    </w:p>
    <w:p w14:paraId="52312BF8">
      <w:pPr>
        <w:spacing w:line="360" w:lineRule="auto"/>
        <w:ind w:firstLine="480" w:firstLineChars="200"/>
        <w:rPr>
          <w:rFonts w:hint="eastAsia" w:ascii="宋体" w:hAnsi="宋体" w:eastAsia="宋体"/>
          <w:color w:val="auto"/>
          <w:sz w:val="24"/>
          <w:highlight w:val="none"/>
          <w:lang w:eastAsia="zh-CN"/>
        </w:rPr>
      </w:pPr>
      <w:bookmarkStart w:id="266" w:name="_Toc351203485"/>
      <w:r>
        <w:rPr>
          <w:rFonts w:hint="eastAsia" w:ascii="宋体" w:hAnsi="宋体"/>
          <w:color w:val="auto"/>
          <w:sz w:val="24"/>
          <w:highlight w:val="none"/>
        </w:rPr>
        <w:t>五、</w:t>
      </w:r>
      <w:bookmarkEnd w:id="266"/>
      <w:r>
        <w:rPr>
          <w:rFonts w:hint="eastAsia" w:ascii="宋体" w:hAnsi="宋体"/>
          <w:color w:val="auto"/>
          <w:sz w:val="24"/>
          <w:highlight w:val="none"/>
          <w:lang w:eastAsia="zh-CN"/>
        </w:rPr>
        <w:t>项目负责人</w:t>
      </w:r>
    </w:p>
    <w:p w14:paraId="78510D8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w:t>
      </w:r>
      <w:r>
        <w:rPr>
          <w:rFonts w:hint="eastAsia" w:ascii="宋体" w:hAnsi="宋体"/>
          <w:color w:val="auto"/>
          <w:sz w:val="24"/>
          <w:highlight w:val="none"/>
          <w:lang w:eastAsia="zh-CN"/>
        </w:rPr>
        <w:t>项目负责人</w:t>
      </w:r>
      <w:r>
        <w:rPr>
          <w:rFonts w:hint="eastAsia" w:ascii="宋体" w:hAnsi="宋体"/>
          <w:color w:val="auto"/>
          <w:sz w:val="24"/>
          <w:highlight w:val="none"/>
        </w:rPr>
        <w:t>：</w:t>
      </w:r>
      <w:r>
        <w:rPr>
          <w:rFonts w:hint="eastAsia" w:ascii="宋体" w:hAnsi="宋体"/>
          <w:color w:val="auto"/>
          <w:sz w:val="24"/>
          <w:highlight w:val="none"/>
          <w:u w:val="single"/>
        </w:rPr>
        <w:t>                     </w:t>
      </w:r>
      <w:r>
        <w:rPr>
          <w:rFonts w:hint="eastAsia" w:ascii="宋体" w:hAnsi="宋体"/>
          <w:color w:val="auto"/>
          <w:sz w:val="24"/>
          <w:highlight w:val="none"/>
        </w:rPr>
        <w:t>。</w:t>
      </w:r>
    </w:p>
    <w:p w14:paraId="06359F49">
      <w:pPr>
        <w:spacing w:line="360" w:lineRule="auto"/>
        <w:ind w:firstLine="480" w:firstLineChars="200"/>
        <w:rPr>
          <w:rFonts w:ascii="宋体" w:hAnsi="宋体"/>
          <w:bCs/>
          <w:color w:val="auto"/>
          <w:sz w:val="24"/>
          <w:highlight w:val="none"/>
        </w:rPr>
      </w:pPr>
      <w:bookmarkStart w:id="267" w:name="_Toc351203486"/>
      <w:r>
        <w:rPr>
          <w:rFonts w:hint="eastAsia" w:ascii="宋体" w:hAnsi="宋体"/>
          <w:color w:val="auto"/>
          <w:sz w:val="24"/>
          <w:highlight w:val="none"/>
        </w:rPr>
        <w:t>六、合同文件构成</w:t>
      </w:r>
      <w:bookmarkEnd w:id="267"/>
    </w:p>
    <w:p w14:paraId="68C2EB8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本协议书与下列文件一起构成合同文件：</w:t>
      </w:r>
    </w:p>
    <w:p w14:paraId="4A0A3C5B">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（1）成交通知书；</w:t>
      </w:r>
    </w:p>
    <w:p w14:paraId="2686187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 xml:space="preserve">（2）报价函及其附录； </w:t>
      </w:r>
    </w:p>
    <w:p w14:paraId="2522825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（3）专用合同条款及其附件；</w:t>
      </w:r>
    </w:p>
    <w:p w14:paraId="056F73A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（4）通用合同条款；</w:t>
      </w:r>
    </w:p>
    <w:p w14:paraId="58CCE437">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（5）技术标准和要求；</w:t>
      </w:r>
    </w:p>
    <w:p w14:paraId="044698E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（6）图纸；</w:t>
      </w:r>
    </w:p>
    <w:p w14:paraId="4A6BEEC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（7）已标价工程量清单或预算书；</w:t>
      </w:r>
    </w:p>
    <w:p w14:paraId="55D1F40C">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（8）其他合同文件。</w:t>
      </w:r>
    </w:p>
    <w:p w14:paraId="582902C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在合同订立及履行过程中形成的与合同有关的文件均构成合同文件组成部分。</w:t>
      </w:r>
    </w:p>
    <w:p w14:paraId="25982F5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05CB63F3">
      <w:pPr>
        <w:spacing w:line="360" w:lineRule="auto"/>
        <w:ind w:firstLine="480" w:firstLineChars="200"/>
        <w:rPr>
          <w:rFonts w:ascii="宋体" w:hAnsi="宋体"/>
          <w:bCs/>
          <w:color w:val="auto"/>
          <w:sz w:val="24"/>
          <w:highlight w:val="none"/>
        </w:rPr>
      </w:pPr>
      <w:bookmarkStart w:id="268" w:name="_Toc351203487"/>
      <w:r>
        <w:rPr>
          <w:rFonts w:hint="eastAsia" w:ascii="宋体" w:hAnsi="宋体"/>
          <w:color w:val="auto"/>
          <w:sz w:val="24"/>
          <w:highlight w:val="none"/>
        </w:rPr>
        <w:t>七、承诺</w:t>
      </w:r>
      <w:bookmarkEnd w:id="268"/>
    </w:p>
    <w:p w14:paraId="62A73F8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1.发包人承诺按照法律规定履行项目审批手续、筹集工程建设资金并按照合同约定的期限和方式支付合同价款。</w:t>
      </w:r>
    </w:p>
    <w:p w14:paraId="6366EFD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3168A08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3.发包人和承包人通过竞争性磋商形式确定合作关系并签订合同，双方理解并承诺不再就同一工程另行签订与合同实质性内容相背离的协议。</w:t>
      </w:r>
    </w:p>
    <w:p w14:paraId="75D0F824">
      <w:pPr>
        <w:spacing w:line="360" w:lineRule="auto"/>
        <w:ind w:firstLine="480" w:firstLineChars="200"/>
        <w:rPr>
          <w:rFonts w:ascii="宋体" w:hAnsi="宋体"/>
          <w:bCs/>
          <w:color w:val="auto"/>
          <w:sz w:val="24"/>
          <w:highlight w:val="none"/>
        </w:rPr>
      </w:pPr>
      <w:bookmarkStart w:id="269" w:name="_Toc351203488"/>
      <w:r>
        <w:rPr>
          <w:rFonts w:hint="eastAsia" w:ascii="宋体" w:hAnsi="宋体"/>
          <w:color w:val="auto"/>
          <w:sz w:val="24"/>
          <w:highlight w:val="none"/>
        </w:rPr>
        <w:t>八、词语含义</w:t>
      </w:r>
      <w:bookmarkEnd w:id="269"/>
    </w:p>
    <w:p w14:paraId="0A8EA96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本协议书中词语含义与第二部分通用合同条款中赋予的含义相同。</w:t>
      </w:r>
    </w:p>
    <w:p w14:paraId="1C28262F">
      <w:pPr>
        <w:spacing w:line="360" w:lineRule="auto"/>
        <w:ind w:firstLine="480" w:firstLineChars="200"/>
        <w:rPr>
          <w:rFonts w:ascii="宋体" w:hAnsi="宋体"/>
          <w:bCs/>
          <w:color w:val="auto"/>
          <w:sz w:val="24"/>
          <w:highlight w:val="none"/>
        </w:rPr>
      </w:pPr>
      <w:bookmarkStart w:id="270" w:name="_Toc351203489"/>
      <w:r>
        <w:rPr>
          <w:rFonts w:hint="eastAsia" w:ascii="宋体" w:hAnsi="宋体"/>
          <w:color w:val="auto"/>
          <w:sz w:val="24"/>
          <w:highlight w:val="none"/>
        </w:rPr>
        <w:t>九、签订时间</w:t>
      </w:r>
      <w:bookmarkEnd w:id="270"/>
    </w:p>
    <w:p w14:paraId="3F15A58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日签订。</w:t>
      </w:r>
    </w:p>
    <w:p w14:paraId="478EC092">
      <w:pPr>
        <w:spacing w:line="360" w:lineRule="auto"/>
        <w:ind w:firstLine="480" w:firstLineChars="200"/>
        <w:rPr>
          <w:rFonts w:ascii="宋体" w:hAnsi="宋体"/>
          <w:bCs/>
          <w:color w:val="auto"/>
          <w:sz w:val="24"/>
          <w:highlight w:val="none"/>
        </w:rPr>
      </w:pPr>
      <w:bookmarkStart w:id="271" w:name="_Toc351203490"/>
      <w:r>
        <w:rPr>
          <w:rFonts w:hint="eastAsia" w:ascii="宋体" w:hAnsi="宋体"/>
          <w:color w:val="auto"/>
          <w:sz w:val="24"/>
          <w:highlight w:val="none"/>
        </w:rPr>
        <w:t>十、签订地点</w:t>
      </w:r>
      <w:bookmarkEnd w:id="271"/>
    </w:p>
    <w:p w14:paraId="42697EA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签订。</w:t>
      </w:r>
    </w:p>
    <w:p w14:paraId="7F2157CB">
      <w:pPr>
        <w:spacing w:line="360" w:lineRule="auto"/>
        <w:ind w:firstLine="480" w:firstLineChars="200"/>
        <w:rPr>
          <w:rFonts w:ascii="宋体" w:hAnsi="宋体"/>
          <w:bCs/>
          <w:color w:val="auto"/>
          <w:sz w:val="24"/>
          <w:highlight w:val="none"/>
        </w:rPr>
      </w:pPr>
      <w:bookmarkStart w:id="272" w:name="_Toc351203491"/>
      <w:r>
        <w:rPr>
          <w:rFonts w:hint="eastAsia" w:ascii="宋体" w:hAnsi="宋体"/>
          <w:color w:val="auto"/>
          <w:sz w:val="24"/>
          <w:highlight w:val="none"/>
        </w:rPr>
        <w:t>十一、补充协议</w:t>
      </w:r>
      <w:bookmarkEnd w:id="272"/>
    </w:p>
    <w:p w14:paraId="43C25A1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合同未尽事宜，合同当事人另行签订补充协议，补充协议是合同的组成部分。</w:t>
      </w:r>
    </w:p>
    <w:p w14:paraId="03E2E33E">
      <w:pPr>
        <w:spacing w:line="360" w:lineRule="auto"/>
        <w:ind w:firstLine="480" w:firstLineChars="200"/>
        <w:rPr>
          <w:rFonts w:ascii="宋体" w:hAnsi="宋体"/>
          <w:color w:val="auto"/>
          <w:sz w:val="24"/>
          <w:highlight w:val="none"/>
        </w:rPr>
      </w:pPr>
      <w:bookmarkStart w:id="273" w:name="_Toc351203492"/>
      <w:r>
        <w:rPr>
          <w:rFonts w:hint="eastAsia" w:ascii="宋体" w:hAnsi="宋体"/>
          <w:color w:val="auto"/>
          <w:sz w:val="24"/>
          <w:highlight w:val="none"/>
        </w:rPr>
        <w:t>十二、合同生效</w:t>
      </w:r>
      <w:bookmarkEnd w:id="273"/>
    </w:p>
    <w:p w14:paraId="0A914A7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none"/>
          <w:u w:val="single"/>
        </w:rPr>
        <w:t xml:space="preserve">                                   </w:t>
      </w:r>
      <w:r>
        <w:rPr>
          <w:rFonts w:hint="eastAsia" w:ascii="宋体" w:hAnsi="宋体"/>
          <w:bCs/>
          <w:color w:val="auto"/>
          <w:sz w:val="24"/>
          <w:highlight w:val="none"/>
        </w:rPr>
        <w:t>生效。</w:t>
      </w:r>
    </w:p>
    <w:p w14:paraId="5700184A">
      <w:pPr>
        <w:spacing w:line="360" w:lineRule="auto"/>
        <w:ind w:firstLine="480" w:firstLineChars="200"/>
        <w:rPr>
          <w:rFonts w:ascii="宋体" w:hAnsi="宋体"/>
          <w:color w:val="auto"/>
          <w:sz w:val="24"/>
          <w:highlight w:val="none"/>
        </w:rPr>
      </w:pPr>
      <w:bookmarkStart w:id="274" w:name="_Toc351203493"/>
      <w:r>
        <w:rPr>
          <w:rFonts w:hint="eastAsia" w:ascii="宋体" w:hAnsi="宋体"/>
          <w:color w:val="auto"/>
          <w:sz w:val="24"/>
          <w:highlight w:val="none"/>
        </w:rPr>
        <w:t>十三、合同份数</w:t>
      </w:r>
      <w:bookmarkEnd w:id="274"/>
    </w:p>
    <w:p w14:paraId="4E7CD82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本合同一式</w:t>
      </w:r>
      <w:r>
        <w:rPr>
          <w:rFonts w:hint="eastAsia" w:ascii="宋体" w:hAnsi="宋体"/>
          <w:bCs/>
          <w:color w:val="auto"/>
          <w:sz w:val="24"/>
          <w:highlight w:val="none"/>
          <w:u w:val="single"/>
        </w:rPr>
        <w:t xml:space="preserve">    </w:t>
      </w:r>
      <w:r>
        <w:rPr>
          <w:rFonts w:hint="eastAsia" w:ascii="宋体" w:hAnsi="宋体"/>
          <w:bCs/>
          <w:color w:val="auto"/>
          <w:sz w:val="24"/>
          <w:highlight w:val="none"/>
        </w:rPr>
        <w:t>份，均具有同等法律效力，发包人执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份，承包人执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w:t>
      </w:r>
      <w:r>
        <w:rPr>
          <w:rFonts w:hint="eastAsia" w:ascii="宋体" w:hAnsi="宋体"/>
          <w:color w:val="auto"/>
          <w:sz w:val="24"/>
          <w:highlight w:val="none"/>
          <w:lang w:val="zh-CN"/>
        </w:rPr>
        <w:t>采购代理机构</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r>
        <w:rPr>
          <w:rFonts w:hint="eastAsia" w:ascii="宋体" w:hAnsi="宋体"/>
          <w:color w:val="auto"/>
          <w:sz w:val="24"/>
          <w:highlight w:val="none"/>
        </w:rPr>
        <w:t xml:space="preserve"> </w:t>
      </w:r>
      <w:r>
        <w:rPr>
          <w:rFonts w:hint="eastAsia" w:ascii="宋体" w:hAnsi="宋体"/>
          <w:color w:val="auto"/>
          <w:sz w:val="24"/>
          <w:highlight w:val="none"/>
          <w:lang w:val="zh-CN"/>
        </w:rPr>
        <w:t>，</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市（县、区）财政部门</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p>
    <w:p w14:paraId="77977BF9">
      <w:pPr>
        <w:spacing w:line="360" w:lineRule="auto"/>
        <w:rPr>
          <w:rFonts w:ascii="宋体" w:hAnsi="宋体"/>
          <w:color w:val="auto"/>
          <w:sz w:val="24"/>
          <w:highlight w:val="none"/>
        </w:rPr>
      </w:pPr>
    </w:p>
    <w:p w14:paraId="527AD93F">
      <w:pPr>
        <w:spacing w:line="360" w:lineRule="auto"/>
        <w:rPr>
          <w:rFonts w:ascii="宋体" w:hAnsi="宋体"/>
          <w:color w:val="auto"/>
          <w:sz w:val="24"/>
          <w:highlight w:val="none"/>
        </w:rPr>
      </w:pPr>
    </w:p>
    <w:p w14:paraId="13EF23A7">
      <w:pPr>
        <w:spacing w:line="360" w:lineRule="auto"/>
        <w:ind w:left="424" w:leftChars="202"/>
        <w:rPr>
          <w:rFonts w:ascii="宋体" w:hAnsi="宋体"/>
          <w:color w:val="auto"/>
          <w:sz w:val="24"/>
          <w:highlight w:val="none"/>
        </w:rPr>
      </w:pPr>
      <w:r>
        <w:rPr>
          <w:rFonts w:hint="eastAsia" w:ascii="宋体" w:hAnsi="宋体"/>
          <w:color w:val="auto"/>
          <w:sz w:val="24"/>
          <w:highlight w:val="none"/>
        </w:rPr>
        <w:t>发包人：  (公章)             承包人：  (公章)</w:t>
      </w:r>
    </w:p>
    <w:p w14:paraId="567B9C23">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 xml:space="preserve">                                 </w:t>
      </w:r>
    </w:p>
    <w:p w14:paraId="5D91517B">
      <w:pPr>
        <w:spacing w:line="360" w:lineRule="auto"/>
        <w:ind w:left="424" w:leftChars="202"/>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3"/>
          <w:szCs w:val="23"/>
          <w:highlight w:val="none"/>
        </w:rPr>
        <w:t>授权代表</w:t>
      </w:r>
      <w:r>
        <w:rPr>
          <w:rFonts w:hint="eastAsia" w:ascii="宋体" w:hAnsi="宋体"/>
          <w:color w:val="auto"/>
          <w:sz w:val="24"/>
          <w:highlight w:val="none"/>
        </w:rPr>
        <w:t>：     法定代表人或其</w:t>
      </w:r>
      <w:r>
        <w:rPr>
          <w:rFonts w:hint="eastAsia" w:ascii="宋体" w:hAnsi="宋体"/>
          <w:color w:val="auto"/>
          <w:sz w:val="23"/>
          <w:szCs w:val="23"/>
          <w:highlight w:val="none"/>
        </w:rPr>
        <w:t>授权代表</w:t>
      </w:r>
      <w:r>
        <w:rPr>
          <w:rFonts w:hint="eastAsia" w:ascii="宋体" w:hAnsi="宋体"/>
          <w:color w:val="auto"/>
          <w:sz w:val="24"/>
          <w:highlight w:val="none"/>
        </w:rPr>
        <w:t>：</w:t>
      </w:r>
    </w:p>
    <w:p w14:paraId="4859464A">
      <w:pPr>
        <w:spacing w:line="360" w:lineRule="auto"/>
        <w:ind w:left="424" w:leftChars="202"/>
        <w:rPr>
          <w:rFonts w:ascii="宋体" w:hAnsi="宋体"/>
          <w:color w:val="auto"/>
          <w:sz w:val="24"/>
          <w:highlight w:val="none"/>
        </w:rPr>
      </w:pPr>
      <w:r>
        <w:rPr>
          <w:rFonts w:hint="eastAsia" w:ascii="宋体" w:hAnsi="宋体"/>
          <w:color w:val="auto"/>
          <w:sz w:val="24"/>
          <w:highlight w:val="none"/>
        </w:rPr>
        <w:t>（签字或盖章）                    （签字或盖章）</w:t>
      </w:r>
    </w:p>
    <w:p w14:paraId="4F41A677">
      <w:pPr>
        <w:spacing w:line="360" w:lineRule="auto"/>
        <w:ind w:left="424" w:leftChars="202"/>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     </w:t>
      </w:r>
    </w:p>
    <w:p w14:paraId="2E434B4A">
      <w:pPr>
        <w:spacing w:line="360" w:lineRule="auto"/>
        <w:ind w:left="424" w:leftChars="202"/>
        <w:rPr>
          <w:rFonts w:ascii="宋体" w:hAnsi="宋体"/>
          <w:color w:val="auto"/>
          <w:sz w:val="24"/>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530E47B5">
      <w:pPr>
        <w:spacing w:line="360" w:lineRule="auto"/>
        <w:ind w:left="424" w:leftChars="202"/>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225894AA">
      <w:pPr>
        <w:spacing w:line="360" w:lineRule="auto"/>
        <w:ind w:left="424" w:leftChars="202"/>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31E09473">
      <w:pPr>
        <w:spacing w:line="360" w:lineRule="auto"/>
        <w:ind w:left="424" w:leftChars="202"/>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p>
    <w:p w14:paraId="05A1530F">
      <w:pPr>
        <w:spacing w:line="360" w:lineRule="auto"/>
        <w:ind w:left="424" w:leftChars="202"/>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3C006D0A">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    </w:t>
      </w:r>
    </w:p>
    <w:p w14:paraId="1F6603A7">
      <w:pPr>
        <w:spacing w:line="360" w:lineRule="auto"/>
        <w:ind w:left="424" w:leftChars="202"/>
        <w:rPr>
          <w:rFonts w:ascii="宋体" w:hAnsi="宋体"/>
          <w:color w:val="auto"/>
          <w:sz w:val="24"/>
          <w:highlight w:val="none"/>
          <w:u w:val="single"/>
        </w:rPr>
      </w:pPr>
    </w:p>
    <w:p w14:paraId="425AA94D">
      <w:pPr>
        <w:spacing w:line="360" w:lineRule="auto"/>
        <w:ind w:left="424" w:leftChars="202"/>
        <w:rPr>
          <w:rFonts w:ascii="宋体" w:hAnsi="宋体"/>
          <w:color w:val="auto"/>
          <w:sz w:val="24"/>
          <w:highlight w:val="none"/>
          <w:u w:val="single"/>
        </w:rPr>
      </w:pPr>
    </w:p>
    <w:p w14:paraId="79C2F545">
      <w:pPr>
        <w:spacing w:line="360" w:lineRule="auto"/>
        <w:ind w:left="424" w:leftChars="202"/>
        <w:rPr>
          <w:rFonts w:ascii="宋体" w:hAnsi="宋体"/>
          <w:color w:val="auto"/>
          <w:sz w:val="24"/>
          <w:highlight w:val="none"/>
          <w:u w:val="single"/>
        </w:rPr>
      </w:pPr>
    </w:p>
    <w:p w14:paraId="4B0E07E7">
      <w:pPr>
        <w:spacing w:line="360" w:lineRule="auto"/>
        <w:ind w:left="424" w:leftChars="202"/>
        <w:rPr>
          <w:rFonts w:ascii="宋体" w:hAnsi="宋体"/>
          <w:color w:val="auto"/>
          <w:sz w:val="24"/>
          <w:highlight w:val="none"/>
          <w:u w:val="single"/>
        </w:rPr>
      </w:pPr>
    </w:p>
    <w:p w14:paraId="593390AA">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20DFF5E3">
      <w:pPr>
        <w:jc w:val="center"/>
        <w:rPr>
          <w:rFonts w:ascii="宋体" w:hAnsi="宋体"/>
          <w:color w:val="auto"/>
          <w:sz w:val="24"/>
          <w:highlight w:val="none"/>
        </w:rPr>
      </w:pPr>
    </w:p>
    <w:p w14:paraId="0F37FB06">
      <w:pPr>
        <w:jc w:val="center"/>
        <w:rPr>
          <w:rFonts w:ascii="宋体" w:hAnsi="宋体"/>
          <w:color w:val="auto"/>
          <w:sz w:val="24"/>
          <w:highlight w:val="none"/>
        </w:rPr>
      </w:pPr>
    </w:p>
    <w:p w14:paraId="6A08B9C0">
      <w:pPr>
        <w:spacing w:line="360" w:lineRule="auto"/>
        <w:jc w:val="center"/>
        <w:rPr>
          <w:rFonts w:ascii="宋体" w:hAnsi="宋体"/>
          <w:color w:val="auto"/>
          <w:sz w:val="24"/>
          <w:highlight w:val="none"/>
        </w:rPr>
      </w:pPr>
      <w:r>
        <w:rPr>
          <w:rFonts w:hint="eastAsia" w:ascii="宋体" w:hAnsi="宋体"/>
          <w:color w:val="auto"/>
          <w:sz w:val="24"/>
          <w:highlight w:val="none"/>
        </w:rPr>
        <w:t>本合同通用条款执行</w:t>
      </w:r>
    </w:p>
    <w:p w14:paraId="39A76FAB">
      <w:pPr>
        <w:spacing w:line="360" w:lineRule="auto"/>
        <w:jc w:val="center"/>
        <w:rPr>
          <w:rFonts w:ascii="宋体" w:hAnsi="宋体"/>
          <w:color w:val="auto"/>
          <w:sz w:val="24"/>
          <w:highlight w:val="none"/>
        </w:rPr>
      </w:pPr>
      <w:r>
        <w:rPr>
          <w:rFonts w:hint="eastAsia" w:ascii="宋体" w:hAnsi="宋体"/>
          <w:color w:val="auto"/>
          <w:sz w:val="24"/>
          <w:highlight w:val="none"/>
        </w:rPr>
        <w:t>《建设工程施工合同示范文本》（GF—2017—0201）通用条款部分</w:t>
      </w:r>
    </w:p>
    <w:p w14:paraId="7E309983">
      <w:pPr>
        <w:spacing w:line="360" w:lineRule="auto"/>
        <w:jc w:val="center"/>
        <w:rPr>
          <w:rFonts w:ascii="宋体" w:hAnsi="宋体"/>
          <w:color w:val="auto"/>
          <w:sz w:val="24"/>
          <w:highlight w:val="none"/>
        </w:rPr>
      </w:pPr>
      <w:r>
        <w:rPr>
          <w:rFonts w:hint="eastAsia" w:ascii="宋体" w:hAnsi="宋体"/>
          <w:color w:val="auto"/>
          <w:sz w:val="24"/>
          <w:highlight w:val="none"/>
        </w:rPr>
        <w:t>（不再附录）</w:t>
      </w:r>
    </w:p>
    <w:p w14:paraId="2EF1C671">
      <w:pPr>
        <w:spacing w:line="360" w:lineRule="auto"/>
        <w:jc w:val="center"/>
        <w:rPr>
          <w:rFonts w:ascii="宋体" w:hAnsi="宋体"/>
          <w:color w:val="auto"/>
          <w:sz w:val="24"/>
          <w:highlight w:val="none"/>
        </w:rPr>
      </w:pPr>
    </w:p>
    <w:p w14:paraId="47457E72">
      <w:pPr>
        <w:spacing w:line="360" w:lineRule="auto"/>
        <w:jc w:val="center"/>
        <w:rPr>
          <w:rFonts w:ascii="宋体" w:hAnsi="宋体"/>
          <w:color w:val="auto"/>
          <w:sz w:val="24"/>
          <w:highlight w:val="none"/>
        </w:rPr>
      </w:pPr>
    </w:p>
    <w:p w14:paraId="5808585A">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13378F4C">
      <w:pPr>
        <w:pStyle w:val="5"/>
        <w:adjustRightInd w:val="0"/>
        <w:spacing w:before="0" w:after="0" w:line="360" w:lineRule="auto"/>
        <w:rPr>
          <w:rFonts w:ascii="宋体" w:hAnsi="宋体" w:eastAsia="宋体"/>
          <w:b w:val="0"/>
          <w:color w:val="auto"/>
          <w:sz w:val="24"/>
          <w:szCs w:val="24"/>
          <w:highlight w:val="none"/>
        </w:rPr>
      </w:pPr>
      <w:bookmarkStart w:id="275" w:name="_Toc351203633"/>
      <w:r>
        <w:rPr>
          <w:rFonts w:hint="eastAsia" w:ascii="宋体" w:hAnsi="宋体" w:eastAsia="宋体"/>
          <w:b w:val="0"/>
          <w:color w:val="auto"/>
          <w:sz w:val="24"/>
          <w:szCs w:val="24"/>
          <w:highlight w:val="none"/>
        </w:rPr>
        <w:t>1</w:t>
      </w:r>
      <w:bookmarkStart w:id="276" w:name="_Toc297120456"/>
      <w:bookmarkStart w:id="277" w:name="_Toc296891196"/>
      <w:bookmarkStart w:id="278" w:name="_Toc297048342"/>
      <w:bookmarkStart w:id="279" w:name="_Toc296347155"/>
      <w:bookmarkStart w:id="280" w:name="_Toc296503156"/>
      <w:bookmarkStart w:id="281" w:name="_Toc296944495"/>
      <w:bookmarkStart w:id="282" w:name="_Toc296346657"/>
      <w:bookmarkStart w:id="283" w:name="_Toc296890984"/>
      <w:bookmarkStart w:id="284" w:name="_Toc292559866"/>
      <w:bookmarkStart w:id="285" w:name="_Toc292559361"/>
      <w:r>
        <w:rPr>
          <w:rFonts w:hint="eastAsia" w:ascii="宋体" w:hAnsi="宋体" w:eastAsia="宋体"/>
          <w:b w:val="0"/>
          <w:color w:val="auto"/>
          <w:sz w:val="24"/>
          <w:szCs w:val="24"/>
          <w:highlight w:val="none"/>
        </w:rPr>
        <w:t>.  一般约定</w:t>
      </w:r>
      <w:bookmarkEnd w:id="275"/>
    </w:p>
    <w:bookmarkEnd w:id="276"/>
    <w:bookmarkEnd w:id="277"/>
    <w:bookmarkEnd w:id="278"/>
    <w:bookmarkEnd w:id="279"/>
    <w:bookmarkEnd w:id="280"/>
    <w:bookmarkEnd w:id="281"/>
    <w:bookmarkEnd w:id="282"/>
    <w:bookmarkEnd w:id="283"/>
    <w:bookmarkEnd w:id="284"/>
    <w:bookmarkEnd w:id="285"/>
    <w:p w14:paraId="398468D6">
      <w:pPr>
        <w:adjustRightInd w:val="0"/>
        <w:spacing w:line="360" w:lineRule="auto"/>
        <w:rPr>
          <w:rFonts w:ascii="宋体" w:hAnsi="宋体"/>
          <w:color w:val="auto"/>
          <w:sz w:val="24"/>
          <w:highlight w:val="none"/>
        </w:rPr>
      </w:pPr>
      <w:r>
        <w:rPr>
          <w:rFonts w:hint="eastAsia" w:ascii="宋体" w:hAnsi="宋体"/>
          <w:color w:val="auto"/>
          <w:sz w:val="24"/>
          <w:highlight w:val="none"/>
        </w:rPr>
        <w:t>1.1  词语定义</w:t>
      </w:r>
    </w:p>
    <w:p w14:paraId="02B9924F">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 合同</w:t>
      </w:r>
    </w:p>
    <w:p w14:paraId="72D78352">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1.1.1.10其他合同文件包括：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7C487E4">
      <w:pPr>
        <w:adjustRightInd w:val="0"/>
        <w:spacing w:line="360" w:lineRule="auto"/>
        <w:rPr>
          <w:rFonts w:ascii="宋体" w:hAnsi="宋体"/>
          <w:color w:val="auto"/>
          <w:sz w:val="24"/>
          <w:highlight w:val="none"/>
        </w:rPr>
      </w:pPr>
      <w:r>
        <w:rPr>
          <w:rFonts w:hint="eastAsia" w:ascii="宋体" w:hAnsi="宋体"/>
          <w:color w:val="auto"/>
          <w:sz w:val="24"/>
          <w:highlight w:val="none"/>
        </w:rPr>
        <w:t>1.1.2 合同当事人及其他相关方</w:t>
      </w:r>
    </w:p>
    <w:p w14:paraId="44B49D3C">
      <w:pPr>
        <w:adjustRightInd w:val="0"/>
        <w:spacing w:line="360" w:lineRule="auto"/>
        <w:rPr>
          <w:rFonts w:ascii="宋体" w:hAnsi="宋体"/>
          <w:color w:val="auto"/>
          <w:sz w:val="24"/>
          <w:highlight w:val="none"/>
        </w:rPr>
      </w:pPr>
      <w:r>
        <w:rPr>
          <w:rFonts w:hint="eastAsia" w:ascii="宋体" w:hAnsi="宋体"/>
          <w:color w:val="auto"/>
          <w:sz w:val="24"/>
          <w:highlight w:val="none"/>
        </w:rPr>
        <w:t>1.1.2.4监理人：</w:t>
      </w:r>
    </w:p>
    <w:p w14:paraId="6952B35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EE3335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753D4A1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35F4C70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0EEF5BD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 </w:t>
      </w:r>
      <w:r>
        <w:rPr>
          <w:rFonts w:hint="eastAsia" w:ascii="宋体" w:hAnsi="宋体"/>
          <w:color w:val="auto"/>
          <w:sz w:val="24"/>
          <w:highlight w:val="none"/>
        </w:rPr>
        <w:t>。</w:t>
      </w:r>
    </w:p>
    <w:p w14:paraId="6E3D97AE">
      <w:pPr>
        <w:adjustRightInd w:val="0"/>
        <w:spacing w:line="360" w:lineRule="auto"/>
        <w:rPr>
          <w:rFonts w:ascii="宋体" w:hAnsi="宋体"/>
          <w:color w:val="auto"/>
          <w:sz w:val="24"/>
          <w:highlight w:val="none"/>
        </w:rPr>
      </w:pPr>
      <w:r>
        <w:rPr>
          <w:rFonts w:hint="eastAsia" w:ascii="宋体" w:hAnsi="宋体"/>
          <w:color w:val="auto"/>
          <w:sz w:val="24"/>
          <w:highlight w:val="none"/>
        </w:rPr>
        <w:t>1.1.2.5 设计人：</w:t>
      </w:r>
    </w:p>
    <w:p w14:paraId="2BCD632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5943016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194DFDF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2C6BB8E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7D3C3DC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00BD1D28">
      <w:pPr>
        <w:adjustRightInd w:val="0"/>
        <w:spacing w:line="360" w:lineRule="auto"/>
        <w:rPr>
          <w:rFonts w:ascii="宋体" w:hAnsi="宋体"/>
          <w:color w:val="auto"/>
          <w:sz w:val="24"/>
          <w:highlight w:val="none"/>
        </w:rPr>
      </w:pPr>
      <w:r>
        <w:rPr>
          <w:rFonts w:hint="eastAsia" w:ascii="宋体" w:hAnsi="宋体"/>
          <w:color w:val="auto"/>
          <w:sz w:val="24"/>
          <w:highlight w:val="none"/>
        </w:rPr>
        <w:t>1.1.3 工程和设备</w:t>
      </w:r>
    </w:p>
    <w:p w14:paraId="37E04780">
      <w:pPr>
        <w:adjustRightInd w:val="0"/>
        <w:spacing w:line="360" w:lineRule="auto"/>
        <w:rPr>
          <w:rFonts w:ascii="宋体" w:hAnsi="宋体"/>
          <w:color w:val="auto"/>
          <w:sz w:val="24"/>
          <w:highlight w:val="none"/>
        </w:rPr>
      </w:pPr>
      <w:r>
        <w:rPr>
          <w:rFonts w:hint="eastAsia" w:ascii="宋体" w:hAnsi="宋体"/>
          <w:color w:val="auto"/>
          <w:sz w:val="24"/>
          <w:highlight w:val="none"/>
        </w:rPr>
        <w:t>1.1.3.7 作为施工现场组成部分的其他场所包括：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8AAA69F">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1.1.3.9 永久占地包括：</w:t>
      </w:r>
      <w:r>
        <w:rPr>
          <w:rFonts w:hint="eastAsia" w:ascii="宋体" w:hAnsi="宋体"/>
          <w:color w:val="auto"/>
          <w:sz w:val="24"/>
          <w:highlight w:val="none"/>
          <w:u w:val="single"/>
        </w:rPr>
        <w:t xml:space="preserve">                        </w:t>
      </w:r>
      <w:r>
        <w:rPr>
          <w:rFonts w:hint="eastAsia" w:ascii="宋体" w:hAnsi="宋体"/>
          <w:color w:val="auto"/>
          <w:kern w:val="0"/>
          <w:sz w:val="24"/>
          <w:highlight w:val="none"/>
        </w:rPr>
        <w:t>。</w:t>
      </w:r>
    </w:p>
    <w:p w14:paraId="132C3114">
      <w:pPr>
        <w:adjustRightInd w:val="0"/>
        <w:spacing w:line="360" w:lineRule="auto"/>
        <w:jc w:val="left"/>
        <w:rPr>
          <w:rFonts w:ascii="宋体" w:hAnsi="宋体"/>
          <w:color w:val="auto"/>
          <w:sz w:val="24"/>
          <w:highlight w:val="none"/>
        </w:rPr>
      </w:pPr>
      <w:r>
        <w:rPr>
          <w:rFonts w:hint="eastAsia" w:ascii="宋体" w:hAnsi="宋体"/>
          <w:color w:val="auto"/>
          <w:kern w:val="0"/>
          <w:sz w:val="24"/>
          <w:highlight w:val="none"/>
        </w:rPr>
        <w:t>1.1.3.10 临时占地包括：</w:t>
      </w:r>
      <w:r>
        <w:rPr>
          <w:rFonts w:hint="eastAsia" w:ascii="宋体" w:hAnsi="宋体"/>
          <w:color w:val="auto"/>
          <w:sz w:val="24"/>
          <w:highlight w:val="none"/>
          <w:u w:val="single"/>
        </w:rPr>
        <w:t xml:space="preserve">                       </w:t>
      </w:r>
      <w:r>
        <w:rPr>
          <w:rFonts w:hint="eastAsia" w:ascii="宋体" w:hAnsi="宋体"/>
          <w:color w:val="auto"/>
          <w:kern w:val="0"/>
          <w:sz w:val="24"/>
          <w:highlight w:val="none"/>
        </w:rPr>
        <w:t>。</w:t>
      </w:r>
    </w:p>
    <w:p w14:paraId="41932C3E">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1.3法律 </w:t>
      </w:r>
    </w:p>
    <w:p w14:paraId="2029F99A">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适用于合同的其他规范性文件：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4D68AD1">
      <w:pPr>
        <w:adjustRightInd w:val="0"/>
        <w:spacing w:line="360" w:lineRule="auto"/>
        <w:rPr>
          <w:rFonts w:ascii="宋体" w:hAnsi="宋体"/>
          <w:color w:val="auto"/>
          <w:sz w:val="24"/>
          <w:highlight w:val="none"/>
        </w:rPr>
      </w:pPr>
      <w:r>
        <w:rPr>
          <w:rFonts w:hint="eastAsia" w:ascii="宋体" w:hAnsi="宋体"/>
          <w:color w:val="auto"/>
          <w:sz w:val="24"/>
          <w:highlight w:val="none"/>
        </w:rPr>
        <w:t>1.4 标准和规范</w:t>
      </w:r>
    </w:p>
    <w:p w14:paraId="4FC04675">
      <w:pPr>
        <w:adjustRightInd w:val="0"/>
        <w:spacing w:line="360" w:lineRule="auto"/>
        <w:rPr>
          <w:rFonts w:ascii="宋体" w:hAnsi="宋体"/>
          <w:color w:val="auto"/>
          <w:sz w:val="24"/>
          <w:highlight w:val="none"/>
        </w:rPr>
      </w:pPr>
      <w:r>
        <w:rPr>
          <w:rFonts w:hint="eastAsia" w:ascii="宋体" w:hAnsi="宋体"/>
          <w:color w:val="auto"/>
          <w:sz w:val="24"/>
          <w:highlight w:val="none"/>
        </w:rPr>
        <w:t>1.4.1适用于工程的标准规范包括：</w:t>
      </w:r>
      <w:r>
        <w:rPr>
          <w:rFonts w:hint="eastAsia" w:ascii="宋体" w:hAnsi="宋体"/>
          <w:color w:val="auto"/>
          <w:sz w:val="24"/>
          <w:highlight w:val="none"/>
          <w:u w:val="single"/>
        </w:rPr>
        <w:t>               </w:t>
      </w:r>
      <w:r>
        <w:rPr>
          <w:rFonts w:hint="eastAsia" w:ascii="宋体" w:hAnsi="宋体"/>
          <w:color w:val="auto"/>
          <w:sz w:val="24"/>
          <w:highlight w:val="none"/>
        </w:rPr>
        <w:t>。</w:t>
      </w:r>
    </w:p>
    <w:p w14:paraId="498FF77E">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1.4.2 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A8CC557">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发包人提供国外标准、规范的份数：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8BAFD82">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7C9588A">
      <w:pPr>
        <w:adjustRightInd w:val="0"/>
        <w:spacing w:line="360" w:lineRule="auto"/>
        <w:rPr>
          <w:rFonts w:ascii="宋体" w:hAnsi="宋体"/>
          <w:color w:val="auto"/>
          <w:sz w:val="24"/>
          <w:highlight w:val="none"/>
        </w:rPr>
      </w:pPr>
      <w:r>
        <w:rPr>
          <w:rFonts w:hint="eastAsia" w:ascii="宋体" w:hAnsi="宋体"/>
          <w:color w:val="auto"/>
          <w:sz w:val="24"/>
          <w:highlight w:val="none"/>
        </w:rPr>
        <w:t>1.4.3发包人对工程的技术标准和功能要求的特殊要求：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0FC9A">
      <w:pPr>
        <w:adjustRightInd w:val="0"/>
        <w:spacing w:line="360" w:lineRule="auto"/>
        <w:rPr>
          <w:rFonts w:ascii="宋体" w:hAnsi="宋体"/>
          <w:color w:val="auto"/>
          <w:sz w:val="24"/>
          <w:highlight w:val="none"/>
        </w:rPr>
      </w:pPr>
      <w:r>
        <w:rPr>
          <w:rFonts w:hint="eastAsia" w:ascii="宋体" w:hAnsi="宋体"/>
          <w:color w:val="auto"/>
          <w:sz w:val="24"/>
          <w:highlight w:val="none"/>
        </w:rPr>
        <w:t>1.5 合同文件的优先顺序</w:t>
      </w:r>
    </w:p>
    <w:p w14:paraId="2B11E16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合同文件组成及优先顺序为：</w:t>
      </w:r>
      <w:r>
        <w:rPr>
          <w:rFonts w:hint="eastAsia" w:ascii="宋体" w:hAnsi="宋体"/>
          <w:color w:val="auto"/>
          <w:sz w:val="24"/>
          <w:highlight w:val="none"/>
          <w:u w:val="single"/>
        </w:rPr>
        <w:t>      </w:t>
      </w:r>
      <w:r>
        <w:rPr>
          <w:rFonts w:hint="eastAsia" w:ascii="宋体" w:hAnsi="宋体"/>
          <w:color w:val="auto"/>
          <w:sz w:val="24"/>
          <w:highlight w:val="none"/>
        </w:rPr>
        <w:t>。</w:t>
      </w:r>
    </w:p>
    <w:p w14:paraId="18B63191">
      <w:pPr>
        <w:adjustRightInd w:val="0"/>
        <w:spacing w:line="360" w:lineRule="auto"/>
        <w:rPr>
          <w:rFonts w:ascii="宋体" w:hAnsi="宋体"/>
          <w:color w:val="auto"/>
          <w:sz w:val="24"/>
          <w:highlight w:val="none"/>
        </w:rPr>
      </w:pPr>
      <w:r>
        <w:rPr>
          <w:rFonts w:hint="eastAsia" w:ascii="宋体" w:hAnsi="宋体"/>
          <w:color w:val="auto"/>
          <w:sz w:val="24"/>
          <w:highlight w:val="none"/>
        </w:rPr>
        <w:t>1.6 图纸和承包人文件</w:t>
      </w:r>
      <w:r>
        <w:rPr>
          <w:rFonts w:hint="eastAsia" w:ascii="宋体" w:hAnsi="宋体"/>
          <w:color w:val="auto"/>
          <w:sz w:val="24"/>
          <w:highlight w:val="none"/>
        </w:rPr>
        <w:tab/>
      </w:r>
    </w:p>
    <w:p w14:paraId="5C0224C7">
      <w:pPr>
        <w:adjustRightInd w:val="0"/>
        <w:spacing w:line="360" w:lineRule="auto"/>
        <w:rPr>
          <w:rFonts w:ascii="宋体" w:hAnsi="宋体"/>
          <w:color w:val="auto"/>
          <w:sz w:val="24"/>
          <w:highlight w:val="none"/>
        </w:rPr>
      </w:pPr>
      <w:r>
        <w:rPr>
          <w:rFonts w:hint="eastAsia" w:ascii="宋体" w:hAnsi="宋体"/>
          <w:color w:val="auto"/>
          <w:sz w:val="24"/>
          <w:highlight w:val="none"/>
        </w:rPr>
        <w:t>1.6.1 图纸的提供</w:t>
      </w:r>
    </w:p>
    <w:p w14:paraId="386795C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    </w:t>
      </w:r>
      <w:r>
        <w:rPr>
          <w:rFonts w:hint="eastAsia" w:ascii="宋体" w:hAnsi="宋体"/>
          <w:color w:val="auto"/>
          <w:sz w:val="24"/>
          <w:highlight w:val="none"/>
        </w:rPr>
        <w:t>；</w:t>
      </w:r>
    </w:p>
    <w:p w14:paraId="6CB6860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    </w:t>
      </w:r>
      <w:r>
        <w:rPr>
          <w:rFonts w:hint="eastAsia" w:ascii="宋体" w:hAnsi="宋体"/>
          <w:color w:val="auto"/>
          <w:sz w:val="24"/>
          <w:highlight w:val="none"/>
        </w:rPr>
        <w:t>；</w:t>
      </w:r>
    </w:p>
    <w:p w14:paraId="1BE343C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olor w:val="auto"/>
          <w:sz w:val="24"/>
          <w:highlight w:val="none"/>
          <w:u w:val="single"/>
        </w:rPr>
        <w:t>    </w:t>
      </w:r>
      <w:r>
        <w:rPr>
          <w:rFonts w:hint="eastAsia" w:ascii="宋体" w:hAnsi="宋体"/>
          <w:color w:val="auto"/>
          <w:sz w:val="24"/>
          <w:highlight w:val="none"/>
        </w:rPr>
        <w:t>。</w:t>
      </w:r>
    </w:p>
    <w:p w14:paraId="68FE7461">
      <w:pPr>
        <w:adjustRightInd w:val="0"/>
        <w:spacing w:line="360" w:lineRule="auto"/>
        <w:rPr>
          <w:rFonts w:ascii="宋体" w:hAnsi="宋体"/>
          <w:color w:val="auto"/>
          <w:sz w:val="24"/>
          <w:highlight w:val="none"/>
        </w:rPr>
      </w:pPr>
      <w:r>
        <w:rPr>
          <w:rFonts w:hint="eastAsia" w:ascii="宋体" w:hAnsi="宋体"/>
          <w:color w:val="auto"/>
          <w:sz w:val="24"/>
          <w:highlight w:val="none"/>
        </w:rPr>
        <w:t>1.6.4 承包人文件</w:t>
      </w:r>
    </w:p>
    <w:p w14:paraId="28CC6BA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需要由承包人提供的文件，包括：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501156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承包人提供的文件的期限为：</w:t>
      </w:r>
      <w:r>
        <w:rPr>
          <w:rFonts w:hint="eastAsia" w:ascii="宋体" w:hAnsi="宋体"/>
          <w:color w:val="auto"/>
          <w:sz w:val="24"/>
          <w:highlight w:val="none"/>
          <w:u w:val="single"/>
        </w:rPr>
        <w:t>        </w:t>
      </w:r>
      <w:r>
        <w:rPr>
          <w:rFonts w:hint="eastAsia" w:ascii="宋体" w:hAnsi="宋体"/>
          <w:color w:val="auto"/>
          <w:sz w:val="24"/>
          <w:highlight w:val="none"/>
        </w:rPr>
        <w:t>；</w:t>
      </w:r>
    </w:p>
    <w:p w14:paraId="4258208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承包人提供的文件的数量为：</w:t>
      </w:r>
      <w:r>
        <w:rPr>
          <w:rFonts w:hint="eastAsia" w:ascii="宋体" w:hAnsi="宋体"/>
          <w:color w:val="auto"/>
          <w:sz w:val="24"/>
          <w:highlight w:val="none"/>
          <w:u w:val="single"/>
        </w:rPr>
        <w:t>          </w:t>
      </w:r>
      <w:r>
        <w:rPr>
          <w:rFonts w:hint="eastAsia" w:ascii="宋体" w:hAnsi="宋体"/>
          <w:color w:val="auto"/>
          <w:sz w:val="24"/>
          <w:highlight w:val="none"/>
        </w:rPr>
        <w:t>；</w:t>
      </w:r>
    </w:p>
    <w:p w14:paraId="0867458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承包人提供的文件的形式为：</w:t>
      </w:r>
      <w:r>
        <w:rPr>
          <w:rFonts w:hint="eastAsia" w:ascii="宋体" w:hAnsi="宋体"/>
          <w:color w:val="auto"/>
          <w:sz w:val="24"/>
          <w:highlight w:val="none"/>
          <w:u w:val="single"/>
        </w:rPr>
        <w:t>        </w:t>
      </w:r>
      <w:r>
        <w:rPr>
          <w:rFonts w:hint="eastAsia" w:ascii="宋体" w:hAnsi="宋体"/>
          <w:color w:val="auto"/>
          <w:sz w:val="24"/>
          <w:highlight w:val="none"/>
        </w:rPr>
        <w:t>；</w:t>
      </w:r>
    </w:p>
    <w:p w14:paraId="17C6A72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发包人审批承包人文件的期限：</w:t>
      </w:r>
      <w:r>
        <w:rPr>
          <w:rFonts w:hint="eastAsia" w:ascii="宋体" w:hAnsi="宋体"/>
          <w:color w:val="auto"/>
          <w:sz w:val="24"/>
          <w:highlight w:val="none"/>
          <w:u w:val="single"/>
        </w:rPr>
        <w:t>       </w:t>
      </w:r>
      <w:r>
        <w:rPr>
          <w:rFonts w:hint="eastAsia" w:ascii="宋体" w:hAnsi="宋体"/>
          <w:color w:val="auto"/>
          <w:sz w:val="24"/>
          <w:highlight w:val="none"/>
        </w:rPr>
        <w:t>。</w:t>
      </w:r>
    </w:p>
    <w:p w14:paraId="1FDC9D45">
      <w:pPr>
        <w:adjustRightInd w:val="0"/>
        <w:spacing w:line="360" w:lineRule="auto"/>
        <w:rPr>
          <w:rFonts w:ascii="宋体" w:hAnsi="宋体"/>
          <w:color w:val="auto"/>
          <w:sz w:val="24"/>
          <w:highlight w:val="none"/>
        </w:rPr>
      </w:pPr>
      <w:r>
        <w:rPr>
          <w:rFonts w:hint="eastAsia" w:ascii="宋体" w:hAnsi="宋体"/>
          <w:color w:val="auto"/>
          <w:sz w:val="24"/>
          <w:highlight w:val="none"/>
        </w:rPr>
        <w:t>1.6.5 现场图纸准备</w:t>
      </w:r>
    </w:p>
    <w:p w14:paraId="71A0FE3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关于现场图纸准备的约定：</w:t>
      </w:r>
      <w:r>
        <w:rPr>
          <w:rFonts w:hint="eastAsia" w:ascii="宋体" w:hAnsi="宋体"/>
          <w:color w:val="auto"/>
          <w:sz w:val="24"/>
          <w:highlight w:val="none"/>
          <w:u w:val="single"/>
        </w:rPr>
        <w:t>          </w:t>
      </w:r>
      <w:r>
        <w:rPr>
          <w:rFonts w:hint="eastAsia" w:ascii="宋体" w:hAnsi="宋体"/>
          <w:color w:val="auto"/>
          <w:sz w:val="24"/>
          <w:highlight w:val="none"/>
        </w:rPr>
        <w:t>。</w:t>
      </w:r>
    </w:p>
    <w:p w14:paraId="1E9B6422">
      <w:pPr>
        <w:adjustRightInd w:val="0"/>
        <w:spacing w:line="360" w:lineRule="auto"/>
        <w:rPr>
          <w:rFonts w:ascii="宋体" w:hAnsi="宋体"/>
          <w:color w:val="auto"/>
          <w:sz w:val="24"/>
          <w:highlight w:val="none"/>
        </w:rPr>
      </w:pPr>
      <w:r>
        <w:rPr>
          <w:rFonts w:hint="eastAsia" w:ascii="宋体" w:hAnsi="宋体"/>
          <w:color w:val="auto"/>
          <w:sz w:val="24"/>
          <w:highlight w:val="none"/>
        </w:rPr>
        <w:t>1.7 联络</w:t>
      </w:r>
    </w:p>
    <w:p w14:paraId="0CD7B1EA">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1.7.1发包人和承包人应当在</w:t>
      </w:r>
      <w:r>
        <w:rPr>
          <w:rFonts w:hint="eastAsia" w:ascii="宋体" w:hAnsi="宋体"/>
          <w:color w:val="auto"/>
          <w:sz w:val="24"/>
          <w:highlight w:val="none"/>
          <w:u w:val="single"/>
        </w:rPr>
        <w:t xml:space="preserve">    </w:t>
      </w:r>
      <w:r>
        <w:rPr>
          <w:rFonts w:hint="eastAsia" w:ascii="宋体" w:hAnsi="宋体"/>
          <w:color w:val="auto"/>
          <w:kern w:val="0"/>
          <w:sz w:val="24"/>
          <w:highlight w:val="none"/>
        </w:rPr>
        <w:t>天内将与合同有关的通知、批准、证明、证书、指示、指令、要求、请求、同意、意见、确定和决定等书面函件送达对方当事人。</w:t>
      </w:r>
    </w:p>
    <w:p w14:paraId="6C298520">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1.7.2 发包人接收文件的地点：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60FAC917">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发包人指定的接收人为：</w:t>
      </w:r>
      <w:r>
        <w:rPr>
          <w:rFonts w:hint="eastAsia" w:ascii="宋体" w:hAnsi="宋体"/>
          <w:color w:val="auto"/>
          <w:sz w:val="24"/>
          <w:highlight w:val="none"/>
          <w:u w:val="single"/>
        </w:rPr>
        <w:t>                </w:t>
      </w:r>
      <w:r>
        <w:rPr>
          <w:rFonts w:hint="eastAsia" w:ascii="宋体" w:hAnsi="宋体"/>
          <w:color w:val="auto"/>
          <w:kern w:val="0"/>
          <w:sz w:val="24"/>
          <w:highlight w:val="none"/>
        </w:rPr>
        <w:t>。</w:t>
      </w:r>
    </w:p>
    <w:p w14:paraId="003BD488">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承包人接收文件的地点：</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6832C4CF">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承包人指定的接收人为：</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5CC6F5A4">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0F419B4B">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监理人指定的接收人为：</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1075DFA5">
      <w:pPr>
        <w:adjustRightInd w:val="0"/>
        <w:spacing w:line="360" w:lineRule="auto"/>
        <w:rPr>
          <w:rFonts w:ascii="宋体" w:hAnsi="宋体"/>
          <w:color w:val="auto"/>
          <w:sz w:val="24"/>
          <w:highlight w:val="none"/>
        </w:rPr>
      </w:pPr>
      <w:r>
        <w:rPr>
          <w:rFonts w:hint="eastAsia" w:ascii="宋体" w:hAnsi="宋体"/>
          <w:color w:val="auto"/>
          <w:sz w:val="24"/>
          <w:highlight w:val="none"/>
        </w:rPr>
        <w:t>1.10 交通运输</w:t>
      </w:r>
    </w:p>
    <w:p w14:paraId="05879891">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286" w:name="_Toc303539100"/>
      <w:bookmarkStart w:id="287" w:name="_Toc318581155"/>
      <w:bookmarkStart w:id="288" w:name="_Toc304295521"/>
      <w:bookmarkStart w:id="289" w:name="_Toc300934943"/>
      <w:bookmarkStart w:id="290" w:name="_Toc312677986"/>
      <w:r>
        <w:rPr>
          <w:rFonts w:hint="eastAsia" w:ascii="宋体" w:hAnsi="宋体"/>
          <w:color w:val="auto"/>
          <w:sz w:val="24"/>
          <w:highlight w:val="none"/>
        </w:rPr>
        <w:t>.10.1 出入现场的权利</w:t>
      </w:r>
    </w:p>
    <w:p w14:paraId="7906C9B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关于出入现场的权利的约定：</w:t>
      </w:r>
      <w:r>
        <w:rPr>
          <w:rFonts w:hint="eastAsia" w:ascii="宋体" w:hAnsi="宋体"/>
          <w:color w:val="auto"/>
          <w:sz w:val="24"/>
          <w:highlight w:val="none"/>
          <w:u w:val="single"/>
        </w:rPr>
        <w:t>          </w:t>
      </w:r>
      <w:r>
        <w:rPr>
          <w:rFonts w:hint="eastAsia" w:ascii="宋体" w:hAnsi="宋体"/>
          <w:color w:val="auto"/>
          <w:sz w:val="24"/>
          <w:highlight w:val="none"/>
        </w:rPr>
        <w:t>。</w:t>
      </w:r>
    </w:p>
    <w:bookmarkEnd w:id="286"/>
    <w:bookmarkEnd w:id="287"/>
    <w:bookmarkEnd w:id="288"/>
    <w:bookmarkEnd w:id="289"/>
    <w:bookmarkEnd w:id="290"/>
    <w:p w14:paraId="1E113D90">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291" w:name="_Toc312677987"/>
      <w:bookmarkStart w:id="292" w:name="_Toc300934944"/>
      <w:bookmarkStart w:id="293" w:name="_Toc303539101"/>
      <w:bookmarkStart w:id="294" w:name="_Toc318581156"/>
      <w:bookmarkStart w:id="295" w:name="_Toc304295522"/>
      <w:r>
        <w:rPr>
          <w:rFonts w:hint="eastAsia" w:ascii="宋体" w:hAnsi="宋体"/>
          <w:color w:val="auto"/>
          <w:sz w:val="24"/>
          <w:highlight w:val="none"/>
        </w:rPr>
        <w:t>.10.3 场内交通</w:t>
      </w:r>
    </w:p>
    <w:p w14:paraId="3E3CF807">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关于场外交通和场内交通的边界的约定：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AF2A83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关于发包人向承包人免费提供满足工程施工需要的场内道路和交通设施的约定：</w:t>
      </w:r>
      <w:r>
        <w:rPr>
          <w:rFonts w:hint="eastAsia" w:ascii="宋体" w:hAnsi="宋体"/>
          <w:color w:val="auto"/>
          <w:sz w:val="24"/>
          <w:highlight w:val="none"/>
          <w:u w:val="single"/>
        </w:rPr>
        <w:t>    </w:t>
      </w:r>
      <w:r>
        <w:rPr>
          <w:rFonts w:hint="eastAsia" w:ascii="宋体" w:hAnsi="宋体"/>
          <w:color w:val="auto"/>
          <w:sz w:val="24"/>
          <w:highlight w:val="none"/>
        </w:rPr>
        <w:t>。</w:t>
      </w:r>
      <w:bookmarkEnd w:id="291"/>
      <w:bookmarkEnd w:id="292"/>
      <w:bookmarkEnd w:id="293"/>
      <w:bookmarkEnd w:id="294"/>
      <w:bookmarkEnd w:id="295"/>
      <w:r>
        <w:rPr>
          <w:rFonts w:hint="eastAsia" w:ascii="宋体" w:hAnsi="宋体"/>
          <w:color w:val="auto"/>
          <w:sz w:val="24"/>
          <w:highlight w:val="none"/>
        </w:rPr>
        <w:t xml:space="preserve"> </w:t>
      </w:r>
      <w:bookmarkStart w:id="296" w:name="_Toc318581157"/>
    </w:p>
    <w:p w14:paraId="5FFF9A0E">
      <w:pPr>
        <w:adjustRightInd w:val="0"/>
        <w:spacing w:line="360" w:lineRule="auto"/>
        <w:rPr>
          <w:rFonts w:ascii="宋体" w:hAnsi="宋体"/>
          <w:color w:val="auto"/>
          <w:sz w:val="24"/>
          <w:highlight w:val="none"/>
        </w:rPr>
      </w:pPr>
      <w:r>
        <w:rPr>
          <w:rFonts w:hint="eastAsia" w:ascii="宋体" w:hAnsi="宋体"/>
          <w:color w:val="auto"/>
          <w:sz w:val="24"/>
          <w:highlight w:val="none"/>
        </w:rPr>
        <w:t>1.10.4超大件和超重件的运输</w:t>
      </w:r>
    </w:p>
    <w:p w14:paraId="4AC2B9B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 xml:space="preserve">    </w:t>
      </w:r>
      <w:r>
        <w:rPr>
          <w:rFonts w:hint="eastAsia" w:ascii="宋体" w:hAnsi="宋体"/>
          <w:color w:val="auto"/>
          <w:sz w:val="24"/>
          <w:highlight w:val="none"/>
        </w:rPr>
        <w:t>承担。</w:t>
      </w:r>
    </w:p>
    <w:bookmarkEnd w:id="296"/>
    <w:p w14:paraId="62FD685D">
      <w:pPr>
        <w:adjustRightInd w:val="0"/>
        <w:spacing w:line="360" w:lineRule="auto"/>
        <w:rPr>
          <w:rFonts w:ascii="宋体" w:hAnsi="宋体"/>
          <w:color w:val="auto"/>
          <w:sz w:val="24"/>
          <w:highlight w:val="none"/>
        </w:rPr>
      </w:pPr>
      <w:r>
        <w:rPr>
          <w:rFonts w:hint="eastAsia" w:ascii="宋体" w:hAnsi="宋体"/>
          <w:color w:val="auto"/>
          <w:sz w:val="24"/>
          <w:highlight w:val="none"/>
        </w:rPr>
        <w:t>1.11 知识产权</w:t>
      </w:r>
    </w:p>
    <w:p w14:paraId="736A97EC">
      <w:pPr>
        <w:adjustRightInd w:val="0"/>
        <w:spacing w:line="360" w:lineRule="auto"/>
        <w:rPr>
          <w:rFonts w:ascii="宋体" w:hAnsi="宋体"/>
          <w:color w:val="auto"/>
          <w:sz w:val="24"/>
          <w:highlight w:val="none"/>
        </w:rPr>
      </w:pPr>
      <w:r>
        <w:rPr>
          <w:rFonts w:hint="eastAsia" w:ascii="宋体" w:hAnsi="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A807AEA">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关于发包人提供的上述文件的使用限制的要求：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B312270">
      <w:pPr>
        <w:adjustRightInd w:val="0"/>
        <w:spacing w:line="360" w:lineRule="auto"/>
        <w:jc w:val="left"/>
        <w:rPr>
          <w:rFonts w:ascii="宋体" w:hAnsi="宋体"/>
          <w:color w:val="auto"/>
          <w:sz w:val="24"/>
          <w:highlight w:val="none"/>
        </w:rPr>
      </w:pPr>
      <w:r>
        <w:rPr>
          <w:rFonts w:hint="eastAsia" w:ascii="宋体" w:hAnsi="宋体"/>
          <w:color w:val="auto"/>
          <w:sz w:val="24"/>
          <w:highlight w:val="none"/>
        </w:rPr>
        <w:t>1.11.2 关于承包人为实施工程所编制文件的著作权的归属：</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E33829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关于承包人提供的上述文件的使用限制的要求：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1948D1A">
      <w:pPr>
        <w:adjustRightInd w:val="0"/>
        <w:spacing w:line="360" w:lineRule="auto"/>
        <w:rPr>
          <w:rFonts w:ascii="宋体" w:hAnsi="宋体"/>
          <w:color w:val="auto"/>
          <w:kern w:val="0"/>
          <w:sz w:val="24"/>
          <w:highlight w:val="none"/>
        </w:rPr>
      </w:pPr>
      <w:r>
        <w:rPr>
          <w:rFonts w:hint="eastAsia" w:ascii="宋体" w:hAnsi="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2E449214">
      <w:pPr>
        <w:adjustRightInd w:val="0"/>
        <w:spacing w:line="360" w:lineRule="auto"/>
        <w:rPr>
          <w:rFonts w:ascii="宋体" w:hAnsi="宋体"/>
          <w:color w:val="auto"/>
          <w:sz w:val="24"/>
          <w:highlight w:val="none"/>
        </w:rPr>
      </w:pPr>
      <w:r>
        <w:rPr>
          <w:rFonts w:hint="eastAsia" w:ascii="宋体" w:hAnsi="宋体"/>
          <w:color w:val="auto"/>
          <w:sz w:val="24"/>
          <w:highlight w:val="none"/>
        </w:rPr>
        <w:t>1.13工程量清单错误的修正</w:t>
      </w:r>
    </w:p>
    <w:p w14:paraId="27F06B3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出现工程量清单错误时，是否调整合同价格：</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0A3FD61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允许调整合同价格的工程量偏差范围：</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34B792E3">
      <w:pPr>
        <w:pStyle w:val="5"/>
        <w:spacing w:before="0" w:after="0" w:line="360" w:lineRule="auto"/>
        <w:rPr>
          <w:rFonts w:ascii="宋体" w:hAnsi="宋体" w:eastAsia="宋体"/>
          <w:b w:val="0"/>
          <w:color w:val="auto"/>
          <w:sz w:val="24"/>
          <w:szCs w:val="24"/>
          <w:highlight w:val="none"/>
        </w:rPr>
      </w:pPr>
      <w:bookmarkStart w:id="297" w:name="_Toc351203634"/>
      <w:r>
        <w:rPr>
          <w:rFonts w:hint="eastAsia" w:ascii="宋体" w:hAnsi="宋体" w:eastAsia="宋体"/>
          <w:b w:val="0"/>
          <w:color w:val="auto"/>
          <w:sz w:val="24"/>
          <w:szCs w:val="24"/>
          <w:highlight w:val="none"/>
        </w:rPr>
        <w:t>2</w:t>
      </w:r>
      <w:bookmarkStart w:id="298" w:name="_Toc292559362"/>
      <w:bookmarkStart w:id="299" w:name="_Toc296891197"/>
      <w:bookmarkStart w:id="300" w:name="_Toc296346658"/>
      <w:bookmarkStart w:id="301" w:name="_Toc296944496"/>
      <w:bookmarkStart w:id="302" w:name="_Toc297048343"/>
      <w:bookmarkStart w:id="303" w:name="_Toc296890985"/>
      <w:bookmarkStart w:id="304" w:name="_Toc296503157"/>
      <w:bookmarkStart w:id="305" w:name="_Toc296347156"/>
      <w:bookmarkStart w:id="306" w:name="_Toc292559867"/>
      <w:bookmarkStart w:id="307" w:name="_Toc297120457"/>
      <w:r>
        <w:rPr>
          <w:rFonts w:hint="eastAsia" w:ascii="宋体" w:hAnsi="宋体" w:eastAsia="宋体"/>
          <w:b w:val="0"/>
          <w:color w:val="auto"/>
          <w:sz w:val="24"/>
          <w:szCs w:val="24"/>
          <w:highlight w:val="none"/>
        </w:rPr>
        <w:t>. 发包人</w:t>
      </w:r>
      <w:bookmarkEnd w:id="297"/>
    </w:p>
    <w:bookmarkEnd w:id="298"/>
    <w:bookmarkEnd w:id="299"/>
    <w:bookmarkEnd w:id="300"/>
    <w:bookmarkEnd w:id="301"/>
    <w:bookmarkEnd w:id="302"/>
    <w:bookmarkEnd w:id="303"/>
    <w:bookmarkEnd w:id="304"/>
    <w:bookmarkEnd w:id="305"/>
    <w:bookmarkEnd w:id="306"/>
    <w:bookmarkEnd w:id="307"/>
    <w:p w14:paraId="50724CBF">
      <w:pPr>
        <w:adjustRightInd w:val="0"/>
        <w:spacing w:line="360" w:lineRule="auto"/>
        <w:rPr>
          <w:rFonts w:ascii="宋体" w:hAnsi="宋体"/>
          <w:color w:val="auto"/>
          <w:sz w:val="24"/>
          <w:highlight w:val="none"/>
        </w:rPr>
      </w:pPr>
      <w:r>
        <w:rPr>
          <w:rFonts w:hint="eastAsia" w:ascii="宋体" w:hAnsi="宋体"/>
          <w:color w:val="auto"/>
          <w:sz w:val="24"/>
          <w:highlight w:val="none"/>
        </w:rPr>
        <w:t>2.2 发包人代表</w:t>
      </w:r>
    </w:p>
    <w:p w14:paraId="31B9AA0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发包人代表：</w:t>
      </w:r>
    </w:p>
    <w:p w14:paraId="2E3414A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43CC1CB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6998ED1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5F82073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 </w:t>
      </w:r>
      <w:r>
        <w:rPr>
          <w:rFonts w:hint="eastAsia" w:ascii="宋体" w:hAnsi="宋体"/>
          <w:color w:val="auto"/>
          <w:sz w:val="24"/>
          <w:highlight w:val="none"/>
        </w:rPr>
        <w:t>；</w:t>
      </w:r>
    </w:p>
    <w:p w14:paraId="3080BDD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  </w:t>
      </w:r>
      <w:r>
        <w:rPr>
          <w:rFonts w:hint="eastAsia" w:ascii="宋体" w:hAnsi="宋体"/>
          <w:color w:val="auto"/>
          <w:sz w:val="24"/>
          <w:highlight w:val="none"/>
        </w:rPr>
        <w:t>；</w:t>
      </w:r>
    </w:p>
    <w:p w14:paraId="5CEC4FA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4CE2995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发包人对发包人代表的授权范围如下：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6E51BE4">
      <w:pPr>
        <w:adjustRightInd w:val="0"/>
        <w:spacing w:line="360" w:lineRule="auto"/>
        <w:rPr>
          <w:rFonts w:ascii="宋体" w:hAnsi="宋体"/>
          <w:color w:val="auto"/>
          <w:sz w:val="24"/>
          <w:highlight w:val="none"/>
        </w:rPr>
      </w:pPr>
      <w:r>
        <w:rPr>
          <w:rFonts w:hint="eastAsia" w:ascii="宋体" w:hAnsi="宋体"/>
          <w:color w:val="auto"/>
          <w:sz w:val="24"/>
          <w:highlight w:val="none"/>
        </w:rPr>
        <w:t>2.4 施工现场、施工条件和基础资料的提供</w:t>
      </w:r>
    </w:p>
    <w:p w14:paraId="19EB73EA">
      <w:pPr>
        <w:adjustRightInd w:val="0"/>
        <w:spacing w:line="360" w:lineRule="auto"/>
        <w:rPr>
          <w:rFonts w:ascii="宋体" w:hAnsi="宋体"/>
          <w:color w:val="auto"/>
          <w:sz w:val="24"/>
          <w:highlight w:val="none"/>
        </w:rPr>
      </w:pPr>
      <w:r>
        <w:rPr>
          <w:rFonts w:hint="eastAsia" w:ascii="宋体" w:hAnsi="宋体"/>
          <w:color w:val="auto"/>
          <w:sz w:val="24"/>
          <w:highlight w:val="none"/>
        </w:rPr>
        <w:t>2.4.1 提供施工现场</w:t>
      </w:r>
    </w:p>
    <w:p w14:paraId="1D21A39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关于发包人移交施工现场的期限要求：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7705DC">
      <w:pPr>
        <w:adjustRightInd w:val="0"/>
        <w:spacing w:line="360" w:lineRule="auto"/>
        <w:rPr>
          <w:rFonts w:ascii="宋体" w:hAnsi="宋体"/>
          <w:color w:val="auto"/>
          <w:sz w:val="24"/>
          <w:highlight w:val="none"/>
        </w:rPr>
      </w:pPr>
      <w:r>
        <w:rPr>
          <w:rFonts w:hint="eastAsia" w:ascii="宋体" w:hAnsi="宋体"/>
          <w:color w:val="auto"/>
          <w:sz w:val="24"/>
          <w:highlight w:val="none"/>
        </w:rPr>
        <w:t>2.4.2 提供施工条件</w:t>
      </w:r>
    </w:p>
    <w:p w14:paraId="6C0854E8">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关于发包人应负责提供施工所需要的条件，包括：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16704">
      <w:pPr>
        <w:adjustRightInd w:val="0"/>
        <w:spacing w:line="360" w:lineRule="auto"/>
        <w:rPr>
          <w:rFonts w:ascii="宋体" w:hAnsi="宋体"/>
          <w:color w:val="auto"/>
          <w:sz w:val="24"/>
          <w:highlight w:val="none"/>
        </w:rPr>
      </w:pPr>
      <w:r>
        <w:rPr>
          <w:rFonts w:hint="eastAsia" w:ascii="宋体" w:hAnsi="宋体"/>
          <w:color w:val="auto"/>
          <w:sz w:val="24"/>
          <w:highlight w:val="none"/>
        </w:rPr>
        <w:t>2.5 资金来源证明及支付担保</w:t>
      </w:r>
    </w:p>
    <w:p w14:paraId="194E7D7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发包人提供资金来源证明的期限要求：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8A6F1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发包人是否提供支付担保：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1667F52">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发包人提供支付担保的形式：</w:t>
      </w:r>
      <w:r>
        <w:rPr>
          <w:rFonts w:hint="eastAsia" w:ascii="宋体" w:hAnsi="宋体"/>
          <w:color w:val="auto"/>
          <w:sz w:val="24"/>
          <w:highlight w:val="none"/>
          <w:u w:val="single"/>
        </w:rPr>
        <w:t>                     </w:t>
      </w:r>
      <w:r>
        <w:rPr>
          <w:rFonts w:hint="eastAsia" w:ascii="宋体" w:hAnsi="宋体"/>
          <w:color w:val="auto"/>
          <w:sz w:val="24"/>
          <w:highlight w:val="none"/>
        </w:rPr>
        <w:t>。</w:t>
      </w:r>
    </w:p>
    <w:p w14:paraId="1AB46F75">
      <w:pPr>
        <w:pStyle w:val="5"/>
        <w:spacing w:before="0" w:after="0" w:line="360" w:lineRule="auto"/>
        <w:rPr>
          <w:rFonts w:ascii="宋体" w:hAnsi="宋体" w:eastAsia="宋体"/>
          <w:b w:val="0"/>
          <w:color w:val="auto"/>
          <w:sz w:val="24"/>
          <w:szCs w:val="24"/>
          <w:highlight w:val="none"/>
        </w:rPr>
      </w:pPr>
      <w:bookmarkStart w:id="308" w:name="_Toc351203635"/>
      <w:r>
        <w:rPr>
          <w:rFonts w:hint="eastAsia" w:ascii="宋体" w:hAnsi="宋体" w:eastAsia="宋体"/>
          <w:b w:val="0"/>
          <w:color w:val="auto"/>
          <w:sz w:val="24"/>
          <w:szCs w:val="24"/>
          <w:highlight w:val="none"/>
        </w:rPr>
        <w:t>3</w:t>
      </w:r>
      <w:bookmarkStart w:id="309" w:name="_Toc297048344"/>
      <w:bookmarkStart w:id="310" w:name="_Toc296944497"/>
      <w:bookmarkStart w:id="311" w:name="_Toc297120458"/>
      <w:bookmarkStart w:id="312" w:name="_Toc292559363"/>
      <w:bookmarkStart w:id="313" w:name="_Toc296347157"/>
      <w:bookmarkStart w:id="314" w:name="_Toc296890986"/>
      <w:bookmarkStart w:id="315" w:name="_Toc296891198"/>
      <w:bookmarkStart w:id="316" w:name="_Toc296346659"/>
      <w:bookmarkStart w:id="317" w:name="_Toc292559868"/>
      <w:bookmarkStart w:id="318" w:name="_Toc296503158"/>
      <w:r>
        <w:rPr>
          <w:rFonts w:hint="eastAsia" w:ascii="宋体" w:hAnsi="宋体" w:eastAsia="宋体"/>
          <w:b w:val="0"/>
          <w:color w:val="auto"/>
          <w:sz w:val="24"/>
          <w:szCs w:val="24"/>
          <w:highlight w:val="none"/>
        </w:rPr>
        <w:t>. 承包人</w:t>
      </w:r>
      <w:bookmarkEnd w:id="308"/>
    </w:p>
    <w:bookmarkEnd w:id="309"/>
    <w:bookmarkEnd w:id="310"/>
    <w:bookmarkEnd w:id="311"/>
    <w:bookmarkEnd w:id="312"/>
    <w:bookmarkEnd w:id="313"/>
    <w:bookmarkEnd w:id="314"/>
    <w:bookmarkEnd w:id="315"/>
    <w:bookmarkEnd w:id="316"/>
    <w:bookmarkEnd w:id="317"/>
    <w:bookmarkEnd w:id="318"/>
    <w:p w14:paraId="2D2BB69A">
      <w:pPr>
        <w:spacing w:line="360" w:lineRule="auto"/>
        <w:rPr>
          <w:rFonts w:ascii="宋体" w:hAnsi="宋体"/>
          <w:color w:val="auto"/>
          <w:sz w:val="24"/>
          <w:highlight w:val="none"/>
        </w:rPr>
      </w:pPr>
      <w:r>
        <w:rPr>
          <w:rFonts w:hint="eastAsia" w:ascii="宋体" w:hAnsi="宋体"/>
          <w:color w:val="auto"/>
          <w:sz w:val="24"/>
          <w:highlight w:val="none"/>
        </w:rPr>
        <w:t>3.1 承包人的一般义务</w:t>
      </w:r>
    </w:p>
    <w:p w14:paraId="71DCEA7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（9）</w:t>
      </w:r>
      <w:r>
        <w:rPr>
          <w:rFonts w:hint="eastAsia" w:ascii="宋体" w:hAnsi="宋体"/>
          <w:color w:val="auto"/>
          <w:sz w:val="24"/>
          <w:highlight w:val="none"/>
        </w:rPr>
        <w:t>承包人提交的竣工资料的内容：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3AFDC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承包人需要提交的竣工资料套数：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44CA47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承包人提交的竣工资料的费用承担：</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1D055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承包人提交的竣工资料移交时间：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BDB03F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承包人提交的竣工资料形式要求：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0AF77E3">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（10）承包人应履行的其他义务：</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B09FEB">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3.2 </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p>
    <w:p w14:paraId="6AE61A72">
      <w:pPr>
        <w:spacing w:line="360" w:lineRule="auto"/>
        <w:rPr>
          <w:rFonts w:ascii="宋体" w:hAnsi="宋体"/>
          <w:color w:val="auto"/>
          <w:sz w:val="24"/>
          <w:highlight w:val="none"/>
        </w:rPr>
      </w:pPr>
      <w:r>
        <w:rPr>
          <w:rFonts w:hint="eastAsia" w:ascii="宋体" w:hAnsi="宋体"/>
          <w:color w:val="auto"/>
          <w:kern w:val="0"/>
          <w:sz w:val="24"/>
          <w:highlight w:val="none"/>
        </w:rPr>
        <w:t xml:space="preserve">3.2.1 </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w:t>
      </w:r>
    </w:p>
    <w:p w14:paraId="4EFA3CAE">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3CB4571F">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23C598FF">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建造师执业资格等级：</w:t>
      </w:r>
      <w:r>
        <w:rPr>
          <w:rFonts w:hint="eastAsia" w:ascii="宋体" w:hAnsi="宋体"/>
          <w:color w:val="auto"/>
          <w:sz w:val="24"/>
          <w:highlight w:val="none"/>
          <w:u w:val="single"/>
        </w:rPr>
        <w:t>   </w:t>
      </w:r>
      <w:r>
        <w:rPr>
          <w:rFonts w:hint="eastAsia" w:ascii="宋体" w:hAnsi="宋体"/>
          <w:color w:val="auto"/>
          <w:sz w:val="24"/>
          <w:highlight w:val="none"/>
        </w:rPr>
        <w:t>；</w:t>
      </w:r>
    </w:p>
    <w:p w14:paraId="61113D3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建造师注册证书号：</w:t>
      </w:r>
      <w:r>
        <w:rPr>
          <w:rFonts w:hint="eastAsia" w:ascii="宋体" w:hAnsi="宋体"/>
          <w:color w:val="auto"/>
          <w:sz w:val="24"/>
          <w:highlight w:val="none"/>
          <w:u w:val="single"/>
        </w:rPr>
        <w:t> </w:t>
      </w:r>
      <w:r>
        <w:rPr>
          <w:rFonts w:hint="eastAsia" w:ascii="宋体" w:hAnsi="宋体"/>
          <w:color w:val="auto"/>
          <w:sz w:val="24"/>
          <w:highlight w:val="none"/>
        </w:rPr>
        <w:t>；</w:t>
      </w:r>
    </w:p>
    <w:p w14:paraId="73E49186">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建造师执业印章号：</w:t>
      </w:r>
      <w:r>
        <w:rPr>
          <w:rFonts w:hint="eastAsia" w:ascii="宋体" w:hAnsi="宋体"/>
          <w:color w:val="auto"/>
          <w:sz w:val="24"/>
          <w:highlight w:val="none"/>
          <w:u w:val="single"/>
        </w:rPr>
        <w:t> </w:t>
      </w:r>
      <w:r>
        <w:rPr>
          <w:rFonts w:hint="eastAsia" w:ascii="宋体" w:hAnsi="宋体"/>
          <w:color w:val="auto"/>
          <w:sz w:val="24"/>
          <w:highlight w:val="none"/>
        </w:rPr>
        <w:t>；</w:t>
      </w:r>
    </w:p>
    <w:p w14:paraId="79DDF89E">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安全生产考核合格证书号：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4413B44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78EF111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4B51A732">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31EDB928">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承包人对</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49C588">
      <w:pPr>
        <w:spacing w:line="360" w:lineRule="auto"/>
        <w:ind w:left="-141" w:leftChars="-67"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w:t>
      </w: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每月在施工现场的时间要求：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5C6488">
      <w:pPr>
        <w:spacing w:line="360" w:lineRule="auto"/>
        <w:ind w:left="-141" w:leftChars="-67" w:firstLine="480" w:firstLineChars="200"/>
        <w:rPr>
          <w:rFonts w:ascii="宋体" w:hAnsi="宋体"/>
          <w:color w:val="auto"/>
          <w:kern w:val="0"/>
          <w:sz w:val="24"/>
          <w:highlight w:val="none"/>
        </w:rPr>
      </w:pPr>
      <w:r>
        <w:rPr>
          <w:rFonts w:hint="eastAsia" w:ascii="宋体" w:hAnsi="宋体"/>
          <w:color w:val="auto"/>
          <w:kern w:val="0"/>
          <w:sz w:val="24"/>
          <w:highlight w:val="none"/>
        </w:rPr>
        <w:t>承包人未提交劳动合同，以及没有为</w:t>
      </w: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缴纳社会保险证明的违约责任：</w:t>
      </w:r>
      <w:r>
        <w:rPr>
          <w:rFonts w:hint="eastAsia" w:ascii="宋体" w:hAnsi="宋体"/>
          <w:color w:val="auto"/>
          <w:sz w:val="24"/>
          <w:highlight w:val="none"/>
          <w:u w:val="single"/>
        </w:rPr>
        <w:t xml:space="preserve">                                                             </w:t>
      </w:r>
      <w:r>
        <w:rPr>
          <w:rFonts w:hint="eastAsia" w:ascii="宋体" w:hAnsi="宋体"/>
          <w:color w:val="auto"/>
          <w:sz w:val="24"/>
          <w:highlight w:val="none"/>
        </w:rPr>
        <w:t>。</w:t>
      </w:r>
    </w:p>
    <w:p w14:paraId="05247383">
      <w:pPr>
        <w:spacing w:line="360" w:lineRule="auto"/>
        <w:ind w:left="-141" w:leftChars="-67" w:firstLine="480" w:firstLineChars="200"/>
        <w:rPr>
          <w:rFonts w:ascii="宋体" w:hAnsi="宋体"/>
          <w:color w:val="auto"/>
          <w:sz w:val="24"/>
          <w:highlight w:val="none"/>
          <w:u w:val="single"/>
        </w:rPr>
      </w:pP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未经批准，擅自离开施工现场的违约责任：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D17E66D">
      <w:pPr>
        <w:spacing w:line="360" w:lineRule="auto"/>
        <w:rPr>
          <w:rFonts w:ascii="宋体" w:hAnsi="宋体"/>
          <w:color w:val="auto"/>
          <w:sz w:val="24"/>
          <w:highlight w:val="none"/>
        </w:rPr>
      </w:pPr>
      <w:r>
        <w:rPr>
          <w:rFonts w:hint="eastAsia" w:ascii="宋体" w:hAnsi="宋体"/>
          <w:color w:val="auto"/>
          <w:sz w:val="24"/>
          <w:highlight w:val="none"/>
        </w:rPr>
        <w:t>3.2.3 承包人擅自更换</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1350D55">
      <w:pPr>
        <w:spacing w:line="360" w:lineRule="auto"/>
        <w:rPr>
          <w:rFonts w:ascii="宋体" w:hAnsi="宋体"/>
          <w:color w:val="auto"/>
          <w:sz w:val="24"/>
          <w:highlight w:val="none"/>
        </w:rPr>
      </w:pPr>
      <w:r>
        <w:rPr>
          <w:rFonts w:hint="eastAsia" w:ascii="宋体" w:hAnsi="宋体"/>
          <w:color w:val="auto"/>
          <w:sz w:val="24"/>
          <w:highlight w:val="none"/>
        </w:rPr>
        <w:t>3.2.4 承包人无正当理由拒绝更换</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DDA19B">
      <w:pPr>
        <w:spacing w:line="360" w:lineRule="auto"/>
        <w:rPr>
          <w:rFonts w:ascii="宋体" w:hAnsi="宋体"/>
          <w:color w:val="auto"/>
          <w:sz w:val="24"/>
          <w:highlight w:val="none"/>
        </w:rPr>
      </w:pPr>
      <w:r>
        <w:rPr>
          <w:rFonts w:hint="eastAsia" w:ascii="宋体" w:hAnsi="宋体"/>
          <w:color w:val="auto"/>
          <w:sz w:val="24"/>
          <w:highlight w:val="none"/>
        </w:rPr>
        <w:t>3.3 承包人人员</w:t>
      </w:r>
    </w:p>
    <w:p w14:paraId="1AD438DC">
      <w:pPr>
        <w:spacing w:line="360" w:lineRule="auto"/>
        <w:rPr>
          <w:rFonts w:ascii="宋体" w:hAnsi="宋体"/>
          <w:color w:val="auto"/>
          <w:sz w:val="24"/>
          <w:highlight w:val="none"/>
        </w:rPr>
      </w:pPr>
      <w:r>
        <w:rPr>
          <w:rFonts w:hint="eastAsia" w:ascii="宋体" w:hAnsi="宋体"/>
          <w:color w:val="auto"/>
          <w:sz w:val="24"/>
          <w:highlight w:val="none"/>
        </w:rPr>
        <w:t>3.3.1 承包人提交项目管理机构及施工现场管理人员安排报告的期限：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48E7E76">
      <w:pPr>
        <w:spacing w:line="360" w:lineRule="auto"/>
        <w:jc w:val="left"/>
        <w:rPr>
          <w:rFonts w:ascii="宋体" w:hAnsi="宋体"/>
          <w:color w:val="auto"/>
          <w:sz w:val="24"/>
          <w:highlight w:val="none"/>
        </w:rPr>
      </w:pPr>
      <w:r>
        <w:rPr>
          <w:rFonts w:hint="eastAsia" w:ascii="宋体" w:hAnsi="宋体"/>
          <w:color w:val="auto"/>
          <w:sz w:val="24"/>
          <w:highlight w:val="none"/>
        </w:rPr>
        <w:t>3.3.3 承包人无正当理由拒绝撤换主要施工管理人员的违约责任：</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A6B2AF7">
      <w:pPr>
        <w:spacing w:line="360" w:lineRule="auto"/>
        <w:jc w:val="left"/>
        <w:rPr>
          <w:rFonts w:ascii="宋体" w:hAnsi="宋体"/>
          <w:color w:val="auto"/>
          <w:sz w:val="24"/>
          <w:highlight w:val="none"/>
          <w:u w:val="single"/>
        </w:rPr>
      </w:pPr>
      <w:r>
        <w:rPr>
          <w:rFonts w:hint="eastAsia" w:ascii="宋体" w:hAnsi="宋体"/>
          <w:color w:val="auto"/>
          <w:sz w:val="24"/>
          <w:highlight w:val="none"/>
        </w:rPr>
        <w:t xml:space="preserve">3.3.4 承包人主要施工管理人员离开施工现场的批准要求：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D38951">
      <w:pPr>
        <w:spacing w:line="360" w:lineRule="auto"/>
        <w:jc w:val="left"/>
        <w:rPr>
          <w:rFonts w:ascii="宋体" w:hAnsi="宋体"/>
          <w:color w:val="auto"/>
          <w:sz w:val="24"/>
          <w:highlight w:val="none"/>
        </w:rPr>
      </w:pPr>
      <w:r>
        <w:rPr>
          <w:rFonts w:hint="eastAsia" w:ascii="宋体" w:hAnsi="宋体"/>
          <w:color w:val="auto"/>
          <w:sz w:val="24"/>
          <w:highlight w:val="none"/>
        </w:rPr>
        <w:t>3.3.5承包人擅自更换主要施工管理人员的违约责任：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C8739FD">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承包人主要施工管理人员擅自离开施工现场的违约责任：</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BC90384">
      <w:pPr>
        <w:spacing w:line="360" w:lineRule="auto"/>
        <w:rPr>
          <w:rFonts w:ascii="宋体" w:hAnsi="宋体"/>
          <w:color w:val="auto"/>
          <w:sz w:val="24"/>
          <w:highlight w:val="none"/>
        </w:rPr>
      </w:pPr>
      <w:r>
        <w:rPr>
          <w:rFonts w:hint="eastAsia" w:ascii="宋体" w:hAnsi="宋体"/>
          <w:color w:val="auto"/>
          <w:sz w:val="24"/>
          <w:highlight w:val="none"/>
        </w:rPr>
        <w:t>3</w:t>
      </w:r>
      <w:bookmarkStart w:id="319" w:name="_Toc303539102"/>
      <w:bookmarkStart w:id="320" w:name="_Toc296891199"/>
      <w:bookmarkStart w:id="321" w:name="_Toc296503159"/>
      <w:bookmarkStart w:id="322" w:name="_Toc297048345"/>
      <w:bookmarkStart w:id="323" w:name="_Toc297123492"/>
      <w:bookmarkStart w:id="324" w:name="_Toc297120459"/>
      <w:bookmarkStart w:id="325" w:name="_Toc296890987"/>
      <w:bookmarkStart w:id="326" w:name="_Toc292559364"/>
      <w:bookmarkStart w:id="327" w:name="_Toc296347158"/>
      <w:bookmarkStart w:id="328" w:name="_Toc304295523"/>
      <w:bookmarkStart w:id="329" w:name="_Toc297216151"/>
      <w:bookmarkStart w:id="330" w:name="_Toc312677988"/>
      <w:bookmarkStart w:id="331" w:name="_Toc292559869"/>
      <w:bookmarkStart w:id="332" w:name="_Toc296346660"/>
      <w:bookmarkStart w:id="333" w:name="_Toc300934945"/>
      <w:bookmarkStart w:id="334" w:name="_Toc296944498"/>
      <w:r>
        <w:rPr>
          <w:rFonts w:hint="eastAsia" w:ascii="宋体" w:hAnsi="宋体"/>
          <w:color w:val="auto"/>
          <w:sz w:val="24"/>
          <w:highlight w:val="none"/>
        </w:rPr>
        <w:t>.5 分包</w:t>
      </w: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14:paraId="6F1A036D">
      <w:pPr>
        <w:spacing w:line="360" w:lineRule="auto"/>
        <w:rPr>
          <w:rFonts w:ascii="宋体" w:hAnsi="宋体"/>
          <w:color w:val="auto"/>
          <w:sz w:val="24"/>
          <w:highlight w:val="none"/>
        </w:rPr>
      </w:pPr>
      <w:r>
        <w:rPr>
          <w:rFonts w:hint="eastAsia" w:ascii="宋体" w:hAnsi="宋体"/>
          <w:color w:val="auto"/>
          <w:sz w:val="24"/>
          <w:highlight w:val="none"/>
        </w:rPr>
        <w:t>3</w:t>
      </w:r>
      <w:bookmarkStart w:id="335" w:name="_Toc292559870"/>
      <w:bookmarkStart w:id="336" w:name="_Toc296890988"/>
      <w:bookmarkStart w:id="337" w:name="_Toc296891200"/>
      <w:bookmarkStart w:id="338" w:name="_Toc296346661"/>
      <w:bookmarkStart w:id="339" w:name="_Toc297120460"/>
      <w:bookmarkStart w:id="340" w:name="_Toc304295524"/>
      <w:bookmarkStart w:id="341" w:name="_Toc296503160"/>
      <w:bookmarkStart w:id="342" w:name="_Toc303539103"/>
      <w:bookmarkStart w:id="343" w:name="_Toc297123493"/>
      <w:bookmarkStart w:id="344" w:name="_Toc300934946"/>
      <w:bookmarkStart w:id="345" w:name="_Toc297048346"/>
      <w:bookmarkStart w:id="346" w:name="_Toc296347159"/>
      <w:bookmarkStart w:id="347" w:name="_Toc292559365"/>
      <w:bookmarkStart w:id="348" w:name="_Toc297216152"/>
      <w:bookmarkStart w:id="349" w:name="_Toc296944499"/>
      <w:bookmarkStart w:id="350" w:name="_Toc318581158"/>
      <w:bookmarkStart w:id="351" w:name="_Toc312677989"/>
      <w:r>
        <w:rPr>
          <w:rFonts w:hint="eastAsia" w:ascii="宋体" w:hAnsi="宋体"/>
          <w:color w:val="auto"/>
          <w:sz w:val="24"/>
          <w:highlight w:val="none"/>
        </w:rPr>
        <w:t>.5.1 分包的一般约定</w:t>
      </w:r>
    </w:p>
    <w:p w14:paraId="4B0C059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禁止分包的工程包括：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3C964EE">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主体结构、关键性工作的范围：</w:t>
      </w:r>
      <w:r>
        <w:rPr>
          <w:rFonts w:hint="eastAsia" w:ascii="宋体" w:hAnsi="宋体"/>
          <w:color w:val="auto"/>
          <w:sz w:val="24"/>
          <w:highlight w:val="none"/>
          <w:u w:val="single"/>
        </w:rPr>
        <w:t xml:space="preserve">        /              </w:t>
      </w:r>
      <w:r>
        <w:rPr>
          <w:rFonts w:hint="eastAsia" w:ascii="宋体" w:hAnsi="宋体"/>
          <w:color w:val="auto"/>
          <w:sz w:val="24"/>
          <w:highlight w:val="none"/>
        </w:rPr>
        <w:t>。</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Start w:id="352" w:name="_Toc297120461"/>
      <w:bookmarkStart w:id="353" w:name="_Toc296944500"/>
      <w:bookmarkStart w:id="354" w:name="_Toc297048347"/>
      <w:bookmarkStart w:id="355" w:name="_Toc296891201"/>
      <w:bookmarkStart w:id="356" w:name="_Toc300934947"/>
      <w:bookmarkStart w:id="357" w:name="_Toc304295525"/>
      <w:bookmarkStart w:id="358" w:name="_Toc296346662"/>
      <w:bookmarkStart w:id="359" w:name="_Toc297123494"/>
      <w:bookmarkStart w:id="360" w:name="_Toc296890989"/>
      <w:bookmarkStart w:id="361" w:name="_Toc297216153"/>
      <w:bookmarkStart w:id="362" w:name="_Toc303539104"/>
      <w:bookmarkStart w:id="363" w:name="_Toc296503161"/>
      <w:bookmarkStart w:id="364" w:name="_Toc296347160"/>
    </w:p>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14:paraId="7B674A79">
      <w:pPr>
        <w:spacing w:line="360" w:lineRule="auto"/>
        <w:rPr>
          <w:rFonts w:ascii="宋体" w:hAnsi="宋体"/>
          <w:color w:val="auto"/>
          <w:sz w:val="24"/>
          <w:highlight w:val="none"/>
        </w:rPr>
      </w:pPr>
      <w:r>
        <w:rPr>
          <w:rFonts w:hint="eastAsia" w:ascii="宋体" w:hAnsi="宋体"/>
          <w:color w:val="auto"/>
          <w:sz w:val="24"/>
          <w:highlight w:val="none"/>
        </w:rPr>
        <w:t>3</w:t>
      </w:r>
      <w:bookmarkStart w:id="365" w:name="_Toc312677990"/>
      <w:bookmarkStart w:id="366" w:name="_Toc318581159"/>
      <w:r>
        <w:rPr>
          <w:rFonts w:hint="eastAsia" w:ascii="宋体" w:hAnsi="宋体"/>
          <w:color w:val="auto"/>
          <w:sz w:val="24"/>
          <w:highlight w:val="none"/>
        </w:rPr>
        <w:t>.5.2分包的确定</w:t>
      </w:r>
    </w:p>
    <w:p w14:paraId="5616A40E">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允许分包的专业工程包括：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BF393E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其他关于分包的约定：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222E758">
      <w:pPr>
        <w:spacing w:line="360" w:lineRule="auto"/>
        <w:rPr>
          <w:rFonts w:ascii="宋体" w:hAnsi="宋体"/>
          <w:color w:val="auto"/>
          <w:sz w:val="24"/>
          <w:highlight w:val="none"/>
        </w:rPr>
      </w:pPr>
      <w:r>
        <w:rPr>
          <w:rFonts w:hint="eastAsia" w:ascii="宋体" w:hAnsi="宋体"/>
          <w:color w:val="auto"/>
          <w:sz w:val="24"/>
          <w:highlight w:val="none"/>
        </w:rPr>
        <w:t>3.5.4 分包合同价款</w:t>
      </w:r>
    </w:p>
    <w:p w14:paraId="2162CD1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关于分包合同价款支付的约定：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365"/>
    <w:bookmarkEnd w:id="366"/>
    <w:p w14:paraId="563D6477">
      <w:pPr>
        <w:spacing w:line="360" w:lineRule="auto"/>
        <w:rPr>
          <w:rFonts w:ascii="宋体" w:hAnsi="宋体"/>
          <w:color w:val="auto"/>
          <w:sz w:val="24"/>
          <w:highlight w:val="none"/>
        </w:rPr>
      </w:pPr>
      <w:r>
        <w:rPr>
          <w:rFonts w:hint="eastAsia" w:ascii="宋体" w:hAnsi="宋体"/>
          <w:color w:val="auto"/>
          <w:sz w:val="24"/>
          <w:highlight w:val="none"/>
        </w:rPr>
        <w:t>3.6 工程照管与成品、半成品保护</w:t>
      </w:r>
    </w:p>
    <w:p w14:paraId="7BA53547">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承包人负责照管工程及工程相关的材料、工程设备的起始时间：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57CE1A9">
      <w:pPr>
        <w:spacing w:line="360" w:lineRule="auto"/>
        <w:rPr>
          <w:rFonts w:ascii="宋体" w:hAnsi="宋体"/>
          <w:color w:val="auto"/>
          <w:sz w:val="24"/>
          <w:highlight w:val="none"/>
        </w:rPr>
      </w:pPr>
      <w:r>
        <w:rPr>
          <w:rFonts w:hint="eastAsia" w:ascii="宋体" w:hAnsi="宋体"/>
          <w:color w:val="auto"/>
          <w:sz w:val="24"/>
          <w:highlight w:val="none"/>
        </w:rPr>
        <w:t>3.7 履约担保</w:t>
      </w:r>
    </w:p>
    <w:p w14:paraId="735BC57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承包人是否提供履约担保：</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合同谈判时另行约定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B29B5B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承包人提供履约担保的形式、金额及期限的：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合同谈判时另行约定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1396C59">
      <w:pPr>
        <w:pStyle w:val="5"/>
        <w:spacing w:before="0" w:after="0" w:line="360" w:lineRule="auto"/>
        <w:rPr>
          <w:rFonts w:ascii="宋体" w:hAnsi="宋体" w:eastAsia="宋体"/>
          <w:b w:val="0"/>
          <w:color w:val="auto"/>
          <w:sz w:val="24"/>
          <w:szCs w:val="24"/>
          <w:highlight w:val="none"/>
        </w:rPr>
      </w:pPr>
      <w:bookmarkStart w:id="367" w:name="_Toc351203636"/>
      <w:r>
        <w:rPr>
          <w:rFonts w:hint="eastAsia" w:ascii="宋体" w:hAnsi="宋体" w:eastAsia="宋体"/>
          <w:b w:val="0"/>
          <w:color w:val="auto"/>
          <w:sz w:val="24"/>
          <w:szCs w:val="24"/>
          <w:highlight w:val="none"/>
        </w:rPr>
        <w:t>4</w:t>
      </w:r>
      <w:bookmarkStart w:id="368" w:name="_Toc296503162"/>
      <w:bookmarkStart w:id="369" w:name="_Toc297048348"/>
      <w:bookmarkStart w:id="370" w:name="_Toc296890990"/>
      <w:bookmarkStart w:id="371" w:name="_Toc296891202"/>
      <w:bookmarkStart w:id="372" w:name="_Toc296944501"/>
      <w:bookmarkStart w:id="373" w:name="_Toc292559871"/>
      <w:bookmarkStart w:id="374" w:name="_Toc297120462"/>
      <w:bookmarkStart w:id="375" w:name="_Toc296347161"/>
      <w:bookmarkStart w:id="376" w:name="_Toc296346663"/>
      <w:bookmarkStart w:id="377" w:name="_Toc267251413"/>
      <w:bookmarkStart w:id="378" w:name="_Toc292559366"/>
      <w:r>
        <w:rPr>
          <w:rFonts w:hint="eastAsia" w:ascii="宋体" w:hAnsi="宋体" w:eastAsia="宋体"/>
          <w:b w:val="0"/>
          <w:color w:val="auto"/>
          <w:sz w:val="24"/>
          <w:szCs w:val="24"/>
          <w:highlight w:val="none"/>
        </w:rPr>
        <w:t>. 监</w:t>
      </w:r>
      <w:bookmarkEnd w:id="368"/>
      <w:bookmarkEnd w:id="369"/>
      <w:bookmarkEnd w:id="370"/>
      <w:bookmarkEnd w:id="371"/>
      <w:bookmarkEnd w:id="372"/>
      <w:bookmarkEnd w:id="373"/>
      <w:bookmarkEnd w:id="374"/>
      <w:bookmarkEnd w:id="375"/>
      <w:bookmarkEnd w:id="376"/>
      <w:bookmarkEnd w:id="377"/>
      <w:bookmarkEnd w:id="378"/>
      <w:r>
        <w:rPr>
          <w:rFonts w:hint="eastAsia" w:ascii="宋体" w:hAnsi="宋体" w:eastAsia="宋体"/>
          <w:b w:val="0"/>
          <w:color w:val="auto"/>
          <w:sz w:val="24"/>
          <w:szCs w:val="24"/>
          <w:highlight w:val="none"/>
        </w:rPr>
        <w:t>理人</w:t>
      </w:r>
      <w:bookmarkEnd w:id="367"/>
    </w:p>
    <w:p w14:paraId="3B2E17BA">
      <w:pPr>
        <w:spacing w:line="360" w:lineRule="auto"/>
        <w:rPr>
          <w:rFonts w:ascii="宋体" w:hAnsi="宋体"/>
          <w:color w:val="auto"/>
          <w:sz w:val="24"/>
          <w:highlight w:val="none"/>
        </w:rPr>
      </w:pPr>
      <w:r>
        <w:rPr>
          <w:rFonts w:hint="eastAsia" w:ascii="宋体" w:hAnsi="宋体"/>
          <w:color w:val="auto"/>
          <w:sz w:val="24"/>
          <w:highlight w:val="none"/>
        </w:rPr>
        <w:t>4.1监理人的一般规定</w:t>
      </w:r>
    </w:p>
    <w:p w14:paraId="6420C76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E03FA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关于监理人的监理权限：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DFD7D8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63CC506">
      <w:pPr>
        <w:spacing w:line="360" w:lineRule="auto"/>
        <w:rPr>
          <w:rFonts w:ascii="宋体" w:hAnsi="宋体"/>
          <w:color w:val="auto"/>
          <w:sz w:val="24"/>
          <w:highlight w:val="none"/>
        </w:rPr>
      </w:pPr>
      <w:r>
        <w:rPr>
          <w:rFonts w:hint="eastAsia" w:ascii="宋体" w:hAnsi="宋体"/>
          <w:color w:val="auto"/>
          <w:sz w:val="24"/>
          <w:highlight w:val="none"/>
        </w:rPr>
        <w:t>4.2 监理人员</w:t>
      </w:r>
    </w:p>
    <w:p w14:paraId="6E7B890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总监理工程师：</w:t>
      </w:r>
    </w:p>
    <w:p w14:paraId="0C4C00A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w:t>
      </w:r>
      <w:r>
        <w:rPr>
          <w:rFonts w:hint="eastAsia" w:ascii="宋体" w:hAnsi="宋体"/>
          <w:color w:val="auto"/>
          <w:sz w:val="24"/>
          <w:highlight w:val="none"/>
        </w:rPr>
        <w:t>；</w:t>
      </w:r>
    </w:p>
    <w:p w14:paraId="2BC24AF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7F578D3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监理工程师执业资格证书号：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0D72136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w:t>
      </w:r>
      <w:r>
        <w:rPr>
          <w:rFonts w:hint="eastAsia" w:ascii="宋体" w:hAnsi="宋体"/>
          <w:color w:val="auto"/>
          <w:sz w:val="24"/>
          <w:highlight w:val="none"/>
        </w:rPr>
        <w:t>；</w:t>
      </w:r>
    </w:p>
    <w:p w14:paraId="0A6EBF8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1677B0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746B0CF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关于监理人的其他约定：</w:t>
      </w:r>
      <w:r>
        <w:rPr>
          <w:rFonts w:hint="eastAsia" w:ascii="宋体" w:hAnsi="宋体"/>
          <w:color w:val="auto"/>
          <w:sz w:val="24"/>
          <w:highlight w:val="none"/>
          <w:u w:val="single"/>
        </w:rPr>
        <w:t>   </w:t>
      </w:r>
      <w:r>
        <w:rPr>
          <w:rFonts w:hint="eastAsia" w:ascii="宋体" w:hAnsi="宋体"/>
          <w:color w:val="auto"/>
          <w:sz w:val="24"/>
          <w:highlight w:val="none"/>
        </w:rPr>
        <w:t>。</w:t>
      </w:r>
    </w:p>
    <w:p w14:paraId="418A7D2A">
      <w:pPr>
        <w:spacing w:line="360" w:lineRule="auto"/>
        <w:rPr>
          <w:rFonts w:ascii="宋体" w:hAnsi="宋体"/>
          <w:color w:val="auto"/>
          <w:sz w:val="24"/>
          <w:highlight w:val="none"/>
        </w:rPr>
      </w:pPr>
      <w:r>
        <w:rPr>
          <w:rFonts w:hint="eastAsia" w:ascii="宋体" w:hAnsi="宋体"/>
          <w:color w:val="auto"/>
          <w:sz w:val="24"/>
          <w:highlight w:val="none"/>
        </w:rPr>
        <w:t>4.4 商定或确定</w:t>
      </w:r>
    </w:p>
    <w:p w14:paraId="78BACA8A">
      <w:pPr>
        <w:spacing w:line="360" w:lineRule="auto"/>
        <w:ind w:firstLine="480" w:firstLineChars="200"/>
        <w:rPr>
          <w:rFonts w:ascii="宋体" w:hAnsi="宋体"/>
          <w:color w:val="auto"/>
          <w:sz w:val="24"/>
          <w:highlight w:val="none"/>
        </w:rPr>
      </w:pPr>
      <w:bookmarkStart w:id="379" w:name="_Toc267251418"/>
      <w:r>
        <w:rPr>
          <w:rFonts w:hint="eastAsia" w:ascii="宋体" w:hAnsi="宋体"/>
          <w:color w:val="auto"/>
          <w:sz w:val="24"/>
          <w:highlight w:val="none"/>
        </w:rPr>
        <w:t>在发包人和承包人不能通过协商达成一致意见时，发包人授权监理人对以下事项进行确定：</w:t>
      </w:r>
    </w:p>
    <w:p w14:paraId="71B28240">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95716E">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03E2D65">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9E2763">
      <w:pPr>
        <w:pStyle w:val="5"/>
        <w:spacing w:before="0" w:after="0" w:line="360" w:lineRule="auto"/>
        <w:rPr>
          <w:rFonts w:ascii="宋体" w:hAnsi="宋体" w:eastAsia="宋体"/>
          <w:b w:val="0"/>
          <w:color w:val="auto"/>
          <w:sz w:val="24"/>
          <w:szCs w:val="24"/>
          <w:highlight w:val="none"/>
        </w:rPr>
      </w:pPr>
      <w:bookmarkStart w:id="380" w:name="_Toc351203637"/>
      <w:r>
        <w:rPr>
          <w:rFonts w:hint="eastAsia" w:ascii="宋体" w:hAnsi="宋体" w:eastAsia="宋体"/>
          <w:b w:val="0"/>
          <w:color w:val="auto"/>
          <w:sz w:val="24"/>
          <w:szCs w:val="24"/>
          <w:highlight w:val="none"/>
        </w:rPr>
        <w:t>5</w:t>
      </w:r>
      <w:bookmarkEnd w:id="379"/>
      <w:bookmarkStart w:id="381" w:name="_Toc296346664"/>
      <w:bookmarkStart w:id="382" w:name="_Toc296944502"/>
      <w:bookmarkStart w:id="383" w:name="_Toc292559872"/>
      <w:bookmarkStart w:id="384" w:name="_Toc297048349"/>
      <w:bookmarkStart w:id="385" w:name="_Toc292559367"/>
      <w:bookmarkStart w:id="386" w:name="_Toc297120463"/>
      <w:bookmarkStart w:id="387" w:name="_Toc296347162"/>
      <w:bookmarkStart w:id="388" w:name="_Toc296890991"/>
      <w:bookmarkStart w:id="389" w:name="_Toc296503163"/>
      <w:bookmarkStart w:id="390" w:name="_Toc296891203"/>
      <w:r>
        <w:rPr>
          <w:rFonts w:hint="eastAsia" w:ascii="宋体" w:hAnsi="宋体" w:eastAsia="宋体"/>
          <w:b w:val="0"/>
          <w:color w:val="auto"/>
          <w:sz w:val="24"/>
          <w:szCs w:val="24"/>
          <w:highlight w:val="none"/>
        </w:rPr>
        <w:t>. 工程质量</w:t>
      </w:r>
      <w:bookmarkEnd w:id="380"/>
    </w:p>
    <w:p w14:paraId="3457AEBD">
      <w:pPr>
        <w:spacing w:line="360" w:lineRule="auto"/>
        <w:rPr>
          <w:rFonts w:ascii="宋体" w:hAnsi="宋体"/>
          <w:color w:val="auto"/>
          <w:sz w:val="24"/>
          <w:highlight w:val="none"/>
        </w:rPr>
      </w:pPr>
      <w:r>
        <w:rPr>
          <w:rFonts w:hint="eastAsia" w:ascii="宋体" w:hAnsi="宋体"/>
          <w:color w:val="auto"/>
          <w:sz w:val="24"/>
          <w:highlight w:val="none"/>
        </w:rPr>
        <w:t>5.1 质量要求</w:t>
      </w:r>
    </w:p>
    <w:p w14:paraId="488DE482">
      <w:pPr>
        <w:spacing w:line="360" w:lineRule="auto"/>
        <w:jc w:val="left"/>
        <w:rPr>
          <w:rFonts w:ascii="宋体" w:hAnsi="宋体"/>
          <w:color w:val="auto"/>
          <w:sz w:val="24"/>
          <w:highlight w:val="none"/>
        </w:rPr>
      </w:pPr>
      <w:r>
        <w:rPr>
          <w:rFonts w:hint="eastAsia" w:ascii="宋体" w:hAnsi="宋体"/>
          <w:color w:val="auto"/>
          <w:sz w:val="24"/>
          <w:highlight w:val="none"/>
        </w:rPr>
        <w:t>5</w:t>
      </w:r>
      <w:bookmarkStart w:id="391" w:name="_Toc297216155"/>
      <w:bookmarkStart w:id="392" w:name="_Toc303539106"/>
      <w:bookmarkStart w:id="393" w:name="_Toc297123496"/>
      <w:bookmarkStart w:id="394" w:name="_Toc312677997"/>
      <w:bookmarkStart w:id="395" w:name="_Toc304295527"/>
      <w:bookmarkStart w:id="396" w:name="_Toc318581164"/>
      <w:bookmarkStart w:id="397" w:name="_Toc300934949"/>
      <w:r>
        <w:rPr>
          <w:rFonts w:hint="eastAsia" w:ascii="宋体" w:hAnsi="宋体"/>
          <w:color w:val="auto"/>
          <w:sz w:val="24"/>
          <w:highlight w:val="none"/>
        </w:rPr>
        <w:t>.1.1 特殊质量标准和要求：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2277F0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关于工程奖项的约定：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407BF9">
      <w:pPr>
        <w:spacing w:line="360" w:lineRule="auto"/>
        <w:rPr>
          <w:rFonts w:ascii="宋体" w:hAnsi="宋体"/>
          <w:color w:val="auto"/>
          <w:sz w:val="24"/>
          <w:highlight w:val="none"/>
        </w:rPr>
      </w:pPr>
      <w:r>
        <w:rPr>
          <w:rFonts w:hint="eastAsia" w:ascii="宋体" w:hAnsi="宋体"/>
          <w:color w:val="auto"/>
          <w:sz w:val="24"/>
          <w:highlight w:val="none"/>
        </w:rPr>
        <w:t>5.3 隐蔽工程检查</w:t>
      </w:r>
    </w:p>
    <w:p w14:paraId="125168C1">
      <w:pPr>
        <w:spacing w:line="360" w:lineRule="auto"/>
        <w:jc w:val="left"/>
        <w:rPr>
          <w:rFonts w:ascii="宋体" w:hAnsi="宋体"/>
          <w:color w:val="auto"/>
          <w:sz w:val="24"/>
          <w:highlight w:val="none"/>
        </w:rPr>
      </w:pPr>
      <w:r>
        <w:rPr>
          <w:rFonts w:hint="eastAsia" w:ascii="宋体" w:hAnsi="宋体"/>
          <w:color w:val="auto"/>
          <w:sz w:val="24"/>
          <w:highlight w:val="none"/>
        </w:rPr>
        <w:t>5.3.2承包人提前通知监理人隐蔽工程检查的期限的约定：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7C6FF5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监理人不能按时进行检查时，应提前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4F70C95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7609FEF9">
      <w:pPr>
        <w:pStyle w:val="5"/>
        <w:spacing w:before="0" w:after="0" w:line="360" w:lineRule="auto"/>
        <w:rPr>
          <w:rFonts w:ascii="宋体" w:hAnsi="宋体" w:eastAsia="宋体"/>
          <w:b w:val="0"/>
          <w:color w:val="auto"/>
          <w:sz w:val="24"/>
          <w:szCs w:val="24"/>
          <w:highlight w:val="none"/>
        </w:rPr>
      </w:pPr>
      <w:bookmarkStart w:id="398" w:name="_Toc351203638"/>
      <w:r>
        <w:rPr>
          <w:rFonts w:hint="eastAsia" w:ascii="宋体" w:hAnsi="宋体" w:eastAsia="宋体"/>
          <w:b w:val="0"/>
          <w:color w:val="auto"/>
          <w:sz w:val="24"/>
          <w:szCs w:val="24"/>
          <w:highlight w:val="none"/>
        </w:rPr>
        <w:t>6. 安全文明施工与环境保护</w:t>
      </w:r>
      <w:bookmarkEnd w:id="398"/>
    </w:p>
    <w:p w14:paraId="3559EAA3">
      <w:pPr>
        <w:spacing w:line="360" w:lineRule="auto"/>
        <w:rPr>
          <w:rFonts w:ascii="宋体" w:hAnsi="宋体"/>
          <w:color w:val="auto"/>
          <w:sz w:val="24"/>
          <w:highlight w:val="none"/>
        </w:rPr>
      </w:pPr>
      <w:r>
        <w:rPr>
          <w:rFonts w:hint="eastAsia" w:ascii="宋体" w:hAnsi="宋体"/>
          <w:color w:val="auto"/>
          <w:sz w:val="24"/>
          <w:highlight w:val="none"/>
        </w:rPr>
        <w:t>6.1安全文明施工</w:t>
      </w:r>
    </w:p>
    <w:p w14:paraId="534F1484">
      <w:pPr>
        <w:spacing w:line="360" w:lineRule="auto"/>
        <w:jc w:val="left"/>
        <w:rPr>
          <w:rFonts w:ascii="宋体" w:hAnsi="宋体"/>
          <w:color w:val="auto"/>
          <w:sz w:val="24"/>
          <w:highlight w:val="none"/>
        </w:rPr>
      </w:pPr>
      <w:r>
        <w:rPr>
          <w:rFonts w:hint="eastAsia" w:ascii="宋体" w:hAnsi="宋体"/>
          <w:color w:val="auto"/>
          <w:sz w:val="24"/>
          <w:highlight w:val="none"/>
        </w:rPr>
        <w:t>6.1.1 项目安全生产的达标目标及相应事项的约定：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4537C1">
      <w:pPr>
        <w:spacing w:line="360" w:lineRule="auto"/>
        <w:jc w:val="left"/>
        <w:rPr>
          <w:rFonts w:ascii="宋体" w:hAnsi="宋体"/>
          <w:color w:val="auto"/>
          <w:sz w:val="24"/>
          <w:highlight w:val="none"/>
        </w:rPr>
      </w:pPr>
      <w:r>
        <w:rPr>
          <w:rFonts w:hint="eastAsia" w:ascii="宋体" w:hAnsi="宋体"/>
          <w:color w:val="auto"/>
          <w:sz w:val="24"/>
          <w:highlight w:val="none"/>
        </w:rPr>
        <w:t>6.1.4 关于治安保卫的特别约定：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E4358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关于编制施工场地治安管理计划的约定：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5D03666">
      <w:pPr>
        <w:spacing w:line="360" w:lineRule="auto"/>
        <w:jc w:val="left"/>
        <w:rPr>
          <w:rFonts w:ascii="宋体" w:hAnsi="宋体"/>
          <w:color w:val="auto"/>
          <w:sz w:val="24"/>
          <w:highlight w:val="none"/>
        </w:rPr>
      </w:pPr>
      <w:r>
        <w:rPr>
          <w:rFonts w:hint="eastAsia" w:ascii="宋体" w:hAnsi="宋体"/>
          <w:color w:val="auto"/>
          <w:sz w:val="24"/>
          <w:highlight w:val="none"/>
        </w:rPr>
        <w:t>6.1.5 文明施工</w:t>
      </w:r>
    </w:p>
    <w:p w14:paraId="21A8116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C4A837">
      <w:pPr>
        <w:spacing w:line="360" w:lineRule="auto"/>
        <w:jc w:val="left"/>
        <w:rPr>
          <w:rFonts w:ascii="宋体" w:hAnsi="宋体"/>
          <w:color w:val="auto"/>
          <w:sz w:val="24"/>
          <w:highlight w:val="none"/>
        </w:rPr>
      </w:pPr>
      <w:r>
        <w:rPr>
          <w:rFonts w:hint="eastAsia" w:ascii="宋体" w:hAnsi="宋体"/>
          <w:color w:val="auto"/>
          <w:sz w:val="24"/>
          <w:highlight w:val="none"/>
        </w:rPr>
        <w:t>6.1.6 关于安全文明施工费支付比例和支付期限的约定：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91"/>
    <w:bookmarkEnd w:id="392"/>
    <w:bookmarkEnd w:id="393"/>
    <w:bookmarkEnd w:id="394"/>
    <w:bookmarkEnd w:id="395"/>
    <w:bookmarkEnd w:id="396"/>
    <w:bookmarkEnd w:id="397"/>
    <w:p w14:paraId="513D9BA9">
      <w:pPr>
        <w:pStyle w:val="5"/>
        <w:spacing w:before="0" w:after="0" w:line="360" w:lineRule="auto"/>
        <w:rPr>
          <w:rFonts w:ascii="宋体" w:hAnsi="宋体" w:eastAsia="宋体"/>
          <w:b w:val="0"/>
          <w:color w:val="auto"/>
          <w:sz w:val="24"/>
          <w:szCs w:val="24"/>
          <w:highlight w:val="none"/>
        </w:rPr>
      </w:pPr>
      <w:bookmarkStart w:id="399" w:name="_Toc351203639"/>
      <w:r>
        <w:rPr>
          <w:rFonts w:hint="eastAsia" w:ascii="宋体" w:hAnsi="宋体" w:eastAsia="宋体"/>
          <w:b w:val="0"/>
          <w:color w:val="auto"/>
          <w:sz w:val="24"/>
          <w:szCs w:val="24"/>
          <w:highlight w:val="none"/>
        </w:rPr>
        <w:t>7. 工期和进度</w:t>
      </w:r>
      <w:bookmarkEnd w:id="399"/>
    </w:p>
    <w:p w14:paraId="6F5368B4">
      <w:pPr>
        <w:adjustRightInd w:val="0"/>
        <w:spacing w:line="360" w:lineRule="auto"/>
        <w:rPr>
          <w:rFonts w:ascii="宋体" w:hAnsi="宋体"/>
          <w:color w:val="auto"/>
          <w:sz w:val="24"/>
          <w:highlight w:val="none"/>
        </w:rPr>
      </w:pPr>
      <w:r>
        <w:rPr>
          <w:rFonts w:hint="eastAsia" w:ascii="宋体" w:hAnsi="宋体"/>
          <w:color w:val="auto"/>
          <w:sz w:val="24"/>
          <w:highlight w:val="none"/>
        </w:rPr>
        <w:t>7.1 施工组织设计</w:t>
      </w:r>
    </w:p>
    <w:p w14:paraId="71E12663">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7.1.1 合</w:t>
      </w:r>
      <w:r>
        <w:rPr>
          <w:rFonts w:hint="eastAsia" w:ascii="宋体" w:hAnsi="宋体"/>
          <w:color w:val="auto"/>
          <w:kern w:val="0"/>
          <w:sz w:val="24"/>
          <w:highlight w:val="none"/>
        </w:rPr>
        <w:t>同当事人约定的施工组织设计应包括的其他内容：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9FC03E7">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 xml:space="preserve">7.1.2 </w:t>
      </w:r>
      <w:r>
        <w:rPr>
          <w:rFonts w:hint="eastAsia" w:ascii="宋体" w:hAnsi="宋体"/>
          <w:color w:val="auto"/>
          <w:kern w:val="0"/>
          <w:sz w:val="24"/>
          <w:highlight w:val="none"/>
        </w:rPr>
        <w:t>施工组织设计的提交和修改</w:t>
      </w:r>
    </w:p>
    <w:p w14:paraId="416D7975">
      <w:pPr>
        <w:autoSpaceDE w:val="0"/>
        <w:autoSpaceDN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承包人提交详细施工组织设计的期限的约定：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DA7DE1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072B432">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00" w:name="_Toc303539123"/>
      <w:bookmarkStart w:id="401" w:name="_Toc297123514"/>
      <w:bookmarkStart w:id="402" w:name="_Toc297216173"/>
      <w:bookmarkStart w:id="403" w:name="_Toc312678005"/>
      <w:bookmarkStart w:id="404" w:name="_Toc304295541"/>
      <w:bookmarkStart w:id="405" w:name="_Toc312677479"/>
      <w:bookmarkStart w:id="406" w:name="_Toc300934966"/>
      <w:r>
        <w:rPr>
          <w:rFonts w:hint="eastAsia" w:ascii="宋体" w:hAnsi="宋体"/>
          <w:color w:val="auto"/>
          <w:sz w:val="24"/>
          <w:highlight w:val="none"/>
        </w:rPr>
        <w:t>.2 施工进度计划</w:t>
      </w:r>
    </w:p>
    <w:p w14:paraId="6837F65C">
      <w:pPr>
        <w:adjustRightInd w:val="0"/>
        <w:spacing w:line="360" w:lineRule="auto"/>
        <w:jc w:val="left"/>
        <w:rPr>
          <w:rFonts w:ascii="宋体" w:hAnsi="宋体"/>
          <w:color w:val="auto"/>
          <w:sz w:val="24"/>
          <w:highlight w:val="none"/>
        </w:rPr>
      </w:pPr>
      <w:r>
        <w:rPr>
          <w:rFonts w:hint="eastAsia" w:ascii="宋体" w:hAnsi="宋体"/>
          <w:color w:val="auto"/>
          <w:sz w:val="24"/>
          <w:highlight w:val="none"/>
        </w:rPr>
        <w:t>7.2.2 施工进度计划的修订</w:t>
      </w:r>
    </w:p>
    <w:p w14:paraId="6B87147F">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011D6E3">
      <w:pPr>
        <w:adjustRightInd w:val="0"/>
        <w:spacing w:line="360" w:lineRule="auto"/>
        <w:rPr>
          <w:rFonts w:ascii="宋体" w:hAnsi="宋体"/>
          <w:color w:val="auto"/>
          <w:sz w:val="24"/>
          <w:highlight w:val="none"/>
        </w:rPr>
      </w:pPr>
      <w:r>
        <w:rPr>
          <w:rFonts w:hint="eastAsia" w:ascii="宋体" w:hAnsi="宋体"/>
          <w:color w:val="auto"/>
          <w:sz w:val="24"/>
          <w:highlight w:val="none"/>
        </w:rPr>
        <w:t>7.3 开工</w:t>
      </w:r>
    </w:p>
    <w:p w14:paraId="67317F4D">
      <w:pPr>
        <w:adjustRightInd w:val="0"/>
        <w:spacing w:line="360" w:lineRule="auto"/>
        <w:rPr>
          <w:rFonts w:ascii="宋体" w:hAnsi="宋体"/>
          <w:color w:val="auto"/>
          <w:sz w:val="24"/>
          <w:highlight w:val="none"/>
        </w:rPr>
      </w:pPr>
      <w:r>
        <w:rPr>
          <w:rFonts w:hint="eastAsia" w:ascii="宋体" w:hAnsi="宋体"/>
          <w:color w:val="auto"/>
          <w:sz w:val="24"/>
          <w:highlight w:val="none"/>
        </w:rPr>
        <w:t>7.3.1 开工准备</w:t>
      </w:r>
    </w:p>
    <w:p w14:paraId="223FF3DB">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关于承包人提交</w:t>
      </w:r>
      <w:r>
        <w:rPr>
          <w:rFonts w:hint="eastAsia" w:ascii="宋体" w:hAnsi="宋体"/>
          <w:color w:val="auto"/>
          <w:kern w:val="0"/>
          <w:sz w:val="24"/>
          <w:highlight w:val="none"/>
        </w:rPr>
        <w:t>工程开工报审表的期限：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98BD9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B1D8F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关于承包人应完成的其他开工准备工作及期限：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ED518C3">
      <w:pPr>
        <w:adjustRightInd w:val="0"/>
        <w:spacing w:line="360" w:lineRule="auto"/>
        <w:rPr>
          <w:rFonts w:ascii="宋体" w:hAnsi="宋体"/>
          <w:color w:val="auto"/>
          <w:sz w:val="24"/>
          <w:highlight w:val="none"/>
        </w:rPr>
      </w:pPr>
      <w:r>
        <w:rPr>
          <w:rFonts w:hint="eastAsia" w:ascii="宋体" w:hAnsi="宋体"/>
          <w:color w:val="auto"/>
          <w:sz w:val="24"/>
          <w:highlight w:val="none"/>
        </w:rPr>
        <w:t>7.3.2开工通知</w:t>
      </w:r>
    </w:p>
    <w:p w14:paraId="657CDA0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因发包人原因造成监理人未能在计划开工日期之日起</w:t>
      </w:r>
      <w:r>
        <w:rPr>
          <w:rFonts w:hint="eastAsia" w:ascii="宋体" w:hAnsi="宋体"/>
          <w:color w:val="auto"/>
          <w:sz w:val="24"/>
          <w:highlight w:val="none"/>
          <w:u w:val="single"/>
        </w:rPr>
        <w:t xml:space="preserve">     </w:t>
      </w:r>
      <w:r>
        <w:rPr>
          <w:rFonts w:hint="eastAsia" w:ascii="宋体" w:hAnsi="宋体"/>
          <w:color w:val="auto"/>
          <w:sz w:val="24"/>
          <w:highlight w:val="none"/>
        </w:rPr>
        <w:t>天内发出开工通知的，承包人有权提出价格调整要求，或者解除合同。</w:t>
      </w:r>
    </w:p>
    <w:bookmarkEnd w:id="400"/>
    <w:bookmarkEnd w:id="401"/>
    <w:bookmarkEnd w:id="402"/>
    <w:bookmarkEnd w:id="403"/>
    <w:bookmarkEnd w:id="404"/>
    <w:bookmarkEnd w:id="405"/>
    <w:bookmarkEnd w:id="406"/>
    <w:p w14:paraId="22086DD2">
      <w:pPr>
        <w:adjustRightInd w:val="0"/>
        <w:spacing w:line="360" w:lineRule="auto"/>
        <w:rPr>
          <w:rFonts w:ascii="宋体" w:hAnsi="宋体"/>
          <w:color w:val="auto"/>
          <w:sz w:val="24"/>
          <w:highlight w:val="none"/>
        </w:rPr>
      </w:pPr>
      <w:r>
        <w:rPr>
          <w:rFonts w:hint="eastAsia" w:ascii="宋体" w:hAnsi="宋体"/>
          <w:color w:val="auto"/>
          <w:sz w:val="24"/>
          <w:highlight w:val="none"/>
        </w:rPr>
        <w:t>7.4 测量放线</w:t>
      </w:r>
    </w:p>
    <w:p w14:paraId="25752B20">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409F90">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07" w:name="_Toc297123516"/>
      <w:bookmarkStart w:id="408" w:name="_Toc304295546"/>
      <w:bookmarkStart w:id="409" w:name="_Toc312678010"/>
      <w:bookmarkStart w:id="410" w:name="_Toc312677484"/>
      <w:bookmarkStart w:id="411" w:name="_Toc297216175"/>
      <w:bookmarkStart w:id="412" w:name="_Toc303539125"/>
      <w:bookmarkStart w:id="413" w:name="_Toc300934968"/>
      <w:r>
        <w:rPr>
          <w:rFonts w:hint="eastAsia" w:ascii="宋体" w:hAnsi="宋体"/>
          <w:color w:val="auto"/>
          <w:sz w:val="24"/>
          <w:highlight w:val="none"/>
        </w:rPr>
        <w:t>.5 工期延误</w:t>
      </w:r>
    </w:p>
    <w:bookmarkEnd w:id="407"/>
    <w:bookmarkEnd w:id="408"/>
    <w:bookmarkEnd w:id="409"/>
    <w:bookmarkEnd w:id="410"/>
    <w:bookmarkEnd w:id="411"/>
    <w:bookmarkEnd w:id="412"/>
    <w:bookmarkEnd w:id="413"/>
    <w:p w14:paraId="1EB84981">
      <w:pPr>
        <w:adjustRightInd w:val="0"/>
        <w:spacing w:line="360" w:lineRule="auto"/>
        <w:rPr>
          <w:rFonts w:ascii="宋体" w:hAnsi="宋体"/>
          <w:color w:val="auto"/>
          <w:sz w:val="24"/>
          <w:highlight w:val="none"/>
        </w:rPr>
      </w:pPr>
      <w:r>
        <w:rPr>
          <w:rFonts w:hint="eastAsia" w:ascii="宋体" w:hAnsi="宋体"/>
          <w:color w:val="auto"/>
          <w:sz w:val="24"/>
          <w:highlight w:val="none"/>
        </w:rPr>
        <w:t>7.5.1 因发包人原因导致工期延误</w:t>
      </w:r>
    </w:p>
    <w:p w14:paraId="30B39AE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（7）因发包人原因导致工期延误的其他情形：</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448A70">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14" w:name="_Toc318581169"/>
      <w:bookmarkStart w:id="415" w:name="_Toc312677486"/>
      <w:bookmarkStart w:id="416" w:name="_Toc312678012"/>
      <w:bookmarkStart w:id="417" w:name="_Toc304295548"/>
      <w:bookmarkStart w:id="418" w:name="_Toc303539127"/>
      <w:bookmarkStart w:id="419" w:name="_Toc297216177"/>
      <w:bookmarkStart w:id="420" w:name="_Toc300934970"/>
      <w:bookmarkStart w:id="421" w:name="_Toc297123518"/>
      <w:r>
        <w:rPr>
          <w:rFonts w:hint="eastAsia" w:ascii="宋体" w:hAnsi="宋体"/>
          <w:color w:val="auto"/>
          <w:sz w:val="24"/>
          <w:highlight w:val="none"/>
        </w:rPr>
        <w:t>.5.2 因承包人原因导致工期延误</w:t>
      </w:r>
    </w:p>
    <w:bookmarkEnd w:id="414"/>
    <w:bookmarkEnd w:id="415"/>
    <w:bookmarkEnd w:id="416"/>
    <w:p w14:paraId="7DADA41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w:t>
      </w:r>
      <w:bookmarkStart w:id="422" w:name="_Toc312678013"/>
      <w:bookmarkStart w:id="423" w:name="_Toc312677487"/>
      <w:bookmarkStart w:id="424" w:name="_Toc318581170"/>
      <w:r>
        <w:rPr>
          <w:rFonts w:hint="eastAsia" w:ascii="宋体" w:hAnsi="宋体"/>
          <w:color w:val="auto"/>
          <w:sz w:val="24"/>
          <w:highlight w:val="none"/>
        </w:rPr>
        <w:t>承包人原因造成工期延误，逾期竣工违约金的计算方法为：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17"/>
      <w:bookmarkEnd w:id="418"/>
      <w:bookmarkEnd w:id="419"/>
      <w:bookmarkEnd w:id="420"/>
      <w:bookmarkEnd w:id="421"/>
      <w:bookmarkEnd w:id="422"/>
      <w:bookmarkEnd w:id="423"/>
    </w:p>
    <w:bookmarkEnd w:id="424"/>
    <w:p w14:paraId="5948008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因承包人原因造成工期延误，逾</w:t>
      </w:r>
      <w:bookmarkStart w:id="425" w:name="_Toc318581171"/>
      <w:bookmarkStart w:id="426" w:name="_Toc312678014"/>
      <w:r>
        <w:rPr>
          <w:rFonts w:hint="eastAsia" w:ascii="宋体" w:hAnsi="宋体"/>
          <w:color w:val="auto"/>
          <w:sz w:val="24"/>
          <w:highlight w:val="none"/>
        </w:rPr>
        <w:t>期竣工违约金的上限：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25"/>
    <w:bookmarkEnd w:id="426"/>
    <w:p w14:paraId="706759ED">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27" w:name="_Toc304295549"/>
      <w:bookmarkStart w:id="428" w:name="_Toc300934971"/>
      <w:bookmarkStart w:id="429" w:name="_Toc312678015"/>
      <w:bookmarkStart w:id="430" w:name="_Toc303539128"/>
      <w:bookmarkStart w:id="431" w:name="_Toc297216178"/>
      <w:bookmarkStart w:id="432" w:name="_Toc297123519"/>
      <w:r>
        <w:rPr>
          <w:rFonts w:hint="eastAsia" w:ascii="宋体" w:hAnsi="宋体"/>
          <w:color w:val="auto"/>
          <w:sz w:val="24"/>
          <w:highlight w:val="none"/>
        </w:rPr>
        <w:t>.6 不</w:t>
      </w:r>
      <w:bookmarkEnd w:id="427"/>
      <w:bookmarkEnd w:id="428"/>
      <w:bookmarkEnd w:id="429"/>
      <w:bookmarkEnd w:id="430"/>
      <w:bookmarkEnd w:id="431"/>
      <w:bookmarkEnd w:id="432"/>
      <w:r>
        <w:rPr>
          <w:rFonts w:hint="eastAsia" w:ascii="宋体" w:hAnsi="宋体"/>
          <w:color w:val="auto"/>
          <w:sz w:val="24"/>
          <w:highlight w:val="none"/>
        </w:rPr>
        <w:t>利物质条件</w:t>
      </w:r>
    </w:p>
    <w:p w14:paraId="0AAB5FA8">
      <w:pPr>
        <w:spacing w:line="360" w:lineRule="auto"/>
        <w:ind w:firstLine="480" w:firstLineChars="200"/>
        <w:jc w:val="left"/>
        <w:rPr>
          <w:rFonts w:ascii="宋体" w:hAnsi="宋体"/>
          <w:color w:val="auto"/>
          <w:sz w:val="24"/>
          <w:highlight w:val="none"/>
        </w:rPr>
      </w:pPr>
      <w:bookmarkStart w:id="433" w:name="_Toc300934972"/>
      <w:bookmarkStart w:id="434" w:name="_Toc318581172"/>
      <w:bookmarkStart w:id="435" w:name="_Toc304295550"/>
      <w:bookmarkStart w:id="436" w:name="_Toc312678016"/>
      <w:bookmarkStart w:id="437" w:name="_Toc297123520"/>
      <w:bookmarkStart w:id="438" w:name="_Toc297216179"/>
      <w:bookmarkStart w:id="439" w:name="_Toc303539129"/>
      <w:r>
        <w:rPr>
          <w:rFonts w:hint="eastAsia" w:ascii="宋体" w:hAnsi="宋体"/>
          <w:color w:val="auto"/>
          <w:sz w:val="24"/>
          <w:highlight w:val="none"/>
        </w:rPr>
        <w:t>不利物质条件的其他情形和有关约定：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33"/>
    <w:bookmarkEnd w:id="434"/>
    <w:bookmarkEnd w:id="435"/>
    <w:bookmarkEnd w:id="436"/>
    <w:bookmarkEnd w:id="437"/>
    <w:bookmarkEnd w:id="438"/>
    <w:bookmarkEnd w:id="439"/>
    <w:p w14:paraId="1172F8CA">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40" w:name="_Toc303539130"/>
      <w:bookmarkStart w:id="441" w:name="_Toc304295551"/>
      <w:bookmarkStart w:id="442" w:name="_Toc297123521"/>
      <w:bookmarkStart w:id="443" w:name="_Toc297216180"/>
      <w:bookmarkStart w:id="444" w:name="_Toc300934973"/>
      <w:bookmarkStart w:id="445" w:name="_Toc312678017"/>
      <w:r>
        <w:rPr>
          <w:rFonts w:hint="eastAsia" w:ascii="宋体" w:hAnsi="宋体"/>
          <w:color w:val="auto"/>
          <w:sz w:val="24"/>
          <w:highlight w:val="none"/>
        </w:rPr>
        <w:t>.7异常恶劣的气候条件</w:t>
      </w:r>
    </w:p>
    <w:bookmarkEnd w:id="440"/>
    <w:bookmarkEnd w:id="441"/>
    <w:bookmarkEnd w:id="442"/>
    <w:bookmarkEnd w:id="443"/>
    <w:bookmarkEnd w:id="444"/>
    <w:bookmarkEnd w:id="445"/>
    <w:p w14:paraId="7BF60E1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发包人和承包人同意以下情形视为异常恶劣的气候条件：</w:t>
      </w:r>
    </w:p>
    <w:p w14:paraId="462CC05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1DE0E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5DC56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0A2F36">
      <w:pPr>
        <w:spacing w:line="360" w:lineRule="auto"/>
        <w:rPr>
          <w:rFonts w:ascii="宋体" w:hAnsi="宋体"/>
          <w:color w:val="auto"/>
          <w:sz w:val="24"/>
          <w:highlight w:val="none"/>
        </w:rPr>
      </w:pPr>
      <w:r>
        <w:rPr>
          <w:rFonts w:hint="eastAsia" w:ascii="宋体" w:hAnsi="宋体"/>
          <w:color w:val="auto"/>
          <w:sz w:val="24"/>
          <w:highlight w:val="none"/>
        </w:rPr>
        <w:t>7.9 提前竣工的奖励</w:t>
      </w:r>
    </w:p>
    <w:p w14:paraId="296A46E5">
      <w:pPr>
        <w:spacing w:line="360" w:lineRule="auto"/>
        <w:jc w:val="left"/>
        <w:rPr>
          <w:rFonts w:ascii="宋体" w:hAnsi="宋体"/>
          <w:color w:val="auto"/>
          <w:sz w:val="24"/>
          <w:highlight w:val="none"/>
        </w:rPr>
      </w:pPr>
      <w:r>
        <w:rPr>
          <w:rFonts w:hint="eastAsia" w:ascii="宋体" w:hAnsi="宋体"/>
          <w:color w:val="auto"/>
          <w:sz w:val="24"/>
          <w:highlight w:val="none"/>
        </w:rPr>
        <w:t>7.9.2提前竣工的奖励：</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7DE00B6">
      <w:pPr>
        <w:pStyle w:val="5"/>
        <w:spacing w:before="0" w:after="0" w:line="360" w:lineRule="auto"/>
        <w:rPr>
          <w:rFonts w:ascii="宋体" w:hAnsi="宋体" w:eastAsia="宋体"/>
          <w:b w:val="0"/>
          <w:color w:val="auto"/>
          <w:sz w:val="24"/>
          <w:szCs w:val="24"/>
          <w:highlight w:val="none"/>
        </w:rPr>
      </w:pPr>
      <w:bookmarkStart w:id="446" w:name="_Toc351203640"/>
      <w:r>
        <w:rPr>
          <w:rFonts w:hint="eastAsia" w:ascii="宋体" w:hAnsi="宋体" w:eastAsia="宋体"/>
          <w:b w:val="0"/>
          <w:color w:val="auto"/>
          <w:sz w:val="24"/>
          <w:szCs w:val="24"/>
          <w:highlight w:val="none"/>
        </w:rPr>
        <w:t>8. 材料与设备</w:t>
      </w:r>
      <w:bookmarkEnd w:id="446"/>
    </w:p>
    <w:bookmarkEnd w:id="381"/>
    <w:bookmarkEnd w:id="382"/>
    <w:bookmarkEnd w:id="383"/>
    <w:bookmarkEnd w:id="384"/>
    <w:bookmarkEnd w:id="385"/>
    <w:bookmarkEnd w:id="386"/>
    <w:bookmarkEnd w:id="387"/>
    <w:bookmarkEnd w:id="388"/>
    <w:bookmarkEnd w:id="389"/>
    <w:bookmarkEnd w:id="390"/>
    <w:p w14:paraId="2DAEB45B">
      <w:pPr>
        <w:adjustRightInd w:val="0"/>
        <w:spacing w:line="360" w:lineRule="auto"/>
        <w:rPr>
          <w:rFonts w:ascii="宋体" w:hAnsi="宋体"/>
          <w:color w:val="auto"/>
          <w:sz w:val="24"/>
          <w:highlight w:val="none"/>
        </w:rPr>
      </w:pPr>
      <w:r>
        <w:rPr>
          <w:rFonts w:hint="eastAsia" w:ascii="宋体" w:hAnsi="宋体"/>
          <w:color w:val="auto"/>
          <w:sz w:val="24"/>
          <w:highlight w:val="none"/>
        </w:rPr>
        <w:t>8</w:t>
      </w:r>
      <w:bookmarkStart w:id="447" w:name="_Toc296890995"/>
      <w:bookmarkStart w:id="448" w:name="_Toc312678019"/>
      <w:bookmarkStart w:id="449" w:name="_Toc296891207"/>
      <w:bookmarkStart w:id="450" w:name="_Toc297123527"/>
      <w:bookmarkStart w:id="451" w:name="_Toc280868654"/>
      <w:bookmarkStart w:id="452" w:name="_Toc303539136"/>
      <w:bookmarkStart w:id="453" w:name="_Toc297216186"/>
      <w:bookmarkStart w:id="454" w:name="_Toc300934979"/>
      <w:bookmarkStart w:id="455" w:name="_Toc296503167"/>
      <w:bookmarkStart w:id="456" w:name="_Toc296347166"/>
      <w:bookmarkStart w:id="457" w:name="_Toc297048353"/>
      <w:bookmarkStart w:id="458" w:name="_Toc297120467"/>
      <w:bookmarkStart w:id="459" w:name="_Toc296944506"/>
      <w:bookmarkStart w:id="460" w:name="_Toc292559372"/>
      <w:bookmarkStart w:id="461" w:name="_Toc304295556"/>
      <w:bookmarkStart w:id="462" w:name="_Toc312677493"/>
      <w:bookmarkStart w:id="463" w:name="_Toc296346668"/>
      <w:bookmarkStart w:id="464" w:name="_Toc292559877"/>
      <w:bookmarkStart w:id="465" w:name="_Toc280868655"/>
      <w:bookmarkStart w:id="466" w:name="_Toc280868656"/>
      <w:bookmarkStart w:id="467" w:name="_Toc267251424"/>
      <w:r>
        <w:rPr>
          <w:rFonts w:hint="eastAsia" w:ascii="宋体" w:hAnsi="宋体"/>
          <w:color w:val="auto"/>
          <w:sz w:val="24"/>
          <w:highlight w:val="none"/>
        </w:rPr>
        <w:t>.4材料与工程设备的保管与使用</w:t>
      </w:r>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23C1A4AF">
      <w:pPr>
        <w:spacing w:line="360" w:lineRule="auto"/>
        <w:jc w:val="left"/>
        <w:rPr>
          <w:rFonts w:ascii="宋体" w:hAnsi="宋体"/>
          <w:color w:val="auto"/>
          <w:sz w:val="24"/>
          <w:highlight w:val="none"/>
        </w:rPr>
      </w:pPr>
      <w:r>
        <w:rPr>
          <w:rFonts w:hint="eastAsia" w:ascii="宋体" w:hAnsi="宋体"/>
          <w:color w:val="auto"/>
          <w:sz w:val="24"/>
          <w:highlight w:val="none"/>
        </w:rPr>
        <w:t>8</w:t>
      </w:r>
      <w:bookmarkStart w:id="468" w:name="_Toc292559878"/>
      <w:bookmarkStart w:id="469" w:name="_Toc292559373"/>
      <w:bookmarkStart w:id="470" w:name="_Toc297216187"/>
      <w:bookmarkStart w:id="471" w:name="_Toc296890996"/>
      <w:bookmarkStart w:id="472" w:name="_Toc296347167"/>
      <w:bookmarkStart w:id="473" w:name="_Toc296944507"/>
      <w:bookmarkStart w:id="474" w:name="_Toc312677494"/>
      <w:bookmarkStart w:id="475" w:name="_Toc296891208"/>
      <w:bookmarkStart w:id="476" w:name="_Toc297048354"/>
      <w:bookmarkStart w:id="477" w:name="_Toc297120468"/>
      <w:bookmarkStart w:id="478" w:name="_Toc300934980"/>
      <w:bookmarkStart w:id="479" w:name="_Toc318581173"/>
      <w:bookmarkStart w:id="480" w:name="_Toc304295557"/>
      <w:bookmarkStart w:id="481" w:name="_Toc296346669"/>
      <w:bookmarkStart w:id="482" w:name="_Toc303539137"/>
      <w:bookmarkStart w:id="483" w:name="_Toc312678020"/>
      <w:bookmarkStart w:id="484" w:name="_Toc297123528"/>
      <w:bookmarkStart w:id="485" w:name="_Toc296503168"/>
      <w:r>
        <w:rPr>
          <w:rFonts w:hint="eastAsia" w:ascii="宋体" w:hAnsi="宋体"/>
          <w:color w:val="auto"/>
          <w:sz w:val="24"/>
          <w:highlight w:val="none"/>
        </w:rPr>
        <w:t>.4.1发包人供应的材料设备的保管费用的承担：</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68"/>
      <w:bookmarkEnd w:id="469"/>
    </w:p>
    <w:p w14:paraId="4ABE9A8E">
      <w:pPr>
        <w:adjustRightInd w:val="0"/>
        <w:spacing w:line="360" w:lineRule="auto"/>
        <w:rPr>
          <w:rFonts w:ascii="宋体" w:hAnsi="宋体"/>
          <w:color w:val="auto"/>
          <w:sz w:val="24"/>
          <w:highlight w:val="none"/>
        </w:rPr>
      </w:pPr>
      <w:r>
        <w:rPr>
          <w:rFonts w:hint="eastAsia" w:ascii="宋体" w:hAnsi="宋体"/>
          <w:color w:val="auto"/>
          <w:sz w:val="24"/>
          <w:highlight w:val="none"/>
        </w:rPr>
        <w:t>8.6 样品</w:t>
      </w:r>
    </w:p>
    <w:p w14:paraId="6D1D9ECA">
      <w:pPr>
        <w:adjustRightInd w:val="0"/>
        <w:spacing w:line="360" w:lineRule="auto"/>
        <w:rPr>
          <w:rFonts w:ascii="宋体" w:hAnsi="宋体"/>
          <w:color w:val="auto"/>
          <w:sz w:val="24"/>
          <w:highlight w:val="none"/>
        </w:rPr>
      </w:pPr>
      <w:r>
        <w:rPr>
          <w:rFonts w:hint="eastAsia" w:ascii="宋体" w:hAnsi="宋体"/>
          <w:color w:val="auto"/>
          <w:sz w:val="24"/>
          <w:highlight w:val="none"/>
        </w:rPr>
        <w:t>8.6.1样品的报送与封存</w:t>
      </w:r>
    </w:p>
    <w:p w14:paraId="09BF490E">
      <w:pPr>
        <w:autoSpaceDE w:val="0"/>
        <w:autoSpaceDN w:val="0"/>
        <w:adjustRightInd w:val="0"/>
        <w:spacing w:line="360" w:lineRule="auto"/>
        <w:ind w:left="-141" w:leftChars="-67" w:firstLine="480" w:firstLineChars="200"/>
        <w:jc w:val="left"/>
        <w:rPr>
          <w:rFonts w:ascii="宋体" w:hAnsi="宋体"/>
          <w:color w:val="auto"/>
          <w:sz w:val="24"/>
          <w:highlight w:val="none"/>
          <w:u w:val="single"/>
        </w:rPr>
      </w:pPr>
      <w:r>
        <w:rPr>
          <w:rFonts w:hint="eastAsia" w:ascii="宋体" w:hAnsi="宋体"/>
          <w:color w:val="auto"/>
          <w:kern w:val="0"/>
          <w:sz w:val="24"/>
          <w:highlight w:val="none"/>
        </w:rPr>
        <w:t>需要承包人报送样品的材料或工程设备，样品的种类、名称、规格、数量要求：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7AE1E49">
      <w:pPr>
        <w:adjustRightInd w:val="0"/>
        <w:spacing w:line="360" w:lineRule="auto"/>
        <w:rPr>
          <w:rFonts w:ascii="宋体" w:hAnsi="宋体"/>
          <w:color w:val="auto"/>
          <w:sz w:val="24"/>
          <w:highlight w:val="none"/>
        </w:rPr>
      </w:pPr>
      <w:r>
        <w:rPr>
          <w:rFonts w:hint="eastAsia" w:ascii="宋体" w:hAnsi="宋体"/>
          <w:color w:val="auto"/>
          <w:sz w:val="24"/>
          <w:highlight w:val="none"/>
        </w:rPr>
        <w:t>8.8 施工设备和临时设施</w:t>
      </w:r>
    </w:p>
    <w:p w14:paraId="19FD5845">
      <w:pPr>
        <w:adjustRightInd w:val="0"/>
        <w:spacing w:line="360" w:lineRule="auto"/>
        <w:rPr>
          <w:rFonts w:ascii="宋体" w:hAnsi="宋体"/>
          <w:color w:val="auto"/>
          <w:sz w:val="24"/>
          <w:highlight w:val="none"/>
        </w:rPr>
      </w:pPr>
      <w:r>
        <w:rPr>
          <w:rFonts w:hint="eastAsia" w:ascii="宋体" w:hAnsi="宋体"/>
          <w:color w:val="auto"/>
          <w:sz w:val="24"/>
          <w:highlight w:val="none"/>
        </w:rPr>
        <w:t>8.8.1 承包人提供的施工设备和临时设施</w:t>
      </w:r>
    </w:p>
    <w:p w14:paraId="736E213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关于修建临时设施费用承担的约定：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69217645">
      <w:pPr>
        <w:pStyle w:val="5"/>
        <w:spacing w:before="0" w:after="0" w:line="360" w:lineRule="auto"/>
        <w:rPr>
          <w:rFonts w:ascii="宋体" w:hAnsi="宋体" w:eastAsia="宋体"/>
          <w:b w:val="0"/>
          <w:color w:val="auto"/>
          <w:sz w:val="24"/>
          <w:szCs w:val="24"/>
          <w:highlight w:val="none"/>
        </w:rPr>
      </w:pPr>
      <w:bookmarkStart w:id="486" w:name="_Toc351203641"/>
      <w:r>
        <w:rPr>
          <w:rFonts w:hint="eastAsia" w:ascii="宋体" w:hAnsi="宋体" w:eastAsia="宋体"/>
          <w:b w:val="0"/>
          <w:color w:val="auto"/>
          <w:sz w:val="24"/>
          <w:szCs w:val="24"/>
          <w:highlight w:val="none"/>
        </w:rPr>
        <w:t>9</w:t>
      </w:r>
      <w:bookmarkEnd w:id="465"/>
      <w:bookmarkEnd w:id="466"/>
      <w:bookmarkEnd w:id="467"/>
      <w:bookmarkStart w:id="487" w:name="_Toc303539139"/>
      <w:bookmarkStart w:id="488" w:name="_Toc304295559"/>
      <w:bookmarkStart w:id="489" w:name="_Toc297123533"/>
      <w:bookmarkStart w:id="490" w:name="_Toc297216192"/>
      <w:bookmarkStart w:id="491" w:name="_Toc312677495"/>
      <w:bookmarkStart w:id="492" w:name="_Toc300934982"/>
      <w:bookmarkStart w:id="493" w:name="_Toc312678021"/>
      <w:bookmarkStart w:id="494" w:name="_Toc296347172"/>
      <w:bookmarkStart w:id="495" w:name="_Toc296891001"/>
      <w:bookmarkStart w:id="496" w:name="_Toc296891213"/>
      <w:bookmarkStart w:id="497" w:name="_Toc292559883"/>
      <w:bookmarkStart w:id="498" w:name="_Toc267251428"/>
      <w:bookmarkStart w:id="499" w:name="_Toc267251427"/>
      <w:bookmarkStart w:id="500" w:name="_Toc296503173"/>
      <w:bookmarkStart w:id="501" w:name="_Toc297120473"/>
      <w:bookmarkStart w:id="502" w:name="_Toc296944512"/>
      <w:bookmarkStart w:id="503" w:name="_Toc292559378"/>
      <w:bookmarkStart w:id="504" w:name="_Toc296346674"/>
      <w:bookmarkStart w:id="505" w:name="_Toc297048359"/>
      <w:r>
        <w:rPr>
          <w:rFonts w:hint="eastAsia" w:ascii="宋体" w:hAnsi="宋体" w:eastAsia="宋体"/>
          <w:b w:val="0"/>
          <w:color w:val="auto"/>
          <w:sz w:val="24"/>
          <w:szCs w:val="24"/>
          <w:highlight w:val="none"/>
        </w:rPr>
        <w:t>. 试验与检验</w:t>
      </w:r>
      <w:bookmarkEnd w:id="486"/>
    </w:p>
    <w:bookmarkEnd w:id="487"/>
    <w:bookmarkEnd w:id="488"/>
    <w:bookmarkEnd w:id="489"/>
    <w:bookmarkEnd w:id="490"/>
    <w:bookmarkEnd w:id="491"/>
    <w:bookmarkEnd w:id="492"/>
    <w:bookmarkEnd w:id="493"/>
    <w:p w14:paraId="08C4F8F0">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506" w:name="_Toc300934983"/>
      <w:bookmarkStart w:id="507" w:name="_Toc304295560"/>
      <w:bookmarkStart w:id="508" w:name="_Toc297216193"/>
      <w:bookmarkStart w:id="509" w:name="_Toc312677496"/>
      <w:bookmarkStart w:id="510" w:name="_Toc297123534"/>
      <w:bookmarkStart w:id="511" w:name="_Toc312678022"/>
      <w:bookmarkStart w:id="512" w:name="_Toc303539140"/>
      <w:r>
        <w:rPr>
          <w:rFonts w:hint="eastAsia" w:ascii="宋体" w:hAnsi="宋体"/>
          <w:color w:val="auto"/>
          <w:sz w:val="24"/>
          <w:highlight w:val="none"/>
        </w:rPr>
        <w:t>.1试验设备与试验人员</w:t>
      </w:r>
    </w:p>
    <w:bookmarkEnd w:id="506"/>
    <w:bookmarkEnd w:id="507"/>
    <w:bookmarkEnd w:id="508"/>
    <w:bookmarkEnd w:id="509"/>
    <w:bookmarkEnd w:id="510"/>
    <w:bookmarkEnd w:id="511"/>
    <w:bookmarkEnd w:id="512"/>
    <w:p w14:paraId="668D10D8">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513" w:name="_Toc297216194"/>
      <w:bookmarkStart w:id="514" w:name="_Toc312678023"/>
      <w:bookmarkStart w:id="515" w:name="_Toc312677497"/>
      <w:bookmarkStart w:id="516" w:name="_Toc303539141"/>
      <w:bookmarkStart w:id="517" w:name="_Toc304295561"/>
      <w:bookmarkStart w:id="518" w:name="_Toc297123535"/>
      <w:bookmarkStart w:id="519" w:name="_Toc300934984"/>
      <w:bookmarkStart w:id="520" w:name="_Toc318581174"/>
      <w:r>
        <w:rPr>
          <w:rFonts w:hint="eastAsia" w:ascii="宋体" w:hAnsi="宋体"/>
          <w:color w:val="auto"/>
          <w:sz w:val="24"/>
          <w:highlight w:val="none"/>
        </w:rPr>
        <w:t>.1.2 试验设备</w:t>
      </w:r>
    </w:p>
    <w:p w14:paraId="69F9B24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施工现场需要配置的试验场所：</w:t>
      </w:r>
      <w:bookmarkEnd w:id="513"/>
      <w:bookmarkEnd w:id="514"/>
      <w:bookmarkEnd w:id="515"/>
      <w:bookmarkEnd w:id="516"/>
      <w:bookmarkEnd w:id="517"/>
      <w:bookmarkEnd w:id="518"/>
      <w:bookmarkEnd w:id="519"/>
      <w:bookmarkStart w:id="521" w:name="_Toc312678024"/>
      <w:bookmarkStart w:id="522" w:name="_Toc303539142"/>
      <w:bookmarkStart w:id="523" w:name="_Toc297123536"/>
      <w:bookmarkStart w:id="524" w:name="_Toc297216195"/>
      <w:bookmarkStart w:id="525" w:name="_Toc304295562"/>
      <w:bookmarkStart w:id="526" w:name="_Toc312677498"/>
      <w:bookmarkStart w:id="527" w:name="_Toc300934985"/>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B034FD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F237A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79ABA33">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9.4 现场工艺试验 </w:t>
      </w:r>
    </w:p>
    <w:p w14:paraId="49E0B87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现场工艺试验的有关约定：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20"/>
    <w:bookmarkEnd w:id="521"/>
    <w:bookmarkEnd w:id="522"/>
    <w:bookmarkEnd w:id="523"/>
    <w:bookmarkEnd w:id="524"/>
    <w:bookmarkEnd w:id="525"/>
    <w:bookmarkEnd w:id="526"/>
    <w:bookmarkEnd w:id="527"/>
    <w:p w14:paraId="388ACE43">
      <w:pPr>
        <w:pStyle w:val="5"/>
        <w:spacing w:before="0" w:after="0" w:line="360" w:lineRule="auto"/>
        <w:rPr>
          <w:rFonts w:ascii="宋体" w:hAnsi="宋体" w:eastAsia="宋体"/>
          <w:b w:val="0"/>
          <w:color w:val="auto"/>
          <w:sz w:val="24"/>
          <w:szCs w:val="24"/>
          <w:highlight w:val="none"/>
        </w:rPr>
      </w:pPr>
      <w:bookmarkStart w:id="528" w:name="_Toc351203642"/>
      <w:r>
        <w:rPr>
          <w:rFonts w:hint="eastAsia" w:ascii="宋体" w:hAnsi="宋体" w:eastAsia="宋体"/>
          <w:b w:val="0"/>
          <w:color w:val="auto"/>
          <w:sz w:val="24"/>
          <w:szCs w:val="24"/>
          <w:highlight w:val="none"/>
        </w:rPr>
        <w:t>1</w:t>
      </w:r>
      <w:bookmarkEnd w:id="494"/>
      <w:bookmarkEnd w:id="495"/>
      <w:bookmarkEnd w:id="496"/>
      <w:bookmarkEnd w:id="497"/>
      <w:bookmarkEnd w:id="498"/>
      <w:bookmarkEnd w:id="499"/>
      <w:bookmarkEnd w:id="500"/>
      <w:bookmarkEnd w:id="501"/>
      <w:bookmarkEnd w:id="502"/>
      <w:bookmarkEnd w:id="503"/>
      <w:bookmarkEnd w:id="504"/>
      <w:bookmarkEnd w:id="505"/>
      <w:bookmarkStart w:id="529" w:name="_Toc297216199"/>
      <w:bookmarkStart w:id="530" w:name="_Toc296503193"/>
      <w:bookmarkStart w:id="531" w:name="_Toc296891233"/>
      <w:bookmarkStart w:id="532" w:name="_Toc296891021"/>
      <w:bookmarkStart w:id="533" w:name="_Toc292559903"/>
      <w:bookmarkStart w:id="534" w:name="_Toc297048379"/>
      <w:bookmarkStart w:id="535" w:name="_Toc304295566"/>
      <w:bookmarkStart w:id="536" w:name="_Toc296346694"/>
      <w:bookmarkStart w:id="537" w:name="_Toc297120493"/>
      <w:bookmarkStart w:id="538" w:name="_Toc303539146"/>
      <w:bookmarkStart w:id="539" w:name="_Toc292559398"/>
      <w:bookmarkStart w:id="540" w:name="_Toc297123540"/>
      <w:bookmarkStart w:id="541" w:name="_Toc300934989"/>
      <w:bookmarkStart w:id="542" w:name="_Toc296944532"/>
      <w:bookmarkStart w:id="543" w:name="_Toc296347192"/>
      <w:bookmarkStart w:id="544" w:name="_Toc312677499"/>
      <w:bookmarkStart w:id="545" w:name="_Toc312678025"/>
      <w:bookmarkStart w:id="546" w:name="_Toc267251437"/>
      <w:bookmarkStart w:id="547" w:name="_Toc267251435"/>
      <w:bookmarkStart w:id="548" w:name="_Toc267251441"/>
      <w:bookmarkStart w:id="549" w:name="_Toc267251433"/>
      <w:bookmarkStart w:id="550" w:name="_Toc267251440"/>
      <w:bookmarkStart w:id="551" w:name="_Toc267251439"/>
      <w:bookmarkStart w:id="552" w:name="_Toc267251442"/>
      <w:r>
        <w:rPr>
          <w:rFonts w:hint="eastAsia" w:ascii="宋体" w:hAnsi="宋体" w:eastAsia="宋体"/>
          <w:b w:val="0"/>
          <w:color w:val="auto"/>
          <w:sz w:val="24"/>
          <w:szCs w:val="24"/>
          <w:highlight w:val="none"/>
        </w:rPr>
        <w:t>0. 变更</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bookmarkEnd w:id="544"/>
    <w:bookmarkEnd w:id="545"/>
    <w:p w14:paraId="653963AE">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553" w:name="_Toc292559904"/>
      <w:bookmarkStart w:id="554" w:name="_Toc297216200"/>
      <w:bookmarkStart w:id="555" w:name="_Toc303539147"/>
      <w:bookmarkStart w:id="556" w:name="_Toc304295567"/>
      <w:bookmarkStart w:id="557" w:name="_Toc296891022"/>
      <w:bookmarkStart w:id="558" w:name="_Toc296503194"/>
      <w:bookmarkStart w:id="559" w:name="_Toc296346695"/>
      <w:bookmarkStart w:id="560" w:name="_Toc312678026"/>
      <w:bookmarkStart w:id="561" w:name="_Toc300934990"/>
      <w:bookmarkStart w:id="562" w:name="_Toc296891234"/>
      <w:bookmarkStart w:id="563" w:name="_Toc312677500"/>
      <w:bookmarkStart w:id="564" w:name="_Toc297120494"/>
      <w:bookmarkStart w:id="565" w:name="_Toc292559399"/>
      <w:bookmarkStart w:id="566" w:name="_Toc296944533"/>
      <w:bookmarkStart w:id="567" w:name="_Toc297048380"/>
      <w:bookmarkStart w:id="568" w:name="_Toc296347193"/>
      <w:bookmarkStart w:id="569" w:name="_Toc297123541"/>
      <w:r>
        <w:rPr>
          <w:rFonts w:hint="eastAsia" w:ascii="宋体" w:hAnsi="宋体"/>
          <w:color w:val="auto"/>
          <w:sz w:val="24"/>
          <w:highlight w:val="none"/>
        </w:rPr>
        <w:t>0.1变更的范围</w:t>
      </w:r>
    </w:p>
    <w:p w14:paraId="26A5B78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关于变更的范围的约定：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CFC84E">
      <w:pPr>
        <w:spacing w:line="360" w:lineRule="auto"/>
        <w:rPr>
          <w:rFonts w:ascii="宋体" w:hAnsi="宋体"/>
          <w:color w:val="auto"/>
          <w:sz w:val="24"/>
          <w:highlight w:val="none"/>
        </w:rPr>
      </w:pPr>
      <w:r>
        <w:rPr>
          <w:rFonts w:hint="eastAsia" w:ascii="宋体" w:hAnsi="宋体"/>
          <w:color w:val="auto"/>
          <w:sz w:val="24"/>
          <w:highlight w:val="none"/>
        </w:rPr>
        <w:t>10.4 变更估价</w:t>
      </w:r>
    </w:p>
    <w:p w14:paraId="6107C1FD">
      <w:pPr>
        <w:spacing w:line="360" w:lineRule="auto"/>
        <w:jc w:val="left"/>
        <w:rPr>
          <w:rFonts w:ascii="宋体" w:hAnsi="宋体"/>
          <w:color w:val="auto"/>
          <w:sz w:val="24"/>
          <w:highlight w:val="none"/>
        </w:rPr>
      </w:pPr>
      <w:r>
        <w:rPr>
          <w:rFonts w:hint="eastAsia" w:ascii="宋体" w:hAnsi="宋体"/>
          <w:color w:val="auto"/>
          <w:sz w:val="24"/>
          <w:highlight w:val="none"/>
        </w:rPr>
        <w:t>10.4.1 变更估价原则</w:t>
      </w:r>
    </w:p>
    <w:p w14:paraId="60731DDA">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因工程变更引起已标价工程量清单项目或其工程数量发生变化时，应按照下列规定调整：</w:t>
      </w:r>
    </w:p>
    <w:p w14:paraId="30D64579">
      <w:pPr>
        <w:spacing w:line="360" w:lineRule="auto"/>
        <w:jc w:val="left"/>
        <w:rPr>
          <w:rFonts w:ascii="宋体" w:hAnsi="宋体"/>
          <w:color w:val="auto"/>
          <w:sz w:val="24"/>
          <w:highlight w:val="none"/>
        </w:rPr>
      </w:pPr>
      <w:r>
        <w:rPr>
          <w:rFonts w:hint="eastAsia" w:ascii="宋体" w:hAnsi="宋体"/>
          <w:color w:val="auto"/>
          <w:sz w:val="24"/>
          <w:highlight w:val="none"/>
        </w:rPr>
        <w:t>10.4.1.1已标价工程量清单中有适用于变更项目的，应采用该项目的单价；</w:t>
      </w:r>
    </w:p>
    <w:p w14:paraId="331B890C">
      <w:pPr>
        <w:spacing w:line="360" w:lineRule="auto"/>
        <w:jc w:val="left"/>
        <w:rPr>
          <w:rFonts w:ascii="宋体" w:hAnsi="宋体"/>
          <w:color w:val="auto"/>
          <w:sz w:val="24"/>
          <w:highlight w:val="none"/>
        </w:rPr>
      </w:pPr>
      <w:r>
        <w:rPr>
          <w:rFonts w:hint="eastAsia" w:ascii="宋体" w:hAnsi="宋体"/>
          <w:color w:val="auto"/>
          <w:sz w:val="24"/>
          <w:highlight w:val="none"/>
        </w:rPr>
        <w:t>10.4.1.2已标价工程量清单中没有适用但有类似于变更工程项目的，可在合理范围内参照类似项目的单价；</w:t>
      </w:r>
    </w:p>
    <w:p w14:paraId="39F42A72">
      <w:pPr>
        <w:spacing w:line="360" w:lineRule="auto"/>
        <w:jc w:val="left"/>
        <w:rPr>
          <w:rFonts w:ascii="宋体" w:hAnsi="宋体"/>
          <w:color w:val="auto"/>
          <w:sz w:val="24"/>
          <w:highlight w:val="none"/>
        </w:rPr>
      </w:pPr>
      <w:r>
        <w:rPr>
          <w:rFonts w:hint="eastAsia" w:ascii="宋体" w:hAnsi="宋体"/>
          <w:color w:val="auto"/>
          <w:sz w:val="24"/>
          <w:highlight w:val="none"/>
        </w:rPr>
        <w:t>10.4.1.3已标价工程量清单中没有适用也没有类似于变更工程项目的，应根据变更工程资料、参照现行的计量规则和计价办法。</w:t>
      </w:r>
    </w:p>
    <w:p w14:paraId="0E0D25A7">
      <w:pPr>
        <w:spacing w:line="360" w:lineRule="auto"/>
        <w:jc w:val="left"/>
        <w:rPr>
          <w:rFonts w:ascii="宋体" w:hAnsi="宋体"/>
          <w:color w:val="auto"/>
          <w:sz w:val="24"/>
          <w:highlight w:val="none"/>
        </w:rPr>
      </w:pPr>
      <w:r>
        <w:rPr>
          <w:rFonts w:hint="eastAsia" w:ascii="宋体" w:hAnsi="宋体"/>
          <w:color w:val="auto"/>
          <w:sz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167BF721">
      <w:pPr>
        <w:spacing w:line="360" w:lineRule="auto"/>
        <w:jc w:val="left"/>
        <w:rPr>
          <w:rFonts w:ascii="宋体" w:hAnsi="宋体"/>
          <w:color w:val="auto"/>
          <w:sz w:val="24"/>
          <w:highlight w:val="none"/>
        </w:rPr>
      </w:pPr>
      <w:r>
        <w:rPr>
          <w:rFonts w:hint="eastAsia" w:ascii="宋体" w:hAnsi="宋体"/>
          <w:color w:val="auto"/>
          <w:sz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32812594">
      <w:pPr>
        <w:spacing w:line="360" w:lineRule="auto"/>
        <w:rPr>
          <w:rFonts w:ascii="宋体" w:hAnsi="宋体"/>
          <w:color w:val="auto"/>
          <w:sz w:val="24"/>
          <w:highlight w:val="none"/>
        </w:rPr>
      </w:pPr>
      <w:r>
        <w:rPr>
          <w:rFonts w:hint="eastAsia" w:ascii="宋体" w:hAnsi="宋体"/>
          <w:color w:val="auto"/>
          <w:sz w:val="24"/>
          <w:highlight w:val="none"/>
        </w:rPr>
        <w:t>1</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Start w:id="570" w:name="_Toc297216203"/>
      <w:bookmarkStart w:id="571" w:name="_Toc292559907"/>
      <w:bookmarkStart w:id="572" w:name="_Toc296347196"/>
      <w:bookmarkStart w:id="573" w:name="_Toc296346698"/>
      <w:bookmarkStart w:id="574" w:name="_Toc300934993"/>
      <w:bookmarkStart w:id="575" w:name="_Toc297048383"/>
      <w:bookmarkStart w:id="576" w:name="_Toc296944536"/>
      <w:bookmarkStart w:id="577" w:name="_Toc296503197"/>
      <w:bookmarkStart w:id="578" w:name="_Toc296891025"/>
      <w:bookmarkStart w:id="579" w:name="_Toc292559402"/>
      <w:bookmarkStart w:id="580" w:name="_Toc303539150"/>
      <w:bookmarkStart w:id="581" w:name="_Toc296891237"/>
      <w:bookmarkStart w:id="582" w:name="_Toc297123544"/>
      <w:bookmarkStart w:id="583" w:name="_Toc297120497"/>
      <w:bookmarkStart w:id="584" w:name="_Toc304295570"/>
      <w:bookmarkStart w:id="585" w:name="_Toc312677503"/>
      <w:bookmarkStart w:id="586" w:name="_Toc312678029"/>
      <w:r>
        <w:rPr>
          <w:rFonts w:hint="eastAsia" w:ascii="宋体" w:hAnsi="宋体"/>
          <w:color w:val="auto"/>
          <w:sz w:val="24"/>
          <w:highlight w:val="none"/>
        </w:rPr>
        <w:t>0.5承</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Start w:id="587" w:name="_Toc297120503"/>
      <w:bookmarkStart w:id="588" w:name="_Toc296891031"/>
      <w:bookmarkStart w:id="589" w:name="_Toc292559913"/>
      <w:bookmarkStart w:id="590" w:name="_Toc303539151"/>
      <w:bookmarkStart w:id="591" w:name="_Toc296944542"/>
      <w:bookmarkStart w:id="592" w:name="_Toc296503203"/>
      <w:bookmarkStart w:id="593" w:name="_Toc297123545"/>
      <w:bookmarkStart w:id="594" w:name="_Toc292559408"/>
      <w:bookmarkStart w:id="595" w:name="_Toc296891243"/>
      <w:bookmarkStart w:id="596" w:name="_Toc296346704"/>
      <w:bookmarkStart w:id="597" w:name="_Toc296347202"/>
      <w:bookmarkStart w:id="598" w:name="_Toc300934994"/>
      <w:bookmarkStart w:id="599" w:name="_Toc297216204"/>
      <w:bookmarkStart w:id="600" w:name="_Toc297048389"/>
      <w:r>
        <w:rPr>
          <w:rFonts w:hint="eastAsia" w:ascii="宋体" w:hAnsi="宋体"/>
          <w:color w:val="auto"/>
          <w:sz w:val="24"/>
          <w:highlight w:val="none"/>
        </w:rPr>
        <w:t>包人的合理化建议</w:t>
      </w:r>
    </w:p>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14:paraId="1A9D3E2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监理人审查承包人合理化建议的期限：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BCEA75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E765C8A">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承</w:t>
      </w:r>
      <w:bookmarkStart w:id="601" w:name="_Toc312678030"/>
      <w:bookmarkStart w:id="602" w:name="_Toc300934995"/>
      <w:bookmarkStart w:id="603" w:name="_Toc296891032"/>
      <w:bookmarkStart w:id="604" w:name="_Toc303539152"/>
      <w:bookmarkStart w:id="605" w:name="_Toc312677504"/>
      <w:bookmarkStart w:id="606" w:name="_Toc297216205"/>
      <w:bookmarkStart w:id="607" w:name="_Toc296346705"/>
      <w:bookmarkStart w:id="608" w:name="_Toc296891244"/>
      <w:bookmarkStart w:id="609" w:name="_Toc292559914"/>
      <w:bookmarkStart w:id="610" w:name="_Toc296347203"/>
      <w:bookmarkStart w:id="611" w:name="_Toc297120504"/>
      <w:bookmarkStart w:id="612" w:name="_Toc318581175"/>
      <w:bookmarkStart w:id="613" w:name="_Toc296503204"/>
      <w:bookmarkStart w:id="614" w:name="_Toc304295571"/>
      <w:bookmarkStart w:id="615" w:name="_Toc292559409"/>
      <w:bookmarkStart w:id="616" w:name="_Toc296944543"/>
      <w:bookmarkStart w:id="617" w:name="_Toc297123546"/>
      <w:bookmarkStart w:id="618" w:name="_Toc297048390"/>
      <w:r>
        <w:rPr>
          <w:rFonts w:hint="eastAsia" w:ascii="宋体" w:hAnsi="宋体"/>
          <w:color w:val="auto"/>
          <w:sz w:val="24"/>
          <w:highlight w:val="none"/>
        </w:rPr>
        <w:t>包人提出的合理化建议降低了合同价格或者提高了工程经济效益的奖励的方法和金额为：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14:paraId="3A462C16">
      <w:pPr>
        <w:spacing w:line="360" w:lineRule="auto"/>
        <w:rPr>
          <w:rFonts w:ascii="宋体" w:hAnsi="宋体"/>
          <w:color w:val="auto"/>
          <w:sz w:val="24"/>
          <w:highlight w:val="none"/>
        </w:rPr>
      </w:pPr>
      <w:r>
        <w:rPr>
          <w:rFonts w:hint="eastAsia" w:ascii="宋体" w:hAnsi="宋体"/>
          <w:color w:val="auto"/>
          <w:sz w:val="24"/>
          <w:highlight w:val="none"/>
        </w:rPr>
        <w:t>1</w:t>
      </w:r>
      <w:bookmarkStart w:id="619" w:name="_Toc297120499"/>
      <w:bookmarkStart w:id="620" w:name="_Toc303539154"/>
      <w:bookmarkStart w:id="621" w:name="_Toc296944538"/>
      <w:bookmarkStart w:id="622" w:name="_Toc312678033"/>
      <w:bookmarkStart w:id="623" w:name="_Toc292559404"/>
      <w:bookmarkStart w:id="624" w:name="_Toc300934997"/>
      <w:bookmarkStart w:id="625" w:name="_Toc312677507"/>
      <w:bookmarkStart w:id="626" w:name="_Toc297048385"/>
      <w:bookmarkStart w:id="627" w:name="_Toc297216207"/>
      <w:bookmarkStart w:id="628" w:name="_Toc292559909"/>
      <w:bookmarkStart w:id="629" w:name="_Toc297123548"/>
      <w:bookmarkStart w:id="630" w:name="_Toc296347198"/>
      <w:bookmarkStart w:id="631" w:name="_Toc296503199"/>
      <w:bookmarkStart w:id="632" w:name="_Toc304295574"/>
      <w:bookmarkStart w:id="633" w:name="_Toc296346700"/>
      <w:bookmarkStart w:id="634" w:name="_Toc296891027"/>
      <w:bookmarkStart w:id="635" w:name="_Toc296891239"/>
      <w:r>
        <w:rPr>
          <w:rFonts w:hint="eastAsia" w:ascii="宋体" w:hAnsi="宋体"/>
          <w:color w:val="auto"/>
          <w:sz w:val="24"/>
          <w:highlight w:val="none"/>
        </w:rPr>
        <w:t>0.7 暂估价</w:t>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50DAF1F4">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暂</w:t>
      </w:r>
      <w:bookmarkStart w:id="636" w:name="_Toc312678034"/>
      <w:bookmarkStart w:id="637" w:name="_Toc318581176"/>
      <w:bookmarkStart w:id="638" w:name="_Toc312677508"/>
      <w:r>
        <w:rPr>
          <w:rFonts w:hint="eastAsia" w:ascii="宋体" w:hAnsi="宋体"/>
          <w:color w:val="auto"/>
          <w:kern w:val="0"/>
          <w:sz w:val="24"/>
          <w:highlight w:val="none"/>
        </w:rPr>
        <w:t>估价材料和工程设备的明细详见附件11：《</w:t>
      </w:r>
      <w:r>
        <w:rPr>
          <w:rFonts w:hint="eastAsia" w:ascii="宋体" w:hAnsi="宋体"/>
          <w:color w:val="auto"/>
          <w:sz w:val="24"/>
          <w:highlight w:val="none"/>
        </w:rPr>
        <w:t>暂估价一览表》</w:t>
      </w:r>
      <w:r>
        <w:rPr>
          <w:rFonts w:hint="eastAsia" w:ascii="宋体" w:hAnsi="宋体"/>
          <w:color w:val="auto"/>
          <w:kern w:val="0"/>
          <w:sz w:val="24"/>
          <w:highlight w:val="none"/>
        </w:rPr>
        <w:t>。</w:t>
      </w:r>
    </w:p>
    <w:bookmarkEnd w:id="636"/>
    <w:bookmarkEnd w:id="637"/>
    <w:bookmarkEnd w:id="638"/>
    <w:p w14:paraId="145C4039">
      <w:pPr>
        <w:spacing w:line="360" w:lineRule="auto"/>
        <w:jc w:val="left"/>
        <w:rPr>
          <w:rFonts w:ascii="宋体" w:hAnsi="宋体"/>
          <w:color w:val="auto"/>
          <w:sz w:val="24"/>
          <w:highlight w:val="none"/>
        </w:rPr>
      </w:pPr>
      <w:r>
        <w:rPr>
          <w:rFonts w:hint="eastAsia" w:ascii="宋体" w:hAnsi="宋体"/>
          <w:color w:val="auto"/>
          <w:sz w:val="24"/>
          <w:highlight w:val="none"/>
        </w:rPr>
        <w:t>1</w:t>
      </w:r>
      <w:bookmarkStart w:id="639" w:name="_Toc312678035"/>
      <w:bookmarkStart w:id="640" w:name="_Toc312677509"/>
      <w:bookmarkStart w:id="641" w:name="_Toc318581177"/>
      <w:r>
        <w:rPr>
          <w:rFonts w:hint="eastAsia" w:ascii="宋体" w:hAnsi="宋体"/>
          <w:color w:val="auto"/>
          <w:sz w:val="24"/>
          <w:highlight w:val="none"/>
        </w:rPr>
        <w:t>0.7.1 依法必须招标的暂估价项目</w:t>
      </w:r>
    </w:p>
    <w:bookmarkEnd w:id="639"/>
    <w:bookmarkEnd w:id="640"/>
    <w:bookmarkEnd w:id="641"/>
    <w:p w14:paraId="40B376B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种方式确定。</w:t>
      </w:r>
    </w:p>
    <w:p w14:paraId="1706ABA1">
      <w:pPr>
        <w:spacing w:line="360" w:lineRule="auto"/>
        <w:jc w:val="left"/>
        <w:rPr>
          <w:rFonts w:ascii="宋体" w:hAnsi="宋体"/>
          <w:color w:val="auto"/>
          <w:sz w:val="24"/>
          <w:highlight w:val="none"/>
        </w:rPr>
      </w:pPr>
      <w:r>
        <w:rPr>
          <w:rFonts w:hint="eastAsia" w:ascii="宋体" w:hAnsi="宋体"/>
          <w:color w:val="auto"/>
          <w:sz w:val="24"/>
          <w:highlight w:val="none"/>
        </w:rPr>
        <w:t>10.7.2 不属于依法必须招标的暂估价项目</w:t>
      </w:r>
    </w:p>
    <w:p w14:paraId="2DEA2A7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种方式确定。</w:t>
      </w:r>
    </w:p>
    <w:p w14:paraId="6E85F748">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第3种方式：</w:t>
      </w:r>
      <w:r>
        <w:rPr>
          <w:rFonts w:hint="eastAsia" w:ascii="宋体" w:hAnsi="宋体"/>
          <w:color w:val="auto"/>
          <w:kern w:val="0"/>
          <w:sz w:val="24"/>
          <w:highlight w:val="none"/>
        </w:rPr>
        <w:t>承包人直接实施的暂估价项目</w:t>
      </w:r>
    </w:p>
    <w:p w14:paraId="398949B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承包人直接实施的暂估价项目的约定：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0309CF">
      <w:pPr>
        <w:spacing w:line="360" w:lineRule="auto"/>
        <w:rPr>
          <w:rFonts w:ascii="宋体" w:hAnsi="宋体"/>
          <w:color w:val="auto"/>
          <w:sz w:val="24"/>
          <w:highlight w:val="none"/>
        </w:rPr>
      </w:pPr>
      <w:r>
        <w:rPr>
          <w:rFonts w:hint="eastAsia" w:ascii="宋体" w:hAnsi="宋体"/>
          <w:color w:val="auto"/>
          <w:sz w:val="24"/>
          <w:highlight w:val="none"/>
        </w:rPr>
        <w:t>10.8 暂列金额</w:t>
      </w:r>
    </w:p>
    <w:p w14:paraId="50525A2C">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合同当事人关于暂列金额使用的约定：</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4209F926">
      <w:pPr>
        <w:pStyle w:val="5"/>
        <w:spacing w:before="0" w:after="0" w:line="360" w:lineRule="auto"/>
        <w:rPr>
          <w:rFonts w:ascii="宋体" w:hAnsi="宋体" w:eastAsia="宋体"/>
          <w:b w:val="0"/>
          <w:color w:val="auto"/>
          <w:sz w:val="24"/>
          <w:szCs w:val="24"/>
          <w:highlight w:val="none"/>
        </w:rPr>
      </w:pPr>
      <w:bookmarkStart w:id="642" w:name="_Toc351203643"/>
      <w:r>
        <w:rPr>
          <w:rFonts w:hint="eastAsia" w:ascii="宋体" w:hAnsi="宋体" w:eastAsia="宋体"/>
          <w:b w:val="0"/>
          <w:color w:val="auto"/>
          <w:sz w:val="24"/>
          <w:szCs w:val="24"/>
          <w:highlight w:val="none"/>
        </w:rPr>
        <w:t>11. 价格调整</w:t>
      </w:r>
      <w:bookmarkEnd w:id="642"/>
    </w:p>
    <w:p w14:paraId="08A0FE25">
      <w:pPr>
        <w:spacing w:line="360" w:lineRule="auto"/>
        <w:rPr>
          <w:rFonts w:ascii="宋体" w:hAnsi="宋体"/>
          <w:color w:val="auto"/>
          <w:sz w:val="24"/>
          <w:highlight w:val="none"/>
        </w:rPr>
      </w:pPr>
      <w:bookmarkStart w:id="643" w:name="_Toc300935000"/>
      <w:bookmarkStart w:id="644" w:name="_Toc296944540"/>
      <w:bookmarkStart w:id="645" w:name="_Toc297123550"/>
      <w:bookmarkStart w:id="646" w:name="_Toc296891029"/>
      <w:bookmarkStart w:id="647" w:name="_Toc303539157"/>
      <w:bookmarkStart w:id="648" w:name="_Toc292559911"/>
      <w:bookmarkStart w:id="649" w:name="_Toc297120501"/>
      <w:bookmarkStart w:id="650" w:name="_Toc296346702"/>
      <w:bookmarkStart w:id="651" w:name="_Toc304295577"/>
      <w:bookmarkStart w:id="652" w:name="_Toc292559406"/>
      <w:bookmarkStart w:id="653" w:name="_Toc296503201"/>
      <w:bookmarkStart w:id="654" w:name="_Toc296891241"/>
      <w:bookmarkStart w:id="655" w:name="_Toc296347200"/>
      <w:bookmarkStart w:id="656" w:name="_Toc312678039"/>
      <w:bookmarkStart w:id="657" w:name="_Toc297216209"/>
      <w:bookmarkStart w:id="658" w:name="_Toc297048387"/>
      <w:r>
        <w:rPr>
          <w:rFonts w:hint="eastAsia" w:ascii="宋体" w:hAnsi="宋体"/>
          <w:color w:val="auto"/>
          <w:sz w:val="24"/>
          <w:highlight w:val="none"/>
        </w:rPr>
        <w:t>11.1 市场价格波动引起的调整</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14:paraId="798D4D1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市场价格波动是否调整合同价格的约定：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4F7091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因市场价格波动调整合同价格，采用以下第</w:t>
      </w:r>
      <w:r>
        <w:rPr>
          <w:rFonts w:hint="eastAsia" w:ascii="宋体" w:hAnsi="宋体"/>
          <w:color w:val="auto"/>
          <w:sz w:val="24"/>
          <w:highlight w:val="none"/>
          <w:u w:val="single"/>
        </w:rPr>
        <w:t xml:space="preserve">     </w:t>
      </w:r>
      <w:r>
        <w:rPr>
          <w:rFonts w:hint="eastAsia" w:ascii="宋体" w:hAnsi="宋体"/>
          <w:color w:val="auto"/>
          <w:sz w:val="24"/>
          <w:highlight w:val="none"/>
        </w:rPr>
        <w:t>种方式对合同价格进行调整：</w:t>
      </w:r>
    </w:p>
    <w:p w14:paraId="22924C6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第1种方式：采用价格指数进行价格调整。</w:t>
      </w:r>
    </w:p>
    <w:p w14:paraId="5244ADAD">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关于各可调因子、定值和变值权重，以及基本价格指数及其来源的约定：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47D88B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第2种方式：采用造价信息进行价格调整。</w:t>
      </w:r>
    </w:p>
    <w:p w14:paraId="198E350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（2）关于基准价格的约定：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14F15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w:t>
      </w:r>
      <w:r>
        <w:rPr>
          <w:rFonts w:hint="eastAsia" w:ascii="宋体" w:hAnsi="宋体" w:cs="宋体"/>
          <w:color w:val="auto"/>
          <w:sz w:val="24"/>
          <w:highlight w:val="none"/>
        </w:rPr>
        <w:t>①</w:t>
      </w:r>
      <w:r>
        <w:rPr>
          <w:rFonts w:hint="eastAsia"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%时，或材料单价跌幅以已标价工程量清单或预算书中载明材料单价为基础超过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04E83203">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②</w:t>
      </w:r>
      <w:r>
        <w:rPr>
          <w:rFonts w:hint="eastAsia"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%时，材料单价涨幅以已标价工程量清单或预算书中载明材料单价为基础超过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50632CFA">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③</w:t>
      </w:r>
      <w:r>
        <w:rPr>
          <w:rFonts w:hint="eastAsia"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6B92C9A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第3种方式：其他价格调整方式：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46"/>
    <w:bookmarkEnd w:id="547"/>
    <w:bookmarkEnd w:id="548"/>
    <w:bookmarkEnd w:id="549"/>
    <w:bookmarkEnd w:id="550"/>
    <w:bookmarkEnd w:id="551"/>
    <w:p w14:paraId="7792721E">
      <w:pPr>
        <w:pStyle w:val="5"/>
        <w:spacing w:before="0" w:after="0" w:line="360" w:lineRule="auto"/>
        <w:rPr>
          <w:rFonts w:ascii="宋体" w:hAnsi="宋体" w:eastAsia="宋体"/>
          <w:b w:val="0"/>
          <w:color w:val="auto"/>
          <w:sz w:val="24"/>
          <w:szCs w:val="24"/>
          <w:highlight w:val="none"/>
        </w:rPr>
      </w:pPr>
      <w:bookmarkStart w:id="659" w:name="_Toc297120505"/>
      <w:bookmarkStart w:id="660" w:name="_Toc292559410"/>
      <w:bookmarkStart w:id="661" w:name="_Toc296346706"/>
      <w:bookmarkStart w:id="662" w:name="_Toc296347204"/>
      <w:bookmarkStart w:id="663" w:name="_Toc296503205"/>
      <w:bookmarkStart w:id="664" w:name="_Toc292559915"/>
      <w:bookmarkStart w:id="665" w:name="_Toc296944544"/>
      <w:bookmarkStart w:id="666" w:name="_Toc296891245"/>
      <w:bookmarkStart w:id="667" w:name="_Toc296891033"/>
      <w:bookmarkStart w:id="668" w:name="_Toc297048391"/>
      <w:bookmarkStart w:id="669" w:name="_Toc351203644"/>
      <w:bookmarkStart w:id="670" w:name="_Toc297216211"/>
      <w:bookmarkStart w:id="671" w:name="_Toc300935002"/>
      <w:bookmarkStart w:id="672" w:name="_Toc304295579"/>
      <w:bookmarkStart w:id="673" w:name="_Toc303539159"/>
      <w:bookmarkStart w:id="674" w:name="_Toc312678040"/>
      <w:bookmarkStart w:id="675" w:name="_Toc297123552"/>
      <w:r>
        <w:rPr>
          <w:rFonts w:hint="eastAsia" w:ascii="宋体" w:hAnsi="宋体" w:eastAsia="宋体"/>
          <w:b w:val="0"/>
          <w:color w:val="auto"/>
          <w:sz w:val="24"/>
          <w:szCs w:val="24"/>
          <w:highlight w:val="none"/>
        </w:rPr>
        <w:t xml:space="preserve">12. </w:t>
      </w:r>
      <w:bookmarkEnd w:id="659"/>
      <w:bookmarkEnd w:id="660"/>
      <w:bookmarkEnd w:id="661"/>
      <w:bookmarkEnd w:id="662"/>
      <w:bookmarkEnd w:id="663"/>
      <w:bookmarkEnd w:id="664"/>
      <w:bookmarkEnd w:id="665"/>
      <w:bookmarkEnd w:id="666"/>
      <w:bookmarkEnd w:id="667"/>
      <w:bookmarkEnd w:id="668"/>
      <w:r>
        <w:rPr>
          <w:rFonts w:hint="eastAsia" w:ascii="宋体" w:hAnsi="宋体" w:eastAsia="宋体"/>
          <w:b w:val="0"/>
          <w:color w:val="auto"/>
          <w:sz w:val="24"/>
          <w:szCs w:val="24"/>
          <w:highlight w:val="none"/>
        </w:rPr>
        <w:t>合同价格、计量与支付</w:t>
      </w:r>
      <w:bookmarkEnd w:id="669"/>
    </w:p>
    <w:bookmarkEnd w:id="670"/>
    <w:bookmarkEnd w:id="671"/>
    <w:bookmarkEnd w:id="672"/>
    <w:bookmarkEnd w:id="673"/>
    <w:bookmarkEnd w:id="674"/>
    <w:bookmarkEnd w:id="675"/>
    <w:p w14:paraId="6B429303">
      <w:pPr>
        <w:spacing w:line="360" w:lineRule="auto"/>
        <w:rPr>
          <w:rFonts w:ascii="宋体" w:hAnsi="宋体"/>
          <w:color w:val="auto"/>
          <w:sz w:val="24"/>
          <w:highlight w:val="none"/>
        </w:rPr>
      </w:pPr>
      <w:bookmarkStart w:id="676" w:name="_Toc267251461"/>
      <w:bookmarkStart w:id="677" w:name="_Toc292559916"/>
      <w:bookmarkStart w:id="678" w:name="_Toc292559411"/>
      <w:bookmarkStart w:id="679" w:name="_Toc296503206"/>
      <w:bookmarkStart w:id="680" w:name="_Toc296891246"/>
      <w:bookmarkStart w:id="681" w:name="_Toc296944545"/>
      <w:bookmarkStart w:id="682" w:name="_Toc297048392"/>
      <w:bookmarkStart w:id="683" w:name="_Toc296347205"/>
      <w:bookmarkStart w:id="684" w:name="_Toc296891034"/>
      <w:bookmarkStart w:id="685" w:name="_Toc296346707"/>
      <w:bookmarkStart w:id="686" w:name="_Toc297120506"/>
      <w:bookmarkStart w:id="687" w:name="_Toc312678041"/>
      <w:bookmarkStart w:id="688" w:name="_Toc304295580"/>
      <w:bookmarkStart w:id="689" w:name="_Toc303539160"/>
      <w:bookmarkStart w:id="690" w:name="_Toc297216212"/>
      <w:bookmarkStart w:id="691" w:name="_Toc297123553"/>
      <w:bookmarkStart w:id="692" w:name="_Toc300935003"/>
      <w:r>
        <w:rPr>
          <w:rFonts w:hint="eastAsia" w:ascii="宋体" w:hAnsi="宋体"/>
          <w:color w:val="auto"/>
          <w:sz w:val="24"/>
          <w:highlight w:val="none"/>
        </w:rPr>
        <w:t>12.1 合</w:t>
      </w:r>
      <w:bookmarkEnd w:id="676"/>
      <w:bookmarkEnd w:id="677"/>
      <w:bookmarkEnd w:id="678"/>
      <w:r>
        <w:rPr>
          <w:rFonts w:hint="eastAsia" w:ascii="宋体" w:hAnsi="宋体"/>
          <w:color w:val="auto"/>
          <w:sz w:val="24"/>
          <w:highlight w:val="none"/>
        </w:rPr>
        <w:t>同价</w:t>
      </w:r>
      <w:bookmarkEnd w:id="679"/>
      <w:bookmarkEnd w:id="680"/>
      <w:bookmarkEnd w:id="681"/>
      <w:bookmarkEnd w:id="682"/>
      <w:bookmarkEnd w:id="683"/>
      <w:bookmarkEnd w:id="684"/>
      <w:bookmarkEnd w:id="685"/>
      <w:bookmarkEnd w:id="686"/>
      <w:r>
        <w:rPr>
          <w:rFonts w:hint="eastAsia" w:ascii="宋体" w:hAnsi="宋体"/>
          <w:color w:val="auto"/>
          <w:sz w:val="24"/>
          <w:highlight w:val="none"/>
        </w:rPr>
        <w:t>格形式</w:t>
      </w:r>
    </w:p>
    <w:bookmarkEnd w:id="687"/>
    <w:bookmarkEnd w:id="688"/>
    <w:bookmarkEnd w:id="689"/>
    <w:bookmarkEnd w:id="690"/>
    <w:bookmarkEnd w:id="691"/>
    <w:bookmarkEnd w:id="692"/>
    <w:p w14:paraId="30F9182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1、单价合同。</w:t>
      </w:r>
    </w:p>
    <w:p w14:paraId="2D1E760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综合单价包含的风险范围：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B18CC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775AD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A0F79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w:t>
      </w:r>
    </w:p>
    <w:p w14:paraId="0BD2F68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总价包含的风险范围：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CC9703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5BAF24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053E0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098A404">
      <w:pPr>
        <w:spacing w:line="360" w:lineRule="auto"/>
        <w:rPr>
          <w:rFonts w:ascii="宋体" w:hAnsi="宋体"/>
          <w:color w:val="auto"/>
          <w:sz w:val="24"/>
          <w:highlight w:val="none"/>
        </w:rPr>
      </w:pPr>
      <w:bookmarkStart w:id="693" w:name="_Toc297216213"/>
      <w:bookmarkStart w:id="694" w:name="_Toc300935004"/>
      <w:bookmarkStart w:id="695" w:name="_Toc304295581"/>
      <w:bookmarkStart w:id="696" w:name="_Toc297123554"/>
      <w:bookmarkStart w:id="697" w:name="_Toc303539161"/>
      <w:bookmarkStart w:id="698" w:name="_Toc312678042"/>
      <w:bookmarkStart w:id="699" w:name="_Toc292559412"/>
      <w:bookmarkStart w:id="700" w:name="_Toc296891247"/>
      <w:bookmarkStart w:id="701" w:name="_Toc297048393"/>
      <w:bookmarkStart w:id="702" w:name="_Toc296944546"/>
      <w:bookmarkStart w:id="703" w:name="_Toc297120507"/>
      <w:bookmarkStart w:id="704" w:name="_Toc296346708"/>
      <w:bookmarkStart w:id="705" w:name="_Toc296891035"/>
      <w:bookmarkStart w:id="706" w:name="_Toc296503207"/>
      <w:bookmarkStart w:id="707" w:name="_Toc292559917"/>
      <w:bookmarkStart w:id="708" w:name="_Toc296347206"/>
      <w:r>
        <w:rPr>
          <w:rFonts w:hint="eastAsia" w:ascii="宋体" w:hAnsi="宋体"/>
          <w:color w:val="auto"/>
          <w:sz w:val="24"/>
          <w:highlight w:val="none"/>
        </w:rPr>
        <w:t>12.2 预付款</w:t>
      </w:r>
    </w:p>
    <w:bookmarkEnd w:id="693"/>
    <w:bookmarkEnd w:id="694"/>
    <w:bookmarkEnd w:id="695"/>
    <w:bookmarkEnd w:id="696"/>
    <w:bookmarkEnd w:id="697"/>
    <w:bookmarkEnd w:id="698"/>
    <w:p w14:paraId="699518FE">
      <w:pPr>
        <w:spacing w:line="360" w:lineRule="auto"/>
        <w:jc w:val="left"/>
        <w:rPr>
          <w:rFonts w:ascii="宋体" w:hAnsi="宋体"/>
          <w:color w:val="auto"/>
          <w:sz w:val="24"/>
          <w:highlight w:val="none"/>
        </w:rPr>
      </w:pPr>
      <w:r>
        <w:rPr>
          <w:rFonts w:hint="eastAsia" w:ascii="宋体" w:hAnsi="宋体"/>
          <w:color w:val="auto"/>
          <w:sz w:val="24"/>
          <w:highlight w:val="none"/>
        </w:rPr>
        <w:t>12.2.1 预付款的支付</w:t>
      </w:r>
    </w:p>
    <w:p w14:paraId="7CFCB68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预付款支付比例或金额：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28C8D8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70A9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预付款扣回的方式：</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8985831">
      <w:pPr>
        <w:spacing w:line="360" w:lineRule="auto"/>
        <w:jc w:val="left"/>
        <w:rPr>
          <w:rFonts w:ascii="宋体" w:hAnsi="宋体"/>
          <w:color w:val="auto"/>
          <w:sz w:val="24"/>
          <w:highlight w:val="none"/>
        </w:rPr>
      </w:pPr>
      <w:r>
        <w:rPr>
          <w:rFonts w:hint="eastAsia" w:ascii="宋体" w:hAnsi="宋体"/>
          <w:color w:val="auto"/>
          <w:sz w:val="24"/>
          <w:highlight w:val="none"/>
        </w:rPr>
        <w:t>12.2.2 预付款担保</w:t>
      </w:r>
    </w:p>
    <w:p w14:paraId="3893E6F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承包人提交预付款担保的期限：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5B8448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预付款担保的形式为：</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699"/>
    <w:bookmarkEnd w:id="700"/>
    <w:bookmarkEnd w:id="701"/>
    <w:bookmarkEnd w:id="702"/>
    <w:bookmarkEnd w:id="703"/>
    <w:bookmarkEnd w:id="704"/>
    <w:bookmarkEnd w:id="705"/>
    <w:bookmarkEnd w:id="706"/>
    <w:bookmarkEnd w:id="707"/>
    <w:bookmarkEnd w:id="708"/>
    <w:p w14:paraId="4042CF96">
      <w:pPr>
        <w:spacing w:line="360" w:lineRule="auto"/>
        <w:rPr>
          <w:rFonts w:ascii="宋体" w:hAnsi="宋体"/>
          <w:color w:val="auto"/>
          <w:sz w:val="24"/>
          <w:highlight w:val="none"/>
        </w:rPr>
      </w:pPr>
      <w:r>
        <w:rPr>
          <w:rFonts w:hint="eastAsia" w:ascii="宋体" w:hAnsi="宋体"/>
          <w:color w:val="auto"/>
          <w:sz w:val="24"/>
          <w:highlight w:val="none"/>
        </w:rPr>
        <w:t>12.3 计量</w:t>
      </w:r>
    </w:p>
    <w:p w14:paraId="034963FE">
      <w:pPr>
        <w:spacing w:line="360" w:lineRule="auto"/>
        <w:jc w:val="left"/>
        <w:rPr>
          <w:rFonts w:ascii="宋体" w:hAnsi="宋体"/>
          <w:color w:val="auto"/>
          <w:sz w:val="24"/>
          <w:highlight w:val="none"/>
        </w:rPr>
      </w:pPr>
      <w:r>
        <w:rPr>
          <w:rFonts w:hint="eastAsia" w:ascii="宋体" w:hAnsi="宋体"/>
          <w:color w:val="auto"/>
          <w:sz w:val="24"/>
          <w:highlight w:val="none"/>
        </w:rPr>
        <w:t>12.3.1 计量原则</w:t>
      </w:r>
    </w:p>
    <w:p w14:paraId="31AEC4B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工程量计算规则：</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8E2AC9B">
      <w:pPr>
        <w:spacing w:line="360" w:lineRule="auto"/>
        <w:jc w:val="left"/>
        <w:rPr>
          <w:rFonts w:ascii="宋体" w:hAnsi="宋体"/>
          <w:color w:val="auto"/>
          <w:sz w:val="24"/>
          <w:highlight w:val="none"/>
        </w:rPr>
      </w:pPr>
      <w:r>
        <w:rPr>
          <w:rFonts w:hint="eastAsia" w:ascii="宋体" w:hAnsi="宋体"/>
          <w:color w:val="auto"/>
          <w:sz w:val="24"/>
          <w:highlight w:val="none"/>
        </w:rPr>
        <w:t>12.3.2 计量周期</w:t>
      </w:r>
    </w:p>
    <w:p w14:paraId="0CD024D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关于计量周期的约定：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409E0D">
      <w:pPr>
        <w:spacing w:line="360" w:lineRule="auto"/>
        <w:jc w:val="left"/>
        <w:rPr>
          <w:rFonts w:ascii="宋体" w:hAnsi="宋体"/>
          <w:color w:val="auto"/>
          <w:sz w:val="24"/>
          <w:highlight w:val="none"/>
        </w:rPr>
      </w:pPr>
      <w:r>
        <w:rPr>
          <w:rFonts w:hint="eastAsia" w:ascii="宋体" w:hAnsi="宋体"/>
          <w:color w:val="auto"/>
          <w:sz w:val="24"/>
          <w:highlight w:val="none"/>
        </w:rPr>
        <w:t>12.3.3 单价合同的计量</w:t>
      </w:r>
    </w:p>
    <w:p w14:paraId="61216C6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关于单价合同计量的约定：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E670FD5">
      <w:pPr>
        <w:spacing w:line="360" w:lineRule="auto"/>
        <w:jc w:val="left"/>
        <w:rPr>
          <w:rFonts w:ascii="宋体" w:hAnsi="宋体"/>
          <w:color w:val="auto"/>
          <w:sz w:val="24"/>
          <w:highlight w:val="none"/>
        </w:rPr>
      </w:pPr>
      <w:r>
        <w:rPr>
          <w:rFonts w:hint="eastAsia" w:ascii="宋体" w:hAnsi="宋体"/>
          <w:color w:val="auto"/>
          <w:sz w:val="24"/>
          <w:highlight w:val="none"/>
        </w:rPr>
        <w:t>12.3.4 总价合同的计量</w:t>
      </w:r>
    </w:p>
    <w:p w14:paraId="7D546A2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关于总价合同计量的约定：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FD5D1F">
      <w:pPr>
        <w:spacing w:line="360" w:lineRule="auto"/>
        <w:jc w:val="left"/>
        <w:rPr>
          <w:rFonts w:ascii="宋体" w:hAnsi="宋体"/>
          <w:color w:val="auto"/>
          <w:sz w:val="24"/>
          <w:highlight w:val="none"/>
        </w:rPr>
      </w:pPr>
      <w:r>
        <w:rPr>
          <w:rFonts w:hint="eastAsia" w:ascii="宋体" w:hAnsi="宋体"/>
          <w:color w:val="auto"/>
          <w:sz w:val="24"/>
          <w:highlight w:val="none"/>
        </w:rPr>
        <w:t>12.3.5总价合同采用支付分解表计量支付的，是否适用第</w:t>
      </w:r>
      <w:r>
        <w:rPr>
          <w:rFonts w:hint="eastAsia" w:ascii="宋体" w:hAnsi="宋体"/>
          <w:color w:val="auto"/>
          <w:kern w:val="0"/>
          <w:sz w:val="24"/>
          <w:highlight w:val="none"/>
        </w:rPr>
        <w:t xml:space="preserve">12.3.4 </w:t>
      </w:r>
      <w:r>
        <w:rPr>
          <w:rFonts w:hint="eastAsia" w:ascii="宋体" w:hAnsi="宋体"/>
          <w:color w:val="auto"/>
          <w:sz w:val="24"/>
          <w:highlight w:val="none"/>
        </w:rPr>
        <w:t>项</w:t>
      </w:r>
      <w:r>
        <w:rPr>
          <w:rFonts w:hint="eastAsia" w:ascii="宋体" w:hAnsi="宋体"/>
          <w:color w:val="auto"/>
          <w:kern w:val="0"/>
          <w:sz w:val="24"/>
          <w:highlight w:val="none"/>
        </w:rPr>
        <w:t>〔总价合同的计量〕</w:t>
      </w:r>
      <w:r>
        <w:rPr>
          <w:rFonts w:hint="eastAsia" w:ascii="宋体" w:hAnsi="宋体"/>
          <w:color w:val="auto"/>
          <w:sz w:val="24"/>
          <w:highlight w:val="none"/>
        </w:rPr>
        <w:t>约定进行计量：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4F6BDF">
      <w:pPr>
        <w:spacing w:line="360" w:lineRule="auto"/>
        <w:jc w:val="left"/>
        <w:rPr>
          <w:rFonts w:ascii="宋体" w:hAnsi="宋体"/>
          <w:color w:val="auto"/>
          <w:sz w:val="24"/>
          <w:highlight w:val="none"/>
        </w:rPr>
      </w:pPr>
      <w:r>
        <w:rPr>
          <w:rFonts w:hint="eastAsia" w:ascii="宋体" w:hAnsi="宋体"/>
          <w:color w:val="auto"/>
          <w:sz w:val="24"/>
          <w:highlight w:val="none"/>
        </w:rPr>
        <w:t>12.3.6 其他价格形式合同的计量</w:t>
      </w:r>
    </w:p>
    <w:p w14:paraId="3227D87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其他价格形式的计量方式和程序：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672D139">
      <w:pPr>
        <w:spacing w:line="360" w:lineRule="auto"/>
        <w:rPr>
          <w:rFonts w:ascii="宋体" w:hAnsi="宋体"/>
          <w:color w:val="auto"/>
          <w:sz w:val="24"/>
          <w:highlight w:val="none"/>
        </w:rPr>
      </w:pPr>
      <w:r>
        <w:rPr>
          <w:rFonts w:hint="eastAsia" w:ascii="宋体" w:hAnsi="宋体"/>
          <w:color w:val="auto"/>
          <w:sz w:val="24"/>
          <w:highlight w:val="none"/>
        </w:rPr>
        <w:t>12.4 工程进度款支付</w:t>
      </w:r>
    </w:p>
    <w:p w14:paraId="70EDE616">
      <w:pPr>
        <w:spacing w:line="360" w:lineRule="auto"/>
        <w:jc w:val="left"/>
        <w:rPr>
          <w:rFonts w:ascii="宋体" w:hAnsi="宋体"/>
          <w:color w:val="auto"/>
          <w:sz w:val="24"/>
          <w:highlight w:val="none"/>
        </w:rPr>
      </w:pPr>
      <w:bookmarkStart w:id="709" w:name="_Toc296944550"/>
      <w:bookmarkStart w:id="710" w:name="_Toc296891251"/>
      <w:bookmarkStart w:id="711" w:name="_Toc297120511"/>
      <w:bookmarkStart w:id="712" w:name="_Toc297048397"/>
      <w:bookmarkStart w:id="713" w:name="_Toc297216215"/>
      <w:bookmarkStart w:id="714" w:name="_Toc297123556"/>
      <w:bookmarkStart w:id="715" w:name="_Toc303539163"/>
      <w:bookmarkStart w:id="716" w:name="_Toc296891039"/>
      <w:bookmarkStart w:id="717" w:name="_Toc296347210"/>
      <w:bookmarkStart w:id="718" w:name="_Toc296503211"/>
      <w:bookmarkStart w:id="719" w:name="_Toc292559921"/>
      <w:bookmarkStart w:id="720" w:name="_Toc296346712"/>
      <w:bookmarkStart w:id="721" w:name="_Toc300935006"/>
      <w:bookmarkStart w:id="722" w:name="_Toc292559416"/>
      <w:r>
        <w:rPr>
          <w:rFonts w:hint="eastAsia" w:ascii="宋体" w:hAnsi="宋体"/>
          <w:color w:val="auto"/>
          <w:sz w:val="24"/>
          <w:highlight w:val="none"/>
        </w:rPr>
        <w:t>12.4.1 付款周期</w:t>
      </w:r>
    </w:p>
    <w:p w14:paraId="37CA707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关于付款周期的约定：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608F1F">
      <w:pPr>
        <w:spacing w:line="360" w:lineRule="auto"/>
        <w:jc w:val="left"/>
        <w:rPr>
          <w:rFonts w:ascii="宋体" w:hAnsi="宋体"/>
          <w:color w:val="auto"/>
          <w:sz w:val="24"/>
          <w:highlight w:val="none"/>
        </w:rPr>
      </w:pPr>
      <w:r>
        <w:rPr>
          <w:rFonts w:hint="eastAsia" w:ascii="宋体" w:hAnsi="宋体"/>
          <w:color w:val="auto"/>
          <w:sz w:val="24"/>
          <w:highlight w:val="none"/>
        </w:rPr>
        <w:t>12.4.2 进度付款申请单的编制</w:t>
      </w:r>
    </w:p>
    <w:p w14:paraId="2F10B92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关于进度付款申请单编制的约定：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CF5D350">
      <w:pPr>
        <w:spacing w:line="360" w:lineRule="auto"/>
        <w:jc w:val="left"/>
        <w:rPr>
          <w:rFonts w:ascii="宋体" w:hAnsi="宋体"/>
          <w:color w:val="auto"/>
          <w:sz w:val="24"/>
          <w:highlight w:val="none"/>
        </w:rPr>
      </w:pPr>
      <w:r>
        <w:rPr>
          <w:rFonts w:hint="eastAsia" w:ascii="宋体" w:hAnsi="宋体"/>
          <w:color w:val="auto"/>
          <w:sz w:val="24"/>
          <w:highlight w:val="none"/>
        </w:rPr>
        <w:t>1</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color w:val="auto"/>
          <w:sz w:val="24"/>
          <w:highlight w:val="none"/>
        </w:rPr>
        <w:t>2.4.3 进度付款申请单的提交</w:t>
      </w:r>
    </w:p>
    <w:p w14:paraId="496F32DB">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（1）单价合同进度付款申请单提交的约定：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1424316">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（2）总价合同进度付款申请单提交的约定：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4CFFC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（3）其他价格形式合同进度付款申请单提交的约定：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0745F1F">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12.4.4 进度款审核和支付</w:t>
      </w:r>
    </w:p>
    <w:p w14:paraId="1FCFD582">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（1）监理人审查并报送发包人的期限：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A9741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发包人完成审批并签发进度款支付证书的期限：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7B64F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（2）发包人支付进度款的期限：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A3E315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发包人逾期支付进度款的违约金的计算方式：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B8A8D5">
      <w:pPr>
        <w:spacing w:line="360" w:lineRule="auto"/>
        <w:jc w:val="left"/>
        <w:rPr>
          <w:rFonts w:ascii="宋体" w:hAnsi="宋体"/>
          <w:color w:val="auto"/>
          <w:sz w:val="24"/>
          <w:highlight w:val="none"/>
        </w:rPr>
      </w:pPr>
      <w:r>
        <w:rPr>
          <w:rFonts w:hint="eastAsia" w:ascii="宋体" w:hAnsi="宋体"/>
          <w:color w:val="auto"/>
          <w:sz w:val="24"/>
          <w:highlight w:val="none"/>
        </w:rPr>
        <w:t>12.4.6 支付分解表的编制</w:t>
      </w:r>
    </w:p>
    <w:p w14:paraId="5439097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8B224C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3、单价合同的总价项目支付分解表的编制与审批：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52"/>
    <w:p w14:paraId="0EE0FE60">
      <w:pPr>
        <w:pStyle w:val="5"/>
        <w:spacing w:before="0" w:after="0" w:line="360" w:lineRule="auto"/>
        <w:rPr>
          <w:rFonts w:ascii="宋体" w:hAnsi="宋体" w:eastAsia="宋体"/>
          <w:b w:val="0"/>
          <w:color w:val="auto"/>
          <w:sz w:val="24"/>
          <w:szCs w:val="24"/>
          <w:highlight w:val="none"/>
        </w:rPr>
      </w:pPr>
      <w:bookmarkStart w:id="723" w:name="_Toc351203645"/>
      <w:bookmarkStart w:id="724" w:name="_Toc296944558"/>
      <w:bookmarkStart w:id="725" w:name="_Toc292559424"/>
      <w:bookmarkStart w:id="726" w:name="_Toc292559929"/>
      <w:bookmarkStart w:id="727" w:name="_Toc296891047"/>
      <w:bookmarkStart w:id="728" w:name="_Toc312678053"/>
      <w:bookmarkStart w:id="729" w:name="_Toc296347218"/>
      <w:bookmarkStart w:id="730" w:name="_Toc296503219"/>
      <w:bookmarkStart w:id="731" w:name="_Toc296891259"/>
      <w:bookmarkStart w:id="732" w:name="_Toc303539172"/>
      <w:bookmarkStart w:id="733" w:name="_Toc300935015"/>
      <w:bookmarkStart w:id="734" w:name="_Toc297120519"/>
      <w:bookmarkStart w:id="735" w:name="_Toc297216223"/>
      <w:bookmarkStart w:id="736" w:name="_Toc297048405"/>
      <w:bookmarkStart w:id="737" w:name="_Toc304295593"/>
      <w:bookmarkStart w:id="738" w:name="_Toc297123564"/>
      <w:bookmarkStart w:id="739" w:name="_Toc296346720"/>
      <w:r>
        <w:rPr>
          <w:rFonts w:hint="eastAsia" w:ascii="宋体" w:hAnsi="宋体" w:eastAsia="宋体"/>
          <w:b w:val="0"/>
          <w:color w:val="auto"/>
          <w:sz w:val="24"/>
          <w:szCs w:val="24"/>
          <w:highlight w:val="none"/>
        </w:rPr>
        <w:t>13. 验收和工程试车</w:t>
      </w:r>
      <w:bookmarkEnd w:id="723"/>
    </w:p>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37FBAE13">
      <w:pPr>
        <w:spacing w:line="360" w:lineRule="auto"/>
        <w:rPr>
          <w:rFonts w:ascii="宋体" w:hAnsi="宋体"/>
          <w:color w:val="auto"/>
          <w:sz w:val="24"/>
          <w:highlight w:val="none"/>
        </w:rPr>
      </w:pPr>
      <w:r>
        <w:rPr>
          <w:rFonts w:hint="eastAsia" w:ascii="宋体" w:hAnsi="宋体"/>
          <w:color w:val="auto"/>
          <w:sz w:val="24"/>
          <w:highlight w:val="none"/>
        </w:rPr>
        <w:t>13.1 分部分项工程验收</w:t>
      </w:r>
    </w:p>
    <w:p w14:paraId="50949740">
      <w:pPr>
        <w:spacing w:line="360" w:lineRule="auto"/>
        <w:jc w:val="left"/>
        <w:rPr>
          <w:rFonts w:ascii="宋体" w:hAnsi="宋体"/>
          <w:color w:val="auto"/>
          <w:sz w:val="24"/>
          <w:highlight w:val="none"/>
        </w:rPr>
      </w:pPr>
      <w:r>
        <w:rPr>
          <w:rFonts w:hint="eastAsia" w:ascii="宋体" w:hAnsi="宋体"/>
          <w:color w:val="auto"/>
          <w:sz w:val="24"/>
          <w:highlight w:val="none"/>
        </w:rPr>
        <w:t>13.1.2监理人不能按时进行验收时，应提前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2AB4F6A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601DAD04">
      <w:pPr>
        <w:spacing w:line="360" w:lineRule="auto"/>
        <w:rPr>
          <w:rFonts w:ascii="宋体" w:hAnsi="宋体"/>
          <w:color w:val="auto"/>
          <w:sz w:val="24"/>
          <w:highlight w:val="none"/>
        </w:rPr>
      </w:pPr>
      <w:bookmarkStart w:id="740" w:name="_Toc303539173"/>
      <w:bookmarkStart w:id="741" w:name="_Toc304295596"/>
      <w:bookmarkStart w:id="742" w:name="_Toc296347222"/>
      <w:bookmarkStart w:id="743" w:name="_Toc296944562"/>
      <w:bookmarkStart w:id="744" w:name="_Toc312678056"/>
      <w:bookmarkStart w:id="745" w:name="_Toc297048409"/>
      <w:bookmarkStart w:id="746" w:name="_Toc296891263"/>
      <w:bookmarkStart w:id="747" w:name="_Toc297216224"/>
      <w:bookmarkStart w:id="748" w:name="_Toc297123565"/>
      <w:bookmarkStart w:id="749" w:name="_Toc296346724"/>
      <w:bookmarkStart w:id="750" w:name="_Toc292559428"/>
      <w:bookmarkStart w:id="751" w:name="_Toc296503223"/>
      <w:bookmarkStart w:id="752" w:name="_Toc297120523"/>
      <w:bookmarkStart w:id="753" w:name="_Toc292559933"/>
      <w:bookmarkStart w:id="754" w:name="_Toc300935016"/>
      <w:bookmarkStart w:id="755" w:name="_Toc296891051"/>
      <w:bookmarkStart w:id="756" w:name="_Toc267251472"/>
      <w:bookmarkStart w:id="757" w:name="_Toc267251473"/>
      <w:bookmarkStart w:id="758" w:name="_Toc267251470"/>
      <w:bookmarkStart w:id="759" w:name="_Toc267251471"/>
      <w:bookmarkStart w:id="760" w:name="_Toc267251476"/>
      <w:bookmarkStart w:id="761" w:name="_Toc267251474"/>
      <w:bookmarkStart w:id="762" w:name="_Toc267251475"/>
      <w:r>
        <w:rPr>
          <w:rFonts w:hint="eastAsia" w:ascii="宋体" w:hAnsi="宋体"/>
          <w:color w:val="auto"/>
          <w:sz w:val="24"/>
          <w:highlight w:val="none"/>
        </w:rPr>
        <w:t>13.2 竣工验收</w:t>
      </w:r>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72113228">
      <w:pPr>
        <w:spacing w:line="360" w:lineRule="auto"/>
        <w:jc w:val="left"/>
        <w:rPr>
          <w:rFonts w:ascii="宋体" w:hAnsi="宋体"/>
          <w:color w:val="auto"/>
          <w:sz w:val="24"/>
          <w:highlight w:val="none"/>
        </w:rPr>
      </w:pPr>
      <w:bookmarkStart w:id="763" w:name="_Toc280868704"/>
      <w:bookmarkStart w:id="764" w:name="_Toc280868705"/>
      <w:bookmarkStart w:id="765" w:name="_Toc280868706"/>
      <w:bookmarkStart w:id="766" w:name="_Toc280868707"/>
      <w:bookmarkStart w:id="767" w:name="_Toc280868708"/>
      <w:bookmarkStart w:id="768" w:name="_Toc280868709"/>
      <w:r>
        <w:rPr>
          <w:rFonts w:hint="eastAsia" w:ascii="宋体" w:hAnsi="宋体"/>
          <w:color w:val="auto"/>
          <w:sz w:val="24"/>
          <w:highlight w:val="none"/>
        </w:rPr>
        <w:t>13.2.2竣工验收程序</w:t>
      </w:r>
    </w:p>
    <w:bookmarkEnd w:id="763"/>
    <w:p w14:paraId="551F790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关于竣工验收程序的约定：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01BC94">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发包人不按照本项约定组织竣工验收、颁发工程接收证书的违约金的计算方法：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64"/>
    <w:p w14:paraId="7B4B3AAB">
      <w:pPr>
        <w:spacing w:line="360" w:lineRule="auto"/>
        <w:jc w:val="left"/>
        <w:rPr>
          <w:rFonts w:ascii="宋体" w:hAnsi="宋体"/>
          <w:color w:val="auto"/>
          <w:sz w:val="24"/>
          <w:highlight w:val="none"/>
        </w:rPr>
      </w:pPr>
      <w:r>
        <w:rPr>
          <w:rFonts w:hint="eastAsia" w:ascii="宋体" w:hAnsi="宋体"/>
          <w:color w:val="auto"/>
          <w:sz w:val="24"/>
          <w:highlight w:val="none"/>
        </w:rPr>
        <w:t>13.2.5移交、接收全部与部分工程</w:t>
      </w:r>
    </w:p>
    <w:bookmarkEnd w:id="765"/>
    <w:p w14:paraId="4C6BDAFC">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承包人向发包人移交工程的期限：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60E33DF">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发包人未按本合同约定接收全部或部分工程的，违约金的计算方法为：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66"/>
    <w:p w14:paraId="5403D10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承包人未按时移交工程的，违约金的计算方法为：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5ABA20B">
      <w:pPr>
        <w:spacing w:line="360" w:lineRule="auto"/>
        <w:rPr>
          <w:rFonts w:ascii="宋体" w:hAnsi="宋体"/>
          <w:color w:val="auto"/>
          <w:sz w:val="24"/>
          <w:highlight w:val="none"/>
        </w:rPr>
      </w:pPr>
      <w:r>
        <w:rPr>
          <w:rFonts w:hint="eastAsia" w:ascii="宋体" w:hAnsi="宋体"/>
          <w:color w:val="auto"/>
          <w:sz w:val="24"/>
          <w:highlight w:val="none"/>
        </w:rPr>
        <w:t>13.3 工程试车</w:t>
      </w:r>
    </w:p>
    <w:bookmarkEnd w:id="767"/>
    <w:p w14:paraId="5CDBD065">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13.3.1 试车程序</w:t>
      </w:r>
    </w:p>
    <w:p w14:paraId="0724DDA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工程试车内容：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5E60EB">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（1）单机无负荷试车费用由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7B7A19A0">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（2）无负荷联动试车费用由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4503CA58">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13.3.3 投料试车</w:t>
      </w:r>
    </w:p>
    <w:p w14:paraId="263C14D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关于投料试车相关事项的约定：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F405251">
      <w:pPr>
        <w:spacing w:line="360" w:lineRule="auto"/>
        <w:rPr>
          <w:rFonts w:ascii="宋体" w:hAnsi="宋体"/>
          <w:color w:val="auto"/>
          <w:sz w:val="24"/>
          <w:highlight w:val="none"/>
        </w:rPr>
      </w:pPr>
      <w:r>
        <w:rPr>
          <w:rFonts w:hint="eastAsia" w:ascii="宋体" w:hAnsi="宋体"/>
          <w:color w:val="auto"/>
          <w:sz w:val="24"/>
          <w:highlight w:val="none"/>
        </w:rPr>
        <w:t>13.6 竣工退场</w:t>
      </w:r>
    </w:p>
    <w:p w14:paraId="1C79AB4F">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13.6.1 竣工退场</w:t>
      </w:r>
    </w:p>
    <w:p w14:paraId="5CD69ADE">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承包人完成竣工退场的期限：</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77525D89">
      <w:pPr>
        <w:pStyle w:val="5"/>
        <w:spacing w:before="0" w:after="0" w:line="360" w:lineRule="auto"/>
        <w:rPr>
          <w:rFonts w:ascii="宋体" w:hAnsi="宋体" w:eastAsia="宋体"/>
          <w:b w:val="0"/>
          <w:color w:val="auto"/>
          <w:sz w:val="24"/>
          <w:szCs w:val="24"/>
          <w:highlight w:val="none"/>
        </w:rPr>
      </w:pPr>
      <w:bookmarkStart w:id="769" w:name="_Toc351203646"/>
      <w:r>
        <w:rPr>
          <w:rFonts w:hint="eastAsia" w:ascii="宋体" w:hAnsi="宋体" w:eastAsia="宋体"/>
          <w:b w:val="0"/>
          <w:color w:val="auto"/>
          <w:sz w:val="24"/>
          <w:szCs w:val="24"/>
          <w:highlight w:val="none"/>
        </w:rPr>
        <w:t>14. 竣工结算</w:t>
      </w:r>
      <w:bookmarkEnd w:id="769"/>
    </w:p>
    <w:p w14:paraId="064533D1">
      <w:pPr>
        <w:spacing w:line="360" w:lineRule="auto"/>
        <w:rPr>
          <w:rFonts w:ascii="宋体" w:hAnsi="宋体"/>
          <w:color w:val="auto"/>
          <w:sz w:val="24"/>
          <w:highlight w:val="none"/>
        </w:rPr>
      </w:pPr>
      <w:r>
        <w:rPr>
          <w:rFonts w:hint="eastAsia" w:ascii="宋体" w:hAnsi="宋体"/>
          <w:color w:val="auto"/>
          <w:sz w:val="24"/>
          <w:highlight w:val="none"/>
        </w:rPr>
        <w:t>14.1 竣工结算申请</w:t>
      </w:r>
    </w:p>
    <w:p w14:paraId="589DEA4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承包人提交竣工结算申请单的期限：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69178B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竣工结算申请单应包括的内容：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436E66F">
      <w:pPr>
        <w:spacing w:line="360" w:lineRule="auto"/>
        <w:rPr>
          <w:rFonts w:ascii="宋体" w:hAnsi="宋体"/>
          <w:color w:val="auto"/>
          <w:sz w:val="24"/>
          <w:highlight w:val="none"/>
        </w:rPr>
      </w:pPr>
      <w:r>
        <w:rPr>
          <w:rFonts w:hint="eastAsia" w:ascii="宋体" w:hAnsi="宋体"/>
          <w:color w:val="auto"/>
          <w:sz w:val="24"/>
          <w:highlight w:val="none"/>
        </w:rPr>
        <w:t>14.2 竣工结算审核</w:t>
      </w:r>
    </w:p>
    <w:p w14:paraId="2D25556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发包人审批竣工付款申请单的期限：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7ECC86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发包人完成竣工付款的期限：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3E6F1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关于竣工付款证书异议部分复核的方式和程序：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380F373">
      <w:pPr>
        <w:spacing w:line="360" w:lineRule="auto"/>
        <w:rPr>
          <w:rFonts w:ascii="宋体" w:hAnsi="宋体"/>
          <w:color w:val="auto"/>
          <w:sz w:val="24"/>
          <w:highlight w:val="none"/>
        </w:rPr>
      </w:pPr>
      <w:r>
        <w:rPr>
          <w:rFonts w:hint="eastAsia" w:ascii="宋体" w:hAnsi="宋体"/>
          <w:color w:val="auto"/>
          <w:sz w:val="24"/>
          <w:highlight w:val="none"/>
        </w:rPr>
        <w:t>14.4 最终结清</w:t>
      </w:r>
    </w:p>
    <w:p w14:paraId="0FC6811A">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14.4.1 最终结清申请单</w:t>
      </w:r>
    </w:p>
    <w:p w14:paraId="45DAAD7D">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承包人提交最终结清申请单的份数：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0837EF2">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承包人提交最终结算申请单的期限：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4D188DD">
      <w:pPr>
        <w:spacing w:line="360" w:lineRule="auto"/>
        <w:jc w:val="left"/>
        <w:rPr>
          <w:rFonts w:ascii="宋体" w:hAnsi="宋体"/>
          <w:color w:val="auto"/>
          <w:sz w:val="24"/>
          <w:highlight w:val="none"/>
        </w:rPr>
      </w:pPr>
      <w:r>
        <w:rPr>
          <w:rFonts w:hint="eastAsia" w:ascii="宋体" w:hAnsi="宋体"/>
          <w:color w:val="auto"/>
          <w:sz w:val="24"/>
          <w:highlight w:val="none"/>
        </w:rPr>
        <w:t>14.4.2 最终结清证书和支付</w:t>
      </w:r>
    </w:p>
    <w:p w14:paraId="359F905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（1）发包人完成最终结清申请单的审批并颁发最终结清证书的期限：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F3655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（2）发包人完成支付的期限：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56"/>
    <w:bookmarkEnd w:id="757"/>
    <w:bookmarkEnd w:id="758"/>
    <w:bookmarkEnd w:id="759"/>
    <w:bookmarkEnd w:id="760"/>
    <w:bookmarkEnd w:id="761"/>
    <w:bookmarkEnd w:id="762"/>
    <w:bookmarkEnd w:id="768"/>
    <w:p w14:paraId="4C7ECE06">
      <w:pPr>
        <w:pStyle w:val="5"/>
        <w:spacing w:before="0" w:after="0" w:line="360" w:lineRule="auto"/>
        <w:rPr>
          <w:rFonts w:ascii="宋体" w:hAnsi="宋体" w:eastAsia="宋体"/>
          <w:b w:val="0"/>
          <w:color w:val="auto"/>
          <w:sz w:val="24"/>
          <w:szCs w:val="24"/>
          <w:highlight w:val="none"/>
        </w:rPr>
      </w:pPr>
      <w:bookmarkStart w:id="770" w:name="_Toc351203647"/>
      <w:bookmarkStart w:id="771" w:name="_Toc267251483"/>
      <w:bookmarkStart w:id="772" w:name="_Toc267251484"/>
      <w:bookmarkStart w:id="773" w:name="_Toc267251482"/>
      <w:bookmarkStart w:id="774" w:name="_Toc267251485"/>
      <w:bookmarkStart w:id="775" w:name="_Toc267251490"/>
      <w:bookmarkStart w:id="776" w:name="_Toc267251486"/>
      <w:bookmarkStart w:id="777" w:name="_Toc267251488"/>
      <w:bookmarkStart w:id="778" w:name="_Toc267251489"/>
      <w:bookmarkStart w:id="779" w:name="_Toc267251493"/>
      <w:bookmarkStart w:id="780" w:name="_Toc267251501"/>
      <w:bookmarkStart w:id="781" w:name="_Toc267251503"/>
      <w:bookmarkStart w:id="782" w:name="_Toc267251494"/>
      <w:bookmarkStart w:id="783" w:name="_Toc267251497"/>
      <w:bookmarkStart w:id="784" w:name="_Toc267251496"/>
      <w:bookmarkStart w:id="785" w:name="_Toc267251502"/>
      <w:bookmarkStart w:id="786" w:name="_Toc267251492"/>
      <w:bookmarkStart w:id="787" w:name="_Toc267251498"/>
      <w:bookmarkStart w:id="788" w:name="_Toc267251499"/>
      <w:bookmarkStart w:id="789" w:name="_Toc267251491"/>
      <w:bookmarkStart w:id="790" w:name="_Toc267251495"/>
      <w:bookmarkStart w:id="791" w:name="_Toc267251506"/>
      <w:bookmarkStart w:id="792" w:name="_Toc267251504"/>
      <w:bookmarkStart w:id="793" w:name="_Toc267251507"/>
      <w:bookmarkStart w:id="794" w:name="_Toc267251508"/>
      <w:bookmarkStart w:id="795" w:name="_Toc267251511"/>
      <w:bookmarkStart w:id="796" w:name="_Toc267251510"/>
      <w:bookmarkStart w:id="797" w:name="_Toc267251513"/>
      <w:bookmarkStart w:id="798" w:name="_Toc267251514"/>
      <w:bookmarkStart w:id="799" w:name="_Toc267251509"/>
      <w:bookmarkStart w:id="800" w:name="_Toc267251515"/>
      <w:r>
        <w:rPr>
          <w:rFonts w:hint="eastAsia" w:ascii="宋体" w:hAnsi="宋体" w:eastAsia="宋体"/>
          <w:b w:val="0"/>
          <w:color w:val="auto"/>
          <w:sz w:val="24"/>
          <w:szCs w:val="24"/>
          <w:highlight w:val="none"/>
        </w:rPr>
        <w:t>15. 缺陷责任期与保修</w:t>
      </w:r>
      <w:bookmarkEnd w:id="770"/>
    </w:p>
    <w:p w14:paraId="3EDE4496">
      <w:pPr>
        <w:spacing w:line="360" w:lineRule="auto"/>
        <w:rPr>
          <w:rFonts w:ascii="宋体" w:hAnsi="宋体"/>
          <w:color w:val="auto"/>
          <w:sz w:val="24"/>
          <w:highlight w:val="none"/>
        </w:rPr>
      </w:pPr>
      <w:r>
        <w:rPr>
          <w:rFonts w:hint="eastAsia" w:ascii="宋体" w:hAnsi="宋体"/>
          <w:color w:val="auto"/>
          <w:sz w:val="24"/>
          <w:highlight w:val="none"/>
        </w:rPr>
        <w:t>15.2缺陷责任期</w:t>
      </w:r>
      <w:bookmarkEnd w:id="771"/>
    </w:p>
    <w:p w14:paraId="7357A06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缺陷责任期的具体期限：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884469">
      <w:pPr>
        <w:spacing w:line="360" w:lineRule="auto"/>
        <w:rPr>
          <w:rFonts w:ascii="宋体" w:hAnsi="宋体"/>
          <w:color w:val="auto"/>
          <w:sz w:val="24"/>
          <w:highlight w:val="none"/>
        </w:rPr>
      </w:pPr>
      <w:r>
        <w:rPr>
          <w:rFonts w:hint="eastAsia" w:ascii="宋体" w:hAnsi="宋体"/>
          <w:color w:val="auto"/>
          <w:sz w:val="24"/>
          <w:highlight w:val="none"/>
        </w:rPr>
        <w:t>15.3 质量保证金</w:t>
      </w:r>
    </w:p>
    <w:p w14:paraId="36633CD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808577">
      <w:pPr>
        <w:spacing w:line="360" w:lineRule="auto"/>
        <w:jc w:val="left"/>
        <w:rPr>
          <w:rFonts w:ascii="宋体" w:hAnsi="宋体"/>
          <w:color w:val="auto"/>
          <w:sz w:val="24"/>
          <w:highlight w:val="none"/>
        </w:rPr>
      </w:pPr>
      <w:r>
        <w:rPr>
          <w:rFonts w:hint="eastAsia" w:ascii="宋体" w:hAnsi="宋体"/>
          <w:color w:val="auto"/>
          <w:sz w:val="24"/>
          <w:highlight w:val="none"/>
        </w:rPr>
        <w:t>15.3.1 承包人提供质量保证金的方式</w:t>
      </w:r>
    </w:p>
    <w:p w14:paraId="38A6F86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质量保证金采用以下第2种方式：</w:t>
      </w:r>
    </w:p>
    <w:p w14:paraId="41E6E3A0">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（1）质量保证金保函，保证金额为：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0199DA7B">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kern w:val="0"/>
          <w:sz w:val="24"/>
          <w:highlight w:val="none"/>
          <w:u w:val="single"/>
        </w:rPr>
        <w:t xml:space="preserve">   3  </w:t>
      </w:r>
      <w:r>
        <w:rPr>
          <w:rFonts w:hint="eastAsia" w:ascii="宋体" w:hAnsi="宋体"/>
          <w:color w:val="auto"/>
          <w:kern w:val="0"/>
          <w:sz w:val="24"/>
          <w:highlight w:val="none"/>
        </w:rPr>
        <w:t>%的工程款；</w:t>
      </w:r>
    </w:p>
    <w:p w14:paraId="4BB7BBB2">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8ABD1E8">
      <w:pPr>
        <w:spacing w:line="360" w:lineRule="auto"/>
        <w:jc w:val="left"/>
        <w:rPr>
          <w:rFonts w:ascii="宋体" w:hAnsi="宋体"/>
          <w:color w:val="auto"/>
          <w:sz w:val="24"/>
          <w:highlight w:val="none"/>
        </w:rPr>
      </w:pPr>
      <w:r>
        <w:rPr>
          <w:rFonts w:hint="eastAsia" w:ascii="宋体" w:hAnsi="宋体"/>
          <w:color w:val="auto"/>
          <w:sz w:val="24"/>
          <w:highlight w:val="none"/>
        </w:rPr>
        <w:t xml:space="preserve">15.3.2 质量保证金的扣留 </w:t>
      </w:r>
    </w:p>
    <w:p w14:paraId="71BAAE7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质量保证金的扣留采取以下第2种方式：</w:t>
      </w:r>
    </w:p>
    <w:p w14:paraId="2835A7E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（1）在支付工程进度款时逐次扣留，在此情形下，质量保证金的计算基数不包括预付款的支付、扣回以及价格调整的金额；</w:t>
      </w:r>
    </w:p>
    <w:p w14:paraId="35B2527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（2）工程竣工结算时一次性扣留质量保证金；</w:t>
      </w:r>
    </w:p>
    <w:p w14:paraId="094D08F1">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（3）其他扣留方式: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87DC82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关于质量保证金的补充约定：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72"/>
    <w:bookmarkEnd w:id="773"/>
    <w:p w14:paraId="2BFE9250">
      <w:pPr>
        <w:spacing w:line="360" w:lineRule="auto"/>
        <w:rPr>
          <w:rFonts w:ascii="宋体" w:hAnsi="宋体"/>
          <w:color w:val="auto"/>
          <w:sz w:val="24"/>
          <w:highlight w:val="none"/>
        </w:rPr>
      </w:pPr>
      <w:r>
        <w:rPr>
          <w:rFonts w:hint="eastAsia" w:ascii="宋体" w:hAnsi="宋体"/>
          <w:color w:val="auto"/>
          <w:sz w:val="24"/>
          <w:highlight w:val="none"/>
        </w:rPr>
        <w:t>15.4保修</w:t>
      </w:r>
    </w:p>
    <w:bookmarkEnd w:id="774"/>
    <w:p w14:paraId="26B24588">
      <w:pPr>
        <w:spacing w:line="360" w:lineRule="auto"/>
        <w:jc w:val="left"/>
        <w:rPr>
          <w:rFonts w:ascii="宋体" w:hAnsi="宋体"/>
          <w:color w:val="auto"/>
          <w:sz w:val="24"/>
          <w:highlight w:val="none"/>
        </w:rPr>
      </w:pPr>
      <w:r>
        <w:rPr>
          <w:rFonts w:hint="eastAsia" w:ascii="宋体" w:hAnsi="宋体"/>
          <w:color w:val="auto"/>
          <w:sz w:val="24"/>
          <w:highlight w:val="none"/>
        </w:rPr>
        <w:t>15.4.1 保修责任</w:t>
      </w:r>
    </w:p>
    <w:p w14:paraId="312AA215">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工程保修期为：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CA994BB">
      <w:pPr>
        <w:spacing w:line="360" w:lineRule="auto"/>
        <w:jc w:val="left"/>
        <w:rPr>
          <w:rFonts w:ascii="宋体" w:hAnsi="宋体"/>
          <w:color w:val="auto"/>
          <w:sz w:val="24"/>
          <w:highlight w:val="none"/>
        </w:rPr>
      </w:pPr>
      <w:r>
        <w:rPr>
          <w:rFonts w:hint="eastAsia" w:ascii="宋体" w:hAnsi="宋体"/>
          <w:color w:val="auto"/>
          <w:sz w:val="24"/>
          <w:highlight w:val="none"/>
        </w:rPr>
        <w:t>15.4.3 修复通知</w:t>
      </w:r>
    </w:p>
    <w:p w14:paraId="381D6E99">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承包人收到保修通知并到达工程现场的合理时间：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75"/>
    <w:bookmarkEnd w:id="776"/>
    <w:bookmarkEnd w:id="777"/>
    <w:bookmarkEnd w:id="778"/>
    <w:p w14:paraId="2BA5AE10">
      <w:pPr>
        <w:pStyle w:val="5"/>
        <w:spacing w:before="0" w:after="0" w:line="360" w:lineRule="auto"/>
        <w:rPr>
          <w:rFonts w:ascii="宋体" w:hAnsi="宋体" w:eastAsia="宋体"/>
          <w:b w:val="0"/>
          <w:color w:val="auto"/>
          <w:sz w:val="24"/>
          <w:szCs w:val="24"/>
          <w:highlight w:val="none"/>
        </w:rPr>
      </w:pPr>
      <w:bookmarkStart w:id="801" w:name="_Toc351203648"/>
      <w:bookmarkStart w:id="802" w:name="_Toc280868717"/>
      <w:bookmarkStart w:id="803" w:name="_Toc280868718"/>
      <w:r>
        <w:rPr>
          <w:rFonts w:hint="eastAsia" w:ascii="宋体" w:hAnsi="宋体" w:eastAsia="宋体"/>
          <w:b w:val="0"/>
          <w:color w:val="auto"/>
          <w:sz w:val="24"/>
          <w:szCs w:val="24"/>
          <w:highlight w:val="none"/>
        </w:rPr>
        <w:t>16. 违约</w:t>
      </w:r>
      <w:bookmarkEnd w:id="801"/>
    </w:p>
    <w:p w14:paraId="6627FDA1">
      <w:pPr>
        <w:spacing w:line="360" w:lineRule="auto"/>
        <w:rPr>
          <w:rFonts w:ascii="宋体" w:hAnsi="宋体"/>
          <w:color w:val="auto"/>
          <w:sz w:val="24"/>
          <w:highlight w:val="none"/>
        </w:rPr>
      </w:pPr>
      <w:r>
        <w:rPr>
          <w:rFonts w:hint="eastAsia" w:ascii="宋体" w:hAnsi="宋体"/>
          <w:color w:val="auto"/>
          <w:sz w:val="24"/>
          <w:highlight w:val="none"/>
        </w:rPr>
        <w:t>16.1 发包人违约</w:t>
      </w:r>
    </w:p>
    <w:p w14:paraId="3C4A302F">
      <w:pPr>
        <w:spacing w:line="360" w:lineRule="auto"/>
        <w:jc w:val="left"/>
        <w:rPr>
          <w:rFonts w:ascii="宋体" w:hAnsi="宋体"/>
          <w:color w:val="auto"/>
          <w:sz w:val="24"/>
          <w:highlight w:val="none"/>
        </w:rPr>
      </w:pPr>
      <w:r>
        <w:rPr>
          <w:rFonts w:hint="eastAsia" w:ascii="宋体" w:hAnsi="宋体"/>
          <w:color w:val="auto"/>
          <w:sz w:val="24"/>
          <w:highlight w:val="none"/>
        </w:rPr>
        <w:t>16.1.1发包人违约的情形</w:t>
      </w:r>
    </w:p>
    <w:p w14:paraId="537DA0B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C4D1656">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16.1.2 发包人违约的责任</w:t>
      </w:r>
    </w:p>
    <w:p w14:paraId="1F258B5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发包人违约责任的承担方式和计算方法：</w:t>
      </w:r>
    </w:p>
    <w:p w14:paraId="0C4FE8C1">
      <w:pPr>
        <w:adjustRightInd w:val="0"/>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（1）因发包人原因未能在计划开工日期前7天内下达开工通知的违约责任：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C260744">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（2）因发包人原因未能按合同约定支付合同价款的违约责任：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70462F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（3）发包人违反第10.1款〔变更的范围〕第（2）项约定，自行实施被取消的工作或转由他人实施的违约责任：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D00FA5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95F268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（5）因发包人违反合同约定造成暂停施工的违约责任：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351DA04">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（6）发包人无正当理由没有在约定期限内发出复工指示，导致承包人无法复工的违约责任：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7AB46FC">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（7）其他：</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150127B">
      <w:pPr>
        <w:spacing w:line="360" w:lineRule="auto"/>
        <w:jc w:val="left"/>
        <w:rPr>
          <w:rFonts w:ascii="宋体" w:hAnsi="宋体"/>
          <w:color w:val="auto"/>
          <w:sz w:val="24"/>
          <w:highlight w:val="none"/>
        </w:rPr>
      </w:pPr>
      <w:r>
        <w:rPr>
          <w:rFonts w:hint="eastAsia" w:ascii="宋体" w:hAnsi="宋体"/>
          <w:color w:val="auto"/>
          <w:sz w:val="24"/>
          <w:highlight w:val="none"/>
        </w:rPr>
        <w:t>16.1.3 因发包人违约解除合同</w:t>
      </w:r>
    </w:p>
    <w:p w14:paraId="44767DF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承包人按16.1.1项〔发包人违约的情形〕约定暂停施工满</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天后发包人仍不纠正其违约行为并致使合同目的不能实现的，承包人有权解除合同。</w:t>
      </w:r>
    </w:p>
    <w:p w14:paraId="7A13AA1F">
      <w:pPr>
        <w:spacing w:line="360" w:lineRule="auto"/>
        <w:rPr>
          <w:rFonts w:ascii="宋体" w:hAnsi="宋体"/>
          <w:color w:val="auto"/>
          <w:sz w:val="24"/>
          <w:highlight w:val="none"/>
        </w:rPr>
      </w:pPr>
      <w:r>
        <w:rPr>
          <w:rFonts w:hint="eastAsia" w:ascii="宋体" w:hAnsi="宋体"/>
          <w:color w:val="auto"/>
          <w:sz w:val="24"/>
          <w:highlight w:val="none"/>
        </w:rPr>
        <w:t>16.2 承包人违约</w:t>
      </w:r>
    </w:p>
    <w:p w14:paraId="33958692">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16.2.1 承包人违约的情形</w:t>
      </w:r>
    </w:p>
    <w:p w14:paraId="7BE4AAD4">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410AB6F">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16.2.2承包人违约的责任</w:t>
      </w:r>
    </w:p>
    <w:p w14:paraId="541486B3">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承包人违约责任的承担方式和计算方法：</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 xml:space="preserve"> </w:t>
      </w:r>
    </w:p>
    <w:p w14:paraId="11F3FC61">
      <w:pPr>
        <w:spacing w:line="360" w:lineRule="auto"/>
        <w:jc w:val="left"/>
        <w:rPr>
          <w:rFonts w:ascii="宋体" w:hAnsi="宋体"/>
          <w:color w:val="auto"/>
          <w:sz w:val="24"/>
          <w:highlight w:val="none"/>
        </w:rPr>
      </w:pPr>
      <w:r>
        <w:rPr>
          <w:rFonts w:hint="eastAsia" w:ascii="宋体" w:hAnsi="宋体"/>
          <w:color w:val="auto"/>
          <w:sz w:val="24"/>
          <w:highlight w:val="none"/>
        </w:rPr>
        <w:t>16.2.3 因承包人违约解除合同</w:t>
      </w:r>
    </w:p>
    <w:p w14:paraId="40031FD7">
      <w:pPr>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关于承包人违约解除合同的特别约定：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365EFBE">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80715A2">
      <w:pPr>
        <w:pStyle w:val="5"/>
        <w:spacing w:before="0" w:after="0" w:line="360" w:lineRule="auto"/>
        <w:rPr>
          <w:rFonts w:ascii="宋体" w:hAnsi="宋体" w:eastAsia="宋体"/>
          <w:b w:val="0"/>
          <w:color w:val="auto"/>
          <w:sz w:val="24"/>
          <w:szCs w:val="24"/>
          <w:highlight w:val="none"/>
        </w:rPr>
      </w:pPr>
      <w:bookmarkStart w:id="804" w:name="_Toc351203649"/>
      <w:r>
        <w:rPr>
          <w:rFonts w:hint="eastAsia" w:ascii="宋体" w:hAnsi="宋体" w:eastAsia="宋体"/>
          <w:b w:val="0"/>
          <w:color w:val="auto"/>
          <w:sz w:val="24"/>
          <w:szCs w:val="24"/>
          <w:highlight w:val="none"/>
        </w:rPr>
        <w:t>17. 不可抗力</w:t>
      </w:r>
      <w:bookmarkEnd w:id="804"/>
      <w:r>
        <w:rPr>
          <w:rFonts w:hint="eastAsia" w:ascii="宋体" w:hAnsi="宋体" w:eastAsia="宋体"/>
          <w:b w:val="0"/>
          <w:color w:val="auto"/>
          <w:sz w:val="24"/>
          <w:szCs w:val="24"/>
          <w:highlight w:val="none"/>
        </w:rPr>
        <w:t xml:space="preserve"> </w:t>
      </w:r>
      <w:bookmarkEnd w:id="802"/>
    </w:p>
    <w:p w14:paraId="3469352C">
      <w:pPr>
        <w:spacing w:line="360" w:lineRule="auto"/>
        <w:rPr>
          <w:rFonts w:ascii="宋体" w:hAnsi="宋体"/>
          <w:color w:val="auto"/>
          <w:sz w:val="24"/>
          <w:highlight w:val="none"/>
        </w:rPr>
      </w:pPr>
      <w:r>
        <w:rPr>
          <w:rFonts w:hint="eastAsia" w:ascii="宋体" w:hAnsi="宋体"/>
          <w:color w:val="auto"/>
          <w:sz w:val="24"/>
          <w:highlight w:val="none"/>
        </w:rPr>
        <w:t>17.1 不可抗力的确认</w:t>
      </w:r>
    </w:p>
    <w:p w14:paraId="2DBEF8BB">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sz w:val="24"/>
          <w:highlight w:val="none"/>
        </w:rPr>
        <w:t xml:space="preserve">除通用合同条款约定的不可抗力事件之外，视为不可抗力的其他情形：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882E8A8">
      <w:pPr>
        <w:spacing w:line="360" w:lineRule="auto"/>
        <w:rPr>
          <w:rFonts w:ascii="宋体" w:hAnsi="宋体"/>
          <w:color w:val="auto"/>
          <w:sz w:val="24"/>
          <w:highlight w:val="none"/>
        </w:rPr>
      </w:pPr>
      <w:r>
        <w:rPr>
          <w:rFonts w:hint="eastAsia" w:ascii="宋体" w:hAnsi="宋体"/>
          <w:color w:val="auto"/>
          <w:sz w:val="24"/>
          <w:highlight w:val="none"/>
        </w:rPr>
        <w:t>17.4 因不可抗力解除合同</w:t>
      </w:r>
    </w:p>
    <w:p w14:paraId="519B19D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合同解除后，发包人应在商定或确定发包人应支付款项后</w:t>
      </w:r>
      <w:r>
        <w:rPr>
          <w:rFonts w:hint="eastAsia" w:ascii="宋体" w:hAnsi="宋体"/>
          <w:color w:val="auto"/>
          <w:sz w:val="24"/>
          <w:highlight w:val="none"/>
          <w:u w:val="single"/>
        </w:rPr>
        <w:t xml:space="preserve">    </w:t>
      </w:r>
      <w:r>
        <w:rPr>
          <w:rFonts w:hint="eastAsia" w:ascii="宋体" w:hAnsi="宋体"/>
          <w:color w:val="auto"/>
          <w:sz w:val="24"/>
          <w:highlight w:val="none"/>
        </w:rPr>
        <w:t>天内完成款项的支付。</w:t>
      </w:r>
    </w:p>
    <w:p w14:paraId="6C9C7894">
      <w:pPr>
        <w:pStyle w:val="5"/>
        <w:spacing w:before="0" w:after="0" w:line="360" w:lineRule="auto"/>
        <w:rPr>
          <w:rFonts w:ascii="宋体" w:hAnsi="宋体" w:eastAsia="宋体"/>
          <w:b w:val="0"/>
          <w:color w:val="auto"/>
          <w:sz w:val="24"/>
          <w:szCs w:val="24"/>
          <w:highlight w:val="none"/>
        </w:rPr>
      </w:pPr>
      <w:bookmarkStart w:id="805" w:name="_Toc351203650"/>
      <w:r>
        <w:rPr>
          <w:rFonts w:hint="eastAsia" w:ascii="宋体" w:hAnsi="宋体" w:eastAsia="宋体"/>
          <w:b w:val="0"/>
          <w:color w:val="auto"/>
          <w:sz w:val="24"/>
          <w:szCs w:val="24"/>
          <w:highlight w:val="none"/>
        </w:rPr>
        <w:t>18. 保险</w:t>
      </w:r>
      <w:bookmarkEnd w:id="805"/>
    </w:p>
    <w:bookmarkEnd w:id="803"/>
    <w:p w14:paraId="2BCBF379">
      <w:pPr>
        <w:spacing w:line="360" w:lineRule="auto"/>
        <w:rPr>
          <w:rFonts w:ascii="宋体" w:hAnsi="宋体"/>
          <w:color w:val="auto"/>
          <w:sz w:val="24"/>
          <w:highlight w:val="none"/>
        </w:rPr>
      </w:pPr>
      <w:r>
        <w:rPr>
          <w:rFonts w:hint="eastAsia" w:ascii="宋体" w:hAnsi="宋体"/>
          <w:color w:val="auto"/>
          <w:sz w:val="24"/>
          <w:highlight w:val="none"/>
        </w:rPr>
        <w:t>18.1 工程保险</w:t>
      </w:r>
    </w:p>
    <w:p w14:paraId="4E068C4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关于工程保险的特别约定：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AB5B22F">
      <w:pPr>
        <w:spacing w:line="360" w:lineRule="auto"/>
        <w:rPr>
          <w:rFonts w:ascii="宋体" w:hAnsi="宋体"/>
          <w:color w:val="auto"/>
          <w:sz w:val="24"/>
          <w:highlight w:val="none"/>
        </w:rPr>
      </w:pPr>
      <w:r>
        <w:rPr>
          <w:rFonts w:hint="eastAsia" w:ascii="宋体" w:hAnsi="宋体"/>
          <w:color w:val="auto"/>
          <w:sz w:val="24"/>
          <w:highlight w:val="none"/>
        </w:rPr>
        <w:t>18.3 其他保险</w:t>
      </w:r>
    </w:p>
    <w:p w14:paraId="432574FA">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关于其他保险的约定：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DFA7190">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承包人是否应为其施工设备等办理财产保险：</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E5FB65">
      <w:pPr>
        <w:spacing w:line="360" w:lineRule="auto"/>
        <w:rPr>
          <w:rFonts w:ascii="宋体" w:hAnsi="宋体"/>
          <w:color w:val="auto"/>
          <w:sz w:val="24"/>
          <w:highlight w:val="none"/>
        </w:rPr>
      </w:pPr>
      <w:r>
        <w:rPr>
          <w:rFonts w:hint="eastAsia" w:ascii="宋体" w:hAnsi="宋体"/>
          <w:color w:val="auto"/>
          <w:sz w:val="24"/>
          <w:highlight w:val="none"/>
        </w:rPr>
        <w:t>18.7 通知义务</w:t>
      </w:r>
    </w:p>
    <w:p w14:paraId="60B5649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关于变更保险合同时的通知义务的约定：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79"/>
    <w:bookmarkEnd w:id="780"/>
    <w:bookmarkEnd w:id="781"/>
    <w:bookmarkEnd w:id="782"/>
    <w:bookmarkEnd w:id="783"/>
    <w:bookmarkEnd w:id="784"/>
    <w:bookmarkEnd w:id="785"/>
    <w:bookmarkEnd w:id="786"/>
    <w:bookmarkEnd w:id="787"/>
    <w:bookmarkEnd w:id="788"/>
    <w:bookmarkEnd w:id="789"/>
    <w:bookmarkEnd w:id="790"/>
    <w:p w14:paraId="2942E87B">
      <w:pPr>
        <w:pStyle w:val="5"/>
        <w:spacing w:before="0" w:after="0" w:line="360" w:lineRule="auto"/>
        <w:rPr>
          <w:rFonts w:ascii="宋体" w:hAnsi="宋体" w:eastAsia="宋体"/>
          <w:b w:val="0"/>
          <w:color w:val="auto"/>
          <w:sz w:val="24"/>
          <w:szCs w:val="24"/>
          <w:highlight w:val="none"/>
        </w:rPr>
      </w:pPr>
      <w:bookmarkStart w:id="806" w:name="_Toc351203651"/>
      <w:r>
        <w:rPr>
          <w:rFonts w:hint="eastAsia" w:ascii="宋体" w:hAnsi="宋体" w:eastAsia="宋体"/>
          <w:b w:val="0"/>
          <w:color w:val="auto"/>
          <w:sz w:val="24"/>
          <w:szCs w:val="24"/>
          <w:highlight w:val="none"/>
        </w:rPr>
        <w:t>20. 争议解决</w:t>
      </w:r>
      <w:bookmarkEnd w:id="806"/>
    </w:p>
    <w:bookmarkEnd w:id="791"/>
    <w:bookmarkEnd w:id="792"/>
    <w:p w14:paraId="5F5B30C8">
      <w:pPr>
        <w:spacing w:line="360" w:lineRule="auto"/>
        <w:rPr>
          <w:rFonts w:ascii="宋体" w:hAnsi="宋体"/>
          <w:color w:val="auto"/>
          <w:sz w:val="24"/>
          <w:highlight w:val="none"/>
        </w:rPr>
      </w:pPr>
      <w:r>
        <w:rPr>
          <w:rFonts w:hint="eastAsia" w:ascii="宋体" w:hAnsi="宋体"/>
          <w:color w:val="auto"/>
          <w:sz w:val="24"/>
          <w:highlight w:val="none"/>
        </w:rPr>
        <w:t>20.3 争</w:t>
      </w:r>
      <w:bookmarkEnd w:id="793"/>
      <w:r>
        <w:rPr>
          <w:rFonts w:hint="eastAsia" w:ascii="宋体" w:hAnsi="宋体"/>
          <w:color w:val="auto"/>
          <w:sz w:val="24"/>
          <w:highlight w:val="none"/>
        </w:rPr>
        <w:t>议评审</w:t>
      </w:r>
    </w:p>
    <w:p w14:paraId="3E615F4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合同当事人是否同意将工程争议提交争议评审小组决定：</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4BD1743">
      <w:pPr>
        <w:spacing w:line="360" w:lineRule="auto"/>
        <w:jc w:val="left"/>
        <w:rPr>
          <w:rFonts w:ascii="宋体" w:hAnsi="宋体"/>
          <w:color w:val="auto"/>
          <w:sz w:val="24"/>
          <w:highlight w:val="none"/>
        </w:rPr>
      </w:pPr>
      <w:r>
        <w:rPr>
          <w:rFonts w:hint="eastAsia" w:ascii="宋体" w:hAnsi="宋体"/>
          <w:color w:val="auto"/>
          <w:sz w:val="24"/>
          <w:highlight w:val="none"/>
        </w:rPr>
        <w:t>20.3.1 争议评审小组的确定</w:t>
      </w:r>
    </w:p>
    <w:p w14:paraId="32370C24">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争议评审小组成员的确定：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30458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选定争议评审员的期限：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B7D12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争议评审小组成员的报酬承担方式：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7DFEB3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F5F41B">
      <w:pPr>
        <w:autoSpaceDE w:val="0"/>
        <w:autoSpaceDN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20.3.2 争议评审小组的决定</w:t>
      </w:r>
    </w:p>
    <w:p w14:paraId="3F1789F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合同当事人关于本项的约定：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77E5776">
      <w:pPr>
        <w:spacing w:line="360" w:lineRule="auto"/>
        <w:rPr>
          <w:rFonts w:ascii="宋体" w:hAnsi="宋体"/>
          <w:color w:val="auto"/>
          <w:sz w:val="24"/>
          <w:highlight w:val="none"/>
        </w:rPr>
      </w:pPr>
      <w:r>
        <w:rPr>
          <w:rFonts w:hint="eastAsia" w:ascii="宋体" w:hAnsi="宋体"/>
          <w:color w:val="auto"/>
          <w:sz w:val="24"/>
          <w:highlight w:val="none"/>
        </w:rPr>
        <w:t>20.4仲裁或诉讼</w:t>
      </w:r>
      <w:bookmarkEnd w:id="794"/>
    </w:p>
    <w:p w14:paraId="7F0A9B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因合同及合同有关事项发生的争议，按下列第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76BC52DD">
      <w:pPr>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color w:val="auto"/>
          <w:sz w:val="24"/>
          <w:highlight w:val="none"/>
        </w:rPr>
        <w:t>（</w:t>
      </w:r>
      <w:r>
        <w:rPr>
          <w:rFonts w:hint="eastAsia" w:ascii="宋体" w:hAnsi="宋体" w:eastAsia="宋体" w:cs="Times New Roman"/>
          <w:color w:val="auto"/>
          <w:sz w:val="24"/>
          <w:highlight w:val="none"/>
        </w:rPr>
        <w:t>1）向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仲裁委员会申请仲裁；</w:t>
      </w:r>
    </w:p>
    <w:p w14:paraId="66EB174B">
      <w:r>
        <w:rPr>
          <w:rFonts w:hint="eastAsia" w:ascii="宋体" w:hAnsi="宋体" w:eastAsia="宋体" w:cs="Times New Roman"/>
          <w:color w:val="auto"/>
          <w:sz w:val="24"/>
          <w:highlight w:val="none"/>
        </w:rPr>
        <w:t>（2）向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人民法院起诉。</w:t>
      </w:r>
      <w:bookmarkEnd w:id="795"/>
      <w:bookmarkEnd w:id="796"/>
      <w:bookmarkEnd w:id="797"/>
      <w:bookmarkEnd w:id="798"/>
      <w:bookmarkEnd w:id="799"/>
      <w:bookmarkEnd w:id="800"/>
    </w:p>
    <w:p w14:paraId="47544025">
      <w:pPr>
        <w:rPr>
          <w:rFonts w:hint="eastAsia" w:ascii="宋体" w:hAnsi="宋体" w:eastAsia="宋体" w:cs="宋体"/>
          <w:b/>
          <w:bCs w:val="0"/>
          <w:color w:val="auto"/>
          <w:sz w:val="36"/>
          <w:szCs w:val="36"/>
          <w:highlight w:val="none"/>
          <w:lang w:val="zh-CN"/>
        </w:rPr>
      </w:pPr>
      <w:r>
        <w:rPr>
          <w:rFonts w:hint="eastAsia" w:ascii="宋体" w:hAnsi="宋体" w:eastAsia="宋体" w:cs="宋体"/>
          <w:b/>
          <w:bCs w:val="0"/>
          <w:color w:val="auto"/>
          <w:sz w:val="36"/>
          <w:szCs w:val="36"/>
          <w:highlight w:val="none"/>
          <w:lang w:val="zh-CN"/>
        </w:rPr>
        <w:br w:type="page"/>
      </w:r>
    </w:p>
    <w:p w14:paraId="3B2D8453">
      <w:pPr>
        <w:pStyle w:val="2"/>
        <w:widowControl/>
        <w:spacing w:before="240" w:after="240"/>
        <w:jc w:val="center"/>
        <w:rPr>
          <w:rFonts w:hint="eastAsia" w:ascii="宋体" w:hAnsi="宋体" w:eastAsia="宋体" w:cs="宋体"/>
          <w:b/>
          <w:bCs w:val="0"/>
          <w:color w:val="auto"/>
          <w:sz w:val="36"/>
          <w:szCs w:val="36"/>
          <w:highlight w:val="none"/>
          <w:lang w:val="zh-CN"/>
        </w:rPr>
      </w:pPr>
      <w:bookmarkStart w:id="807" w:name="_Toc27671"/>
      <w:r>
        <w:rPr>
          <w:rFonts w:hint="eastAsia" w:ascii="宋体" w:hAnsi="宋体" w:eastAsia="宋体" w:cs="宋体"/>
          <w:b/>
          <w:bCs w:val="0"/>
          <w:color w:val="auto"/>
          <w:sz w:val="36"/>
          <w:szCs w:val="36"/>
          <w:highlight w:val="none"/>
          <w:lang w:val="zh-CN"/>
        </w:rPr>
        <w:t>第四章  响应文件格式</w:t>
      </w:r>
      <w:bookmarkEnd w:id="258"/>
      <w:bookmarkEnd w:id="260"/>
      <w:bookmarkEnd w:id="261"/>
      <w:bookmarkEnd w:id="807"/>
    </w:p>
    <w:p w14:paraId="0824736A">
      <w:pPr>
        <w:rPr>
          <w:rFonts w:hint="eastAsia" w:ascii="宋体" w:hAnsi="宋体" w:eastAsia="宋体" w:cs="宋体"/>
          <w:color w:val="auto"/>
          <w:highlight w:val="none"/>
        </w:rPr>
      </w:pPr>
    </w:p>
    <w:p w14:paraId="7F51A0BB">
      <w:pPr>
        <w:jc w:val="center"/>
        <w:rPr>
          <w:rFonts w:hint="eastAsia" w:ascii="宋体" w:hAnsi="宋体" w:eastAsia="宋体" w:cs="宋体"/>
          <w:color w:val="auto"/>
          <w:highlight w:val="none"/>
        </w:rPr>
      </w:pPr>
      <w:bookmarkStart w:id="808" w:name="_Toc491307291"/>
      <w:bookmarkStart w:id="809" w:name="_Toc491307353"/>
      <w:bookmarkStart w:id="810" w:name="_Toc494043337"/>
      <w:bookmarkStart w:id="811" w:name="_Toc491307363"/>
      <w:bookmarkStart w:id="812" w:name="_Toc491307473"/>
      <w:bookmarkStart w:id="813" w:name="_Toc491307483"/>
      <w:bookmarkStart w:id="814" w:name="_Toc491307301"/>
      <w:r>
        <w:rPr>
          <w:rFonts w:hint="eastAsia" w:hAnsi="宋体" w:cs="宋体"/>
          <w:b/>
          <w:color w:val="auto"/>
          <w:sz w:val="40"/>
          <w:szCs w:val="40"/>
          <w:highlight w:val="none"/>
          <w:lang w:val="en-US" w:eastAsia="zh-CN"/>
        </w:rPr>
        <w:t>腾冲市固东镇集镇环西路建设项目 (二期工程)二次</w:t>
      </w:r>
    </w:p>
    <w:p w14:paraId="513E6067">
      <w:pPr>
        <w:rPr>
          <w:rFonts w:hint="eastAsia" w:ascii="宋体" w:hAnsi="宋体" w:eastAsia="宋体" w:cs="宋体"/>
          <w:color w:val="auto"/>
          <w:highlight w:val="none"/>
        </w:rPr>
      </w:pPr>
    </w:p>
    <w:p w14:paraId="14CEA2AD">
      <w:pPr>
        <w:rPr>
          <w:rFonts w:hint="eastAsia" w:ascii="宋体" w:hAnsi="宋体" w:eastAsia="宋体" w:cs="宋体"/>
          <w:color w:val="auto"/>
          <w:highlight w:val="none"/>
        </w:rPr>
      </w:pPr>
    </w:p>
    <w:p w14:paraId="68D7D211">
      <w:pPr>
        <w:rPr>
          <w:rFonts w:hint="eastAsia" w:ascii="宋体" w:hAnsi="宋体" w:eastAsia="宋体" w:cs="宋体"/>
          <w:color w:val="auto"/>
          <w:highlight w:val="none"/>
        </w:rPr>
      </w:pPr>
    </w:p>
    <w:p w14:paraId="247C500D">
      <w:pPr>
        <w:rPr>
          <w:rFonts w:hint="eastAsia" w:ascii="宋体" w:hAnsi="宋体" w:eastAsia="宋体" w:cs="宋体"/>
          <w:color w:val="auto"/>
          <w:highlight w:val="none"/>
        </w:rPr>
      </w:pPr>
    </w:p>
    <w:p w14:paraId="27DF81CC">
      <w:pPr>
        <w:rPr>
          <w:rFonts w:hint="eastAsia" w:ascii="宋体" w:hAnsi="宋体" w:eastAsia="宋体" w:cs="宋体"/>
          <w:color w:val="auto"/>
          <w:highlight w:val="none"/>
        </w:rPr>
      </w:pPr>
    </w:p>
    <w:p w14:paraId="135DDA4D">
      <w:pPr>
        <w:rPr>
          <w:rFonts w:hint="eastAsia" w:ascii="宋体" w:hAnsi="宋体" w:eastAsia="宋体" w:cs="宋体"/>
          <w:color w:val="auto"/>
          <w:highlight w:val="none"/>
        </w:rPr>
      </w:pPr>
    </w:p>
    <w:p w14:paraId="038F1CE5">
      <w:pPr>
        <w:rPr>
          <w:rFonts w:hint="eastAsia" w:ascii="宋体" w:hAnsi="宋体" w:eastAsia="宋体" w:cs="宋体"/>
          <w:color w:val="auto"/>
          <w:highlight w:val="none"/>
        </w:rPr>
      </w:pPr>
    </w:p>
    <w:p w14:paraId="6CB19B1B">
      <w:pPr>
        <w:widowControl/>
        <w:spacing w:line="720" w:lineRule="auto"/>
        <w:jc w:val="center"/>
        <w:rPr>
          <w:rFonts w:hint="eastAsia" w:ascii="宋体" w:hAnsi="宋体" w:eastAsia="宋体" w:cs="宋体"/>
          <w:b/>
          <w:snapToGrid/>
          <w:color w:val="auto"/>
          <w:kern w:val="0"/>
          <w:sz w:val="72"/>
          <w:szCs w:val="72"/>
          <w:highlight w:val="none"/>
        </w:rPr>
      </w:pPr>
      <w:r>
        <w:rPr>
          <w:rFonts w:hint="eastAsia" w:ascii="宋体" w:hAnsi="宋体" w:eastAsia="宋体" w:cs="宋体"/>
          <w:b/>
          <w:snapToGrid/>
          <w:color w:val="auto"/>
          <w:kern w:val="0"/>
          <w:sz w:val="72"/>
          <w:szCs w:val="72"/>
          <w:highlight w:val="none"/>
        </w:rPr>
        <w:t>响 应 文 件</w:t>
      </w:r>
    </w:p>
    <w:p w14:paraId="231B2435">
      <w:pPr>
        <w:widowControl/>
        <w:spacing w:line="720" w:lineRule="auto"/>
        <w:jc w:val="center"/>
        <w:rPr>
          <w:rFonts w:hint="eastAsia" w:ascii="宋体" w:hAnsi="宋体" w:eastAsia="宋体" w:cs="宋体"/>
          <w:b/>
          <w:snapToGrid/>
          <w:color w:val="auto"/>
          <w:kern w:val="0"/>
          <w:sz w:val="28"/>
          <w:szCs w:val="28"/>
          <w:highlight w:val="none"/>
          <w:lang w:val="en-US" w:eastAsia="zh-CN"/>
        </w:rPr>
      </w:pPr>
      <w:r>
        <w:rPr>
          <w:rFonts w:hint="eastAsia" w:ascii="宋体" w:hAnsi="宋体" w:eastAsia="宋体" w:cs="宋体"/>
          <w:b/>
          <w:snapToGrid/>
          <w:color w:val="auto"/>
          <w:kern w:val="0"/>
          <w:sz w:val="28"/>
          <w:szCs w:val="28"/>
          <w:highlight w:val="none"/>
        </w:rPr>
        <w:t>项目编号：</w:t>
      </w:r>
      <w:r>
        <w:rPr>
          <w:rFonts w:hint="eastAsia" w:hAnsi="宋体" w:cs="宋体"/>
          <w:b/>
          <w:snapToGrid/>
          <w:color w:val="auto"/>
          <w:kern w:val="0"/>
          <w:sz w:val="28"/>
          <w:szCs w:val="28"/>
          <w:highlight w:val="none"/>
          <w:lang w:val="en-US" w:eastAsia="zh-CN"/>
        </w:rPr>
        <w:t>BSZC2025-C2-00939-YNXH-0017</w:t>
      </w:r>
    </w:p>
    <w:p w14:paraId="346B26F3">
      <w:pPr>
        <w:widowControl/>
        <w:spacing w:line="720" w:lineRule="auto"/>
        <w:jc w:val="center"/>
        <w:rPr>
          <w:rFonts w:hint="eastAsia" w:ascii="宋体" w:hAnsi="宋体" w:eastAsia="宋体" w:cs="宋体"/>
          <w:b/>
          <w:snapToGrid/>
          <w:color w:val="0000FF"/>
          <w:kern w:val="0"/>
          <w:sz w:val="28"/>
          <w:szCs w:val="28"/>
          <w:highlight w:val="none"/>
          <w:lang w:val="en-US" w:eastAsia="zh-CN"/>
        </w:rPr>
      </w:pPr>
      <w:r>
        <w:rPr>
          <w:rFonts w:hint="eastAsia" w:hAnsi="宋体" w:cs="宋体"/>
          <w:b/>
          <w:snapToGrid/>
          <w:color w:val="0000FF"/>
          <w:kern w:val="0"/>
          <w:sz w:val="28"/>
          <w:szCs w:val="28"/>
          <w:highlight w:val="none"/>
          <w:lang w:val="en-US" w:eastAsia="zh-CN"/>
        </w:rPr>
        <w:t xml:space="preserve"> </w:t>
      </w:r>
    </w:p>
    <w:p w14:paraId="30725985">
      <w:pPr>
        <w:pStyle w:val="9"/>
        <w:spacing w:line="500" w:lineRule="exact"/>
        <w:jc w:val="center"/>
        <w:rPr>
          <w:rFonts w:hint="eastAsia" w:ascii="宋体" w:hAnsi="宋体" w:eastAsia="宋体" w:cs="宋体"/>
          <w:b/>
          <w:color w:val="auto"/>
          <w:sz w:val="28"/>
          <w:szCs w:val="28"/>
          <w:highlight w:val="none"/>
        </w:rPr>
      </w:pPr>
    </w:p>
    <w:p w14:paraId="1ABDDE1C">
      <w:pPr>
        <w:rPr>
          <w:rFonts w:hint="eastAsia" w:ascii="宋体" w:hAnsi="宋体" w:eastAsia="宋体" w:cs="宋体"/>
          <w:color w:val="auto"/>
          <w:highlight w:val="none"/>
        </w:rPr>
      </w:pPr>
    </w:p>
    <w:p w14:paraId="354B3C1D">
      <w:pPr>
        <w:rPr>
          <w:rFonts w:hint="eastAsia" w:ascii="宋体" w:hAnsi="宋体" w:eastAsia="宋体" w:cs="宋体"/>
          <w:color w:val="auto"/>
          <w:highlight w:val="none"/>
        </w:rPr>
      </w:pPr>
    </w:p>
    <w:p w14:paraId="331444F1">
      <w:pPr>
        <w:rPr>
          <w:rFonts w:hint="eastAsia" w:ascii="宋体" w:hAnsi="宋体" w:eastAsia="宋体" w:cs="宋体"/>
          <w:color w:val="auto"/>
          <w:highlight w:val="none"/>
        </w:rPr>
      </w:pPr>
    </w:p>
    <w:p w14:paraId="05E3F189">
      <w:pPr>
        <w:rPr>
          <w:rFonts w:hint="eastAsia" w:ascii="宋体" w:hAnsi="宋体" w:eastAsia="宋体" w:cs="宋体"/>
          <w:color w:val="auto"/>
          <w:highlight w:val="none"/>
        </w:rPr>
      </w:pPr>
    </w:p>
    <w:p w14:paraId="0DDF844A">
      <w:pPr>
        <w:rPr>
          <w:rFonts w:hint="eastAsia" w:ascii="宋体" w:hAnsi="宋体" w:eastAsia="宋体" w:cs="宋体"/>
          <w:color w:val="auto"/>
          <w:highlight w:val="none"/>
        </w:rPr>
      </w:pPr>
    </w:p>
    <w:p w14:paraId="2EF7F5F1">
      <w:pPr>
        <w:rPr>
          <w:rFonts w:hint="eastAsia" w:ascii="宋体" w:hAnsi="宋体" w:eastAsia="宋体" w:cs="宋体"/>
          <w:color w:val="auto"/>
          <w:highlight w:val="none"/>
        </w:rPr>
      </w:pPr>
    </w:p>
    <w:p w14:paraId="1C9FF7D1">
      <w:pPr>
        <w:rPr>
          <w:rFonts w:hint="eastAsia" w:ascii="宋体" w:hAnsi="宋体" w:eastAsia="宋体" w:cs="宋体"/>
          <w:color w:val="auto"/>
          <w:highlight w:val="none"/>
        </w:rPr>
      </w:pPr>
    </w:p>
    <w:p w14:paraId="1516AF67">
      <w:pPr>
        <w:widowControl/>
        <w:spacing w:line="480" w:lineRule="auto"/>
        <w:jc w:val="left"/>
        <w:rPr>
          <w:rFonts w:hint="eastAsia" w:ascii="宋体" w:hAnsi="宋体" w:eastAsia="宋体" w:cs="宋体"/>
          <w:snapToGrid/>
          <w:color w:val="auto"/>
          <w:kern w:val="0"/>
          <w:sz w:val="30"/>
          <w:szCs w:val="30"/>
          <w:highlight w:val="none"/>
        </w:rPr>
      </w:pPr>
    </w:p>
    <w:p w14:paraId="68924C73">
      <w:pPr>
        <w:widowControl/>
        <w:spacing w:line="480" w:lineRule="auto"/>
        <w:jc w:val="left"/>
        <w:rPr>
          <w:rFonts w:hint="eastAsia" w:ascii="宋体" w:hAnsi="宋体" w:eastAsia="宋体" w:cs="宋体"/>
          <w:snapToGrid/>
          <w:color w:val="auto"/>
          <w:kern w:val="0"/>
          <w:sz w:val="30"/>
          <w:szCs w:val="30"/>
          <w:highlight w:val="none"/>
        </w:rPr>
      </w:pPr>
      <w:r>
        <w:rPr>
          <w:rFonts w:hint="eastAsia" w:ascii="宋体" w:hAnsi="宋体" w:eastAsia="宋体" w:cs="宋体"/>
          <w:snapToGrid/>
          <w:color w:val="auto"/>
          <w:kern w:val="0"/>
          <w:sz w:val="30"/>
          <w:szCs w:val="30"/>
          <w:highlight w:val="none"/>
        </w:rPr>
        <w:t>供应商</w:t>
      </w:r>
      <w:r>
        <w:rPr>
          <w:rFonts w:hint="eastAsia" w:ascii="宋体" w:hAnsi="宋体" w:eastAsia="宋体" w:cs="宋体"/>
          <w:snapToGrid/>
          <w:color w:val="auto"/>
          <w:kern w:val="0"/>
          <w:sz w:val="30"/>
          <w:szCs w:val="30"/>
          <w:highlight w:val="none"/>
          <w:lang w:val="en-US" w:eastAsia="zh-CN"/>
        </w:rPr>
        <w:t>全称</w:t>
      </w:r>
      <w:r>
        <w:rPr>
          <w:rFonts w:hint="eastAsia" w:ascii="宋体" w:hAnsi="宋体" w:eastAsia="宋体" w:cs="宋体"/>
          <w:snapToGrid/>
          <w:color w:val="auto"/>
          <w:kern w:val="0"/>
          <w:sz w:val="30"/>
          <w:szCs w:val="30"/>
          <w:highlight w:val="none"/>
        </w:rPr>
        <w:t>：</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w:t>
      </w:r>
      <w:bookmarkStart w:id="815" w:name="_Hlk122612079"/>
      <w:r>
        <w:rPr>
          <w:rFonts w:hint="eastAsia" w:ascii="宋体" w:hAnsi="宋体" w:eastAsia="宋体" w:cs="宋体"/>
          <w:snapToGrid/>
          <w:color w:val="auto"/>
          <w:kern w:val="0"/>
          <w:sz w:val="30"/>
          <w:szCs w:val="30"/>
          <w:highlight w:val="none"/>
        </w:rPr>
        <w:t>电子签章</w:t>
      </w:r>
      <w:bookmarkEnd w:id="815"/>
      <w:r>
        <w:rPr>
          <w:rFonts w:hint="eastAsia" w:ascii="宋体" w:hAnsi="宋体" w:eastAsia="宋体" w:cs="宋体"/>
          <w:snapToGrid/>
          <w:color w:val="auto"/>
          <w:kern w:val="0"/>
          <w:sz w:val="30"/>
          <w:szCs w:val="30"/>
          <w:highlight w:val="none"/>
        </w:rPr>
        <w:t>）</w:t>
      </w:r>
    </w:p>
    <w:p w14:paraId="3B07E16D">
      <w:pPr>
        <w:widowControl/>
        <w:spacing w:line="480" w:lineRule="auto"/>
        <w:jc w:val="left"/>
        <w:rPr>
          <w:rFonts w:hint="eastAsia" w:ascii="宋体" w:hAnsi="宋体" w:eastAsia="宋体" w:cs="宋体"/>
          <w:snapToGrid/>
          <w:color w:val="auto"/>
          <w:kern w:val="0"/>
          <w:sz w:val="30"/>
          <w:szCs w:val="30"/>
          <w:highlight w:val="none"/>
        </w:rPr>
      </w:pPr>
      <w:r>
        <w:rPr>
          <w:rFonts w:hint="eastAsia" w:ascii="宋体" w:hAnsi="宋体" w:eastAsia="宋体" w:cs="宋体"/>
          <w:snapToGrid/>
          <w:color w:val="auto"/>
          <w:kern w:val="0"/>
          <w:sz w:val="30"/>
          <w:szCs w:val="30"/>
          <w:highlight w:val="none"/>
        </w:rPr>
        <w:t>法定代表人：</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（电子签章）</w:t>
      </w:r>
    </w:p>
    <w:p w14:paraId="29476BA5">
      <w:pPr>
        <w:pStyle w:val="9"/>
        <w:autoSpaceDE w:val="0"/>
        <w:autoSpaceDN w:val="0"/>
        <w:adjustRightInd w:val="0"/>
        <w:spacing w:line="360" w:lineRule="auto"/>
        <w:ind w:firstLine="1800" w:firstLineChars="600"/>
        <w:jc w:val="left"/>
        <w:rPr>
          <w:rFonts w:hint="eastAsia" w:ascii="宋体" w:hAnsi="宋体" w:eastAsia="宋体" w:cs="宋体"/>
          <w:b/>
          <w:color w:val="auto"/>
          <w:kern w:val="0"/>
          <w:sz w:val="28"/>
          <w:szCs w:val="28"/>
          <w:highlight w:val="none"/>
        </w:rPr>
      </w:pP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年</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月</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日</w:t>
      </w:r>
    </w:p>
    <w:p w14:paraId="638321C6">
      <w:pPr>
        <w:pStyle w:val="9"/>
        <w:autoSpaceDE w:val="0"/>
        <w:autoSpaceDN w:val="0"/>
        <w:adjustRightInd w:val="0"/>
        <w:spacing w:line="360" w:lineRule="auto"/>
        <w:jc w:val="left"/>
        <w:rPr>
          <w:rFonts w:hint="eastAsia" w:ascii="宋体" w:hAnsi="宋体" w:eastAsia="宋体" w:cs="宋体"/>
          <w:b/>
          <w:color w:val="auto"/>
          <w:kern w:val="0"/>
          <w:sz w:val="28"/>
          <w:szCs w:val="28"/>
          <w:highlight w:val="none"/>
        </w:rPr>
        <w:sectPr>
          <w:headerReference r:id="rId4" w:type="default"/>
          <w:footerReference r:id="rId5" w:type="default"/>
          <w:pgSz w:w="11906" w:h="16838"/>
          <w:pgMar w:top="1440" w:right="1080" w:bottom="1440" w:left="1080" w:header="850" w:footer="992" w:gutter="0"/>
          <w:pgNumType w:fmt="decimal"/>
          <w:cols w:space="0" w:num="1"/>
          <w:rtlGutter w:val="0"/>
          <w:docGrid w:type="lines" w:linePitch="317" w:charSpace="0"/>
        </w:sectPr>
      </w:pPr>
    </w:p>
    <w:bookmarkEnd w:id="808"/>
    <w:bookmarkEnd w:id="809"/>
    <w:bookmarkEnd w:id="810"/>
    <w:bookmarkEnd w:id="811"/>
    <w:bookmarkEnd w:id="812"/>
    <w:bookmarkEnd w:id="813"/>
    <w:bookmarkEnd w:id="814"/>
    <w:p w14:paraId="40AFE64C">
      <w:pPr>
        <w:widowControl/>
        <w:jc w:val="center"/>
        <w:outlineLvl w:val="1"/>
        <w:rPr>
          <w:rFonts w:hint="eastAsia" w:ascii="宋体" w:hAnsi="宋体" w:eastAsia="宋体" w:cs="宋体"/>
          <w:color w:val="auto"/>
          <w:sz w:val="32"/>
          <w:szCs w:val="32"/>
          <w:highlight w:val="none"/>
        </w:rPr>
      </w:pPr>
      <w:bookmarkStart w:id="816" w:name="_Toc19448"/>
      <w:bookmarkStart w:id="817" w:name="_Toc125054729"/>
      <w:bookmarkStart w:id="818" w:name="_Toc491307331"/>
      <w:r>
        <w:rPr>
          <w:rFonts w:hint="eastAsia" w:ascii="宋体" w:hAnsi="宋体" w:eastAsia="宋体" w:cs="宋体"/>
          <w:b/>
          <w:bCs/>
          <w:color w:val="auto"/>
          <w:sz w:val="32"/>
          <w:szCs w:val="32"/>
          <w:highlight w:val="none"/>
        </w:rPr>
        <w:t>一、</w:t>
      </w:r>
      <w:r>
        <w:rPr>
          <w:rFonts w:hint="eastAsia" w:hAnsi="宋体" w:cs="宋体"/>
          <w:b/>
          <w:bCs/>
          <w:color w:val="auto"/>
          <w:sz w:val="32"/>
          <w:szCs w:val="32"/>
          <w:highlight w:val="none"/>
          <w:lang w:val="en-US" w:eastAsia="zh-CN"/>
        </w:rPr>
        <w:t>报价</w:t>
      </w:r>
      <w:r>
        <w:rPr>
          <w:rFonts w:hint="eastAsia" w:ascii="宋体" w:hAnsi="宋体" w:eastAsia="宋体" w:cs="宋体"/>
          <w:b/>
          <w:bCs/>
          <w:color w:val="auto"/>
          <w:sz w:val="32"/>
          <w:szCs w:val="32"/>
          <w:highlight w:val="none"/>
        </w:rPr>
        <w:t>一览表</w:t>
      </w:r>
      <w:bookmarkEnd w:id="816"/>
    </w:p>
    <w:p w14:paraId="5FDE54A1">
      <w:pPr>
        <w:pStyle w:val="22"/>
        <w:rPr>
          <w:rFonts w:hint="eastAsia" w:ascii="宋体" w:hAnsi="宋体" w:eastAsia="宋体" w:cs="宋体"/>
          <w:b/>
          <w:color w:val="auto"/>
          <w:kern w:val="2"/>
          <w:highlight w:val="none"/>
          <w:lang w:val="en-US"/>
        </w:rPr>
      </w:pPr>
    </w:p>
    <w:p w14:paraId="0C84AC59">
      <w:pPr>
        <w:spacing w:line="500" w:lineRule="exact"/>
        <w:jc w:val="center"/>
        <w:outlineLvl w:val="9"/>
        <w:rPr>
          <w:rFonts w:hint="eastAsia" w:ascii="宋体" w:hAnsi="宋体" w:eastAsia="宋体" w:cs="宋体"/>
          <w:b/>
          <w:color w:val="auto"/>
          <w:sz w:val="28"/>
          <w:szCs w:val="28"/>
          <w:highlight w:val="none"/>
        </w:rPr>
      </w:pPr>
      <w:bookmarkStart w:id="819" w:name="_Toc19598"/>
    </w:p>
    <w:p w14:paraId="3CF40423">
      <w:pPr>
        <w:autoSpaceDE w:val="0"/>
        <w:autoSpaceDN w:val="0"/>
        <w:adjustRightInd w:val="0"/>
        <w:spacing w:line="360" w:lineRule="auto"/>
        <w:jc w:val="left"/>
        <w:rPr>
          <w:rFonts w:hint="eastAsia" w:ascii="宋体" w:hAnsi="宋体" w:eastAsia="宋体" w:cs="宋体"/>
          <w:b/>
          <w:snapToGrid/>
          <w:kern w:val="0"/>
          <w:sz w:val="24"/>
          <w:szCs w:val="24"/>
        </w:rPr>
      </w:pPr>
      <w:r>
        <w:rPr>
          <w:rFonts w:hint="eastAsia" w:ascii="宋体" w:hAnsi="宋体" w:eastAsia="宋体" w:cs="宋体"/>
          <w:b/>
          <w:snapToGrid/>
          <w:kern w:val="0"/>
          <w:sz w:val="24"/>
          <w:szCs w:val="24"/>
        </w:rPr>
        <w:t>项目名称：</w:t>
      </w:r>
      <w:r>
        <w:rPr>
          <w:rFonts w:hint="eastAsia" w:ascii="宋体" w:hAnsi="宋体" w:eastAsia="宋体" w:cs="宋体"/>
          <w:b/>
          <w:snapToGrid/>
          <w:kern w:val="0"/>
          <w:sz w:val="24"/>
          <w:szCs w:val="24"/>
          <w:u w:val="single"/>
        </w:rPr>
        <w:t xml:space="preserve">              </w:t>
      </w:r>
    </w:p>
    <w:p w14:paraId="293265D4">
      <w:pPr>
        <w:autoSpaceDE w:val="0"/>
        <w:autoSpaceDN w:val="0"/>
        <w:adjustRightInd w:val="0"/>
        <w:spacing w:line="360" w:lineRule="auto"/>
        <w:jc w:val="left"/>
        <w:rPr>
          <w:rFonts w:hint="eastAsia" w:ascii="宋体" w:hAnsi="宋体" w:eastAsia="宋体" w:cs="宋体"/>
          <w:b/>
          <w:snapToGrid/>
          <w:kern w:val="0"/>
          <w:sz w:val="24"/>
          <w:szCs w:val="24"/>
          <w:u w:val="single"/>
        </w:rPr>
      </w:pPr>
      <w:r>
        <w:rPr>
          <w:rFonts w:hint="eastAsia" w:ascii="宋体" w:hAnsi="宋体" w:eastAsia="宋体" w:cs="宋体"/>
          <w:b/>
          <w:snapToGrid/>
          <w:kern w:val="0"/>
          <w:sz w:val="24"/>
          <w:szCs w:val="24"/>
        </w:rPr>
        <w:t>项目编号：</w:t>
      </w:r>
      <w:r>
        <w:rPr>
          <w:rFonts w:hint="eastAsia" w:ascii="宋体" w:hAnsi="宋体" w:eastAsia="宋体" w:cs="宋体"/>
          <w:b/>
          <w:snapToGrid/>
          <w:kern w:val="0"/>
          <w:sz w:val="24"/>
          <w:szCs w:val="24"/>
          <w:u w:val="single"/>
        </w:rPr>
        <w:t xml:space="preserve">              </w:t>
      </w:r>
    </w:p>
    <w:tbl>
      <w:tblPr>
        <w:tblStyle w:val="15"/>
        <w:tblW w:w="8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731"/>
        <w:gridCol w:w="4850"/>
      </w:tblGrid>
      <w:tr w14:paraId="4FF0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trPr>
        <w:tc>
          <w:tcPr>
            <w:tcW w:w="662" w:type="dxa"/>
            <w:vAlign w:val="center"/>
          </w:tcPr>
          <w:p w14:paraId="2CEF424F">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序号</w:t>
            </w:r>
          </w:p>
        </w:tc>
        <w:tc>
          <w:tcPr>
            <w:tcW w:w="7581" w:type="dxa"/>
            <w:gridSpan w:val="2"/>
            <w:vAlign w:val="center"/>
          </w:tcPr>
          <w:p w14:paraId="3AD4179B">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内      容</w:t>
            </w:r>
          </w:p>
        </w:tc>
      </w:tr>
      <w:tr w14:paraId="0BF8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trPr>
        <w:tc>
          <w:tcPr>
            <w:tcW w:w="662" w:type="dxa"/>
            <w:vAlign w:val="center"/>
          </w:tcPr>
          <w:p w14:paraId="675A85CC">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1</w:t>
            </w:r>
          </w:p>
        </w:tc>
        <w:tc>
          <w:tcPr>
            <w:tcW w:w="2731" w:type="dxa"/>
            <w:vAlign w:val="center"/>
          </w:tcPr>
          <w:p w14:paraId="1769461B">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lang w:val="en-US" w:eastAsia="zh-CN"/>
              </w:rPr>
              <w:t>磋商</w:t>
            </w:r>
            <w:r>
              <w:rPr>
                <w:rFonts w:hint="eastAsia" w:hAnsi="宋体" w:cs="宋体"/>
                <w:b/>
                <w:bCs/>
                <w:caps/>
                <w:sz w:val="24"/>
                <w:szCs w:val="24"/>
                <w:highlight w:val="none"/>
                <w:lang w:val="en-US" w:eastAsia="zh-CN"/>
              </w:rPr>
              <w:t>总</w:t>
            </w:r>
            <w:r>
              <w:rPr>
                <w:rFonts w:hint="eastAsia" w:ascii="宋体" w:hAnsi="宋体" w:eastAsia="宋体" w:cs="宋体"/>
                <w:b/>
                <w:bCs/>
                <w:caps/>
                <w:sz w:val="24"/>
                <w:szCs w:val="24"/>
                <w:highlight w:val="none"/>
              </w:rPr>
              <w:t>报价</w:t>
            </w:r>
            <w:r>
              <w:rPr>
                <w:rFonts w:hint="eastAsia" w:ascii="宋体" w:hAnsi="宋体" w:eastAsia="宋体" w:cs="宋体"/>
                <w:b/>
                <w:bCs/>
                <w:caps/>
                <w:sz w:val="24"/>
                <w:szCs w:val="24"/>
                <w:highlight w:val="none"/>
                <w:lang w:eastAsia="zh-CN"/>
              </w:rPr>
              <w:t>（</w:t>
            </w:r>
            <w:r>
              <w:rPr>
                <w:rFonts w:hint="eastAsia" w:ascii="宋体" w:hAnsi="宋体" w:eastAsia="宋体" w:cs="宋体"/>
                <w:b/>
                <w:bCs/>
                <w:caps/>
                <w:sz w:val="24"/>
                <w:szCs w:val="24"/>
                <w:highlight w:val="none"/>
                <w:lang w:val="en-US" w:eastAsia="zh-CN"/>
              </w:rPr>
              <w:t>第一轮</w:t>
            </w:r>
            <w:r>
              <w:rPr>
                <w:rFonts w:hint="eastAsia" w:ascii="宋体" w:hAnsi="宋体" w:eastAsia="宋体" w:cs="宋体"/>
                <w:b/>
                <w:bCs/>
                <w:caps/>
                <w:sz w:val="24"/>
                <w:szCs w:val="24"/>
                <w:highlight w:val="none"/>
                <w:lang w:eastAsia="zh-CN"/>
              </w:rPr>
              <w:t>）</w:t>
            </w:r>
            <w:r>
              <w:rPr>
                <w:rFonts w:hint="eastAsia" w:hAnsi="宋体" w:cs="宋体"/>
                <w:b/>
                <w:bCs/>
                <w:caps/>
                <w:sz w:val="24"/>
                <w:szCs w:val="24"/>
                <w:highlight w:val="none"/>
                <w:lang w:eastAsia="zh-CN"/>
              </w:rPr>
              <w:t>（</w:t>
            </w:r>
            <w:r>
              <w:rPr>
                <w:rFonts w:hint="eastAsia" w:hAnsi="宋体" w:cs="宋体"/>
                <w:b/>
                <w:bCs/>
                <w:caps/>
                <w:sz w:val="24"/>
                <w:szCs w:val="24"/>
                <w:highlight w:val="none"/>
                <w:lang w:val="en-US" w:eastAsia="zh-CN"/>
              </w:rPr>
              <w:t>元</w:t>
            </w:r>
            <w:r>
              <w:rPr>
                <w:rFonts w:hint="eastAsia" w:hAnsi="宋体" w:cs="宋体"/>
                <w:b/>
                <w:bCs/>
                <w:caps/>
                <w:sz w:val="24"/>
                <w:szCs w:val="24"/>
                <w:highlight w:val="none"/>
                <w:lang w:eastAsia="zh-CN"/>
              </w:rPr>
              <w:t>）</w:t>
            </w:r>
          </w:p>
        </w:tc>
        <w:tc>
          <w:tcPr>
            <w:tcW w:w="4850" w:type="dxa"/>
            <w:vAlign w:val="center"/>
          </w:tcPr>
          <w:p w14:paraId="336289BD">
            <w:pPr>
              <w:spacing w:line="360" w:lineRule="auto"/>
              <w:rPr>
                <w:rFonts w:hint="eastAsia" w:ascii="宋体" w:hAnsi="宋体" w:eastAsia="宋体" w:cs="宋体"/>
                <w:b w:val="0"/>
                <w:bCs w:val="0"/>
                <w:caps/>
                <w:sz w:val="24"/>
                <w:szCs w:val="24"/>
                <w:highlight w:val="none"/>
                <w:u w:val="single"/>
                <w:lang w:val="en-US" w:eastAsia="zh-CN"/>
              </w:rPr>
            </w:pPr>
            <w:r>
              <w:rPr>
                <w:rFonts w:hint="eastAsia" w:ascii="宋体" w:hAnsi="宋体" w:eastAsia="宋体" w:cs="宋体"/>
                <w:b w:val="0"/>
                <w:bCs w:val="0"/>
                <w:caps/>
                <w:sz w:val="24"/>
                <w:szCs w:val="24"/>
                <w:highlight w:val="none"/>
              </w:rPr>
              <w:t>小写：</w:t>
            </w:r>
            <w:r>
              <w:rPr>
                <w:rFonts w:hint="eastAsia" w:ascii="宋体" w:hAnsi="宋体" w:eastAsia="宋体" w:cs="宋体"/>
                <w:b w:val="0"/>
                <w:bCs w:val="0"/>
                <w:caps/>
                <w:sz w:val="24"/>
                <w:szCs w:val="24"/>
                <w:highlight w:val="none"/>
                <w:u w:val="single"/>
                <w:lang w:val="en-US" w:eastAsia="zh-CN"/>
              </w:rPr>
              <w:t xml:space="preserve">    </w:t>
            </w:r>
            <w:r>
              <w:rPr>
                <w:rFonts w:hint="eastAsia" w:hAnsi="宋体" w:cs="宋体"/>
                <w:b w:val="0"/>
                <w:bCs w:val="0"/>
                <w:caps/>
                <w:sz w:val="24"/>
                <w:szCs w:val="24"/>
                <w:highlight w:val="none"/>
                <w:u w:val="single"/>
                <w:lang w:val="en-US" w:eastAsia="zh-CN"/>
              </w:rPr>
              <w:t xml:space="preserve">            </w:t>
            </w:r>
            <w:r>
              <w:rPr>
                <w:rFonts w:hint="eastAsia" w:ascii="宋体" w:hAnsi="宋体" w:eastAsia="宋体" w:cs="宋体"/>
                <w:b w:val="0"/>
                <w:bCs w:val="0"/>
                <w:caps/>
                <w:sz w:val="24"/>
                <w:szCs w:val="24"/>
                <w:highlight w:val="none"/>
                <w:u w:val="single"/>
                <w:lang w:val="en-US" w:eastAsia="zh-CN"/>
              </w:rPr>
              <w:t xml:space="preserve"> </w:t>
            </w:r>
          </w:p>
          <w:p w14:paraId="2BF29BB6">
            <w:pPr>
              <w:spacing w:line="360" w:lineRule="auto"/>
              <w:rPr>
                <w:rFonts w:hint="default" w:ascii="宋体" w:hAnsi="宋体" w:eastAsia="宋体" w:cs="宋体"/>
                <w:b/>
                <w:bCs/>
                <w:caps/>
                <w:sz w:val="24"/>
                <w:szCs w:val="24"/>
                <w:highlight w:val="none"/>
                <w:u w:val="single"/>
                <w:lang w:val="en-US" w:eastAsia="zh-CN"/>
              </w:rPr>
            </w:pPr>
            <w:r>
              <w:rPr>
                <w:rFonts w:hint="eastAsia" w:ascii="宋体" w:hAnsi="宋体" w:eastAsia="宋体" w:cs="宋体"/>
                <w:b w:val="0"/>
                <w:bCs w:val="0"/>
                <w:caps/>
                <w:sz w:val="24"/>
                <w:szCs w:val="24"/>
                <w:highlight w:val="none"/>
              </w:rPr>
              <w:t>大写：</w:t>
            </w:r>
            <w:r>
              <w:rPr>
                <w:rFonts w:hint="eastAsia" w:ascii="宋体" w:hAnsi="宋体" w:eastAsia="宋体" w:cs="宋体"/>
                <w:b w:val="0"/>
                <w:bCs w:val="0"/>
                <w:caps/>
                <w:sz w:val="24"/>
                <w:szCs w:val="24"/>
                <w:highlight w:val="none"/>
                <w:u w:val="single"/>
                <w:lang w:val="en-US" w:eastAsia="zh-CN"/>
              </w:rPr>
              <w:t xml:space="preserve">           </w:t>
            </w:r>
            <w:r>
              <w:rPr>
                <w:rFonts w:hint="eastAsia" w:hAnsi="宋体" w:cs="宋体"/>
                <w:b w:val="0"/>
                <w:bCs w:val="0"/>
                <w:caps/>
                <w:sz w:val="24"/>
                <w:szCs w:val="24"/>
                <w:highlight w:val="none"/>
                <w:u w:val="single"/>
                <w:lang w:val="en-US" w:eastAsia="zh-CN"/>
              </w:rPr>
              <w:t xml:space="preserve">      </w:t>
            </w:r>
          </w:p>
        </w:tc>
      </w:tr>
      <w:tr w14:paraId="2AEF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4B5E3245">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2</w:t>
            </w:r>
          </w:p>
        </w:tc>
        <w:tc>
          <w:tcPr>
            <w:tcW w:w="2731" w:type="dxa"/>
            <w:vAlign w:val="center"/>
          </w:tcPr>
          <w:p w14:paraId="223422F3">
            <w:pPr>
              <w:spacing w:line="360" w:lineRule="auto"/>
              <w:jc w:val="center"/>
              <w:rPr>
                <w:rFonts w:hint="eastAsia" w:ascii="宋体" w:hAnsi="宋体" w:eastAsia="宋体" w:cs="宋体"/>
                <w:b/>
                <w:bCs/>
                <w:caps/>
                <w:sz w:val="24"/>
                <w:szCs w:val="24"/>
                <w:highlight w:val="none"/>
                <w:lang w:val="en-US" w:eastAsia="zh-CN"/>
              </w:rPr>
            </w:pPr>
            <w:r>
              <w:rPr>
                <w:rFonts w:hint="eastAsia" w:ascii="宋体" w:hAnsi="宋体" w:eastAsia="宋体" w:cs="宋体"/>
                <w:b/>
                <w:bCs/>
                <w:color w:val="000000"/>
                <w:kern w:val="0"/>
                <w:sz w:val="24"/>
                <w:szCs w:val="24"/>
                <w:highlight w:val="none"/>
              </w:rPr>
              <w:t>项目</w:t>
            </w:r>
            <w:r>
              <w:rPr>
                <w:rFonts w:hint="eastAsia" w:hAnsi="宋体" w:cs="宋体"/>
                <w:b/>
                <w:bCs/>
                <w:color w:val="000000"/>
                <w:kern w:val="0"/>
                <w:sz w:val="24"/>
                <w:szCs w:val="24"/>
                <w:highlight w:val="none"/>
                <w:lang w:val="en-US" w:eastAsia="zh-CN"/>
              </w:rPr>
              <w:t>经理</w:t>
            </w:r>
          </w:p>
        </w:tc>
        <w:tc>
          <w:tcPr>
            <w:tcW w:w="4850" w:type="dxa"/>
            <w:vAlign w:val="center"/>
          </w:tcPr>
          <w:p w14:paraId="7203C32F">
            <w:pPr>
              <w:spacing w:line="360" w:lineRule="auto"/>
              <w:jc w:val="center"/>
              <w:rPr>
                <w:rFonts w:hint="eastAsia" w:ascii="宋体" w:hAnsi="宋体" w:eastAsia="宋体" w:cs="宋体"/>
                <w:b/>
                <w:bCs/>
                <w:caps/>
                <w:sz w:val="24"/>
                <w:szCs w:val="24"/>
                <w:highlight w:val="none"/>
              </w:rPr>
            </w:pPr>
          </w:p>
        </w:tc>
      </w:tr>
      <w:tr w14:paraId="08B5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387FFC3B">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3</w:t>
            </w:r>
          </w:p>
        </w:tc>
        <w:tc>
          <w:tcPr>
            <w:tcW w:w="2731" w:type="dxa"/>
            <w:vAlign w:val="center"/>
          </w:tcPr>
          <w:p w14:paraId="43C846F8">
            <w:pPr>
              <w:spacing w:line="360" w:lineRule="auto"/>
              <w:jc w:val="center"/>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合同履行期限（工期）</w:t>
            </w:r>
          </w:p>
        </w:tc>
        <w:tc>
          <w:tcPr>
            <w:tcW w:w="4850" w:type="dxa"/>
            <w:vAlign w:val="center"/>
          </w:tcPr>
          <w:p w14:paraId="3BCC4F55">
            <w:pPr>
              <w:spacing w:line="360" w:lineRule="auto"/>
              <w:jc w:val="center"/>
              <w:rPr>
                <w:rFonts w:hint="eastAsia" w:ascii="宋体" w:hAnsi="宋体" w:eastAsia="宋体" w:cs="宋体"/>
                <w:b/>
                <w:bCs/>
                <w:caps/>
                <w:sz w:val="24"/>
                <w:szCs w:val="24"/>
                <w:highlight w:val="none"/>
              </w:rPr>
            </w:pPr>
          </w:p>
        </w:tc>
      </w:tr>
      <w:tr w14:paraId="3168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1C851110">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4</w:t>
            </w:r>
          </w:p>
        </w:tc>
        <w:tc>
          <w:tcPr>
            <w:tcW w:w="2731" w:type="dxa"/>
            <w:vAlign w:val="center"/>
          </w:tcPr>
          <w:p w14:paraId="69E52B2F">
            <w:pPr>
              <w:spacing w:line="360" w:lineRule="auto"/>
              <w:jc w:val="center"/>
              <w:rPr>
                <w:rFonts w:hint="default" w:ascii="宋体" w:hAnsi="宋体" w:eastAsia="宋体" w:cs="宋体"/>
                <w:b/>
                <w:bCs/>
                <w:color w:val="000000"/>
                <w:kern w:val="0"/>
                <w:sz w:val="24"/>
                <w:szCs w:val="24"/>
                <w:highlight w:val="none"/>
                <w:lang w:val="en-US" w:eastAsia="zh-CN"/>
              </w:rPr>
            </w:pPr>
            <w:r>
              <w:rPr>
                <w:rFonts w:hint="eastAsia" w:hAnsi="宋体" w:cs="宋体"/>
                <w:b/>
                <w:bCs/>
                <w:kern w:val="0"/>
                <w:sz w:val="24"/>
                <w:szCs w:val="24"/>
                <w:highlight w:val="none"/>
                <w:lang w:val="en-US" w:eastAsia="zh-CN"/>
              </w:rPr>
              <w:t>保证金缴纳方式</w:t>
            </w:r>
          </w:p>
        </w:tc>
        <w:tc>
          <w:tcPr>
            <w:tcW w:w="4850" w:type="dxa"/>
            <w:vAlign w:val="center"/>
          </w:tcPr>
          <w:p w14:paraId="76EF352A">
            <w:pPr>
              <w:spacing w:line="360" w:lineRule="auto"/>
              <w:jc w:val="center"/>
              <w:rPr>
                <w:rFonts w:hint="eastAsia" w:ascii="宋体" w:hAnsi="宋体" w:eastAsia="宋体" w:cs="宋体"/>
                <w:b/>
                <w:bCs/>
                <w:caps/>
                <w:sz w:val="24"/>
                <w:szCs w:val="24"/>
                <w:highlight w:val="none"/>
              </w:rPr>
            </w:pPr>
          </w:p>
        </w:tc>
      </w:tr>
      <w:tr w14:paraId="45ED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62" w:type="dxa"/>
            <w:vAlign w:val="center"/>
          </w:tcPr>
          <w:p w14:paraId="25D5D9D8">
            <w:pPr>
              <w:spacing w:line="360" w:lineRule="auto"/>
              <w:jc w:val="center"/>
              <w:rPr>
                <w:rFonts w:hint="eastAsia" w:ascii="宋体" w:hAnsi="宋体" w:eastAsia="宋体" w:cs="宋体"/>
                <w:b/>
                <w:bCs/>
                <w:caps/>
                <w:sz w:val="24"/>
                <w:szCs w:val="24"/>
                <w:highlight w:val="none"/>
                <w:lang w:val="en-US" w:eastAsia="zh-CN"/>
              </w:rPr>
            </w:pPr>
            <w:r>
              <w:rPr>
                <w:rFonts w:hint="eastAsia" w:hAnsi="宋体" w:cs="宋体"/>
                <w:b/>
                <w:bCs/>
                <w:caps/>
                <w:sz w:val="24"/>
                <w:szCs w:val="24"/>
                <w:highlight w:val="none"/>
                <w:lang w:val="en-US" w:eastAsia="zh-CN"/>
              </w:rPr>
              <w:t>5</w:t>
            </w:r>
          </w:p>
        </w:tc>
        <w:tc>
          <w:tcPr>
            <w:tcW w:w="2731" w:type="dxa"/>
            <w:vAlign w:val="center"/>
          </w:tcPr>
          <w:p w14:paraId="184CD4EA">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备注</w:t>
            </w:r>
          </w:p>
        </w:tc>
        <w:tc>
          <w:tcPr>
            <w:tcW w:w="4850" w:type="dxa"/>
            <w:vAlign w:val="center"/>
          </w:tcPr>
          <w:p w14:paraId="2A7A5DA4">
            <w:pPr>
              <w:spacing w:line="360" w:lineRule="auto"/>
              <w:rPr>
                <w:rFonts w:hint="eastAsia" w:ascii="宋体" w:hAnsi="宋体" w:eastAsia="宋体" w:cs="宋体"/>
                <w:b/>
                <w:bCs/>
                <w:caps/>
                <w:sz w:val="24"/>
                <w:szCs w:val="24"/>
                <w:highlight w:val="none"/>
              </w:rPr>
            </w:pPr>
          </w:p>
        </w:tc>
      </w:tr>
    </w:tbl>
    <w:p w14:paraId="615BBB6F">
      <w:pPr>
        <w:autoSpaceDE w:val="0"/>
        <w:autoSpaceDN w:val="0"/>
        <w:adjustRightInd w:val="0"/>
        <w:spacing w:line="360" w:lineRule="auto"/>
        <w:jc w:val="left"/>
        <w:rPr>
          <w:rFonts w:hint="eastAsia" w:ascii="宋体" w:hAnsi="宋体" w:eastAsia="宋体" w:cs="宋体"/>
          <w:b/>
          <w:snapToGrid/>
          <w:kern w:val="0"/>
          <w:sz w:val="24"/>
          <w:szCs w:val="24"/>
          <w:u w:val="single"/>
        </w:rPr>
      </w:pPr>
    </w:p>
    <w:p w14:paraId="190AA0C1">
      <w:pPr>
        <w:tabs>
          <w:tab w:val="left" w:pos="13000"/>
        </w:tabs>
        <w:autoSpaceDE w:val="0"/>
        <w:autoSpaceDN w:val="0"/>
        <w:adjustRightInd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注：本项目招标范围所有</w:t>
      </w:r>
      <w:r>
        <w:rPr>
          <w:rFonts w:hint="eastAsia" w:ascii="宋体" w:hAnsi="宋体" w:cs="宋体"/>
          <w:color w:val="auto"/>
          <w:sz w:val="24"/>
          <w:highlight w:val="none"/>
          <w:lang w:val="en-US" w:eastAsia="zh-CN"/>
        </w:rPr>
        <w:t>内容</w:t>
      </w:r>
      <w:r>
        <w:rPr>
          <w:rFonts w:hint="eastAsia" w:ascii="宋体" w:hAnsi="宋体" w:eastAsia="宋体" w:cs="宋体"/>
          <w:color w:val="auto"/>
          <w:sz w:val="24"/>
          <w:highlight w:val="none"/>
          <w:lang w:val="zh-CN"/>
        </w:rPr>
        <w:t>、税金、后续服务、合理的利润及本项目的风险费等所有费用。</w:t>
      </w:r>
    </w:p>
    <w:p w14:paraId="23786894">
      <w:pPr>
        <w:pStyle w:val="24"/>
        <w:spacing w:before="0" w:after="0" w:line="460" w:lineRule="exact"/>
        <w:ind w:left="0" w:right="23"/>
        <w:jc w:val="both"/>
        <w:rPr>
          <w:rFonts w:hint="eastAsia" w:ascii="宋体" w:hAnsi="宋体" w:eastAsia="宋体" w:cs="宋体"/>
          <w:color w:val="auto"/>
          <w:szCs w:val="24"/>
          <w:highlight w:val="none"/>
        </w:rPr>
      </w:pPr>
    </w:p>
    <w:p w14:paraId="08145628">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供应商名称：</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（电子签章）</w:t>
      </w:r>
    </w:p>
    <w:p w14:paraId="644FF19A">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法定代表人或其委托代理人：</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（电子签名）</w:t>
      </w:r>
    </w:p>
    <w:p w14:paraId="74E70CA9">
      <w:pPr>
        <w:spacing w:line="360" w:lineRule="auto"/>
        <w:ind w:firstLine="2" w:firstLineChars="1"/>
        <w:rPr>
          <w:rFonts w:hint="eastAsia" w:ascii="宋体" w:hAnsi="宋体" w:eastAsia="宋体" w:cs="宋体"/>
          <w:color w:val="auto"/>
          <w:szCs w:val="21"/>
          <w:highlight w:val="none"/>
        </w:rPr>
      </w:pPr>
      <w:r>
        <w:rPr>
          <w:rFonts w:hint="eastAsia" w:ascii="宋体" w:hAnsi="宋体" w:eastAsia="宋体" w:cs="宋体"/>
          <w:b w:val="0"/>
          <w:bCs/>
          <w:snapToGrid/>
          <w:kern w:val="2"/>
          <w:sz w:val="24"/>
          <w:szCs w:val="24"/>
        </w:rPr>
        <w:t>日期：</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年</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月</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日</w:t>
      </w:r>
    </w:p>
    <w:p w14:paraId="45546EEA">
      <w:pPr>
        <w:spacing w:line="420" w:lineRule="exact"/>
        <w:ind w:right="-309" w:rightChars="-147"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注： 1、</w:t>
      </w:r>
      <w:r>
        <w:rPr>
          <w:rFonts w:hint="eastAsia" w:hAnsi="宋体"/>
          <w:b/>
          <w:color w:val="auto"/>
          <w:sz w:val="24"/>
          <w:szCs w:val="24"/>
          <w:highlight w:val="none"/>
          <w:lang w:val="en-US" w:eastAsia="zh-CN"/>
        </w:rPr>
        <w:t>备注</w:t>
      </w:r>
      <w:r>
        <w:rPr>
          <w:rFonts w:hint="eastAsia" w:ascii="宋体" w:hAnsi="宋体"/>
          <w:b/>
          <w:color w:val="auto"/>
          <w:sz w:val="24"/>
          <w:szCs w:val="24"/>
          <w:highlight w:val="none"/>
        </w:rPr>
        <w:t>一栏中，供应商可根据自身情况增加更有利于采购人的承诺。</w:t>
      </w:r>
    </w:p>
    <w:p w14:paraId="76E8F8B5">
      <w:pPr>
        <w:spacing w:line="420" w:lineRule="exact"/>
        <w:ind w:right="-309" w:rightChars="-147" w:firstLine="964" w:firstLineChars="400"/>
        <w:rPr>
          <w:rFonts w:hint="eastAsia" w:ascii="宋体" w:hAnsi="宋体"/>
          <w:b/>
          <w:color w:val="auto"/>
          <w:sz w:val="24"/>
          <w:szCs w:val="24"/>
          <w:highlight w:val="none"/>
        </w:rPr>
      </w:pPr>
      <w:r>
        <w:rPr>
          <w:rFonts w:hint="eastAsia" w:ascii="宋体" w:hAnsi="宋体"/>
          <w:b/>
          <w:color w:val="auto"/>
          <w:sz w:val="24"/>
          <w:szCs w:val="24"/>
          <w:highlight w:val="none"/>
        </w:rPr>
        <w:t>2、</w:t>
      </w:r>
      <w:r>
        <w:rPr>
          <w:rFonts w:hint="eastAsia" w:ascii="宋体" w:hAnsi="宋体" w:eastAsia="宋体" w:cs="宋体"/>
          <w:b/>
          <w:color w:val="auto"/>
          <w:sz w:val="24"/>
          <w:szCs w:val="24"/>
          <w:highlight w:val="none"/>
        </w:rPr>
        <w:t>供应商</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报价不得超过</w:t>
      </w:r>
      <w:r>
        <w:rPr>
          <w:rFonts w:hint="eastAsia" w:hAnsi="宋体" w:cs="宋体"/>
          <w:b/>
          <w:color w:val="auto"/>
          <w:sz w:val="24"/>
          <w:szCs w:val="24"/>
          <w:highlight w:val="none"/>
          <w:lang w:val="en-US" w:eastAsia="zh-CN"/>
        </w:rPr>
        <w:t>最高限价</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超过最高限价作无效</w:t>
      </w:r>
      <w:r>
        <w:rPr>
          <w:rFonts w:hint="eastAsia" w:hAnsi="宋体" w:cs="宋体"/>
          <w:b/>
          <w:color w:val="auto"/>
          <w:sz w:val="24"/>
          <w:szCs w:val="24"/>
          <w:highlight w:val="none"/>
          <w:lang w:val="en-US" w:eastAsia="zh-CN"/>
        </w:rPr>
        <w:t>响应文件</w:t>
      </w:r>
      <w:r>
        <w:rPr>
          <w:rFonts w:hint="eastAsia" w:ascii="宋体" w:hAnsi="宋体" w:eastAsia="宋体" w:cs="宋体"/>
          <w:b/>
          <w:color w:val="auto"/>
          <w:sz w:val="24"/>
          <w:szCs w:val="24"/>
          <w:highlight w:val="none"/>
          <w:lang w:val="en-US" w:eastAsia="zh-CN"/>
        </w:rPr>
        <w:t>处理</w:t>
      </w:r>
      <w:r>
        <w:rPr>
          <w:rFonts w:hint="eastAsia" w:ascii="宋体" w:hAnsi="宋体"/>
          <w:b/>
          <w:color w:val="auto"/>
          <w:sz w:val="24"/>
          <w:szCs w:val="24"/>
          <w:highlight w:val="none"/>
        </w:rPr>
        <w:t>。</w:t>
      </w:r>
    </w:p>
    <w:p w14:paraId="3B7A042C">
      <w:pPr>
        <w:spacing w:line="420" w:lineRule="exact"/>
        <w:ind w:right="-309" w:rightChars="-147" w:firstLine="843" w:firstLineChars="400"/>
        <w:rPr>
          <w:rFonts w:hint="eastAsia" w:ascii="宋体" w:hAnsi="宋体" w:eastAsia="宋体"/>
          <w:b/>
          <w:color w:val="auto"/>
          <w:highlight w:val="none"/>
          <w:lang w:eastAsia="zh-CN"/>
        </w:rPr>
      </w:pPr>
    </w:p>
    <w:p w14:paraId="6A8B42B3">
      <w:pPr>
        <w:widowControl/>
        <w:spacing w:line="480" w:lineRule="auto"/>
        <w:ind w:firstLine="480" w:firstLineChars="200"/>
        <w:outlineLvl w:val="9"/>
        <w:rPr>
          <w:rFonts w:hint="eastAsia" w:ascii="宋体" w:hAnsi="宋体" w:cs="宋体"/>
          <w:color w:val="auto"/>
          <w:sz w:val="24"/>
          <w:highlight w:val="none"/>
        </w:rPr>
      </w:pPr>
    </w:p>
    <w:bookmarkEnd w:id="819"/>
    <w:p w14:paraId="676B3F3A">
      <w:pPr>
        <w:rPr>
          <w:rFonts w:ascii="Arial" w:hAnsi="Arial" w:eastAsia="宋体" w:cs="Times New Roman"/>
          <w:b/>
          <w:bCs/>
          <w:snapToGrid/>
          <w:color w:val="auto"/>
          <w:kern w:val="2"/>
          <w:sz w:val="32"/>
          <w:szCs w:val="32"/>
          <w:highlight w:val="none"/>
        </w:rPr>
      </w:pPr>
      <w:r>
        <w:rPr>
          <w:rFonts w:hint="eastAsia" w:hAnsi="宋体" w:cs="宋体"/>
          <w:b/>
          <w:color w:val="auto"/>
          <w:kern w:val="0"/>
          <w:sz w:val="32"/>
          <w:szCs w:val="32"/>
          <w:highlight w:val="none"/>
          <w:lang w:val="en-US" w:eastAsia="zh-CN"/>
        </w:rPr>
        <w:t xml:space="preserve"> 二、</w:t>
      </w:r>
      <w:r>
        <w:rPr>
          <w:rFonts w:hint="eastAsia" w:ascii="宋体" w:hAnsi="宋体" w:eastAsia="宋体" w:cs="宋体"/>
          <w:b/>
          <w:color w:val="auto"/>
          <w:kern w:val="0"/>
          <w:sz w:val="32"/>
          <w:szCs w:val="32"/>
          <w:highlight w:val="none"/>
        </w:rPr>
        <w:t>资格证明文件</w:t>
      </w:r>
    </w:p>
    <w:p w14:paraId="3C452A94">
      <w:pPr>
        <w:spacing w:line="360" w:lineRule="auto"/>
        <w:jc w:val="left"/>
        <w:rPr>
          <w:rFonts w:ascii="Times New Roman" w:hAnsi="Times New Roman" w:eastAsia="宋体" w:cs="Times New Roman"/>
          <w:snapToGrid/>
          <w:color w:val="auto"/>
          <w:kern w:val="2"/>
          <w:sz w:val="24"/>
          <w:highlight w:val="none"/>
        </w:rPr>
      </w:pPr>
    </w:p>
    <w:p w14:paraId="4CE0FBFA">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1. </w:t>
      </w:r>
      <w:r>
        <w:rPr>
          <w:rFonts w:hint="eastAsia" w:ascii="宋体" w:hAnsi="宋体" w:eastAsia="宋体" w:cs="Times New Roman"/>
          <w:snapToGrid/>
          <w:color w:val="auto"/>
          <w:kern w:val="2"/>
          <w:sz w:val="24"/>
          <w:highlight w:val="none"/>
        </w:rPr>
        <w:t>供应商应填写和提交下述规定的有关资料。</w:t>
      </w:r>
    </w:p>
    <w:p w14:paraId="358154A8">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2. </w:t>
      </w:r>
      <w:r>
        <w:rPr>
          <w:rFonts w:hint="eastAsia" w:ascii="宋体" w:hAnsi="宋体" w:eastAsia="宋体" w:cs="Times New Roman"/>
          <w:snapToGrid/>
          <w:color w:val="auto"/>
          <w:kern w:val="2"/>
          <w:sz w:val="24"/>
          <w:highlight w:val="none"/>
        </w:rPr>
        <w:t>所附格式要求填写的全部内容都必须填写。</w:t>
      </w:r>
    </w:p>
    <w:p w14:paraId="3357242F">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3. </w:t>
      </w:r>
      <w:r>
        <w:rPr>
          <w:rFonts w:hint="eastAsia" w:ascii="宋体" w:hAnsi="宋体" w:eastAsia="宋体" w:cs="Times New Roman"/>
          <w:snapToGrid/>
          <w:color w:val="auto"/>
          <w:kern w:val="2"/>
          <w:sz w:val="24"/>
          <w:highlight w:val="none"/>
        </w:rPr>
        <w:t>供应商提交的材料将被</w:t>
      </w:r>
      <w:r>
        <w:rPr>
          <w:rFonts w:hint="eastAsia" w:ascii="宋体" w:hAnsi="宋体" w:eastAsia="宋体" w:cs="Times New Roman"/>
          <w:snapToGrid/>
          <w:color w:val="auto"/>
          <w:kern w:val="2"/>
          <w:sz w:val="24"/>
          <w:szCs w:val="21"/>
          <w:highlight w:val="none"/>
        </w:rPr>
        <w:t>保密，但不退还。</w:t>
      </w:r>
    </w:p>
    <w:p w14:paraId="19AFBEE1">
      <w:pPr>
        <w:spacing w:line="360" w:lineRule="auto"/>
        <w:ind w:firstLine="480" w:firstLineChars="200"/>
        <w:rPr>
          <w:rFonts w:ascii="Times New Roman" w:hAnsi="Times New Roman" w:eastAsia="宋体" w:cs="Times New Roman"/>
          <w:snapToGrid/>
          <w:color w:val="auto"/>
          <w:kern w:val="2"/>
          <w:sz w:val="24"/>
          <w:highlight w:val="none"/>
        </w:rPr>
      </w:pPr>
    </w:p>
    <w:p w14:paraId="6C248F90">
      <w:pPr>
        <w:rPr>
          <w:rFonts w:ascii="宋体" w:hAnsi="宋体" w:eastAsia="宋体" w:cs="Times New Roman"/>
          <w:snapToGrid/>
          <w:color w:val="auto"/>
          <w:kern w:val="0"/>
          <w:sz w:val="24"/>
          <w:highlight w:val="none"/>
        </w:rPr>
      </w:pPr>
      <w:r>
        <w:rPr>
          <w:rFonts w:ascii="宋体" w:hAnsi="宋体" w:eastAsia="宋体" w:cs="Times New Roman"/>
          <w:snapToGrid/>
          <w:color w:val="auto"/>
          <w:kern w:val="0"/>
          <w:sz w:val="24"/>
          <w:highlight w:val="none"/>
        </w:rPr>
        <w:br w:type="page"/>
      </w:r>
    </w:p>
    <w:p w14:paraId="1DB85E8A">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bookmarkStart w:id="820" w:name="_Toc347849249"/>
      <w:bookmarkStart w:id="821" w:name="_Toc383175511"/>
      <w:bookmarkStart w:id="822" w:name="_Toc347494222"/>
      <w:bookmarkStart w:id="823" w:name="_Toc383175512"/>
      <w:bookmarkStart w:id="824" w:name="_Toc415662826"/>
      <w:r>
        <w:rPr>
          <w:rFonts w:hint="eastAsia" w:ascii="Times New Roman" w:hAnsi="Times New Roman" w:eastAsia="宋体" w:cs="Times New Roman"/>
          <w:b/>
          <w:bCs/>
          <w:snapToGrid w:val="0"/>
          <w:color w:val="auto"/>
          <w:kern w:val="21"/>
          <w:sz w:val="28"/>
          <w:szCs w:val="28"/>
          <w:highlight w:val="none"/>
          <w:lang w:val="en-US" w:eastAsia="zh-CN" w:bidi="ar-SA"/>
        </w:rPr>
        <w:t>格式1：具有独立承担民事责任的能力</w:t>
      </w:r>
    </w:p>
    <w:p w14:paraId="721D493F">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rPr>
      </w:pPr>
      <w:r>
        <w:rPr>
          <w:rFonts w:hint="eastAsia" w:ascii="宋体" w:hAnsi="宋体" w:eastAsia="宋体" w:cs="宋体"/>
          <w:color w:val="auto"/>
          <w:sz w:val="24"/>
          <w:szCs w:val="24"/>
          <w:highlight w:val="none"/>
        </w:rPr>
        <w:t>（提供有效的营业执照或其他组织证明或自然人身份证明）</w:t>
      </w:r>
    </w:p>
    <w:p w14:paraId="0B7E319D">
      <w:pPr>
        <w:numPr>
          <w:ilvl w:val="0"/>
          <w:numId w:val="0"/>
        </w:numPr>
        <w:bidi w:val="0"/>
        <w:jc w:val="center"/>
        <w:rPr>
          <w:rFonts w:hint="eastAsia" w:ascii="宋体" w:hAnsi="宋体" w:eastAsia="宋体" w:cs="Times New Roman"/>
          <w:b w:val="0"/>
          <w:kern w:val="2"/>
          <w:sz w:val="28"/>
          <w:szCs w:val="28"/>
          <w:lang w:val="en-US" w:eastAsia="zh-CN" w:bidi="ar-SA"/>
        </w:rPr>
      </w:pPr>
    </w:p>
    <w:p w14:paraId="04E390C0">
      <w:pPr>
        <w:jc w:val="center"/>
        <w:rPr>
          <w:rFonts w:hint="eastAsia" w:ascii="宋体" w:hAnsi="宋体" w:eastAsia="宋体" w:cs="宋体"/>
          <w:b/>
          <w:sz w:val="28"/>
          <w:szCs w:val="28"/>
        </w:rPr>
      </w:pPr>
    </w:p>
    <w:p w14:paraId="6F116A60">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格式2：</w:t>
      </w:r>
      <w:r>
        <w:rPr>
          <w:rFonts w:hint="eastAsia" w:ascii="Times New Roman" w:hAnsi="Times New Roman" w:eastAsia="宋体" w:cs="Times New Roman"/>
          <w:b/>
          <w:bCs/>
          <w:snapToGrid w:val="0"/>
          <w:color w:val="auto"/>
          <w:kern w:val="21"/>
          <w:sz w:val="28"/>
          <w:szCs w:val="28"/>
          <w:highlight w:val="none"/>
          <w:lang w:val="zh-CN" w:eastAsia="zh-CN" w:bidi="ar-SA"/>
        </w:rPr>
        <w:t>具有良好的商业信誉和健全的财务会计制度</w:t>
      </w:r>
    </w:p>
    <w:p w14:paraId="67E3C01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提供承诺书或声明函及相关证明材料</w:t>
      </w:r>
      <w:r>
        <w:rPr>
          <w:rFonts w:hint="eastAsia" w:ascii="宋体" w:hAnsi="宋体" w:eastAsia="宋体" w:cs="宋体"/>
          <w:color w:val="auto"/>
          <w:sz w:val="24"/>
          <w:szCs w:val="24"/>
          <w:highlight w:val="none"/>
        </w:rPr>
        <w:t>）</w:t>
      </w:r>
    </w:p>
    <w:p w14:paraId="1D06BFE2">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p w14:paraId="4A6EFB1C">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bookmarkStart w:id="825" w:name="_Toc7109813"/>
      <w:bookmarkStart w:id="826" w:name="_Toc64737154"/>
      <w:bookmarkStart w:id="827" w:name="_Toc6421959"/>
      <w:r>
        <w:rPr>
          <w:rFonts w:hint="eastAsia" w:ascii="Times New Roman" w:hAnsi="Times New Roman" w:eastAsia="宋体" w:cs="Times New Roman"/>
          <w:b/>
          <w:bCs/>
          <w:snapToGrid w:val="0"/>
          <w:color w:val="auto"/>
          <w:kern w:val="21"/>
          <w:sz w:val="28"/>
          <w:szCs w:val="28"/>
          <w:highlight w:val="none"/>
          <w:lang w:val="en-US" w:eastAsia="zh-CN" w:bidi="ar-SA"/>
        </w:rPr>
        <w:t>格式3：</w:t>
      </w:r>
      <w:r>
        <w:rPr>
          <w:rFonts w:hint="eastAsia" w:ascii="Times New Roman" w:hAnsi="Times New Roman" w:eastAsia="宋体" w:cs="Times New Roman"/>
          <w:b/>
          <w:bCs/>
          <w:snapToGrid w:val="0"/>
          <w:color w:val="auto"/>
          <w:kern w:val="21"/>
          <w:sz w:val="28"/>
          <w:szCs w:val="28"/>
          <w:highlight w:val="none"/>
          <w:lang w:val="zh-CN" w:eastAsia="zh-CN" w:bidi="ar-SA"/>
        </w:rPr>
        <w:t>具有履行合同所必需的设备和专业技术能力</w:t>
      </w:r>
    </w:p>
    <w:p w14:paraId="02223B93">
      <w:pPr>
        <w:pStyle w:val="4"/>
        <w:pageBreakBefore w:val="0"/>
        <w:widowControl w:val="0"/>
        <w:numPr>
          <w:ilvl w:val="2"/>
          <w:numId w:val="0"/>
        </w:numPr>
        <w:tabs>
          <w:tab w:val="left" w:pos="900"/>
        </w:tabs>
        <w:kinsoku/>
        <w:wordWrap/>
        <w:overflowPunct/>
        <w:topLinePunct w:val="0"/>
        <w:autoSpaceDE/>
        <w:autoSpaceDN/>
        <w:bidi w:val="0"/>
        <w:adjustRightInd/>
        <w:snapToGrid/>
        <w:spacing w:before="0" w:after="0" w:line="360" w:lineRule="auto"/>
        <w:ind w:left="0" w:left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（提供相关证明材料或承诺）</w:t>
      </w:r>
    </w:p>
    <w:p w14:paraId="73461912">
      <w:pPr>
        <w:jc w:val="center"/>
        <w:rPr>
          <w:rFonts w:hint="eastAsia" w:ascii="宋体" w:hAnsi="宋体" w:eastAsia="宋体" w:cs="宋体"/>
          <w:b w:val="0"/>
          <w:bCs/>
          <w:color w:val="auto"/>
          <w:sz w:val="24"/>
          <w:szCs w:val="24"/>
          <w:highlight w:val="none"/>
        </w:rPr>
      </w:pPr>
    </w:p>
    <w:p w14:paraId="4B205049">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bookmarkEnd w:id="825"/>
    <w:bookmarkEnd w:id="826"/>
    <w:bookmarkEnd w:id="827"/>
    <w:p w14:paraId="50B2CD6E">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格式4：</w:t>
      </w:r>
      <w:r>
        <w:rPr>
          <w:rFonts w:hint="eastAsia" w:ascii="Times New Roman" w:hAnsi="Times New Roman" w:eastAsia="宋体" w:cs="Times New Roman"/>
          <w:b/>
          <w:bCs/>
          <w:snapToGrid w:val="0"/>
          <w:color w:val="auto"/>
          <w:kern w:val="21"/>
          <w:sz w:val="28"/>
          <w:szCs w:val="28"/>
          <w:highlight w:val="none"/>
          <w:lang w:val="zh-CN" w:eastAsia="zh-CN" w:bidi="ar-SA"/>
        </w:rPr>
        <w:t>有依法缴纳税收和社会保障资金的良好记录</w:t>
      </w:r>
    </w:p>
    <w:p w14:paraId="532C34E5">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相关证明材料</w:t>
      </w:r>
      <w:r>
        <w:rPr>
          <w:rFonts w:hint="eastAsia" w:ascii="宋体" w:hAnsi="宋体" w:eastAsia="宋体" w:cs="宋体"/>
          <w:color w:val="auto"/>
          <w:sz w:val="24"/>
          <w:szCs w:val="24"/>
          <w:highlight w:val="none"/>
        </w:rPr>
        <w:t>）</w:t>
      </w:r>
    </w:p>
    <w:p w14:paraId="01CA288A">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p w14:paraId="7A15C635">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格式5：</w:t>
      </w:r>
      <w:r>
        <w:rPr>
          <w:rFonts w:hint="eastAsia" w:ascii="Times New Roman" w:hAnsi="Times New Roman" w:eastAsia="宋体" w:cs="Times New Roman"/>
          <w:b/>
          <w:bCs/>
          <w:snapToGrid w:val="0"/>
          <w:color w:val="auto"/>
          <w:kern w:val="21"/>
          <w:sz w:val="28"/>
          <w:szCs w:val="28"/>
          <w:highlight w:val="none"/>
          <w:lang w:val="zh-CN" w:eastAsia="zh-CN" w:bidi="ar-SA"/>
        </w:rPr>
        <w:t>参加政府采购活动前三年内，在经营活动中没有重大违法记录</w:t>
      </w:r>
    </w:p>
    <w:p w14:paraId="06041F78">
      <w:pPr>
        <w:jc w:val="center"/>
        <w:rPr>
          <w:rFonts w:hint="eastAsia" w:ascii="宋体" w:hAnsi="宋体" w:eastAsia="宋体" w:cs="Times New Roman"/>
          <w:b w:val="0"/>
          <w:bCs w:val="0"/>
          <w:kern w:val="2"/>
          <w:sz w:val="24"/>
          <w:szCs w:val="24"/>
          <w:highlight w:val="none"/>
          <w:lang w:val="en-US" w:eastAsia="zh-CN" w:bidi="ar-SA"/>
        </w:rPr>
      </w:pPr>
      <w:r>
        <w:rPr>
          <w:rFonts w:hint="eastAsia" w:ascii="宋体" w:hAnsi="宋体" w:eastAsia="宋体" w:cs="宋体"/>
          <w:color w:val="auto"/>
          <w:sz w:val="24"/>
          <w:szCs w:val="24"/>
          <w:highlight w:val="none"/>
        </w:rPr>
        <w:t>（提供书面声明）</w:t>
      </w:r>
    </w:p>
    <w:p w14:paraId="474C6C12">
      <w:pPr>
        <w:numPr>
          <w:ilvl w:val="0"/>
          <w:numId w:val="0"/>
        </w:numPr>
        <w:jc w:val="center"/>
        <w:rPr>
          <w:rFonts w:hint="eastAsia" w:ascii="宋体" w:hAnsi="宋体" w:eastAsia="宋体" w:cs="Times New Roman"/>
          <w:b w:val="0"/>
          <w:bCs w:val="0"/>
          <w:kern w:val="2"/>
          <w:sz w:val="24"/>
          <w:szCs w:val="24"/>
          <w:highlight w:val="none"/>
          <w:lang w:val="en-US" w:eastAsia="zh-CN" w:bidi="ar-SA"/>
        </w:rPr>
      </w:pPr>
    </w:p>
    <w:p w14:paraId="33E976E8">
      <w:pPr>
        <w:spacing w:line="588" w:lineRule="exact"/>
        <w:jc w:val="center"/>
        <w:rPr>
          <w:rFonts w:hint="eastAsia" w:ascii="宋体" w:hAnsi="宋体" w:eastAsia="宋体" w:cs="宋体"/>
          <w:b/>
          <w:sz w:val="28"/>
          <w:szCs w:val="28"/>
        </w:rPr>
      </w:pPr>
    </w:p>
    <w:p w14:paraId="6271F613">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格式6：</w:t>
      </w:r>
      <w:r>
        <w:rPr>
          <w:rFonts w:hint="eastAsia" w:ascii="Times New Roman" w:hAnsi="Times New Roman" w:eastAsia="宋体" w:cs="Times New Roman"/>
          <w:b/>
          <w:bCs/>
          <w:snapToGrid w:val="0"/>
          <w:color w:val="auto"/>
          <w:kern w:val="21"/>
          <w:sz w:val="28"/>
          <w:szCs w:val="28"/>
          <w:highlight w:val="none"/>
          <w:lang w:val="zh-CN" w:eastAsia="zh-CN" w:bidi="ar-SA"/>
        </w:rPr>
        <w:t>法律、行政法规规定的其他条件</w:t>
      </w:r>
    </w:p>
    <w:p w14:paraId="2DE6A4EC">
      <w:pPr>
        <w:pStyle w:val="7"/>
        <w:jc w:val="center"/>
        <w:rPr>
          <w:rFonts w:hint="eastAsia"/>
          <w:lang w:val="zh-CN" w:eastAsia="zh-CN"/>
        </w:rPr>
      </w:pPr>
      <w:r>
        <w:rPr>
          <w:rFonts w:hint="eastAsia" w:ascii="宋体" w:hAnsi="宋体" w:eastAsia="宋体" w:cs="宋体"/>
          <w:sz w:val="24"/>
          <w:szCs w:val="24"/>
          <w:highlight w:val="none"/>
        </w:rPr>
        <w:t>（</w:t>
      </w:r>
      <w:r>
        <w:rPr>
          <w:rFonts w:hint="eastAsia" w:ascii="宋体" w:hAnsi="宋体" w:eastAsia="宋体" w:cs="宋体"/>
          <w:b w:val="0"/>
          <w:bCs w:val="0"/>
          <w:color w:val="auto"/>
          <w:sz w:val="24"/>
          <w:szCs w:val="24"/>
          <w:highlight w:val="none"/>
          <w:lang w:val="en-US" w:eastAsia="zh-CN"/>
        </w:rPr>
        <w:t>提供相关证明材料或承诺</w:t>
      </w:r>
      <w:r>
        <w:rPr>
          <w:rFonts w:hint="eastAsia" w:ascii="宋体" w:hAnsi="宋体" w:eastAsia="宋体" w:cs="宋体"/>
          <w:sz w:val="24"/>
          <w:szCs w:val="24"/>
          <w:highlight w:val="none"/>
        </w:rPr>
        <w:t>）</w:t>
      </w:r>
    </w:p>
    <w:p w14:paraId="697AFCC5">
      <w:pPr>
        <w:pStyle w:val="3"/>
        <w:pageBreakBefore w:val="0"/>
        <w:widowControl w:val="0"/>
        <w:numPr>
          <w:ilvl w:val="1"/>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sz w:val="28"/>
          <w:szCs w:val="28"/>
        </w:rPr>
      </w:pPr>
    </w:p>
    <w:p w14:paraId="1C708B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hAnsi="宋体" w:cs="宋体"/>
          <w:b/>
          <w:sz w:val="28"/>
          <w:szCs w:val="28"/>
          <w:lang w:val="en-US" w:eastAsia="zh-CN"/>
        </w:rPr>
      </w:pPr>
      <w:r>
        <w:rPr>
          <w:rFonts w:hint="eastAsia" w:ascii="宋体" w:hAnsi="宋体" w:eastAsia="宋体" w:cs="宋体"/>
          <w:b/>
          <w:sz w:val="28"/>
          <w:szCs w:val="28"/>
        </w:rPr>
        <w:br w:type="page"/>
      </w:r>
      <w:r>
        <w:rPr>
          <w:rFonts w:hint="eastAsia" w:hAnsi="宋体" w:cs="宋体"/>
          <w:b/>
          <w:sz w:val="28"/>
          <w:szCs w:val="28"/>
          <w:lang w:val="en-US" w:eastAsia="zh-CN"/>
        </w:rPr>
        <w:t>格式7：</w:t>
      </w:r>
    </w:p>
    <w:p w14:paraId="02D53D67">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落实政府采购政策需满足的资格要求</w:t>
      </w:r>
    </w:p>
    <w:p w14:paraId="2F359D09">
      <w:pPr>
        <w:rPr>
          <w:rFonts w:hint="eastAsia" w:hAnsi="宋体" w:cs="宋体"/>
          <w:color w:val="auto"/>
          <w:sz w:val="24"/>
          <w:szCs w:val="24"/>
          <w:highlight w:val="none"/>
          <w:lang w:val="en-US" w:eastAsia="zh-CN"/>
        </w:rPr>
      </w:pPr>
    </w:p>
    <w:p w14:paraId="4DAE4C01">
      <w:pPr>
        <w:rPr>
          <w:rFonts w:hint="eastAsia" w:hAnsi="宋体" w:cs="宋体"/>
          <w:color w:val="auto"/>
          <w:sz w:val="24"/>
          <w:szCs w:val="24"/>
          <w:highlight w:val="none"/>
          <w:lang w:val="en-US" w:eastAsia="zh-CN"/>
        </w:rPr>
      </w:pPr>
    </w:p>
    <w:p w14:paraId="38545F76">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1.中小企业声明函（工程）</w:t>
      </w:r>
    </w:p>
    <w:p w14:paraId="0A1ADB59">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本公司郑重声明，根据《政府采购促进中小企业发展管理办法》（财库﹝2020﹞46号）的规定，本公司参加</w:t>
      </w:r>
      <w:r>
        <w:rPr>
          <w:rFonts w:hint="eastAsia" w:ascii="宋体" w:hAnsi="宋体" w:eastAsia="宋体" w:cs="宋体"/>
          <w:b w:val="0"/>
          <w:bCs/>
          <w:kern w:val="2"/>
          <w:sz w:val="24"/>
          <w:szCs w:val="24"/>
          <w:u w:val="single"/>
          <w:lang w:val="en-US" w:eastAsia="zh-CN" w:bidi="ar-SA"/>
        </w:rPr>
        <w:t xml:space="preserve">   （ 单 位 名 称 ）</w:t>
      </w:r>
      <w:r>
        <w:rPr>
          <w:rFonts w:hint="eastAsia" w:ascii="宋体" w:hAnsi="宋体" w:eastAsia="宋体" w:cs="宋体"/>
          <w:b w:val="0"/>
          <w:bCs/>
          <w:kern w:val="2"/>
          <w:sz w:val="24"/>
          <w:szCs w:val="24"/>
          <w:lang w:val="en-US" w:eastAsia="zh-CN" w:bidi="ar-SA"/>
        </w:rPr>
        <w:t xml:space="preserve"> 的</w:t>
      </w:r>
      <w:r>
        <w:rPr>
          <w:rFonts w:hint="eastAsia" w:ascii="宋体" w:hAnsi="宋体" w:eastAsia="宋体" w:cs="宋体"/>
          <w:b w:val="0"/>
          <w:bCs/>
          <w:kern w:val="2"/>
          <w:sz w:val="24"/>
          <w:szCs w:val="24"/>
          <w:u w:val="single"/>
          <w:lang w:val="en-US" w:eastAsia="zh-CN" w:bidi="ar-SA"/>
        </w:rPr>
        <w:t xml:space="preserve">  （ 项 目 名 称 ）</w:t>
      </w:r>
      <w:r>
        <w:rPr>
          <w:rFonts w:hint="eastAsia" w:ascii="宋体" w:hAnsi="宋体" w:eastAsia="宋体" w:cs="宋体"/>
          <w:b w:val="0"/>
          <w:bCs/>
          <w:kern w:val="2"/>
          <w:sz w:val="24"/>
          <w:szCs w:val="24"/>
          <w:lang w:val="en-US" w:eastAsia="zh-CN" w:bidi="ar-SA"/>
        </w:rPr>
        <w:t xml:space="preserve">  采购活动，工程的施工单位全部为符合政策要求的中小企业。相关企业的具体情况如下： </w:t>
      </w:r>
    </w:p>
    <w:p w14:paraId="55C8492B">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1. </w:t>
      </w:r>
      <w:r>
        <w:rPr>
          <w:rFonts w:hint="eastAsia" w:ascii="宋体" w:hAnsi="宋体" w:eastAsia="宋体" w:cs="宋体"/>
          <w:b w:val="0"/>
          <w:bCs/>
          <w:kern w:val="2"/>
          <w:sz w:val="24"/>
          <w:szCs w:val="24"/>
          <w:u w:val="single"/>
          <w:lang w:val="en-US" w:eastAsia="zh-CN" w:bidi="ar-SA"/>
        </w:rPr>
        <w:t xml:space="preserve">（ 标 的 名 称 ） </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建筑业 </w:t>
      </w:r>
      <w:r>
        <w:rPr>
          <w:rFonts w:hint="eastAsia" w:ascii="宋体" w:hAnsi="宋体" w:eastAsia="宋体" w:cs="宋体"/>
          <w:b w:val="0"/>
          <w:bCs/>
          <w:kern w:val="2"/>
          <w:sz w:val="24"/>
          <w:szCs w:val="24"/>
          <w:lang w:val="en-US" w:eastAsia="zh-CN" w:bidi="ar-SA"/>
        </w:rPr>
        <w:t>行业；承建（承接）企业为</w:t>
      </w:r>
      <w:r>
        <w:rPr>
          <w:rFonts w:hint="eastAsia" w:ascii="宋体" w:hAnsi="宋体" w:eastAsia="宋体" w:cs="宋体"/>
          <w:b w:val="0"/>
          <w:bCs/>
          <w:kern w:val="2"/>
          <w:sz w:val="24"/>
          <w:szCs w:val="24"/>
          <w:u w:val="single"/>
          <w:lang w:val="en-US" w:eastAsia="zh-CN" w:bidi="ar-SA"/>
        </w:rPr>
        <w:t xml:space="preserve">  （ 企 业 名 称 ）  </w:t>
      </w:r>
      <w:r>
        <w:rPr>
          <w:rFonts w:hint="eastAsia" w:ascii="宋体" w:hAnsi="宋体" w:eastAsia="宋体" w:cs="宋体"/>
          <w:b w:val="0"/>
          <w:bCs/>
          <w:kern w:val="2"/>
          <w:sz w:val="24"/>
          <w:szCs w:val="24"/>
          <w:lang w:val="en-US" w:eastAsia="zh-CN" w:bidi="ar-SA"/>
        </w:rPr>
        <w:t>，从业人员</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人，营业收入为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万元，资产总额为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w:t>
      </w:r>
      <w:r>
        <w:rPr>
          <w:rFonts w:hint="eastAsia" w:ascii="宋体" w:hAnsi="宋体" w:eastAsia="宋体" w:cs="宋体"/>
          <w:b w:val="0"/>
          <w:bCs/>
          <w:kern w:val="2"/>
          <w:sz w:val="24"/>
          <w:szCs w:val="24"/>
          <w:vertAlign w:val="superscript"/>
          <w:lang w:val="en-US" w:eastAsia="zh-CN" w:bidi="ar-SA"/>
        </w:rPr>
        <w:t>1</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 中 型 企 业 、 小 型 企 业 、 微 型 企 业 ） </w:t>
      </w:r>
      <w:r>
        <w:rPr>
          <w:rFonts w:hint="eastAsia" w:ascii="宋体" w:hAnsi="宋体" w:eastAsia="宋体" w:cs="宋体"/>
          <w:b w:val="0"/>
          <w:bCs/>
          <w:kern w:val="2"/>
          <w:sz w:val="24"/>
          <w:szCs w:val="24"/>
          <w:lang w:val="en-US" w:eastAsia="zh-CN" w:bidi="ar-SA"/>
        </w:rPr>
        <w:t xml:space="preserve">； </w:t>
      </w:r>
    </w:p>
    <w:p w14:paraId="6CE7B98C">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2. </w:t>
      </w:r>
      <w:r>
        <w:rPr>
          <w:rFonts w:hint="eastAsia" w:ascii="宋体" w:hAnsi="宋体" w:eastAsia="宋体" w:cs="宋体"/>
          <w:b w:val="0"/>
          <w:bCs/>
          <w:kern w:val="2"/>
          <w:sz w:val="24"/>
          <w:szCs w:val="24"/>
          <w:u w:val="single"/>
          <w:lang w:val="en-US" w:eastAsia="zh-CN" w:bidi="ar-SA"/>
        </w:rPr>
        <w:t xml:space="preserve">（ 标 的 名 称 ） </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建筑业 </w:t>
      </w:r>
      <w:r>
        <w:rPr>
          <w:rFonts w:hint="eastAsia" w:ascii="宋体" w:hAnsi="宋体" w:eastAsia="宋体" w:cs="宋体"/>
          <w:b w:val="0"/>
          <w:bCs/>
          <w:kern w:val="2"/>
          <w:sz w:val="24"/>
          <w:szCs w:val="24"/>
          <w:lang w:val="en-US" w:eastAsia="zh-CN" w:bidi="ar-SA"/>
        </w:rPr>
        <w:t>行业；承建（承接）企业为</w:t>
      </w:r>
      <w:r>
        <w:rPr>
          <w:rFonts w:hint="eastAsia" w:ascii="宋体" w:hAnsi="宋体" w:eastAsia="宋体" w:cs="宋体"/>
          <w:b w:val="0"/>
          <w:bCs/>
          <w:kern w:val="2"/>
          <w:sz w:val="24"/>
          <w:szCs w:val="24"/>
          <w:u w:val="single"/>
          <w:lang w:val="en-US" w:eastAsia="zh-CN" w:bidi="ar-SA"/>
        </w:rPr>
        <w:t xml:space="preserve">  （ 企 业 名 称 ）  </w:t>
      </w:r>
      <w:r>
        <w:rPr>
          <w:rFonts w:hint="eastAsia" w:ascii="宋体" w:hAnsi="宋体" w:eastAsia="宋体" w:cs="宋体"/>
          <w:b w:val="0"/>
          <w:bCs/>
          <w:kern w:val="2"/>
          <w:sz w:val="24"/>
          <w:szCs w:val="24"/>
          <w:lang w:val="en-US" w:eastAsia="zh-CN" w:bidi="ar-SA"/>
        </w:rPr>
        <w:t>，从业人员</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人，营业收入为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万元，资产总额为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w:t>
      </w:r>
      <w:r>
        <w:rPr>
          <w:rFonts w:hint="eastAsia" w:ascii="宋体" w:hAnsi="宋体" w:eastAsia="宋体" w:cs="宋体"/>
          <w:b w:val="0"/>
          <w:bCs/>
          <w:kern w:val="2"/>
          <w:sz w:val="24"/>
          <w:szCs w:val="24"/>
          <w:vertAlign w:val="superscript"/>
          <w:lang w:val="en-US" w:eastAsia="zh-CN" w:bidi="ar-SA"/>
        </w:rPr>
        <w:t>1</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 中 型 企 业 、 小 型 企 业 、 微 型 企 业 ） </w:t>
      </w:r>
      <w:r>
        <w:rPr>
          <w:rFonts w:hint="eastAsia" w:ascii="宋体" w:hAnsi="宋体" w:eastAsia="宋体" w:cs="宋体"/>
          <w:b w:val="0"/>
          <w:bCs/>
          <w:kern w:val="2"/>
          <w:sz w:val="24"/>
          <w:szCs w:val="24"/>
          <w:lang w:val="en-US" w:eastAsia="zh-CN" w:bidi="ar-SA"/>
        </w:rPr>
        <w:t>；</w:t>
      </w:r>
    </w:p>
    <w:p w14:paraId="4D4EB830">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w:t>
      </w:r>
    </w:p>
    <w:p w14:paraId="3786EFD6">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以上企业，不属于大企业的分支机构，不存在控股股东为大企业的情形，也不存在与大企业的负责人为同一人的情形。 </w:t>
      </w:r>
    </w:p>
    <w:p w14:paraId="3D47F819">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本企业对上述声明内容的真实性负责。如有虚假，将依法承担相应责任。 </w:t>
      </w:r>
    </w:p>
    <w:p w14:paraId="5B474DB0">
      <w:pPr>
        <w:widowControl w:val="0"/>
        <w:adjustRightInd w:val="0"/>
        <w:snapToGrid w:val="0"/>
        <w:spacing w:line="360" w:lineRule="auto"/>
        <w:ind w:firstLine="480" w:firstLineChars="200"/>
        <w:jc w:val="both"/>
        <w:outlineLvl w:val="9"/>
        <w:rPr>
          <w:rFonts w:hint="eastAsia" w:ascii="宋体" w:hAnsi="宋体" w:eastAsia="宋体" w:cs="宋体"/>
          <w:b w:val="0"/>
          <w:bCs/>
          <w:kern w:val="2"/>
          <w:sz w:val="24"/>
          <w:szCs w:val="24"/>
          <w:lang w:val="en-US" w:eastAsia="zh-CN" w:bidi="ar-SA"/>
        </w:rPr>
      </w:pPr>
    </w:p>
    <w:p w14:paraId="1D97B1D4">
      <w:pPr>
        <w:widowControl w:val="0"/>
        <w:adjustRightInd w:val="0"/>
        <w:snapToGrid w:val="0"/>
        <w:spacing w:line="360" w:lineRule="auto"/>
        <w:ind w:firstLine="482" w:firstLineChars="200"/>
        <w:jc w:val="both"/>
        <w:outlineLvl w:val="9"/>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企业名称（电子签章）：</w:t>
      </w:r>
    </w:p>
    <w:p w14:paraId="6EF446DF">
      <w:pPr>
        <w:widowControl w:val="0"/>
        <w:adjustRightInd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r>
        <w:rPr>
          <w:rFonts w:hint="eastAsia" w:ascii="宋体" w:hAnsi="宋体" w:eastAsia="宋体" w:cs="宋体"/>
          <w:b/>
          <w:bCs/>
          <w:kern w:val="2"/>
          <w:sz w:val="24"/>
          <w:szCs w:val="24"/>
          <w:lang w:val="en-US" w:eastAsia="zh-CN" w:bidi="ar-SA"/>
        </w:rPr>
        <w:t>日 期：</w:t>
      </w:r>
    </w:p>
    <w:p w14:paraId="508CD863">
      <w:pPr>
        <w:widowControl w:val="0"/>
        <w:adjustRightInd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p>
    <w:p w14:paraId="28B52712">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注：</w:t>
      </w:r>
    </w:p>
    <w:p w14:paraId="18A7F18F">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上表中从业人员、营业收入、资产总额填报上一年度数据，无上一年度数据的新成立企业可不填报。</w:t>
      </w:r>
    </w:p>
    <w:p w14:paraId="712AAD27">
      <w:pPr>
        <w:spacing w:line="360" w:lineRule="auto"/>
        <w:ind w:firstLine="482" w:firstLineChars="200"/>
        <w:outlineLvl w:val="1"/>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1、工程由中小企业承建，即工程施工单位为中小企业；</w:t>
      </w:r>
    </w:p>
    <w:p w14:paraId="504B8330">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BC84B09">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3、供应商须核对《关于印发中小企业划型标准规定的通知》（工信部联企业〔2011〕300号）规定的中小企业划型标准，如实填写声明函。所声明的从业人员人数或营业收入金额不符合中小企业划型标准规定或未按磋商文件明确的所属行业填写或未完整、明晰填写的，导致磋商小组无法确认的，磋商小组将不予认可。根据政府采购主管部门关于政府采购信息公示的相关要求，如成交单位为中小微企业，其响应文件中所提供的中小企业声明函需在云南省政府采购网随成交结果一并公示，请各供应商如实提供及填写本单位企业情况。</w:t>
      </w:r>
    </w:p>
    <w:p w14:paraId="57D33C2B">
      <w:pPr>
        <w:widowControl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4、本项目标的所属《关于印发中小企业划型标准规定的通知》（工信部联企业〔2011〕300号）中所列“建筑业”的行业。（注：（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AF9B48">
      <w:pPr>
        <w:keepNext/>
        <w:keepLines/>
        <w:spacing w:before="120" w:after="120" w:line="360" w:lineRule="auto"/>
        <w:outlineLvl w:val="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br w:type="page"/>
      </w:r>
    </w:p>
    <w:p w14:paraId="5169A0AF">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2.残疾人福利性单位声明函（如有）</w:t>
      </w:r>
    </w:p>
    <w:p w14:paraId="607B049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rPr>
        <w:t>本单位郑重声明，根据《财政部 民政部 中国残疾人联合会关于促进残疾人就业政府采购政策的通知》（财库</w:t>
      </w:r>
      <w:r>
        <w:rPr>
          <w:rFonts w:hint="eastAsia" w:hAnsi="宋体" w:cs="宋体"/>
          <w:snapToGrid/>
          <w:kern w:val="2"/>
          <w:sz w:val="24"/>
          <w:szCs w:val="24"/>
          <w:lang w:eastAsia="zh-CN"/>
        </w:rPr>
        <w:t>〔2017〕141号</w:t>
      </w:r>
      <w:r>
        <w:rPr>
          <w:rFonts w:hint="eastAsia" w:ascii="宋体" w:hAnsi="宋体" w:eastAsia="宋体" w:cs="宋体"/>
          <w:snapToGrid/>
          <w:kern w:val="2"/>
          <w:sz w:val="24"/>
          <w:szCs w:val="24"/>
        </w:rPr>
        <w:t>）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6E759D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本单位对上述声明的真实性负责。如有虚假，将依法承担相应责任。</w:t>
      </w:r>
    </w:p>
    <w:p w14:paraId="20A01002">
      <w:pPr>
        <w:rPr>
          <w:rFonts w:hint="eastAsia" w:ascii="宋体" w:hAnsi="宋体" w:eastAsia="宋体" w:cs="宋体"/>
          <w:snapToGrid/>
          <w:kern w:val="2"/>
          <w:sz w:val="24"/>
          <w:szCs w:val="24"/>
        </w:rPr>
      </w:pPr>
    </w:p>
    <w:p w14:paraId="544DD090">
      <w:pPr>
        <w:spacing w:line="440" w:lineRule="exact"/>
        <w:ind w:firstLine="2" w:firstLineChars="1"/>
        <w:rPr>
          <w:rFonts w:hint="eastAsia" w:ascii="宋体" w:hAnsi="宋体" w:eastAsia="宋体" w:cs="宋体"/>
          <w:b/>
          <w:snapToGrid/>
          <w:kern w:val="2"/>
          <w:sz w:val="24"/>
          <w:szCs w:val="24"/>
        </w:rPr>
      </w:pPr>
    </w:p>
    <w:p w14:paraId="5B6E9093">
      <w:pPr>
        <w:spacing w:line="440" w:lineRule="exact"/>
        <w:ind w:firstLine="2" w:firstLineChars="1"/>
        <w:rPr>
          <w:rFonts w:hint="eastAsia" w:ascii="宋体" w:hAnsi="宋体" w:eastAsia="宋体" w:cs="宋体"/>
          <w:b/>
          <w:snapToGrid/>
          <w:kern w:val="2"/>
          <w:sz w:val="24"/>
          <w:szCs w:val="24"/>
        </w:rPr>
      </w:pPr>
    </w:p>
    <w:p w14:paraId="024B1188">
      <w:pPr>
        <w:spacing w:line="440" w:lineRule="exact"/>
        <w:ind w:firstLine="2" w:firstLineChars="1"/>
        <w:rPr>
          <w:rFonts w:hint="eastAsia" w:ascii="宋体" w:hAnsi="宋体" w:eastAsia="宋体" w:cs="宋体"/>
          <w:b/>
          <w:snapToGrid/>
          <w:kern w:val="2"/>
          <w:sz w:val="24"/>
          <w:szCs w:val="24"/>
        </w:rPr>
      </w:pPr>
    </w:p>
    <w:p w14:paraId="0C3509E0">
      <w:pPr>
        <w:keepNext w:val="0"/>
        <w:keepLines w:val="0"/>
        <w:pageBreakBefore w:val="0"/>
        <w:kinsoku/>
        <w:wordWrap/>
        <w:overflowPunct/>
        <w:topLinePunct w:val="0"/>
        <w:autoSpaceDE/>
        <w:autoSpaceDN/>
        <w:bidi w:val="0"/>
        <w:adjustRightInd/>
        <w:snapToGrid/>
        <w:spacing w:line="360" w:lineRule="auto"/>
        <w:ind w:right="252" w:rightChars="120"/>
        <w:jc w:val="left"/>
        <w:textAlignment w:val="auto"/>
        <w:rPr>
          <w:rFonts w:hint="eastAsia" w:ascii="宋体" w:hAnsi="宋体" w:eastAsia="宋体" w:cs="宋体"/>
          <w:sz w:val="24"/>
          <w:szCs w:val="24"/>
          <w:u w:val="single"/>
        </w:rPr>
      </w:pPr>
      <w:r>
        <w:rPr>
          <w:rFonts w:hint="eastAsia" w:ascii="宋体" w:hAnsi="宋体" w:eastAsia="宋体" w:cs="宋体"/>
          <w:sz w:val="24"/>
          <w:szCs w:val="24"/>
        </w:rPr>
        <w:t>供应商</w:t>
      </w:r>
      <w:r>
        <w:rPr>
          <w:rFonts w:hint="eastAsia" w:ascii="宋体" w:hAnsi="宋体" w:eastAsia="宋体" w:cs="宋体"/>
          <w:sz w:val="24"/>
          <w:szCs w:val="24"/>
          <w:lang w:val="en-US" w:eastAsia="zh-CN"/>
        </w:rPr>
        <w:t>全称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（电子签章）</w:t>
      </w:r>
    </w:p>
    <w:p w14:paraId="15A3C5B1">
      <w:pPr>
        <w:keepNext w:val="0"/>
        <w:keepLines w:val="0"/>
        <w:pageBreakBefore w:val="0"/>
        <w:tabs>
          <w:tab w:val="left" w:pos="3990"/>
          <w:tab w:val="right" w:pos="9386"/>
        </w:tabs>
        <w:kinsoku/>
        <w:wordWrap/>
        <w:overflowPunct/>
        <w:topLinePunct w:val="0"/>
        <w:autoSpaceDE/>
        <w:autoSpaceDN/>
        <w:bidi w:val="0"/>
        <w:adjustRightInd/>
        <w:snapToGrid/>
        <w:spacing w:line="360" w:lineRule="auto"/>
        <w:ind w:right="252" w:rightChars="120"/>
        <w:jc w:val="left"/>
        <w:textAlignment w:val="auto"/>
        <w:rPr>
          <w:rFonts w:hint="eastAsia" w:ascii="宋体" w:hAnsi="宋体" w:eastAsia="宋体" w:cs="宋体"/>
          <w:sz w:val="24"/>
          <w:szCs w:val="24"/>
          <w:u w:val="single"/>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（电子</w:t>
      </w:r>
      <w:r>
        <w:rPr>
          <w:rFonts w:hint="eastAsia" w:ascii="宋体" w:hAnsi="宋体" w:eastAsia="宋体" w:cs="宋体"/>
          <w:sz w:val="24"/>
          <w:szCs w:val="24"/>
          <w:u w:val="none"/>
          <w:lang w:val="en-US" w:eastAsia="zh-CN"/>
        </w:rPr>
        <w:t>签名</w:t>
      </w:r>
      <w:r>
        <w:rPr>
          <w:rFonts w:hint="eastAsia" w:ascii="宋体" w:hAnsi="宋体" w:eastAsia="宋体" w:cs="宋体"/>
          <w:sz w:val="24"/>
          <w:szCs w:val="24"/>
          <w:u w:val="none"/>
        </w:rPr>
        <w:t>）</w:t>
      </w:r>
    </w:p>
    <w:p w14:paraId="487CF8B9">
      <w:pPr>
        <w:spacing w:line="360" w:lineRule="auto"/>
        <w:rPr>
          <w:rFonts w:hint="eastAsia" w:ascii="宋体" w:hAnsi="宋体" w:eastAsia="宋体" w:cs="宋体"/>
          <w:snapToGrid/>
          <w:kern w:val="2"/>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121D154">
      <w:pPr>
        <w:spacing w:line="440" w:lineRule="exact"/>
        <w:ind w:firstLine="2" w:firstLineChars="1"/>
        <w:rPr>
          <w:rFonts w:hint="eastAsia" w:ascii="宋体" w:hAnsi="宋体" w:eastAsia="宋体" w:cs="宋体"/>
          <w:b/>
          <w:snapToGrid/>
          <w:kern w:val="2"/>
          <w:sz w:val="21"/>
          <w:szCs w:val="21"/>
        </w:rPr>
      </w:pPr>
    </w:p>
    <w:p w14:paraId="1A25630A">
      <w:pPr>
        <w:rPr>
          <w:rFonts w:hint="eastAsia" w:ascii="宋体" w:hAnsi="宋体" w:eastAsia="宋体" w:cs="宋体"/>
          <w:snapToGrid/>
          <w:kern w:val="2"/>
          <w:sz w:val="21"/>
          <w:szCs w:val="21"/>
        </w:rPr>
      </w:pPr>
    </w:p>
    <w:p w14:paraId="13071A97">
      <w:pPr>
        <w:keepNext/>
        <w:keepLines/>
        <w:spacing w:before="120" w:after="120" w:line="360" w:lineRule="auto"/>
        <w:outlineLvl w:val="1"/>
        <w:rPr>
          <w:rFonts w:hint="eastAsia" w:ascii="宋体" w:hAnsi="宋体" w:eastAsia="宋体" w:cs="宋体"/>
          <w:b/>
          <w:snapToGrid/>
          <w:kern w:val="2"/>
          <w:sz w:val="21"/>
          <w:szCs w:val="21"/>
        </w:rPr>
      </w:pPr>
      <w:r>
        <w:rPr>
          <w:rFonts w:hint="eastAsia" w:ascii="宋体" w:hAnsi="宋体" w:eastAsia="宋体" w:cs="宋体"/>
          <w:snapToGrid/>
          <w:kern w:val="2"/>
          <w:sz w:val="21"/>
          <w:szCs w:val="21"/>
        </w:rPr>
        <w:br w:type="page"/>
      </w:r>
    </w:p>
    <w:p w14:paraId="00817949">
      <w:pPr>
        <w:rPr>
          <w:rFonts w:hint="eastAsia" w:ascii="宋体" w:hAnsi="宋体" w:eastAsia="宋体" w:cs="宋体"/>
          <w:b/>
          <w:snapToGrid/>
          <w:kern w:val="2"/>
          <w:sz w:val="21"/>
          <w:szCs w:val="21"/>
        </w:rPr>
      </w:pPr>
    </w:p>
    <w:p w14:paraId="0269D4EE">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3.监狱企业证明文件（如有）</w:t>
      </w:r>
    </w:p>
    <w:p w14:paraId="38FB766C">
      <w:pPr>
        <w:pStyle w:val="4"/>
        <w:keepNext/>
        <w:keepLines/>
        <w:pageBreakBefore w:val="0"/>
        <w:widowControl w:val="0"/>
        <w:numPr>
          <w:ilvl w:val="0"/>
          <w:numId w:val="0"/>
        </w:numPr>
        <w:tabs>
          <w:tab w:val="left" w:pos="900"/>
        </w:tabs>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bCs w:val="0"/>
          <w:sz w:val="24"/>
          <w:szCs w:val="24"/>
          <w:lang w:eastAsia="zh-CN"/>
        </w:rPr>
        <w:sectPr>
          <w:pgSz w:w="11906" w:h="16838"/>
          <w:pgMar w:top="1440" w:right="1440" w:bottom="1440" w:left="1440" w:header="850" w:footer="992" w:gutter="0"/>
          <w:pgNumType w:fmt="decimal"/>
          <w:cols w:space="0" w:num="1"/>
          <w:rtlGutter w:val="0"/>
          <w:docGrid w:type="lines" w:linePitch="317" w:charSpace="0"/>
        </w:sectPr>
      </w:pPr>
      <w:r>
        <w:rPr>
          <w:rFonts w:hint="eastAsia" w:ascii="宋体" w:hAnsi="宋体" w:eastAsia="宋体" w:cs="宋体"/>
          <w:snapToGrid/>
          <w:kern w:val="2"/>
          <w:sz w:val="24"/>
          <w:szCs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设区的市</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监狱、强制隔离戒毒所、戒毒康复所，以及新疆生产建设兵团监狱管理局、戒毒管理局的企业，监狱企业参加政府采购活动时，应当提供由省级以上监狱管理局、戒毒管理局</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含新疆生产建设兵团</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出具的属于监狱企业的证明文件。</w:t>
      </w:r>
    </w:p>
    <w:p w14:paraId="7D6FFC90">
      <w:pPr>
        <w:pStyle w:val="3"/>
        <w:pageBreakBefore w:val="0"/>
        <w:widowControl w:val="0"/>
        <w:numPr>
          <w:ilvl w:val="1"/>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格式</w:t>
      </w:r>
      <w:r>
        <w:rPr>
          <w:rFonts w:hint="eastAsia" w:ascii="宋体" w:hAnsi="宋体" w:eastAsia="宋体" w:cs="宋体"/>
          <w:b/>
          <w:sz w:val="28"/>
          <w:szCs w:val="28"/>
          <w:highlight w:val="none"/>
          <w:lang w:val="en-US" w:eastAsia="zh-CN"/>
        </w:rPr>
        <w:t>8</w:t>
      </w:r>
      <w:r>
        <w:rPr>
          <w:rFonts w:hint="eastAsia" w:ascii="宋体" w:hAnsi="宋体" w:eastAsia="宋体" w:cs="宋体"/>
          <w:b/>
          <w:sz w:val="28"/>
          <w:szCs w:val="28"/>
          <w:highlight w:val="none"/>
        </w:rPr>
        <w:t>：</w:t>
      </w:r>
      <w:bookmarkStart w:id="828" w:name="_Toc51587764"/>
      <w:bookmarkStart w:id="829" w:name="_Toc120277424"/>
      <w:r>
        <w:rPr>
          <w:rFonts w:hint="eastAsia" w:ascii="Times New Roman" w:hAnsi="Times New Roman" w:eastAsia="宋体" w:cs="Times New Roman"/>
          <w:b/>
          <w:bCs/>
          <w:snapToGrid w:val="0"/>
          <w:color w:val="auto"/>
          <w:kern w:val="21"/>
          <w:sz w:val="28"/>
          <w:szCs w:val="28"/>
          <w:highlight w:val="none"/>
          <w:lang w:val="en-US" w:eastAsia="zh-CN" w:bidi="ar-SA"/>
        </w:rPr>
        <w:t>特定资格要求</w:t>
      </w:r>
    </w:p>
    <w:bookmarkEnd w:id="828"/>
    <w:bookmarkEnd w:id="829"/>
    <w:p w14:paraId="23D4108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1.供应商须具有建设行政主管部门颁发的</w:t>
      </w:r>
      <w:r>
        <w:rPr>
          <w:rFonts w:hint="eastAsia" w:hAnsi="宋体" w:cs="宋体"/>
          <w:color w:val="auto"/>
          <w:sz w:val="24"/>
          <w:szCs w:val="24"/>
          <w:highlight w:val="none"/>
          <w:lang w:val="en-US" w:eastAsia="zh-CN"/>
        </w:rPr>
        <w:t>公路工程或市政公用工程施工总承包叁级及以上资质</w:t>
      </w:r>
      <w:r>
        <w:rPr>
          <w:rFonts w:hint="eastAsia" w:ascii="宋体" w:hAnsi="宋体" w:eastAsia="宋体" w:cs="宋体"/>
          <w:color w:val="auto"/>
          <w:sz w:val="24"/>
          <w:szCs w:val="24"/>
          <w:highlight w:val="none"/>
          <w:lang w:val="en-US" w:eastAsia="zh-CN"/>
        </w:rPr>
        <w:t>；具备有效的安全生产许可证，并在人员、设备、资金等方面具有相应的施工能力；</w:t>
      </w:r>
    </w:p>
    <w:p w14:paraId="0C0A4E4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yellow"/>
          <w:lang w:val="en-US" w:eastAsia="zh-CN"/>
        </w:rPr>
      </w:pPr>
    </w:p>
    <w:p w14:paraId="46C939B9">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6B84F1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yellow"/>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拟派本项目负责人须具有建设行政主管部门颁发的</w:t>
      </w:r>
      <w:r>
        <w:rPr>
          <w:rFonts w:hint="eastAsia" w:hAnsi="宋体" w:cs="宋体"/>
          <w:color w:val="auto"/>
          <w:sz w:val="24"/>
          <w:szCs w:val="24"/>
          <w:highlight w:val="none"/>
          <w:lang w:val="en-US" w:eastAsia="zh-CN"/>
        </w:rPr>
        <w:t>公路工程或市政公用工程</w:t>
      </w:r>
      <w:r>
        <w:rPr>
          <w:rFonts w:hint="eastAsia" w:ascii="宋体" w:hAnsi="宋体" w:eastAsia="宋体" w:cs="宋体"/>
          <w:color w:val="auto"/>
          <w:sz w:val="24"/>
          <w:szCs w:val="24"/>
          <w:highlight w:val="none"/>
          <w:lang w:val="en-US" w:eastAsia="zh-CN"/>
        </w:rPr>
        <w:t>专业二级及以上注册建造师资格，同时具有主管部门颁发的安全生产考核合格证（B证），且在有效期内，为本单位人员；并且无在岗项目，未在其他项目上任职；</w:t>
      </w:r>
    </w:p>
    <w:p w14:paraId="13C10A02">
      <w:pPr>
        <w:keepNext w:val="0"/>
        <w:keepLines w:val="0"/>
        <w:pageBreakBefore w:val="0"/>
        <w:widowControl w:val="0"/>
        <w:numPr>
          <w:ilvl w:val="0"/>
          <w:numId w:val="0"/>
        </w:numPr>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项目经理简历表</w:t>
      </w:r>
    </w:p>
    <w:tbl>
      <w:tblPr>
        <w:tblStyle w:val="15"/>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637"/>
        <w:gridCol w:w="1737"/>
      </w:tblGrid>
      <w:tr w14:paraId="0A66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7359DF5F">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137F0B12">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165FED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5EE74D5D">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6FE6BDDD">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7FB8DAA4">
            <w:pPr>
              <w:pageBreakBefore w:val="0"/>
              <w:kinsoku/>
              <w:wordWrap w:val="0"/>
              <w:topLinePunct w:val="0"/>
              <w:bidi w:val="0"/>
              <w:jc w:val="center"/>
              <w:rPr>
                <w:rFonts w:hint="eastAsia" w:ascii="宋体" w:hAnsi="宋体" w:eastAsia="宋体" w:cs="宋体"/>
                <w:color w:val="auto"/>
                <w:sz w:val="21"/>
                <w:szCs w:val="21"/>
                <w:highlight w:val="none"/>
              </w:rPr>
            </w:pPr>
          </w:p>
        </w:tc>
      </w:tr>
      <w:tr w14:paraId="1FC8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32375EDB">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71A0E91A">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1C222E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4E1B5D29">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71FEB21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7F4356BB">
            <w:pPr>
              <w:pageBreakBefore w:val="0"/>
              <w:kinsoku/>
              <w:wordWrap w:val="0"/>
              <w:topLinePunct w:val="0"/>
              <w:bidi w:val="0"/>
              <w:jc w:val="center"/>
              <w:rPr>
                <w:rFonts w:hint="eastAsia" w:ascii="宋体" w:hAnsi="宋体" w:eastAsia="宋体" w:cs="宋体"/>
                <w:color w:val="auto"/>
                <w:sz w:val="21"/>
                <w:szCs w:val="21"/>
                <w:highlight w:val="none"/>
              </w:rPr>
            </w:pPr>
          </w:p>
        </w:tc>
      </w:tr>
      <w:tr w14:paraId="7824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52651EB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参加工作时间</w:t>
            </w:r>
          </w:p>
        </w:tc>
        <w:tc>
          <w:tcPr>
            <w:tcW w:w="1890" w:type="dxa"/>
            <w:gridSpan w:val="4"/>
            <w:tcBorders>
              <w:top w:val="single" w:color="auto" w:sz="4" w:space="0"/>
              <w:left w:val="single" w:color="auto" w:sz="4" w:space="0"/>
              <w:bottom w:val="single" w:color="auto" w:sz="4" w:space="0"/>
              <w:right w:val="single" w:color="auto" w:sz="4" w:space="0"/>
            </w:tcBorders>
            <w:vAlign w:val="center"/>
          </w:tcPr>
          <w:p w14:paraId="1FF97D75">
            <w:pPr>
              <w:pageBreakBefore w:val="0"/>
              <w:kinsoku/>
              <w:wordWrap w:val="0"/>
              <w:topLinePunct w:val="0"/>
              <w:bidi w:val="0"/>
              <w:jc w:val="center"/>
              <w:rPr>
                <w:rFonts w:hint="eastAsia" w:ascii="宋体" w:hAnsi="宋体" w:eastAsia="宋体" w:cs="宋体"/>
                <w:color w:val="auto"/>
                <w:sz w:val="21"/>
                <w:szCs w:val="21"/>
                <w:highlight w:val="none"/>
              </w:rPr>
            </w:pPr>
          </w:p>
        </w:tc>
        <w:tc>
          <w:tcPr>
            <w:tcW w:w="2857" w:type="dxa"/>
            <w:gridSpan w:val="5"/>
            <w:tcBorders>
              <w:top w:val="single" w:color="auto" w:sz="4" w:space="0"/>
              <w:left w:val="single" w:color="auto" w:sz="4" w:space="0"/>
              <w:bottom w:val="single" w:color="auto" w:sz="4" w:space="0"/>
              <w:right w:val="single" w:color="auto" w:sz="4" w:space="0"/>
            </w:tcBorders>
            <w:vAlign w:val="center"/>
          </w:tcPr>
          <w:p w14:paraId="53964E0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担任项目经理</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建造师</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年限</w:t>
            </w:r>
          </w:p>
        </w:tc>
        <w:tc>
          <w:tcPr>
            <w:tcW w:w="1737" w:type="dxa"/>
            <w:tcBorders>
              <w:top w:val="single" w:color="auto" w:sz="4" w:space="0"/>
              <w:left w:val="single" w:color="auto" w:sz="4" w:space="0"/>
              <w:bottom w:val="single" w:color="auto" w:sz="4" w:space="0"/>
              <w:right w:val="single" w:color="auto" w:sz="4" w:space="0"/>
            </w:tcBorders>
            <w:vAlign w:val="center"/>
          </w:tcPr>
          <w:p w14:paraId="106E2823">
            <w:pPr>
              <w:pageBreakBefore w:val="0"/>
              <w:kinsoku/>
              <w:wordWrap w:val="0"/>
              <w:topLinePunct w:val="0"/>
              <w:bidi w:val="0"/>
              <w:jc w:val="center"/>
              <w:rPr>
                <w:rFonts w:hint="eastAsia" w:ascii="宋体" w:hAnsi="宋体" w:eastAsia="宋体" w:cs="宋体"/>
                <w:color w:val="auto"/>
                <w:sz w:val="21"/>
                <w:szCs w:val="21"/>
                <w:highlight w:val="none"/>
              </w:rPr>
            </w:pPr>
          </w:p>
        </w:tc>
      </w:tr>
      <w:tr w14:paraId="641B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01EDED2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r>
              <w:rPr>
                <w:rFonts w:hint="eastAsia" w:ascii="宋体" w:hAnsi="宋体" w:cs="宋体"/>
                <w:color w:val="auto"/>
                <w:sz w:val="21"/>
                <w:szCs w:val="21"/>
                <w:highlight w:val="none"/>
                <w:lang w:eastAsia="zh-CN"/>
              </w:rPr>
              <w:t>注册</w:t>
            </w:r>
            <w:r>
              <w:rPr>
                <w:rFonts w:hint="eastAsia" w:ascii="宋体" w:hAnsi="宋体" w:eastAsia="宋体" w:cs="宋体"/>
                <w:color w:val="auto"/>
                <w:sz w:val="21"/>
                <w:szCs w:val="21"/>
                <w:highlight w:val="none"/>
              </w:rPr>
              <w:t>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5C096358">
            <w:pPr>
              <w:pageBreakBefore w:val="0"/>
              <w:kinsoku/>
              <w:wordWrap w:val="0"/>
              <w:topLinePunct w:val="0"/>
              <w:bidi w:val="0"/>
              <w:jc w:val="center"/>
              <w:rPr>
                <w:rFonts w:hint="eastAsia" w:ascii="宋体" w:hAnsi="宋体" w:eastAsia="宋体" w:cs="宋体"/>
                <w:color w:val="auto"/>
                <w:sz w:val="21"/>
                <w:szCs w:val="21"/>
                <w:highlight w:val="none"/>
              </w:rPr>
            </w:pPr>
          </w:p>
        </w:tc>
      </w:tr>
      <w:tr w14:paraId="43B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0DF9A28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Theme="majorEastAsia" w:hAnsiTheme="majorEastAsia" w:eastAsiaTheme="majorEastAsia" w:cstheme="majorEastAsia"/>
                <w:color w:val="auto"/>
                <w:kern w:val="2"/>
                <w:sz w:val="21"/>
                <w:szCs w:val="21"/>
                <w:highlight w:val="none"/>
                <w:lang w:val="en-US" w:eastAsia="zh-CN" w:bidi="ar-SA"/>
              </w:rPr>
              <w:t>安全生产考核合格证书编号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1B5FF597">
            <w:pPr>
              <w:pageBreakBefore w:val="0"/>
              <w:kinsoku/>
              <w:wordWrap w:val="0"/>
              <w:topLinePunct w:val="0"/>
              <w:bidi w:val="0"/>
              <w:jc w:val="center"/>
              <w:rPr>
                <w:rFonts w:hint="eastAsia" w:ascii="宋体" w:hAnsi="宋体" w:eastAsia="宋体" w:cs="宋体"/>
                <w:color w:val="auto"/>
                <w:sz w:val="21"/>
                <w:szCs w:val="21"/>
                <w:highlight w:val="none"/>
              </w:rPr>
            </w:pPr>
          </w:p>
        </w:tc>
      </w:tr>
      <w:tr w14:paraId="6CFD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03" w:type="dxa"/>
            <w:gridSpan w:val="13"/>
            <w:tcBorders>
              <w:top w:val="single" w:color="auto" w:sz="4" w:space="0"/>
              <w:left w:val="single" w:color="auto" w:sz="4" w:space="0"/>
              <w:bottom w:val="single" w:color="auto" w:sz="4" w:space="0"/>
              <w:right w:val="single" w:color="auto" w:sz="4" w:space="0"/>
            </w:tcBorders>
            <w:vAlign w:val="center"/>
          </w:tcPr>
          <w:p w14:paraId="2CCE9B3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在建和已完工程情况</w:t>
            </w:r>
          </w:p>
        </w:tc>
      </w:tr>
      <w:tr w14:paraId="4A95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7B56B0C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318CBB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B07B29C">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B7F7BB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开、竣工</w:t>
            </w:r>
          </w:p>
          <w:p w14:paraId="007453C0">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17977C5">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在建或已 </w:t>
            </w:r>
            <w:r>
              <w:rPr>
                <w:rFonts w:hint="eastAsia" w:hAnsi="宋体" w:cs="宋体"/>
                <w:color w:val="auto"/>
                <w:sz w:val="21"/>
                <w:szCs w:val="21"/>
                <w:highlight w:val="none"/>
                <w:lang w:eastAsia="zh-CN"/>
              </w:rPr>
              <w:t>完成</w:t>
            </w:r>
          </w:p>
        </w:tc>
        <w:tc>
          <w:tcPr>
            <w:tcW w:w="1737" w:type="dxa"/>
            <w:tcBorders>
              <w:top w:val="single" w:color="auto" w:sz="4" w:space="0"/>
              <w:left w:val="single" w:color="auto" w:sz="4" w:space="0"/>
              <w:bottom w:val="single" w:color="auto" w:sz="4" w:space="0"/>
              <w:right w:val="single" w:color="auto" w:sz="4" w:space="0"/>
            </w:tcBorders>
            <w:vAlign w:val="center"/>
          </w:tcPr>
          <w:p w14:paraId="3F15B5E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r>
      <w:tr w14:paraId="421A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1492E32B">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A2C8CFF">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F12A136">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14B333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D2F6E0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55E95B82">
            <w:pPr>
              <w:pageBreakBefore w:val="0"/>
              <w:kinsoku/>
              <w:wordWrap w:val="0"/>
              <w:topLinePunct w:val="0"/>
              <w:bidi w:val="0"/>
              <w:jc w:val="center"/>
              <w:rPr>
                <w:rFonts w:hint="eastAsia" w:ascii="宋体" w:hAnsi="宋体" w:eastAsia="宋体" w:cs="宋体"/>
                <w:color w:val="auto"/>
                <w:sz w:val="21"/>
                <w:szCs w:val="21"/>
                <w:highlight w:val="none"/>
              </w:rPr>
            </w:pPr>
          </w:p>
        </w:tc>
      </w:tr>
      <w:tr w14:paraId="21CB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95C0B73">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5DBC3AC">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10FAAA32">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B63BA45">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4658A0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716BCD1D">
            <w:pPr>
              <w:pageBreakBefore w:val="0"/>
              <w:kinsoku/>
              <w:wordWrap w:val="0"/>
              <w:topLinePunct w:val="0"/>
              <w:bidi w:val="0"/>
              <w:jc w:val="center"/>
              <w:rPr>
                <w:rFonts w:hint="eastAsia" w:ascii="宋体" w:hAnsi="宋体" w:eastAsia="宋体" w:cs="宋体"/>
                <w:color w:val="auto"/>
                <w:sz w:val="21"/>
                <w:szCs w:val="21"/>
                <w:highlight w:val="none"/>
              </w:rPr>
            </w:pPr>
          </w:p>
        </w:tc>
      </w:tr>
      <w:tr w14:paraId="2455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352700B">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66BEE41">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FEF451C">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2B7EF91">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5503C2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1FCC747">
            <w:pPr>
              <w:pageBreakBefore w:val="0"/>
              <w:kinsoku/>
              <w:wordWrap w:val="0"/>
              <w:topLinePunct w:val="0"/>
              <w:bidi w:val="0"/>
              <w:jc w:val="center"/>
              <w:rPr>
                <w:rFonts w:hint="eastAsia" w:ascii="宋体" w:hAnsi="宋体" w:eastAsia="宋体" w:cs="宋体"/>
                <w:color w:val="auto"/>
                <w:sz w:val="21"/>
                <w:szCs w:val="21"/>
                <w:highlight w:val="none"/>
              </w:rPr>
            </w:pPr>
          </w:p>
        </w:tc>
      </w:tr>
      <w:tr w14:paraId="380C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5BE23B35">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DB2238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58961E2F">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792BA97">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2A32BA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17C182AE">
            <w:pPr>
              <w:pageBreakBefore w:val="0"/>
              <w:kinsoku/>
              <w:wordWrap w:val="0"/>
              <w:topLinePunct w:val="0"/>
              <w:bidi w:val="0"/>
              <w:jc w:val="center"/>
              <w:rPr>
                <w:rFonts w:hint="eastAsia" w:ascii="宋体" w:hAnsi="宋体" w:eastAsia="宋体" w:cs="宋体"/>
                <w:color w:val="auto"/>
                <w:sz w:val="21"/>
                <w:szCs w:val="21"/>
                <w:highlight w:val="none"/>
              </w:rPr>
            </w:pPr>
          </w:p>
        </w:tc>
      </w:tr>
      <w:tr w14:paraId="3A0A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9E12C43">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E5CA00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9FBCA42">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6FA712B1">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0C84824">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1D0252C">
            <w:pPr>
              <w:pageBreakBefore w:val="0"/>
              <w:kinsoku/>
              <w:wordWrap w:val="0"/>
              <w:topLinePunct w:val="0"/>
              <w:bidi w:val="0"/>
              <w:jc w:val="center"/>
              <w:rPr>
                <w:rFonts w:hint="eastAsia" w:ascii="宋体" w:hAnsi="宋体" w:eastAsia="宋体" w:cs="宋体"/>
                <w:color w:val="auto"/>
                <w:sz w:val="21"/>
                <w:szCs w:val="21"/>
                <w:highlight w:val="none"/>
              </w:rPr>
            </w:pPr>
          </w:p>
        </w:tc>
      </w:tr>
      <w:tr w14:paraId="527B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32A7F186">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FD1EE33">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AE8936E">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F4519B3">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0204473D">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54F51A0">
            <w:pPr>
              <w:pageBreakBefore w:val="0"/>
              <w:kinsoku/>
              <w:wordWrap w:val="0"/>
              <w:topLinePunct w:val="0"/>
              <w:bidi w:val="0"/>
              <w:jc w:val="center"/>
              <w:rPr>
                <w:rFonts w:hint="eastAsia" w:ascii="宋体" w:hAnsi="宋体" w:eastAsia="宋体" w:cs="宋体"/>
                <w:color w:val="auto"/>
                <w:sz w:val="21"/>
                <w:szCs w:val="21"/>
                <w:highlight w:val="none"/>
              </w:rPr>
            </w:pPr>
          </w:p>
        </w:tc>
      </w:tr>
      <w:tr w14:paraId="3B07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11B72895">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118E36D">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217862A4">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97EB42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ABE0098">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02AE0D73">
            <w:pPr>
              <w:pageBreakBefore w:val="0"/>
              <w:kinsoku/>
              <w:wordWrap w:val="0"/>
              <w:topLinePunct w:val="0"/>
              <w:bidi w:val="0"/>
              <w:jc w:val="center"/>
              <w:rPr>
                <w:rFonts w:hint="eastAsia" w:ascii="宋体" w:hAnsi="宋体" w:eastAsia="宋体" w:cs="宋体"/>
                <w:color w:val="auto"/>
                <w:sz w:val="21"/>
                <w:szCs w:val="21"/>
                <w:highlight w:val="none"/>
              </w:rPr>
            </w:pPr>
          </w:p>
        </w:tc>
      </w:tr>
      <w:tr w14:paraId="1294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DEC9313">
            <w:pPr>
              <w:pageBreakBefore w:val="0"/>
              <w:kinsoku/>
              <w:wordWrap w:val="0"/>
              <w:topLinePunct w:val="0"/>
              <w:bidi w:val="0"/>
              <w:jc w:val="center"/>
              <w:rPr>
                <w:rFonts w:hint="eastAsia" w:ascii="宋体" w:hAnsi="宋体" w:eastAsia="宋体" w:cs="宋体"/>
                <w:color w:val="auto"/>
                <w:sz w:val="24"/>
                <w:szCs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DE21FB5">
            <w:pPr>
              <w:pageBreakBefore w:val="0"/>
              <w:kinsoku/>
              <w:wordWrap w:val="0"/>
              <w:topLinePunct w:val="0"/>
              <w:bidi w:val="0"/>
              <w:jc w:val="center"/>
              <w:rPr>
                <w:rFonts w:hint="eastAsia" w:ascii="宋体" w:hAnsi="宋体" w:eastAsia="宋体" w:cs="宋体"/>
                <w:color w:val="auto"/>
                <w:sz w:val="24"/>
                <w:szCs w:val="24"/>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B3EC48C">
            <w:pPr>
              <w:pageBreakBefore w:val="0"/>
              <w:kinsoku/>
              <w:wordWrap w:val="0"/>
              <w:topLinePunct w:val="0"/>
              <w:bidi w:val="0"/>
              <w:jc w:val="center"/>
              <w:rPr>
                <w:rFonts w:hint="eastAsia" w:ascii="宋体" w:hAnsi="宋体" w:eastAsia="宋体" w:cs="宋体"/>
                <w:color w:val="auto"/>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55B5ABF">
            <w:pPr>
              <w:pageBreakBefore w:val="0"/>
              <w:kinsoku/>
              <w:wordWrap w:val="0"/>
              <w:topLinePunct w:val="0"/>
              <w:bidi w:val="0"/>
              <w:jc w:val="center"/>
              <w:rPr>
                <w:rFonts w:hint="eastAsia" w:ascii="宋体" w:hAnsi="宋体" w:eastAsia="宋体" w:cs="宋体"/>
                <w:color w:val="auto"/>
                <w:sz w:val="24"/>
                <w:szCs w:val="24"/>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990F7A6">
            <w:pPr>
              <w:pageBreakBefore w:val="0"/>
              <w:kinsoku/>
              <w:wordWrap w:val="0"/>
              <w:topLinePunct w:val="0"/>
              <w:bidi w:val="0"/>
              <w:jc w:val="center"/>
              <w:rPr>
                <w:rFonts w:hint="eastAsia" w:ascii="宋体" w:hAnsi="宋体" w:eastAsia="宋体" w:cs="宋体"/>
                <w:color w:val="auto"/>
                <w:sz w:val="24"/>
                <w:szCs w:val="24"/>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0E381782">
            <w:pPr>
              <w:pageBreakBefore w:val="0"/>
              <w:kinsoku/>
              <w:wordWrap w:val="0"/>
              <w:topLinePunct w:val="0"/>
              <w:bidi w:val="0"/>
              <w:jc w:val="center"/>
              <w:rPr>
                <w:rFonts w:hint="eastAsia" w:ascii="宋体" w:hAnsi="宋体" w:eastAsia="宋体" w:cs="宋体"/>
                <w:color w:val="auto"/>
                <w:sz w:val="24"/>
                <w:szCs w:val="24"/>
                <w:highlight w:val="none"/>
              </w:rPr>
            </w:pPr>
          </w:p>
        </w:tc>
      </w:tr>
    </w:tbl>
    <w:p w14:paraId="6C2E261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highlight w:val="none"/>
        </w:rPr>
        <w:t>注：附拟派往本工程的项目经理的注册证书、安全生产考核合格证书（B证）、身份证、职称证</w:t>
      </w:r>
      <w:r>
        <w:rPr>
          <w:rFonts w:hint="eastAsia" w:ascii="宋体" w:hAnsi="宋体" w:eastAsia="宋体" w:cs="宋体"/>
          <w:b/>
          <w:bCs/>
          <w:color w:val="auto"/>
          <w:sz w:val="24"/>
          <w:szCs w:val="24"/>
          <w:highlight w:val="none"/>
          <w:lang w:eastAsia="zh-CN"/>
        </w:rPr>
        <w:t>（如有）、</w:t>
      </w:r>
      <w:r>
        <w:rPr>
          <w:rFonts w:hint="eastAsia" w:ascii="宋体" w:hAnsi="宋体" w:eastAsia="宋体" w:cs="宋体"/>
          <w:b/>
          <w:bCs/>
          <w:color w:val="auto"/>
          <w:sz w:val="24"/>
          <w:szCs w:val="24"/>
          <w:highlight w:val="none"/>
        </w:rPr>
        <w:t>学历证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社保证明或有效</w:t>
      </w:r>
      <w:r>
        <w:rPr>
          <w:rFonts w:hint="eastAsia" w:ascii="宋体" w:hAnsi="宋体" w:eastAsia="宋体" w:cs="宋体"/>
          <w:b/>
          <w:bCs/>
          <w:color w:val="auto"/>
          <w:sz w:val="24"/>
          <w:szCs w:val="24"/>
          <w:highlight w:val="none"/>
        </w:rPr>
        <w:t>劳动合同等</w:t>
      </w:r>
      <w:r>
        <w:rPr>
          <w:rFonts w:hint="eastAsia" w:ascii="宋体" w:hAnsi="宋体" w:eastAsia="宋体" w:cs="宋体"/>
          <w:b/>
          <w:bCs/>
          <w:color w:val="auto"/>
          <w:kern w:val="2"/>
          <w:sz w:val="24"/>
          <w:szCs w:val="24"/>
          <w:highlight w:val="none"/>
          <w:lang w:val="en-US" w:eastAsia="zh-CN" w:bidi="ar-SA"/>
        </w:rPr>
        <w:t>的扫描件或复印件</w:t>
      </w:r>
      <w:r>
        <w:rPr>
          <w:rFonts w:hint="eastAsia" w:ascii="宋体" w:hAnsi="宋体" w:eastAsia="宋体" w:cs="宋体"/>
          <w:b/>
          <w:bCs/>
          <w:color w:val="auto"/>
          <w:sz w:val="24"/>
          <w:szCs w:val="24"/>
          <w:highlight w:val="none"/>
        </w:rPr>
        <w:t>。</w:t>
      </w:r>
    </w:p>
    <w:p w14:paraId="02F7F19E">
      <w:pPr>
        <w:rPr>
          <w:rFonts w:hint="eastAsia" w:hAnsi="宋体" w:cs="宋体"/>
          <w:color w:val="auto"/>
          <w:sz w:val="24"/>
          <w:szCs w:val="24"/>
          <w:highlight w:val="yellow"/>
          <w:lang w:val="en-US" w:eastAsia="zh-CN"/>
        </w:rPr>
      </w:pPr>
      <w:r>
        <w:rPr>
          <w:rFonts w:hint="eastAsia" w:hAnsi="宋体" w:cs="宋体"/>
          <w:color w:val="auto"/>
          <w:sz w:val="24"/>
          <w:szCs w:val="24"/>
          <w:highlight w:val="yellow"/>
          <w:lang w:val="en-US" w:eastAsia="zh-CN"/>
        </w:rPr>
        <w:br w:type="page"/>
      </w:r>
    </w:p>
    <w:p w14:paraId="31BE112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拟派本项目技术负责人须具有职称</w:t>
      </w:r>
      <w:r>
        <w:rPr>
          <w:rFonts w:hint="eastAsia" w:hAnsi="宋体" w:cs="宋体"/>
          <w:color w:val="auto"/>
          <w:sz w:val="24"/>
          <w:szCs w:val="24"/>
          <w:highlight w:val="none"/>
          <w:lang w:val="en-US" w:eastAsia="zh-CN"/>
        </w:rPr>
        <w:t>证</w:t>
      </w:r>
      <w:r>
        <w:rPr>
          <w:rFonts w:hint="eastAsia" w:ascii="宋体" w:hAnsi="宋体" w:eastAsia="宋体" w:cs="宋体"/>
          <w:color w:val="auto"/>
          <w:sz w:val="24"/>
          <w:szCs w:val="24"/>
          <w:highlight w:val="none"/>
          <w:lang w:val="en-US" w:eastAsia="zh-CN"/>
        </w:rPr>
        <w:t>。</w:t>
      </w:r>
    </w:p>
    <w:p w14:paraId="1B2B3904">
      <w:pPr>
        <w:keepNext w:val="0"/>
        <w:keepLines w:val="0"/>
        <w:pageBreakBefore w:val="0"/>
        <w:widowControl w:val="0"/>
        <w:numPr>
          <w:ilvl w:val="0"/>
          <w:numId w:val="0"/>
        </w:numPr>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技术负责人简历表</w:t>
      </w:r>
    </w:p>
    <w:tbl>
      <w:tblPr>
        <w:tblStyle w:val="15"/>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F367671">
        <w:tblPrEx>
          <w:tblCellMar>
            <w:top w:w="0" w:type="dxa"/>
            <w:left w:w="0" w:type="dxa"/>
            <w:bottom w:w="0" w:type="dxa"/>
            <w:right w:w="0" w:type="dxa"/>
          </w:tblCellMar>
        </w:tblPrEx>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已</w:t>
            </w:r>
            <w:r>
              <w:rPr>
                <w:rFonts w:hint="eastAsia" w:hAnsi="宋体" w:cs="宋体"/>
                <w:szCs w:val="21"/>
                <w:highlight w:val="none"/>
                <w:lang w:eastAsia="zh-CN"/>
              </w:rPr>
              <w:t>完成</w:t>
            </w:r>
            <w:r>
              <w:rPr>
                <w:rFonts w:hint="eastAsia" w:ascii="宋体" w:hAnsi="宋体" w:cs="宋体"/>
                <w:szCs w:val="21"/>
                <w:highlight w:val="none"/>
              </w:rPr>
              <w:t>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59344E97">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62595A3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其他条件：供应商不得为中国政府采购网（www.ccgp.gov.cn）政府采购严重违法失信行为记录名单中被财政部门禁止参加政府采购活动的供应商（处罚决定规定的时间和地域范围内），不得为“信用中国”网站（www.creditchina.gov.cn）中列入“失信被执行人</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重大税收违法失信主体”的供应商</w:t>
      </w:r>
      <w:r>
        <w:rPr>
          <w:rFonts w:hint="eastAsia" w:hAnsi="宋体" w:cs="宋体"/>
          <w:color w:val="auto"/>
          <w:sz w:val="24"/>
          <w:szCs w:val="24"/>
          <w:highlight w:val="none"/>
          <w:lang w:val="en-US" w:eastAsia="zh-CN"/>
        </w:rPr>
        <w:t>。</w:t>
      </w:r>
    </w:p>
    <w:p w14:paraId="3C669484">
      <w:pP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br w:type="page"/>
      </w:r>
    </w:p>
    <w:p w14:paraId="294E4BD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lang w:val="en-US" w:eastAsia="zh-CN"/>
        </w:rPr>
        <w:t>。</w:t>
      </w:r>
    </w:p>
    <w:p w14:paraId="554E9180">
      <w:pPr>
        <w:rPr>
          <w:rFonts w:hint="eastAsia"/>
          <w:color w:val="auto"/>
          <w:highlight w:val="none"/>
          <w:lang w:eastAsia="zh-CN"/>
        </w:rPr>
      </w:pPr>
    </w:p>
    <w:p w14:paraId="45FE9AD2">
      <w:pPr>
        <w:spacing w:line="360" w:lineRule="auto"/>
        <w:jc w:val="center"/>
        <w:outlineLvl w:val="2"/>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lang w:val="en-US" w:eastAsia="zh-CN"/>
        </w:rPr>
        <w:t>供应商无直接控股、管理关系书面声明函</w:t>
      </w:r>
    </w:p>
    <w:p w14:paraId="2356CA35">
      <w:pPr>
        <w:bidi w:val="0"/>
        <w:rPr>
          <w:rFonts w:hint="eastAsia"/>
          <w:color w:val="auto"/>
          <w:highlight w:val="none"/>
        </w:rPr>
      </w:pPr>
    </w:p>
    <w:p w14:paraId="47BA805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u w:val="single"/>
          <w:lang w:eastAsia="zh-CN"/>
        </w:rPr>
      </w:pPr>
      <w:r>
        <w:rPr>
          <w:rFonts w:hint="eastAsia" w:hAnsi="宋体" w:cs="宋体"/>
          <w:b/>
          <w:snapToGrid/>
          <w:color w:val="auto"/>
          <w:kern w:val="2"/>
          <w:sz w:val="24"/>
          <w:highlight w:val="none"/>
          <w:u w:val="single"/>
          <w:lang w:eastAsia="zh-CN"/>
        </w:rPr>
        <w:t>云南信活工程服务有限责任公司</w:t>
      </w:r>
      <w:r>
        <w:rPr>
          <w:rFonts w:hint="eastAsia" w:ascii="宋体" w:hAnsi="宋体" w:eastAsia="宋体" w:cs="宋体"/>
          <w:b/>
          <w:snapToGrid/>
          <w:color w:val="auto"/>
          <w:kern w:val="2"/>
          <w:sz w:val="24"/>
          <w:highlight w:val="none"/>
          <w:u w:val="single"/>
        </w:rPr>
        <w:t>：</w:t>
      </w:r>
    </w:p>
    <w:p w14:paraId="62BA37D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一、下述公司负责人与我公司单位负责人为同一人：（如无则本项填写“无”）  </w:t>
      </w:r>
    </w:p>
    <w:p w14:paraId="049109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1. </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073C81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2. </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462C10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1E477E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346259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二、我公司与下述公司存在直接控股关系：（如无则本项填写“无”） </w:t>
      </w:r>
    </w:p>
    <w:p w14:paraId="693E62C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2E5473B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37A510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55270F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774FDE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三、我公司与下述公司存在管理关系：（如无则本项填写“无”） </w:t>
      </w:r>
    </w:p>
    <w:p w14:paraId="1C6B1F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4F5A57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1C019A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445F14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26704B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 xml:space="preserve">    </w:t>
      </w:r>
      <w:r>
        <w:rPr>
          <w:rFonts w:hint="eastAsia" w:ascii="宋体" w:hAnsi="宋体" w:eastAsia="宋体" w:cs="宋体"/>
          <w:b/>
          <w:snapToGrid/>
          <w:color w:val="auto"/>
          <w:kern w:val="2"/>
          <w:sz w:val="24"/>
          <w:highlight w:val="none"/>
        </w:rPr>
        <w:t xml:space="preserve"> 我单位郑重声明：1.</w:t>
      </w:r>
      <w:r>
        <w:rPr>
          <w:rFonts w:hint="eastAsia" w:ascii="宋体" w:hAnsi="宋体" w:eastAsia="宋体" w:cs="宋体"/>
          <w:snapToGrid/>
          <w:color w:val="auto"/>
          <w:kern w:val="2"/>
          <w:sz w:val="24"/>
          <w:highlight w:val="none"/>
        </w:rPr>
        <w:t>与本单位负责人为同一人或者与本单位存在直接控股关系、管理关系的供应商未参与</w:t>
      </w:r>
      <w:r>
        <w:rPr>
          <w:rFonts w:hint="eastAsia" w:ascii="宋体" w:hAnsi="宋体" w:eastAsia="宋体" w:cs="宋体"/>
          <w:snapToGrid/>
          <w:color w:val="auto"/>
          <w:kern w:val="2"/>
          <w:sz w:val="24"/>
          <w:highlight w:val="none"/>
          <w:u w:val="single"/>
        </w:rPr>
        <w:t>  </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项目名称</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同一合同项下的政府采购活动。2.本单位不是为</w:t>
      </w:r>
      <w:r>
        <w:rPr>
          <w:rFonts w:hint="eastAsia" w:ascii="宋体" w:hAnsi="宋体" w:eastAsia="宋体" w:cs="宋体"/>
          <w:snapToGrid/>
          <w:color w:val="auto"/>
          <w:kern w:val="2"/>
          <w:sz w:val="24"/>
          <w:highlight w:val="none"/>
          <w:u w:val="single"/>
        </w:rPr>
        <w:t>  </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项目名称</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0"/>
          <w:sz w:val="24"/>
          <w:szCs w:val="27"/>
          <w:highlight w:val="none"/>
        </w:rPr>
        <w:t>提供整体设计、规范编制或者项目管理、监理、检测等服务的供应商；</w:t>
      </w:r>
      <w:r>
        <w:rPr>
          <w:rFonts w:hint="eastAsia" w:ascii="宋体" w:hAnsi="宋体" w:eastAsia="宋体" w:cs="宋体"/>
          <w:snapToGrid/>
          <w:color w:val="auto"/>
          <w:kern w:val="2"/>
          <w:sz w:val="24"/>
          <w:highlight w:val="none"/>
        </w:rPr>
        <w:t>3.</w:t>
      </w:r>
      <w:r>
        <w:rPr>
          <w:rFonts w:hint="eastAsia" w:ascii="宋体" w:hAnsi="宋体" w:eastAsia="宋体" w:cs="宋体"/>
          <w:snapToGrid/>
          <w:color w:val="auto"/>
          <w:kern w:val="2"/>
          <w:sz w:val="24"/>
          <w:highlight w:val="none"/>
          <w:u w:val="single"/>
        </w:rPr>
        <w:t xml:space="preserve">       （其他声明，由供应商自行填写）</w:t>
      </w:r>
      <w:r>
        <w:rPr>
          <w:rFonts w:hint="eastAsia" w:ascii="宋体" w:hAnsi="宋体" w:eastAsia="宋体" w:cs="宋体"/>
          <w:snapToGrid/>
          <w:color w:val="auto"/>
          <w:kern w:val="2"/>
          <w:sz w:val="24"/>
          <w:highlight w:val="none"/>
        </w:rPr>
        <w:t>。</w:t>
      </w:r>
    </w:p>
    <w:p w14:paraId="4C1CCC8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我单位保证上述声明真实、有效、可查。 </w:t>
      </w:r>
    </w:p>
    <w:p w14:paraId="303067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特此声明。 </w:t>
      </w:r>
    </w:p>
    <w:p w14:paraId="2A596AF6">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rPr>
          <w:rFonts w:hint="eastAsia" w:ascii="宋体" w:hAnsi="宋体" w:eastAsia="宋体" w:cs="宋体"/>
          <w:snapToGrid/>
          <w:color w:val="auto"/>
          <w:kern w:val="2"/>
          <w:sz w:val="24"/>
          <w:szCs w:val="21"/>
          <w:highlight w:val="none"/>
        </w:rPr>
      </w:pPr>
    </w:p>
    <w:p w14:paraId="0A493C33">
      <w:pPr>
        <w:keepNext w:val="0"/>
        <w:keepLines w:val="0"/>
        <w:pageBreakBefore w:val="0"/>
        <w:widowControl w:val="0"/>
        <w:kinsoku/>
        <w:wordWrap/>
        <w:overflowPunct/>
        <w:topLinePunct w:val="0"/>
        <w:autoSpaceDE/>
        <w:autoSpaceDN/>
        <w:bidi w:val="0"/>
        <w:adjustRightInd/>
        <w:snapToGrid/>
        <w:spacing w:line="500" w:lineRule="exact"/>
        <w:ind w:left="481" w:leftChars="229"/>
        <w:jc w:val="left"/>
        <w:textAlignment w:val="auto"/>
        <w:rPr>
          <w:rFonts w:hint="eastAsia" w:ascii="宋体" w:hAnsi="宋体" w:eastAsia="宋体" w:cs="宋体"/>
          <w:b/>
          <w:snapToGrid/>
          <w:color w:val="auto"/>
          <w:kern w:val="2"/>
          <w:sz w:val="24"/>
          <w:highlight w:val="none"/>
        </w:rPr>
      </w:pPr>
      <w:r>
        <w:rPr>
          <w:rFonts w:hint="eastAsia" w:ascii="宋体" w:hAnsi="宋体" w:eastAsia="宋体" w:cs="宋体"/>
          <w:b/>
          <w:snapToGrid/>
          <w:color w:val="auto"/>
          <w:kern w:val="2"/>
          <w:sz w:val="24"/>
          <w:highlight w:val="none"/>
        </w:rPr>
        <w:t>供应商</w:t>
      </w:r>
      <w:r>
        <w:rPr>
          <w:rFonts w:hint="eastAsia" w:ascii="宋体" w:hAnsi="宋体" w:eastAsia="宋体" w:cs="宋体"/>
          <w:b/>
          <w:snapToGrid/>
          <w:color w:val="auto"/>
          <w:kern w:val="2"/>
          <w:sz w:val="24"/>
          <w:highlight w:val="none"/>
          <w:lang w:val="en-US" w:eastAsia="zh-CN"/>
        </w:rPr>
        <w:t>全称</w:t>
      </w:r>
      <w:r>
        <w:rPr>
          <w:rFonts w:hint="eastAsia" w:ascii="宋体" w:hAnsi="宋体" w:eastAsia="宋体" w:cs="宋体"/>
          <w:b/>
          <w:snapToGrid/>
          <w:color w:val="auto"/>
          <w:kern w:val="2"/>
          <w:sz w:val="24"/>
          <w:highlight w:val="none"/>
        </w:rPr>
        <w:t>：</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w:t>
      </w:r>
      <w:r>
        <w:rPr>
          <w:rFonts w:hint="eastAsia" w:ascii="宋体" w:hAnsi="宋体" w:eastAsia="宋体" w:cs="宋体"/>
          <w:b/>
          <w:snapToGrid/>
          <w:color w:val="auto"/>
          <w:kern w:val="2"/>
          <w:sz w:val="24"/>
          <w:highlight w:val="none"/>
          <w:lang w:eastAsia="zh-CN"/>
        </w:rPr>
        <w:t>电子签章</w:t>
      </w:r>
      <w:r>
        <w:rPr>
          <w:rFonts w:hint="eastAsia" w:ascii="宋体" w:hAnsi="宋体" w:eastAsia="宋体" w:cs="宋体"/>
          <w:b/>
          <w:snapToGrid/>
          <w:color w:val="auto"/>
          <w:kern w:val="2"/>
          <w:sz w:val="24"/>
          <w:highlight w:val="none"/>
        </w:rPr>
        <w:t>）</w:t>
      </w:r>
    </w:p>
    <w:p w14:paraId="1A7E2D68">
      <w:pPr>
        <w:keepNext w:val="0"/>
        <w:keepLines w:val="0"/>
        <w:pageBreakBefore w:val="0"/>
        <w:widowControl w:val="0"/>
        <w:kinsoku/>
        <w:wordWrap/>
        <w:overflowPunct/>
        <w:topLinePunct w:val="0"/>
        <w:autoSpaceDE/>
        <w:autoSpaceDN/>
        <w:bidi w:val="0"/>
        <w:adjustRightInd/>
        <w:snapToGrid/>
        <w:spacing w:line="500" w:lineRule="exact"/>
        <w:ind w:left="481" w:leftChars="229"/>
        <w:jc w:val="left"/>
        <w:textAlignment w:val="auto"/>
        <w:rPr>
          <w:rFonts w:hint="eastAsia" w:ascii="宋体" w:hAnsi="宋体" w:eastAsia="宋体" w:cs="宋体"/>
          <w:b/>
          <w:snapToGrid/>
          <w:color w:val="auto"/>
          <w:kern w:val="2"/>
          <w:sz w:val="24"/>
          <w:highlight w:val="none"/>
        </w:rPr>
      </w:pPr>
      <w:r>
        <w:rPr>
          <w:rFonts w:hint="eastAsia" w:ascii="宋体" w:hAnsi="宋体" w:eastAsia="宋体" w:cs="宋体"/>
          <w:b/>
          <w:snapToGrid/>
          <w:color w:val="auto"/>
          <w:kern w:val="2"/>
          <w:sz w:val="24"/>
          <w:highlight w:val="none"/>
        </w:rPr>
        <w:t>法定代表人或授权委托人：</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w:t>
      </w:r>
      <w:r>
        <w:rPr>
          <w:rFonts w:hint="eastAsia" w:ascii="宋体" w:hAnsi="宋体" w:eastAsia="宋体" w:cs="宋体"/>
          <w:b/>
          <w:bCs w:val="0"/>
          <w:snapToGrid/>
          <w:color w:val="auto"/>
          <w:kern w:val="2"/>
          <w:sz w:val="24"/>
          <w:highlight w:val="none"/>
          <w:lang w:eastAsia="zh-CN"/>
        </w:rPr>
        <w:t>电子签章或签字</w:t>
      </w:r>
      <w:r>
        <w:rPr>
          <w:rFonts w:hint="eastAsia" w:ascii="宋体" w:hAnsi="宋体" w:eastAsia="宋体" w:cs="宋体"/>
          <w:b/>
          <w:snapToGrid/>
          <w:color w:val="auto"/>
          <w:kern w:val="2"/>
          <w:sz w:val="24"/>
          <w:highlight w:val="none"/>
        </w:rPr>
        <w:t>）</w:t>
      </w:r>
    </w:p>
    <w:p w14:paraId="407BAA88">
      <w:pPr>
        <w:keepNext w:val="0"/>
        <w:keepLines w:val="0"/>
        <w:pageBreakBefore w:val="0"/>
        <w:widowControl w:val="0"/>
        <w:kinsoku/>
        <w:wordWrap/>
        <w:overflowPunct/>
        <w:topLinePunct w:val="0"/>
        <w:autoSpaceDE/>
        <w:autoSpaceDN/>
        <w:bidi w:val="0"/>
        <w:adjustRightInd/>
        <w:snapToGrid/>
        <w:spacing w:line="500" w:lineRule="exact"/>
        <w:ind w:left="481" w:leftChars="229"/>
        <w:textAlignment w:val="auto"/>
        <w:rPr>
          <w:rFonts w:hint="eastAsia" w:ascii="宋体" w:hAnsi="宋体" w:eastAsia="宋体" w:cs="宋体"/>
          <w:snapToGrid/>
          <w:color w:val="auto"/>
          <w:kern w:val="2"/>
          <w:sz w:val="24"/>
          <w:szCs w:val="21"/>
          <w:highlight w:val="none"/>
        </w:rPr>
      </w:pPr>
      <w:r>
        <w:rPr>
          <w:rFonts w:hint="eastAsia" w:ascii="宋体" w:hAnsi="宋体" w:eastAsia="宋体" w:cs="宋体"/>
          <w:b/>
          <w:snapToGrid/>
          <w:color w:val="auto"/>
          <w:kern w:val="2"/>
          <w:sz w:val="24"/>
          <w:highlight w:val="none"/>
        </w:rPr>
        <w:t>日期：</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年</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月</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日</w:t>
      </w:r>
    </w:p>
    <w:p w14:paraId="751701A4">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p>
    <w:p w14:paraId="1F969618">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注：</w:t>
      </w:r>
    </w:p>
    <w:p w14:paraId="271CCD7A">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1、单位负责人，是指单位法定代表人或者法律、行政法规规定代表单位行使职权的主要负责人。</w:t>
      </w:r>
    </w:p>
    <w:p w14:paraId="7EF775A1">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29EF831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napToGrid/>
          <w:color w:val="auto"/>
          <w:kern w:val="2"/>
          <w:sz w:val="24"/>
          <w:highlight w:val="none"/>
        </w:rPr>
      </w:pPr>
      <w:r>
        <w:rPr>
          <w:rFonts w:hint="eastAsia" w:ascii="宋体" w:hAnsi="宋体" w:eastAsia="宋体" w:cs="宋体"/>
          <w:b/>
          <w:color w:val="auto"/>
          <w:kern w:val="0"/>
          <w:sz w:val="24"/>
          <w:szCs w:val="24"/>
          <w:highlight w:val="none"/>
          <w:lang w:val="en-US" w:eastAsia="zh-CN" w:bidi="ar-SA"/>
        </w:rPr>
        <w:t>3、直接管理关系，是指不具有出资持股关系的其他单位之间存在的直接管理与被管理关系，如上下级关系的事业单位和团体组织。</w:t>
      </w:r>
    </w:p>
    <w:p w14:paraId="2A76E10F">
      <w:pPr>
        <w:rPr>
          <w:rFonts w:hint="eastAsia" w:ascii="宋体" w:hAnsi="宋体" w:eastAsia="宋体" w:cs="Times New Roman"/>
          <w:snapToGrid/>
          <w:color w:val="auto"/>
          <w:kern w:val="2"/>
          <w:sz w:val="24"/>
          <w:highlight w:val="none"/>
        </w:rPr>
      </w:pPr>
    </w:p>
    <w:p w14:paraId="0A832E45">
      <w:pPr>
        <w:spacing w:line="360" w:lineRule="auto"/>
        <w:rPr>
          <w:rFonts w:hint="eastAsia" w:ascii="宋体" w:hAnsi="宋体" w:eastAsia="宋体" w:cs="Times New Roman"/>
          <w:snapToGrid/>
          <w:color w:val="auto"/>
          <w:kern w:val="2"/>
          <w:szCs w:val="21"/>
          <w:highlight w:val="none"/>
          <w:u w:val="single"/>
        </w:rPr>
      </w:pPr>
    </w:p>
    <w:p w14:paraId="64F2D5BC">
      <w:pPr>
        <w:spacing w:line="360" w:lineRule="auto"/>
        <w:jc w:val="center"/>
        <w:rPr>
          <w:rFonts w:ascii="宋体" w:hAnsi="宋体" w:eastAsia="宋体" w:cs="Times New Roman"/>
          <w:snapToGrid/>
          <w:color w:val="auto"/>
          <w:kern w:val="2"/>
          <w:sz w:val="24"/>
          <w:highlight w:val="none"/>
        </w:rPr>
      </w:pPr>
    </w:p>
    <w:p w14:paraId="5449F76C">
      <w:pPr>
        <w:spacing w:line="600" w:lineRule="exact"/>
        <w:rPr>
          <w:rFonts w:hint="eastAsia" w:ascii="Times New Roman" w:hAnsi="宋体" w:eastAsia="宋体" w:cs="Times New Roman"/>
          <w:b/>
          <w:snapToGrid/>
          <w:color w:val="auto"/>
          <w:kern w:val="2"/>
          <w:sz w:val="28"/>
          <w:szCs w:val="28"/>
          <w:highlight w:val="none"/>
        </w:rPr>
      </w:pPr>
      <w:r>
        <w:rPr>
          <w:rFonts w:ascii="Times New Roman" w:hAnsi="宋体" w:eastAsia="宋体" w:cs="Times New Roman"/>
          <w:b/>
          <w:snapToGrid/>
          <w:color w:val="auto"/>
          <w:kern w:val="2"/>
          <w:sz w:val="28"/>
          <w:szCs w:val="28"/>
          <w:highlight w:val="none"/>
        </w:rPr>
        <w:br w:type="page"/>
      </w:r>
      <w:r>
        <w:rPr>
          <w:rFonts w:hint="eastAsia" w:ascii="Times New Roman" w:hAnsi="宋体" w:eastAsia="宋体" w:cs="Times New Roman"/>
          <w:b/>
          <w:snapToGrid/>
          <w:color w:val="auto"/>
          <w:kern w:val="2"/>
          <w:sz w:val="28"/>
          <w:szCs w:val="28"/>
          <w:highlight w:val="none"/>
        </w:rPr>
        <w:t>格式</w:t>
      </w:r>
      <w:r>
        <w:rPr>
          <w:rFonts w:hint="eastAsia" w:ascii="Times New Roman" w:hAnsi="宋体" w:cs="Times New Roman"/>
          <w:b/>
          <w:snapToGrid/>
          <w:color w:val="auto"/>
          <w:kern w:val="2"/>
          <w:sz w:val="28"/>
          <w:szCs w:val="28"/>
          <w:highlight w:val="none"/>
          <w:lang w:val="en-US" w:eastAsia="zh-CN"/>
        </w:rPr>
        <w:t>9</w:t>
      </w:r>
      <w:r>
        <w:rPr>
          <w:rFonts w:hint="eastAsia" w:ascii="Times New Roman" w:hAnsi="宋体" w:eastAsia="宋体" w:cs="Times New Roman"/>
          <w:b/>
          <w:snapToGrid/>
          <w:color w:val="auto"/>
          <w:kern w:val="2"/>
          <w:sz w:val="28"/>
          <w:szCs w:val="28"/>
          <w:highlight w:val="none"/>
        </w:rPr>
        <w:t>：</w:t>
      </w:r>
    </w:p>
    <w:bookmarkEnd w:id="820"/>
    <w:bookmarkEnd w:id="821"/>
    <w:bookmarkEnd w:id="822"/>
    <w:bookmarkEnd w:id="823"/>
    <w:bookmarkEnd w:id="824"/>
    <w:p w14:paraId="34333A60">
      <w:pPr>
        <w:spacing w:line="360" w:lineRule="auto"/>
        <w:jc w:val="center"/>
        <w:outlineLvl w:val="2"/>
        <w:rPr>
          <w:rFonts w:ascii="Times New Roman" w:hAnsi="Times New Roman" w:eastAsia="宋体" w:cs="Times New Roman"/>
          <w:b/>
          <w:bCs/>
          <w:color w:val="auto"/>
          <w:sz w:val="28"/>
          <w:szCs w:val="28"/>
          <w:highlight w:val="none"/>
        </w:rPr>
      </w:pPr>
      <w:bookmarkStart w:id="830" w:name="_Toc415662828"/>
      <w:bookmarkStart w:id="831" w:name="_Toc83328635"/>
      <w:bookmarkStart w:id="832" w:name="_Toc347849251"/>
      <w:bookmarkStart w:id="833" w:name="_Toc383175514"/>
      <w:bookmarkStart w:id="834" w:name="_Toc46765053"/>
      <w:bookmarkStart w:id="835" w:name="_Toc82683134"/>
      <w:bookmarkStart w:id="836" w:name="_Toc516501434"/>
      <w:r>
        <w:rPr>
          <w:rFonts w:ascii="Times New Roman" w:hAnsi="Times New Roman" w:eastAsia="宋体" w:cs="Times New Roman"/>
          <w:b/>
          <w:bCs/>
          <w:color w:val="auto"/>
          <w:sz w:val="28"/>
          <w:szCs w:val="28"/>
          <w:highlight w:val="none"/>
        </w:rPr>
        <w:t>构成</w:t>
      </w:r>
      <w:r>
        <w:rPr>
          <w:rFonts w:hint="eastAsia" w:ascii="Times New Roman" w:hAnsi="Times New Roman" w:eastAsia="宋体" w:cs="Times New Roman"/>
          <w:b/>
          <w:bCs/>
          <w:color w:val="auto"/>
          <w:sz w:val="28"/>
          <w:szCs w:val="28"/>
          <w:highlight w:val="none"/>
          <w:lang w:eastAsia="zh-CN"/>
        </w:rPr>
        <w:t>响应文件</w:t>
      </w:r>
      <w:r>
        <w:rPr>
          <w:rFonts w:hint="eastAsia" w:ascii="Times New Roman" w:hAnsi="Times New Roman" w:eastAsia="宋体" w:cs="Times New Roman"/>
          <w:b/>
          <w:bCs/>
          <w:color w:val="auto"/>
          <w:sz w:val="28"/>
          <w:szCs w:val="28"/>
          <w:highlight w:val="none"/>
        </w:rPr>
        <w:t>资格证明文件</w:t>
      </w:r>
      <w:r>
        <w:rPr>
          <w:rFonts w:ascii="Times New Roman" w:hAnsi="Times New Roman" w:eastAsia="宋体" w:cs="Times New Roman"/>
          <w:b/>
          <w:bCs/>
          <w:color w:val="auto"/>
          <w:sz w:val="28"/>
          <w:szCs w:val="28"/>
          <w:highlight w:val="none"/>
        </w:rPr>
        <w:t>的其他资料</w:t>
      </w:r>
    </w:p>
    <w:p w14:paraId="1C270DF0">
      <w:pPr>
        <w:spacing w:line="588"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（若有，内容格式自拟）</w:t>
      </w:r>
    </w:p>
    <w:p w14:paraId="3D50EBBB">
      <w:pPr>
        <w:bidi w:val="0"/>
        <w:rPr>
          <w:rFonts w:hint="eastAsia"/>
          <w:color w:val="auto"/>
          <w:highlight w:val="none"/>
          <w:lang w:val="en-US" w:eastAsia="zh-CN"/>
        </w:rPr>
        <w:sectPr>
          <w:pgSz w:w="11906" w:h="16838"/>
          <w:pgMar w:top="1440" w:right="1440" w:bottom="1440" w:left="1440" w:header="850" w:footer="992" w:gutter="0"/>
          <w:pgNumType w:fmt="decimal"/>
          <w:cols w:space="0" w:num="1"/>
          <w:rtlGutter w:val="0"/>
          <w:docGrid w:type="lines" w:linePitch="317" w:charSpace="0"/>
        </w:sectPr>
      </w:pPr>
    </w:p>
    <w:p w14:paraId="1A888E80">
      <w:pPr>
        <w:numPr>
          <w:ilvl w:val="0"/>
          <w:numId w:val="0"/>
        </w:numPr>
        <w:jc w:val="center"/>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snapToGrid w:val="0"/>
          <w:color w:val="auto"/>
          <w:kern w:val="0"/>
          <w:sz w:val="32"/>
          <w:szCs w:val="32"/>
          <w:highlight w:val="none"/>
          <w:lang w:val="en-US" w:eastAsia="zh-CN" w:bidi="ar-SA"/>
        </w:rPr>
        <w:t>三、</w:t>
      </w:r>
      <w:r>
        <w:rPr>
          <w:rFonts w:hint="eastAsia" w:ascii="宋体" w:hAnsi="宋体" w:eastAsia="宋体" w:cs="宋体"/>
          <w:b/>
          <w:bCs/>
          <w:color w:val="auto"/>
          <w:kern w:val="0"/>
          <w:sz w:val="32"/>
          <w:szCs w:val="32"/>
          <w:highlight w:val="none"/>
          <w:lang w:val="en-US" w:eastAsia="zh-CN" w:bidi="ar-SA"/>
        </w:rPr>
        <w:t>技术部分</w:t>
      </w:r>
    </w:p>
    <w:p w14:paraId="135A52E7">
      <w:pPr>
        <w:spacing w:before="91" w:line="220" w:lineRule="auto"/>
        <w:ind w:left="3927"/>
        <w:rPr>
          <w:rFonts w:ascii="宋体" w:hAnsi="宋体" w:eastAsia="宋体" w:cs="宋体"/>
          <w:sz w:val="28"/>
          <w:szCs w:val="28"/>
        </w:rPr>
      </w:pPr>
      <w:r>
        <w:rPr>
          <w:rFonts w:ascii="宋体" w:hAnsi="宋体" w:eastAsia="宋体" w:cs="宋体"/>
          <w:b/>
          <w:bCs/>
          <w:spacing w:val="-5"/>
          <w:sz w:val="28"/>
          <w:szCs w:val="28"/>
        </w:rPr>
        <w:t>（一）技术方案</w:t>
      </w:r>
    </w:p>
    <w:p w14:paraId="42DDB13E">
      <w:pPr>
        <w:pStyle w:val="7"/>
        <w:spacing w:line="379" w:lineRule="auto"/>
      </w:pPr>
    </w:p>
    <w:p w14:paraId="5D90203F">
      <w:pPr>
        <w:spacing w:before="147"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2DE3FFA4">
      <w:pPr>
        <w:pStyle w:val="7"/>
        <w:spacing w:line="250" w:lineRule="auto"/>
      </w:pPr>
    </w:p>
    <w:p w14:paraId="1AA082DF">
      <w:pPr>
        <w:spacing w:before="91" w:line="220" w:lineRule="auto"/>
        <w:ind w:left="2943"/>
        <w:rPr>
          <w:rFonts w:ascii="宋体" w:hAnsi="宋体" w:eastAsia="宋体" w:cs="宋体"/>
          <w:sz w:val="28"/>
          <w:szCs w:val="28"/>
        </w:rPr>
      </w:pPr>
      <w:r>
        <w:rPr>
          <w:rFonts w:ascii="宋体" w:hAnsi="宋体" w:eastAsia="宋体" w:cs="宋体"/>
          <w:b/>
          <w:bCs/>
          <w:spacing w:val="-4"/>
          <w:sz w:val="28"/>
          <w:szCs w:val="28"/>
        </w:rPr>
        <w:t>（二）质量承诺及保证措施</w:t>
      </w:r>
    </w:p>
    <w:p w14:paraId="7FD0F96D">
      <w:pPr>
        <w:spacing w:before="15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0FEC88C1">
      <w:pPr>
        <w:spacing w:before="319" w:line="220" w:lineRule="auto"/>
        <w:ind w:left="2803"/>
        <w:rPr>
          <w:rFonts w:ascii="宋体" w:hAnsi="宋体" w:eastAsia="宋体" w:cs="宋体"/>
          <w:sz w:val="28"/>
          <w:szCs w:val="28"/>
        </w:rPr>
      </w:pPr>
      <w:r>
        <w:rPr>
          <w:rFonts w:ascii="宋体" w:hAnsi="宋体" w:eastAsia="宋体" w:cs="宋体"/>
          <w:b/>
          <w:bCs/>
          <w:spacing w:val="-4"/>
          <w:sz w:val="28"/>
          <w:szCs w:val="28"/>
        </w:rPr>
        <w:t>（三）安全文明施工保证措施</w:t>
      </w:r>
    </w:p>
    <w:p w14:paraId="6CB2D98D">
      <w:pPr>
        <w:spacing w:before="78"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79B935B0">
      <w:pPr>
        <w:spacing w:before="283" w:line="220" w:lineRule="auto"/>
        <w:ind w:left="2662"/>
        <w:rPr>
          <w:rFonts w:ascii="宋体" w:hAnsi="宋体" w:eastAsia="宋体" w:cs="宋体"/>
          <w:sz w:val="28"/>
          <w:szCs w:val="28"/>
        </w:rPr>
      </w:pPr>
      <w:r>
        <w:rPr>
          <w:rFonts w:ascii="宋体" w:hAnsi="宋体" w:eastAsia="宋体" w:cs="宋体"/>
          <w:b/>
          <w:bCs/>
          <w:spacing w:val="-4"/>
          <w:sz w:val="28"/>
          <w:szCs w:val="28"/>
        </w:rPr>
        <w:t>（四）环境保护管理体系与措施</w:t>
      </w:r>
    </w:p>
    <w:p w14:paraId="55C7C0F4">
      <w:pPr>
        <w:spacing w:before="27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14501782">
      <w:pPr>
        <w:spacing w:before="283" w:line="220" w:lineRule="auto"/>
        <w:ind w:left="2943"/>
        <w:rPr>
          <w:rFonts w:ascii="宋体" w:hAnsi="宋体" w:eastAsia="宋体" w:cs="宋体"/>
          <w:sz w:val="28"/>
          <w:szCs w:val="28"/>
        </w:rPr>
      </w:pPr>
      <w:r>
        <w:rPr>
          <w:rFonts w:ascii="宋体" w:hAnsi="宋体" w:eastAsia="宋体" w:cs="宋体"/>
          <w:b/>
          <w:bCs/>
          <w:spacing w:val="-4"/>
          <w:sz w:val="28"/>
          <w:szCs w:val="28"/>
        </w:rPr>
        <w:t>（五）工期承诺及保证措施</w:t>
      </w:r>
    </w:p>
    <w:p w14:paraId="5E3C6840">
      <w:pPr>
        <w:spacing w:before="27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440F064B">
      <w:pPr>
        <w:spacing w:before="283" w:line="219" w:lineRule="auto"/>
        <w:ind w:left="1539"/>
        <w:rPr>
          <w:rFonts w:ascii="宋体" w:hAnsi="宋体" w:eastAsia="宋体" w:cs="宋体"/>
          <w:sz w:val="28"/>
          <w:szCs w:val="28"/>
        </w:rPr>
      </w:pPr>
      <w:r>
        <w:rPr>
          <w:rFonts w:ascii="宋体" w:hAnsi="宋体" w:eastAsia="宋体" w:cs="宋体"/>
          <w:b/>
          <w:bCs/>
          <w:spacing w:val="-3"/>
          <w:sz w:val="28"/>
          <w:szCs w:val="28"/>
        </w:rPr>
        <w:t>（六）施工机械投入、劳动力安排和周转材料计划</w:t>
      </w:r>
    </w:p>
    <w:p w14:paraId="7764E398">
      <w:pPr>
        <w:pageBreakBefore w:val="0"/>
        <w:kinsoku/>
        <w:wordWrap/>
        <w:overflowPunct/>
        <w:topLinePunct w:val="0"/>
        <w:autoSpaceDN/>
        <w:bidi w:val="0"/>
        <w:adjustRightInd/>
        <w:snapToGrid/>
        <w:spacing w:line="500" w:lineRule="exact"/>
        <w:jc w:val="left"/>
        <w:textAlignment w:val="auto"/>
        <w:outlineLvl w:val="2"/>
        <w:rPr>
          <w:rFonts w:hint="eastAsia" w:ascii="宋体" w:hAnsi="宋体" w:eastAsia="宋体" w:cs="宋体"/>
          <w:b/>
          <w:bCs/>
          <w:color w:val="auto"/>
          <w:sz w:val="24"/>
          <w:szCs w:val="24"/>
          <w:highlight w:val="none"/>
          <w:lang w:val="en-US" w:eastAsia="zh-CN"/>
        </w:rPr>
      </w:pPr>
      <w:r>
        <w:rPr>
          <w:rFonts w:ascii="宋体" w:hAnsi="宋体" w:eastAsia="宋体" w:cs="宋体"/>
          <w:spacing w:val="-1"/>
          <w:sz w:val="24"/>
          <w:szCs w:val="24"/>
        </w:rPr>
        <w:t>根据评审标准，格式自拟</w:t>
      </w:r>
    </w:p>
    <w:p w14:paraId="1D680EE0">
      <w:pPr>
        <w:bidi w:val="0"/>
        <w:rPr>
          <w:rFonts w:hint="eastAsia" w:ascii="宋体" w:hAnsi="宋体" w:eastAsia="宋体" w:cs="宋体"/>
          <w:color w:val="auto"/>
          <w:highlight w:val="none"/>
          <w:lang w:val="en-US" w:eastAsia="zh-CN"/>
        </w:rPr>
      </w:pPr>
    </w:p>
    <w:p w14:paraId="65C70F57">
      <w:pPr>
        <w:jc w:val="center"/>
        <w:rPr>
          <w:rFonts w:hint="eastAsia" w:ascii="宋体" w:hAnsi="宋体" w:eastAsia="宋体" w:cs="宋体"/>
          <w:b/>
          <w:bCs w:val="0"/>
          <w:color w:val="000000"/>
          <w:sz w:val="28"/>
          <w:szCs w:val="28"/>
        </w:rPr>
      </w:pPr>
      <w:r>
        <w:rPr>
          <w:rFonts w:hint="eastAsia" w:ascii="宋体" w:hAnsi="宋体" w:eastAsia="宋体" w:cs="宋体"/>
          <w:b/>
          <w:bCs/>
          <w:snapToGrid w:val="0"/>
          <w:kern w:val="21"/>
          <w:sz w:val="28"/>
          <w:szCs w:val="28"/>
          <w:highlight w:val="none"/>
          <w:lang w:val="en-US" w:eastAsia="zh-CN" w:bidi="ar-SA"/>
        </w:rPr>
        <w:t>（</w:t>
      </w:r>
      <w:r>
        <w:rPr>
          <w:rFonts w:hint="eastAsia" w:hAnsi="宋体" w:cs="宋体"/>
          <w:b/>
          <w:bCs/>
          <w:snapToGrid w:val="0"/>
          <w:kern w:val="21"/>
          <w:sz w:val="28"/>
          <w:szCs w:val="28"/>
          <w:highlight w:val="none"/>
          <w:lang w:val="en-US" w:eastAsia="zh-CN" w:bidi="ar-SA"/>
        </w:rPr>
        <w:t>七</w:t>
      </w:r>
      <w:r>
        <w:rPr>
          <w:rFonts w:hint="eastAsia" w:ascii="宋体" w:hAnsi="宋体" w:eastAsia="宋体" w:cs="宋体"/>
          <w:b/>
          <w:bCs/>
          <w:snapToGrid w:val="0"/>
          <w:kern w:val="21"/>
          <w:sz w:val="28"/>
          <w:szCs w:val="28"/>
          <w:highlight w:val="none"/>
          <w:lang w:val="en-US" w:eastAsia="zh-CN" w:bidi="ar-SA"/>
        </w:rPr>
        <w:t>）</w:t>
      </w:r>
      <w:bookmarkStart w:id="837" w:name="_Toc496122216"/>
      <w:r>
        <w:rPr>
          <w:rFonts w:hint="eastAsia" w:ascii="宋体" w:hAnsi="宋体" w:eastAsia="宋体" w:cs="宋体"/>
          <w:b/>
          <w:bCs w:val="0"/>
          <w:color w:val="000000"/>
          <w:sz w:val="28"/>
          <w:szCs w:val="28"/>
        </w:rPr>
        <w:t>构成</w:t>
      </w:r>
      <w:r>
        <w:rPr>
          <w:rFonts w:hint="eastAsia" w:ascii="宋体" w:hAnsi="宋体" w:eastAsia="宋体" w:cs="宋体"/>
          <w:b/>
          <w:bCs w:val="0"/>
          <w:color w:val="000000"/>
          <w:sz w:val="28"/>
          <w:szCs w:val="28"/>
          <w:lang w:val="en-US" w:eastAsia="zh-CN"/>
        </w:rPr>
        <w:t>响应</w:t>
      </w:r>
      <w:r>
        <w:rPr>
          <w:rFonts w:hint="eastAsia" w:ascii="宋体" w:hAnsi="宋体" w:eastAsia="宋体" w:cs="宋体"/>
          <w:b/>
          <w:bCs w:val="0"/>
          <w:color w:val="000000"/>
          <w:sz w:val="28"/>
          <w:szCs w:val="28"/>
        </w:rPr>
        <w:t>文件技术部分的其他资料</w:t>
      </w:r>
      <w:bookmarkEnd w:id="837"/>
    </w:p>
    <w:p w14:paraId="14CB6F0D">
      <w:pPr>
        <w:jc w:val="center"/>
        <w:rPr>
          <w:rFonts w:hint="eastAsia" w:ascii="宋体" w:hAnsi="宋体" w:eastAsia="宋体" w:cs="宋体"/>
          <w:snapToGrid/>
          <w:kern w:val="2"/>
          <w:sz w:val="24"/>
          <w:szCs w:val="21"/>
        </w:rPr>
      </w:pP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格式自拟</w:t>
      </w:r>
      <w:r>
        <w:rPr>
          <w:rFonts w:hint="eastAsia" w:ascii="宋体" w:hAnsi="宋体" w:eastAsia="宋体" w:cs="宋体"/>
          <w:b w:val="0"/>
          <w:bCs/>
          <w:color w:val="000000"/>
          <w:sz w:val="24"/>
          <w:szCs w:val="24"/>
          <w:lang w:eastAsia="zh-CN"/>
        </w:rPr>
        <w:t>）</w:t>
      </w:r>
    </w:p>
    <w:p w14:paraId="0B941E9E">
      <w:pPr>
        <w:bidi w:val="0"/>
        <w:rPr>
          <w:rFonts w:hint="eastAsia" w:ascii="宋体" w:hAnsi="宋体" w:eastAsia="宋体" w:cs="宋体"/>
          <w:lang w:val="zh-CN"/>
        </w:rPr>
        <w:sectPr>
          <w:pgSz w:w="11906" w:h="16838"/>
          <w:pgMar w:top="1418" w:right="1418" w:bottom="1418" w:left="1418" w:header="851" w:footer="992" w:gutter="0"/>
          <w:pgNumType w:fmt="decimal"/>
          <w:cols w:space="720" w:num="1"/>
          <w:docGrid w:type="lines" w:linePitch="312" w:charSpace="0"/>
        </w:sectPr>
      </w:pPr>
    </w:p>
    <w:p w14:paraId="05DD265E">
      <w:pPr>
        <w:jc w:val="center"/>
        <w:rPr>
          <w:rFonts w:hint="eastAsia" w:eastAsia="宋体"/>
          <w:b/>
          <w:color w:val="auto"/>
          <w:sz w:val="32"/>
          <w:szCs w:val="32"/>
          <w:highlight w:val="none"/>
          <w:lang w:eastAsia="zh-CN"/>
        </w:rPr>
      </w:pPr>
      <w:r>
        <w:rPr>
          <w:rFonts w:hint="eastAsia"/>
          <w:b/>
          <w:color w:val="auto"/>
          <w:sz w:val="32"/>
          <w:szCs w:val="32"/>
          <w:highlight w:val="none"/>
          <w:lang w:eastAsia="zh-CN"/>
        </w:rPr>
        <w:t>四、商务部分</w:t>
      </w:r>
    </w:p>
    <w:p w14:paraId="14FD7CF8">
      <w:pPr>
        <w:jc w:val="both"/>
        <w:outlineLvl w:val="2"/>
        <w:rPr>
          <w:rFonts w:hint="eastAsia" w:ascii="宋体" w:hAnsi="宋体" w:cs="宋体"/>
          <w:b/>
          <w:color w:val="auto"/>
          <w:sz w:val="28"/>
          <w:szCs w:val="28"/>
          <w:highlight w:val="none"/>
        </w:rPr>
      </w:pPr>
      <w:bookmarkStart w:id="838" w:name="_Toc166067769"/>
      <w:bookmarkStart w:id="839" w:name="_Toc13075"/>
      <w:bookmarkStart w:id="840" w:name="_Toc508636835"/>
      <w:bookmarkStart w:id="841" w:name="_Toc46334346"/>
      <w:bookmarkStart w:id="842" w:name="_Toc80973395"/>
      <w:bookmarkStart w:id="843" w:name="_Toc169627229"/>
      <w:bookmarkStart w:id="844" w:name="_Toc509829319"/>
      <w:bookmarkStart w:id="845" w:name="_Toc14854"/>
      <w:bookmarkStart w:id="846" w:name="_Toc496521006"/>
      <w:bookmarkStart w:id="847" w:name="_Toc172558821"/>
      <w:bookmarkStart w:id="848" w:name="_Toc493600038"/>
      <w:r>
        <w:rPr>
          <w:rFonts w:hint="eastAsia" w:ascii="宋体" w:hAnsi="宋体" w:cs="宋体"/>
          <w:b/>
          <w:color w:val="auto"/>
          <w:sz w:val="28"/>
          <w:szCs w:val="28"/>
          <w:highlight w:val="none"/>
        </w:rPr>
        <w:t>格式1：</w:t>
      </w:r>
    </w:p>
    <w:p w14:paraId="23E73BA4">
      <w:pPr>
        <w:jc w:val="center"/>
        <w:outlineLvl w:val="2"/>
        <w:rPr>
          <w:rFonts w:ascii="Times New Roman" w:hAnsi="Times New Roman"/>
          <w:b/>
          <w:bCs/>
          <w:color w:val="auto"/>
          <w:sz w:val="28"/>
          <w:szCs w:val="28"/>
          <w:highlight w:val="none"/>
        </w:rPr>
      </w:pPr>
      <w:r>
        <w:rPr>
          <w:rFonts w:hint="eastAsia" w:ascii="Times New Roman" w:hAnsi="Times New Roman"/>
          <w:b/>
          <w:bCs/>
          <w:color w:val="auto"/>
          <w:sz w:val="28"/>
          <w:szCs w:val="28"/>
          <w:highlight w:val="none"/>
          <w:lang w:eastAsia="zh-CN"/>
        </w:rPr>
        <w:t>供应商</w:t>
      </w:r>
      <w:r>
        <w:rPr>
          <w:rFonts w:ascii="Times New Roman" w:hAnsi="Times New Roman"/>
          <w:b/>
          <w:bCs/>
          <w:color w:val="auto"/>
          <w:sz w:val="28"/>
          <w:szCs w:val="28"/>
          <w:highlight w:val="none"/>
        </w:rPr>
        <w:t>信息表</w:t>
      </w:r>
      <w:bookmarkEnd w:id="838"/>
      <w:bookmarkEnd w:id="839"/>
      <w:bookmarkEnd w:id="840"/>
      <w:bookmarkEnd w:id="841"/>
      <w:bookmarkEnd w:id="842"/>
      <w:bookmarkEnd w:id="843"/>
      <w:bookmarkEnd w:id="844"/>
      <w:bookmarkEnd w:id="845"/>
      <w:bookmarkEnd w:id="846"/>
      <w:bookmarkEnd w:id="847"/>
      <w:bookmarkEnd w:id="848"/>
    </w:p>
    <w:p w14:paraId="559785E7">
      <w:pPr>
        <w:pStyle w:val="9"/>
        <w:jc w:val="center"/>
        <w:rPr>
          <w:rFonts w:ascii="Times New Roman" w:hAnsi="Times New Roman"/>
          <w:b/>
          <w:color w:val="auto"/>
          <w:highlight w:val="none"/>
        </w:rPr>
      </w:pPr>
      <w:r>
        <w:rPr>
          <w:rFonts w:ascii="Times New Roman" w:hAnsi="Times New Roman"/>
          <w:b/>
          <w:color w:val="auto"/>
          <w:highlight w:val="none"/>
        </w:rPr>
        <w:t>（请</w:t>
      </w:r>
      <w:r>
        <w:rPr>
          <w:rFonts w:hint="eastAsia" w:ascii="Times New Roman" w:hAnsi="Times New Roman"/>
          <w:b/>
          <w:color w:val="auto"/>
          <w:highlight w:val="none"/>
          <w:lang w:eastAsia="zh-CN"/>
        </w:rPr>
        <w:t>供应商</w:t>
      </w:r>
      <w:r>
        <w:rPr>
          <w:rFonts w:ascii="Times New Roman" w:hAnsi="Times New Roman"/>
          <w:b/>
          <w:color w:val="auto"/>
          <w:highlight w:val="none"/>
        </w:rPr>
        <w:t>如实填写本表信息）</w:t>
      </w:r>
    </w:p>
    <w:tbl>
      <w:tblPr>
        <w:tblStyle w:val="1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8"/>
        <w:gridCol w:w="950"/>
        <w:gridCol w:w="885"/>
        <w:gridCol w:w="993"/>
        <w:gridCol w:w="283"/>
        <w:gridCol w:w="195"/>
        <w:gridCol w:w="1246"/>
        <w:gridCol w:w="260"/>
        <w:gridCol w:w="709"/>
        <w:gridCol w:w="1416"/>
      </w:tblGrid>
      <w:tr w14:paraId="686B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7A33EE71">
            <w:pPr>
              <w:jc w:val="center"/>
              <w:rPr>
                <w:rFonts w:hint="eastAsia" w:ascii="宋体" w:hAnsi="宋体" w:eastAsia="宋体" w:cs="宋体"/>
                <w:sz w:val="24"/>
                <w:szCs w:val="24"/>
              </w:rPr>
            </w:pPr>
            <w:r>
              <w:rPr>
                <w:rFonts w:hint="eastAsia" w:ascii="宋体" w:hAnsi="宋体" w:eastAsia="宋体" w:cs="宋体"/>
                <w:sz w:val="24"/>
                <w:szCs w:val="24"/>
              </w:rPr>
              <w:t>供应商全称</w:t>
            </w:r>
          </w:p>
        </w:tc>
        <w:tc>
          <w:tcPr>
            <w:tcW w:w="6937" w:type="dxa"/>
            <w:gridSpan w:val="9"/>
            <w:noWrap w:val="0"/>
            <w:vAlign w:val="center"/>
          </w:tcPr>
          <w:p w14:paraId="2604EC2D">
            <w:pPr>
              <w:jc w:val="center"/>
              <w:rPr>
                <w:rFonts w:hint="eastAsia" w:ascii="宋体" w:hAnsi="宋体" w:eastAsia="宋体" w:cs="宋体"/>
                <w:sz w:val="24"/>
                <w:szCs w:val="24"/>
              </w:rPr>
            </w:pPr>
          </w:p>
        </w:tc>
      </w:tr>
      <w:tr w14:paraId="3B87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675CA93B">
            <w:pPr>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3306" w:type="dxa"/>
            <w:gridSpan w:val="5"/>
            <w:noWrap w:val="0"/>
            <w:vAlign w:val="center"/>
          </w:tcPr>
          <w:p w14:paraId="330D3B7E">
            <w:pPr>
              <w:jc w:val="center"/>
              <w:rPr>
                <w:rFonts w:hint="eastAsia" w:ascii="宋体" w:hAnsi="宋体" w:eastAsia="宋体" w:cs="宋体"/>
                <w:sz w:val="24"/>
                <w:szCs w:val="24"/>
              </w:rPr>
            </w:pPr>
          </w:p>
        </w:tc>
        <w:tc>
          <w:tcPr>
            <w:tcW w:w="1246" w:type="dxa"/>
            <w:noWrap w:val="0"/>
            <w:vAlign w:val="center"/>
          </w:tcPr>
          <w:p w14:paraId="7451D296">
            <w:pPr>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385" w:type="dxa"/>
            <w:gridSpan w:val="3"/>
            <w:noWrap w:val="0"/>
            <w:vAlign w:val="center"/>
          </w:tcPr>
          <w:p w14:paraId="7FE3FE6D">
            <w:pPr>
              <w:jc w:val="center"/>
              <w:rPr>
                <w:rFonts w:hint="eastAsia" w:ascii="宋体" w:hAnsi="宋体" w:eastAsia="宋体" w:cs="宋体"/>
                <w:sz w:val="24"/>
                <w:szCs w:val="24"/>
              </w:rPr>
            </w:pPr>
          </w:p>
        </w:tc>
      </w:tr>
      <w:tr w14:paraId="35687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vMerge w:val="restart"/>
            <w:noWrap w:val="0"/>
            <w:vAlign w:val="center"/>
          </w:tcPr>
          <w:p w14:paraId="6FAAA00E">
            <w:pPr>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950" w:type="dxa"/>
            <w:noWrap w:val="0"/>
            <w:vAlign w:val="center"/>
          </w:tcPr>
          <w:p w14:paraId="409EDF04">
            <w:pPr>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356" w:type="dxa"/>
            <w:gridSpan w:val="4"/>
            <w:noWrap w:val="0"/>
            <w:vAlign w:val="center"/>
          </w:tcPr>
          <w:p w14:paraId="3B30CFB1">
            <w:pPr>
              <w:jc w:val="center"/>
              <w:rPr>
                <w:rFonts w:hint="eastAsia" w:ascii="宋体" w:hAnsi="宋体" w:eastAsia="宋体" w:cs="宋体"/>
                <w:sz w:val="24"/>
                <w:szCs w:val="24"/>
              </w:rPr>
            </w:pPr>
          </w:p>
        </w:tc>
        <w:tc>
          <w:tcPr>
            <w:tcW w:w="1246" w:type="dxa"/>
            <w:noWrap w:val="0"/>
            <w:vAlign w:val="center"/>
          </w:tcPr>
          <w:p w14:paraId="7E15778C">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385" w:type="dxa"/>
            <w:gridSpan w:val="3"/>
            <w:noWrap w:val="0"/>
            <w:vAlign w:val="center"/>
          </w:tcPr>
          <w:p w14:paraId="3E24846F">
            <w:pPr>
              <w:jc w:val="center"/>
              <w:rPr>
                <w:rFonts w:hint="eastAsia" w:ascii="宋体" w:hAnsi="宋体" w:eastAsia="宋体" w:cs="宋体"/>
                <w:sz w:val="24"/>
                <w:szCs w:val="24"/>
              </w:rPr>
            </w:pPr>
          </w:p>
        </w:tc>
      </w:tr>
      <w:tr w14:paraId="583C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vMerge w:val="continue"/>
            <w:noWrap w:val="0"/>
            <w:vAlign w:val="center"/>
          </w:tcPr>
          <w:p w14:paraId="45D9618B">
            <w:pPr>
              <w:jc w:val="center"/>
              <w:rPr>
                <w:rFonts w:hint="eastAsia" w:ascii="宋体" w:hAnsi="宋体" w:eastAsia="宋体" w:cs="宋体"/>
                <w:sz w:val="24"/>
                <w:szCs w:val="24"/>
              </w:rPr>
            </w:pPr>
          </w:p>
        </w:tc>
        <w:tc>
          <w:tcPr>
            <w:tcW w:w="950" w:type="dxa"/>
            <w:noWrap w:val="0"/>
            <w:vAlign w:val="center"/>
          </w:tcPr>
          <w:p w14:paraId="1D42415A">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356" w:type="dxa"/>
            <w:gridSpan w:val="4"/>
            <w:noWrap w:val="0"/>
            <w:vAlign w:val="center"/>
          </w:tcPr>
          <w:p w14:paraId="673D76DA">
            <w:pPr>
              <w:jc w:val="center"/>
              <w:rPr>
                <w:rFonts w:hint="eastAsia" w:ascii="宋体" w:hAnsi="宋体" w:eastAsia="宋体" w:cs="宋体"/>
                <w:sz w:val="24"/>
                <w:szCs w:val="24"/>
              </w:rPr>
            </w:pPr>
          </w:p>
        </w:tc>
        <w:tc>
          <w:tcPr>
            <w:tcW w:w="1246" w:type="dxa"/>
            <w:noWrap w:val="0"/>
            <w:vAlign w:val="center"/>
          </w:tcPr>
          <w:p w14:paraId="09A15E41">
            <w:pPr>
              <w:jc w:val="center"/>
              <w:rPr>
                <w:rFonts w:hint="eastAsia" w:ascii="宋体" w:hAnsi="宋体" w:eastAsia="宋体" w:cs="宋体"/>
                <w:sz w:val="24"/>
                <w:szCs w:val="24"/>
              </w:rPr>
            </w:pPr>
            <w:r>
              <w:rPr>
                <w:rFonts w:hint="eastAsia" w:ascii="宋体" w:hAnsi="宋体" w:eastAsia="宋体" w:cs="宋体"/>
                <w:sz w:val="24"/>
                <w:szCs w:val="24"/>
              </w:rPr>
              <w:t>网  址</w:t>
            </w:r>
          </w:p>
        </w:tc>
        <w:tc>
          <w:tcPr>
            <w:tcW w:w="2385" w:type="dxa"/>
            <w:gridSpan w:val="3"/>
            <w:noWrap w:val="0"/>
            <w:vAlign w:val="center"/>
          </w:tcPr>
          <w:p w14:paraId="76F98B9A">
            <w:pPr>
              <w:jc w:val="center"/>
              <w:rPr>
                <w:rFonts w:hint="eastAsia" w:ascii="宋体" w:hAnsi="宋体" w:eastAsia="宋体" w:cs="宋体"/>
                <w:sz w:val="24"/>
                <w:szCs w:val="24"/>
              </w:rPr>
            </w:pPr>
          </w:p>
        </w:tc>
      </w:tr>
      <w:tr w14:paraId="3B9E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C67DFF4">
            <w:pPr>
              <w:jc w:val="center"/>
              <w:rPr>
                <w:rFonts w:hint="eastAsia" w:ascii="宋体" w:hAnsi="宋体" w:eastAsia="宋体" w:cs="宋体"/>
                <w:sz w:val="24"/>
                <w:szCs w:val="24"/>
              </w:rPr>
            </w:pPr>
            <w:r>
              <w:rPr>
                <w:rFonts w:hint="eastAsia" w:ascii="宋体" w:hAnsi="宋体" w:eastAsia="宋体" w:cs="宋体"/>
                <w:sz w:val="24"/>
                <w:szCs w:val="24"/>
              </w:rPr>
              <w:t>组织结构</w:t>
            </w:r>
          </w:p>
        </w:tc>
        <w:tc>
          <w:tcPr>
            <w:tcW w:w="6937" w:type="dxa"/>
            <w:gridSpan w:val="9"/>
            <w:noWrap w:val="0"/>
            <w:vAlign w:val="center"/>
          </w:tcPr>
          <w:p w14:paraId="0B810EFF">
            <w:pPr>
              <w:jc w:val="center"/>
              <w:rPr>
                <w:rFonts w:hint="eastAsia" w:ascii="宋体" w:hAnsi="宋体" w:eastAsia="宋体" w:cs="宋体"/>
                <w:sz w:val="24"/>
                <w:szCs w:val="24"/>
              </w:rPr>
            </w:pPr>
          </w:p>
        </w:tc>
      </w:tr>
      <w:tr w14:paraId="449B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015C25F7">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950" w:type="dxa"/>
            <w:noWrap w:val="0"/>
            <w:vAlign w:val="center"/>
          </w:tcPr>
          <w:p w14:paraId="011E4AEA">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885" w:type="dxa"/>
            <w:noWrap w:val="0"/>
            <w:vAlign w:val="center"/>
          </w:tcPr>
          <w:p w14:paraId="6603804C">
            <w:pPr>
              <w:jc w:val="center"/>
              <w:rPr>
                <w:rFonts w:hint="eastAsia" w:ascii="宋体" w:hAnsi="宋体" w:eastAsia="宋体" w:cs="宋体"/>
                <w:sz w:val="24"/>
                <w:szCs w:val="24"/>
              </w:rPr>
            </w:pPr>
          </w:p>
        </w:tc>
        <w:tc>
          <w:tcPr>
            <w:tcW w:w="1276" w:type="dxa"/>
            <w:gridSpan w:val="2"/>
            <w:noWrap w:val="0"/>
            <w:vAlign w:val="center"/>
          </w:tcPr>
          <w:p w14:paraId="1F0A886B">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701" w:type="dxa"/>
            <w:gridSpan w:val="3"/>
            <w:noWrap w:val="0"/>
            <w:vAlign w:val="center"/>
          </w:tcPr>
          <w:p w14:paraId="5997E933">
            <w:pPr>
              <w:jc w:val="center"/>
              <w:rPr>
                <w:rFonts w:hint="eastAsia" w:ascii="宋体" w:hAnsi="宋体" w:eastAsia="宋体" w:cs="宋体"/>
                <w:sz w:val="24"/>
                <w:szCs w:val="24"/>
              </w:rPr>
            </w:pPr>
          </w:p>
        </w:tc>
        <w:tc>
          <w:tcPr>
            <w:tcW w:w="709" w:type="dxa"/>
            <w:noWrap w:val="0"/>
            <w:vAlign w:val="center"/>
          </w:tcPr>
          <w:p w14:paraId="66B0A98E">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1416" w:type="dxa"/>
            <w:noWrap w:val="0"/>
            <w:vAlign w:val="center"/>
          </w:tcPr>
          <w:p w14:paraId="669B8807">
            <w:pPr>
              <w:jc w:val="center"/>
              <w:rPr>
                <w:rFonts w:hint="eastAsia" w:ascii="宋体" w:hAnsi="宋体" w:eastAsia="宋体" w:cs="宋体"/>
                <w:sz w:val="24"/>
                <w:szCs w:val="24"/>
              </w:rPr>
            </w:pPr>
          </w:p>
        </w:tc>
      </w:tr>
      <w:tr w14:paraId="32DA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35751833">
            <w:pPr>
              <w:jc w:val="center"/>
              <w:rPr>
                <w:rFonts w:hint="eastAsia" w:ascii="宋体" w:hAnsi="宋体" w:eastAsia="宋体" w:cs="宋体"/>
                <w:sz w:val="24"/>
                <w:szCs w:val="24"/>
              </w:rPr>
            </w:pPr>
            <w:r>
              <w:rPr>
                <w:rFonts w:hint="eastAsia" w:ascii="宋体" w:hAnsi="宋体" w:eastAsia="宋体" w:cs="宋体"/>
                <w:sz w:val="24"/>
                <w:szCs w:val="24"/>
              </w:rPr>
              <w:t>技术负责人</w:t>
            </w:r>
          </w:p>
        </w:tc>
        <w:tc>
          <w:tcPr>
            <w:tcW w:w="950" w:type="dxa"/>
            <w:noWrap w:val="0"/>
            <w:vAlign w:val="center"/>
          </w:tcPr>
          <w:p w14:paraId="4698A365">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885" w:type="dxa"/>
            <w:noWrap w:val="0"/>
            <w:vAlign w:val="center"/>
          </w:tcPr>
          <w:p w14:paraId="4C13FCA4">
            <w:pPr>
              <w:jc w:val="center"/>
              <w:rPr>
                <w:rFonts w:hint="eastAsia" w:ascii="宋体" w:hAnsi="宋体" w:eastAsia="宋体" w:cs="宋体"/>
                <w:sz w:val="24"/>
                <w:szCs w:val="24"/>
              </w:rPr>
            </w:pPr>
          </w:p>
        </w:tc>
        <w:tc>
          <w:tcPr>
            <w:tcW w:w="1276" w:type="dxa"/>
            <w:gridSpan w:val="2"/>
            <w:noWrap w:val="0"/>
            <w:vAlign w:val="center"/>
          </w:tcPr>
          <w:p w14:paraId="590D2BA1">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701" w:type="dxa"/>
            <w:gridSpan w:val="3"/>
            <w:noWrap w:val="0"/>
            <w:vAlign w:val="center"/>
          </w:tcPr>
          <w:p w14:paraId="5118DB4C">
            <w:pPr>
              <w:jc w:val="center"/>
              <w:rPr>
                <w:rFonts w:hint="eastAsia" w:ascii="宋体" w:hAnsi="宋体" w:eastAsia="宋体" w:cs="宋体"/>
                <w:sz w:val="24"/>
                <w:szCs w:val="24"/>
              </w:rPr>
            </w:pPr>
          </w:p>
        </w:tc>
        <w:tc>
          <w:tcPr>
            <w:tcW w:w="709" w:type="dxa"/>
            <w:noWrap w:val="0"/>
            <w:vAlign w:val="center"/>
          </w:tcPr>
          <w:p w14:paraId="090C8618">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1416" w:type="dxa"/>
            <w:noWrap w:val="0"/>
            <w:vAlign w:val="center"/>
          </w:tcPr>
          <w:p w14:paraId="602DD907">
            <w:pPr>
              <w:jc w:val="center"/>
              <w:rPr>
                <w:rFonts w:hint="eastAsia" w:ascii="宋体" w:hAnsi="宋体" w:eastAsia="宋体" w:cs="宋体"/>
                <w:sz w:val="24"/>
                <w:szCs w:val="24"/>
              </w:rPr>
            </w:pPr>
          </w:p>
        </w:tc>
      </w:tr>
      <w:tr w14:paraId="65A9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29EBBC0E">
            <w:pPr>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1835" w:type="dxa"/>
            <w:gridSpan w:val="2"/>
            <w:noWrap w:val="0"/>
            <w:vAlign w:val="center"/>
          </w:tcPr>
          <w:p w14:paraId="529B41E6">
            <w:pPr>
              <w:jc w:val="center"/>
              <w:rPr>
                <w:rFonts w:hint="eastAsia" w:ascii="宋体" w:hAnsi="宋体" w:eastAsia="宋体" w:cs="宋体"/>
                <w:sz w:val="24"/>
                <w:szCs w:val="24"/>
              </w:rPr>
            </w:pPr>
          </w:p>
        </w:tc>
        <w:tc>
          <w:tcPr>
            <w:tcW w:w="5102" w:type="dxa"/>
            <w:gridSpan w:val="7"/>
            <w:noWrap w:val="0"/>
            <w:vAlign w:val="center"/>
          </w:tcPr>
          <w:p w14:paraId="13E153F8">
            <w:pPr>
              <w:jc w:val="center"/>
              <w:rPr>
                <w:rFonts w:hint="eastAsia" w:ascii="宋体" w:hAnsi="宋体" w:eastAsia="宋体" w:cs="宋体"/>
                <w:sz w:val="24"/>
                <w:szCs w:val="24"/>
              </w:rPr>
            </w:pPr>
            <w:r>
              <w:rPr>
                <w:rFonts w:hint="eastAsia" w:ascii="宋体" w:hAnsi="宋体" w:eastAsia="宋体" w:cs="宋体"/>
                <w:sz w:val="24"/>
                <w:szCs w:val="24"/>
              </w:rPr>
              <w:t>员工总人数：</w:t>
            </w:r>
          </w:p>
        </w:tc>
      </w:tr>
      <w:tr w14:paraId="503A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04B3600F">
            <w:pPr>
              <w:jc w:val="center"/>
              <w:rPr>
                <w:rFonts w:hint="eastAsia" w:ascii="宋体" w:hAnsi="宋体" w:eastAsia="宋体" w:cs="宋体"/>
                <w:sz w:val="24"/>
                <w:szCs w:val="24"/>
              </w:rPr>
            </w:pPr>
            <w:r>
              <w:rPr>
                <w:rFonts w:hint="eastAsia" w:ascii="宋体" w:hAnsi="宋体" w:eastAsia="宋体" w:cs="宋体"/>
                <w:sz w:val="24"/>
                <w:szCs w:val="24"/>
              </w:rPr>
              <w:t>企业资质等级</w:t>
            </w:r>
          </w:p>
        </w:tc>
        <w:tc>
          <w:tcPr>
            <w:tcW w:w="1835" w:type="dxa"/>
            <w:gridSpan w:val="2"/>
            <w:noWrap w:val="0"/>
            <w:vAlign w:val="center"/>
          </w:tcPr>
          <w:p w14:paraId="6BC0FC10">
            <w:pPr>
              <w:jc w:val="center"/>
              <w:rPr>
                <w:rFonts w:hint="eastAsia" w:ascii="宋体" w:hAnsi="宋体" w:eastAsia="宋体" w:cs="宋体"/>
                <w:sz w:val="24"/>
                <w:szCs w:val="24"/>
              </w:rPr>
            </w:pPr>
          </w:p>
        </w:tc>
        <w:tc>
          <w:tcPr>
            <w:tcW w:w="993" w:type="dxa"/>
            <w:vMerge w:val="restart"/>
            <w:noWrap w:val="0"/>
            <w:vAlign w:val="center"/>
          </w:tcPr>
          <w:p w14:paraId="1EE0B789">
            <w:pPr>
              <w:jc w:val="center"/>
              <w:rPr>
                <w:rFonts w:hint="eastAsia" w:ascii="宋体" w:hAnsi="宋体" w:eastAsia="宋体" w:cs="宋体"/>
                <w:sz w:val="24"/>
                <w:szCs w:val="24"/>
              </w:rPr>
            </w:pPr>
            <w:r>
              <w:rPr>
                <w:rFonts w:hint="eastAsia" w:ascii="宋体" w:hAnsi="宋体" w:eastAsia="宋体" w:cs="宋体"/>
                <w:sz w:val="24"/>
                <w:szCs w:val="24"/>
              </w:rPr>
              <w:t>其中</w:t>
            </w:r>
          </w:p>
        </w:tc>
        <w:tc>
          <w:tcPr>
            <w:tcW w:w="1984" w:type="dxa"/>
            <w:gridSpan w:val="4"/>
            <w:noWrap w:val="0"/>
            <w:vAlign w:val="center"/>
          </w:tcPr>
          <w:p w14:paraId="5F72085D">
            <w:pPr>
              <w:jc w:val="center"/>
              <w:rPr>
                <w:rFonts w:hint="eastAsia" w:ascii="宋体" w:hAnsi="宋体" w:eastAsia="宋体" w:cs="宋体"/>
                <w:sz w:val="24"/>
                <w:szCs w:val="24"/>
              </w:rPr>
            </w:pPr>
            <w:r>
              <w:rPr>
                <w:rFonts w:hint="eastAsia" w:ascii="宋体" w:hAnsi="宋体" w:eastAsia="宋体" w:cs="宋体"/>
                <w:sz w:val="24"/>
                <w:szCs w:val="24"/>
              </w:rPr>
              <w:t>项目经理</w:t>
            </w:r>
          </w:p>
        </w:tc>
        <w:tc>
          <w:tcPr>
            <w:tcW w:w="2125" w:type="dxa"/>
            <w:gridSpan w:val="2"/>
            <w:noWrap w:val="0"/>
            <w:vAlign w:val="center"/>
          </w:tcPr>
          <w:p w14:paraId="1F5BC9EA">
            <w:pPr>
              <w:jc w:val="center"/>
              <w:rPr>
                <w:rFonts w:hint="eastAsia" w:ascii="宋体" w:hAnsi="宋体" w:eastAsia="宋体" w:cs="宋体"/>
                <w:sz w:val="24"/>
                <w:szCs w:val="24"/>
              </w:rPr>
            </w:pPr>
          </w:p>
        </w:tc>
      </w:tr>
      <w:tr w14:paraId="4409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1841E6DC">
            <w:pPr>
              <w:jc w:val="center"/>
              <w:rPr>
                <w:rFonts w:hint="eastAsia" w:ascii="宋体" w:hAnsi="宋体" w:eastAsia="宋体" w:cs="宋体"/>
                <w:sz w:val="24"/>
                <w:szCs w:val="24"/>
              </w:rPr>
            </w:pPr>
            <w:r>
              <w:rPr>
                <w:rFonts w:hint="eastAsia" w:ascii="宋体" w:hAnsi="宋体" w:eastAsia="宋体" w:cs="宋体"/>
                <w:sz w:val="24"/>
                <w:szCs w:val="24"/>
              </w:rPr>
              <w:t>营业执照号</w:t>
            </w:r>
          </w:p>
        </w:tc>
        <w:tc>
          <w:tcPr>
            <w:tcW w:w="1835" w:type="dxa"/>
            <w:gridSpan w:val="2"/>
            <w:noWrap w:val="0"/>
            <w:vAlign w:val="center"/>
          </w:tcPr>
          <w:p w14:paraId="2BAC6086">
            <w:pPr>
              <w:jc w:val="center"/>
              <w:rPr>
                <w:rFonts w:hint="eastAsia" w:ascii="宋体" w:hAnsi="宋体" w:eastAsia="宋体" w:cs="宋体"/>
                <w:sz w:val="24"/>
                <w:szCs w:val="24"/>
              </w:rPr>
            </w:pPr>
          </w:p>
        </w:tc>
        <w:tc>
          <w:tcPr>
            <w:tcW w:w="993" w:type="dxa"/>
            <w:vMerge w:val="continue"/>
            <w:noWrap w:val="0"/>
            <w:vAlign w:val="center"/>
          </w:tcPr>
          <w:p w14:paraId="24BACBCC">
            <w:pPr>
              <w:jc w:val="center"/>
              <w:rPr>
                <w:rFonts w:hint="eastAsia" w:ascii="宋体" w:hAnsi="宋体" w:eastAsia="宋体" w:cs="宋体"/>
                <w:sz w:val="24"/>
                <w:szCs w:val="24"/>
              </w:rPr>
            </w:pPr>
          </w:p>
        </w:tc>
        <w:tc>
          <w:tcPr>
            <w:tcW w:w="1984" w:type="dxa"/>
            <w:gridSpan w:val="4"/>
            <w:noWrap w:val="0"/>
            <w:vAlign w:val="center"/>
          </w:tcPr>
          <w:p w14:paraId="026AFF90">
            <w:pPr>
              <w:jc w:val="center"/>
              <w:rPr>
                <w:rFonts w:hint="eastAsia" w:ascii="宋体" w:hAnsi="宋体" w:eastAsia="宋体" w:cs="宋体"/>
                <w:sz w:val="24"/>
                <w:szCs w:val="24"/>
              </w:rPr>
            </w:pPr>
            <w:r>
              <w:rPr>
                <w:rFonts w:hint="eastAsia" w:ascii="宋体" w:hAnsi="宋体" w:eastAsia="宋体" w:cs="宋体"/>
                <w:sz w:val="24"/>
                <w:szCs w:val="24"/>
              </w:rPr>
              <w:t>高级职称人员</w:t>
            </w:r>
          </w:p>
        </w:tc>
        <w:tc>
          <w:tcPr>
            <w:tcW w:w="2125" w:type="dxa"/>
            <w:gridSpan w:val="2"/>
            <w:noWrap w:val="0"/>
            <w:vAlign w:val="center"/>
          </w:tcPr>
          <w:p w14:paraId="2C684177">
            <w:pPr>
              <w:jc w:val="center"/>
              <w:rPr>
                <w:rFonts w:hint="eastAsia" w:ascii="宋体" w:hAnsi="宋体" w:eastAsia="宋体" w:cs="宋体"/>
                <w:sz w:val="24"/>
                <w:szCs w:val="24"/>
              </w:rPr>
            </w:pPr>
          </w:p>
        </w:tc>
      </w:tr>
      <w:tr w14:paraId="1B84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B8DD78A">
            <w:pPr>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1835" w:type="dxa"/>
            <w:gridSpan w:val="2"/>
            <w:noWrap w:val="0"/>
            <w:vAlign w:val="center"/>
          </w:tcPr>
          <w:p w14:paraId="548D6E72">
            <w:pPr>
              <w:jc w:val="center"/>
              <w:rPr>
                <w:rFonts w:hint="eastAsia" w:ascii="宋体" w:hAnsi="宋体" w:eastAsia="宋体" w:cs="宋体"/>
                <w:sz w:val="24"/>
                <w:szCs w:val="24"/>
              </w:rPr>
            </w:pPr>
          </w:p>
        </w:tc>
        <w:tc>
          <w:tcPr>
            <w:tcW w:w="993" w:type="dxa"/>
            <w:vMerge w:val="continue"/>
            <w:noWrap w:val="0"/>
            <w:vAlign w:val="center"/>
          </w:tcPr>
          <w:p w14:paraId="477ECB57">
            <w:pPr>
              <w:jc w:val="center"/>
              <w:rPr>
                <w:rFonts w:hint="eastAsia" w:ascii="宋体" w:hAnsi="宋体" w:eastAsia="宋体" w:cs="宋体"/>
                <w:sz w:val="24"/>
                <w:szCs w:val="24"/>
              </w:rPr>
            </w:pPr>
          </w:p>
        </w:tc>
        <w:tc>
          <w:tcPr>
            <w:tcW w:w="1984" w:type="dxa"/>
            <w:gridSpan w:val="4"/>
            <w:noWrap w:val="0"/>
            <w:vAlign w:val="center"/>
          </w:tcPr>
          <w:p w14:paraId="6C2F5DAA">
            <w:pPr>
              <w:jc w:val="center"/>
              <w:rPr>
                <w:rFonts w:hint="eastAsia" w:ascii="宋体" w:hAnsi="宋体" w:eastAsia="宋体" w:cs="宋体"/>
                <w:sz w:val="24"/>
                <w:szCs w:val="24"/>
              </w:rPr>
            </w:pPr>
            <w:r>
              <w:rPr>
                <w:rFonts w:hint="eastAsia" w:ascii="宋体" w:hAnsi="宋体" w:eastAsia="宋体" w:cs="宋体"/>
                <w:sz w:val="24"/>
                <w:szCs w:val="24"/>
              </w:rPr>
              <w:t>中级职称人员</w:t>
            </w:r>
          </w:p>
        </w:tc>
        <w:tc>
          <w:tcPr>
            <w:tcW w:w="2125" w:type="dxa"/>
            <w:gridSpan w:val="2"/>
            <w:noWrap w:val="0"/>
            <w:vAlign w:val="center"/>
          </w:tcPr>
          <w:p w14:paraId="5A56DD9C">
            <w:pPr>
              <w:jc w:val="center"/>
              <w:rPr>
                <w:rFonts w:hint="eastAsia" w:ascii="宋体" w:hAnsi="宋体" w:eastAsia="宋体" w:cs="宋体"/>
                <w:sz w:val="24"/>
                <w:szCs w:val="24"/>
              </w:rPr>
            </w:pPr>
          </w:p>
        </w:tc>
      </w:tr>
      <w:tr w14:paraId="5A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3A4D02CF">
            <w:pPr>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835" w:type="dxa"/>
            <w:gridSpan w:val="2"/>
            <w:noWrap w:val="0"/>
            <w:vAlign w:val="center"/>
          </w:tcPr>
          <w:p w14:paraId="11592CF3">
            <w:pPr>
              <w:jc w:val="center"/>
              <w:rPr>
                <w:rFonts w:hint="eastAsia" w:ascii="宋体" w:hAnsi="宋体" w:eastAsia="宋体" w:cs="宋体"/>
                <w:sz w:val="24"/>
                <w:szCs w:val="24"/>
              </w:rPr>
            </w:pPr>
          </w:p>
        </w:tc>
        <w:tc>
          <w:tcPr>
            <w:tcW w:w="993" w:type="dxa"/>
            <w:vMerge w:val="continue"/>
            <w:noWrap w:val="0"/>
            <w:vAlign w:val="center"/>
          </w:tcPr>
          <w:p w14:paraId="7CDD202B">
            <w:pPr>
              <w:jc w:val="center"/>
              <w:rPr>
                <w:rFonts w:hint="eastAsia" w:ascii="宋体" w:hAnsi="宋体" w:eastAsia="宋体" w:cs="宋体"/>
                <w:sz w:val="24"/>
                <w:szCs w:val="24"/>
              </w:rPr>
            </w:pPr>
          </w:p>
        </w:tc>
        <w:tc>
          <w:tcPr>
            <w:tcW w:w="1984" w:type="dxa"/>
            <w:gridSpan w:val="4"/>
            <w:noWrap w:val="0"/>
            <w:vAlign w:val="center"/>
          </w:tcPr>
          <w:p w14:paraId="4ACAF9CA">
            <w:pPr>
              <w:jc w:val="center"/>
              <w:rPr>
                <w:rFonts w:hint="eastAsia" w:ascii="宋体" w:hAnsi="宋体" w:eastAsia="宋体" w:cs="宋体"/>
                <w:sz w:val="24"/>
                <w:szCs w:val="24"/>
              </w:rPr>
            </w:pPr>
            <w:r>
              <w:rPr>
                <w:rFonts w:hint="eastAsia" w:ascii="宋体" w:hAnsi="宋体" w:eastAsia="宋体" w:cs="宋体"/>
                <w:sz w:val="24"/>
                <w:szCs w:val="24"/>
              </w:rPr>
              <w:t>初级职称人员</w:t>
            </w:r>
          </w:p>
        </w:tc>
        <w:tc>
          <w:tcPr>
            <w:tcW w:w="2125" w:type="dxa"/>
            <w:gridSpan w:val="2"/>
            <w:noWrap w:val="0"/>
            <w:vAlign w:val="center"/>
          </w:tcPr>
          <w:p w14:paraId="05E8AA8A">
            <w:pPr>
              <w:jc w:val="center"/>
              <w:rPr>
                <w:rFonts w:hint="eastAsia" w:ascii="宋体" w:hAnsi="宋体" w:eastAsia="宋体" w:cs="宋体"/>
                <w:sz w:val="24"/>
                <w:szCs w:val="24"/>
              </w:rPr>
            </w:pPr>
          </w:p>
        </w:tc>
      </w:tr>
      <w:tr w14:paraId="1E85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12BE7D3">
            <w:pPr>
              <w:jc w:val="center"/>
              <w:rPr>
                <w:rFonts w:hint="eastAsia" w:ascii="宋体" w:hAnsi="宋体" w:eastAsia="宋体" w:cs="宋体"/>
                <w:sz w:val="24"/>
                <w:szCs w:val="24"/>
              </w:rPr>
            </w:pPr>
            <w:r>
              <w:rPr>
                <w:rFonts w:hint="eastAsia" w:ascii="宋体" w:hAnsi="宋体" w:eastAsia="宋体" w:cs="宋体"/>
                <w:sz w:val="24"/>
                <w:szCs w:val="24"/>
              </w:rPr>
              <w:t>账号</w:t>
            </w:r>
          </w:p>
        </w:tc>
        <w:tc>
          <w:tcPr>
            <w:tcW w:w="1835" w:type="dxa"/>
            <w:gridSpan w:val="2"/>
            <w:noWrap w:val="0"/>
            <w:vAlign w:val="center"/>
          </w:tcPr>
          <w:p w14:paraId="378D95E1">
            <w:pPr>
              <w:jc w:val="center"/>
              <w:rPr>
                <w:rFonts w:hint="eastAsia" w:ascii="宋体" w:hAnsi="宋体" w:eastAsia="宋体" w:cs="宋体"/>
                <w:sz w:val="24"/>
                <w:szCs w:val="24"/>
              </w:rPr>
            </w:pPr>
          </w:p>
        </w:tc>
        <w:tc>
          <w:tcPr>
            <w:tcW w:w="993" w:type="dxa"/>
            <w:vMerge w:val="continue"/>
            <w:noWrap w:val="0"/>
            <w:vAlign w:val="center"/>
          </w:tcPr>
          <w:p w14:paraId="0A4ACF39">
            <w:pPr>
              <w:jc w:val="center"/>
              <w:rPr>
                <w:rFonts w:hint="eastAsia" w:ascii="宋体" w:hAnsi="宋体" w:eastAsia="宋体" w:cs="宋体"/>
                <w:sz w:val="24"/>
                <w:szCs w:val="24"/>
              </w:rPr>
            </w:pPr>
          </w:p>
        </w:tc>
        <w:tc>
          <w:tcPr>
            <w:tcW w:w="1984" w:type="dxa"/>
            <w:gridSpan w:val="4"/>
            <w:noWrap w:val="0"/>
            <w:vAlign w:val="center"/>
          </w:tcPr>
          <w:p w14:paraId="213719AC">
            <w:pPr>
              <w:jc w:val="center"/>
              <w:rPr>
                <w:rFonts w:hint="eastAsia" w:ascii="宋体" w:hAnsi="宋体" w:eastAsia="宋体" w:cs="宋体"/>
                <w:sz w:val="24"/>
                <w:szCs w:val="24"/>
              </w:rPr>
            </w:pPr>
            <w:r>
              <w:rPr>
                <w:rFonts w:hint="eastAsia" w:ascii="宋体" w:hAnsi="宋体" w:eastAsia="宋体" w:cs="宋体"/>
                <w:sz w:val="24"/>
                <w:szCs w:val="24"/>
              </w:rPr>
              <w:t>技  工</w:t>
            </w:r>
          </w:p>
        </w:tc>
        <w:tc>
          <w:tcPr>
            <w:tcW w:w="2125" w:type="dxa"/>
            <w:gridSpan w:val="2"/>
            <w:noWrap w:val="0"/>
            <w:vAlign w:val="center"/>
          </w:tcPr>
          <w:p w14:paraId="045D7AF0">
            <w:pPr>
              <w:jc w:val="center"/>
              <w:rPr>
                <w:rFonts w:hint="eastAsia" w:ascii="宋体" w:hAnsi="宋体" w:eastAsia="宋体" w:cs="宋体"/>
                <w:sz w:val="24"/>
                <w:szCs w:val="24"/>
              </w:rPr>
            </w:pPr>
          </w:p>
        </w:tc>
      </w:tr>
      <w:tr w14:paraId="41AE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568" w:type="dxa"/>
            <w:noWrap w:val="0"/>
            <w:vAlign w:val="center"/>
          </w:tcPr>
          <w:p w14:paraId="1915BD92">
            <w:pPr>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6937" w:type="dxa"/>
            <w:gridSpan w:val="9"/>
            <w:noWrap w:val="0"/>
            <w:vAlign w:val="center"/>
          </w:tcPr>
          <w:p w14:paraId="2B48B9CE">
            <w:pPr>
              <w:jc w:val="center"/>
              <w:rPr>
                <w:rFonts w:hint="eastAsia" w:ascii="宋体" w:hAnsi="宋体" w:eastAsia="宋体" w:cs="宋体"/>
                <w:sz w:val="24"/>
                <w:szCs w:val="24"/>
              </w:rPr>
            </w:pPr>
          </w:p>
        </w:tc>
      </w:tr>
      <w:tr w14:paraId="0635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70592D29">
            <w:pPr>
              <w:jc w:val="center"/>
              <w:rPr>
                <w:rFonts w:hint="eastAsia" w:ascii="宋体" w:hAnsi="宋体" w:eastAsia="宋体" w:cs="宋体"/>
                <w:sz w:val="24"/>
                <w:szCs w:val="24"/>
              </w:rPr>
            </w:pPr>
            <w:r>
              <w:rPr>
                <w:rFonts w:hint="eastAsia" w:ascii="宋体" w:hAnsi="宋体" w:eastAsia="宋体" w:cs="宋体"/>
                <w:sz w:val="24"/>
                <w:szCs w:val="24"/>
              </w:rPr>
              <w:t>备注</w:t>
            </w:r>
          </w:p>
        </w:tc>
        <w:tc>
          <w:tcPr>
            <w:tcW w:w="6937" w:type="dxa"/>
            <w:gridSpan w:val="9"/>
            <w:noWrap w:val="0"/>
            <w:vAlign w:val="center"/>
          </w:tcPr>
          <w:p w14:paraId="217FAEAE">
            <w:pPr>
              <w:jc w:val="center"/>
              <w:rPr>
                <w:rFonts w:hint="eastAsia" w:ascii="宋体" w:hAnsi="宋体" w:eastAsia="宋体" w:cs="宋体"/>
                <w:sz w:val="24"/>
                <w:szCs w:val="24"/>
              </w:rPr>
            </w:pPr>
          </w:p>
        </w:tc>
      </w:tr>
    </w:tbl>
    <w:p w14:paraId="11241781">
      <w:pPr>
        <w:rPr>
          <w:rFonts w:ascii="宋体" w:hAnsi="宋体" w:eastAsia="宋体" w:cs="Times New Roman"/>
          <w:snapToGrid/>
          <w:color w:val="auto"/>
          <w:kern w:val="0"/>
          <w:sz w:val="24"/>
          <w:highlight w:val="none"/>
        </w:rPr>
      </w:pPr>
      <w:r>
        <w:rPr>
          <w:rFonts w:ascii="宋体" w:hAnsi="宋体" w:eastAsia="宋体" w:cs="Times New Roman"/>
          <w:snapToGrid/>
          <w:color w:val="auto"/>
          <w:kern w:val="0"/>
          <w:sz w:val="24"/>
          <w:highlight w:val="none"/>
        </w:rPr>
        <w:br w:type="page"/>
      </w:r>
    </w:p>
    <w:p w14:paraId="664E6055">
      <w:pPr>
        <w:autoSpaceDE w:val="0"/>
        <w:autoSpaceDN w:val="0"/>
        <w:adjustRightInd w:val="0"/>
        <w:spacing w:line="360" w:lineRule="auto"/>
        <w:jc w:val="left"/>
        <w:rPr>
          <w:rFonts w:ascii="宋体" w:hAnsi="宋体" w:eastAsia="宋体" w:cs="Times New Roman"/>
          <w:b/>
          <w:snapToGrid/>
          <w:color w:val="auto"/>
          <w:kern w:val="0"/>
          <w:sz w:val="28"/>
          <w:szCs w:val="28"/>
          <w:highlight w:val="none"/>
        </w:rPr>
      </w:pPr>
      <w:r>
        <w:rPr>
          <w:rFonts w:hint="eastAsia" w:ascii="宋体" w:hAnsi="宋体" w:eastAsia="宋体" w:cs="Times New Roman"/>
          <w:b/>
          <w:snapToGrid/>
          <w:color w:val="auto"/>
          <w:kern w:val="0"/>
          <w:sz w:val="28"/>
          <w:szCs w:val="28"/>
          <w:highlight w:val="none"/>
        </w:rPr>
        <w:t>格式</w:t>
      </w:r>
      <w:r>
        <w:rPr>
          <w:rFonts w:hint="default" w:hAnsi="宋体" w:cs="Times New Roman"/>
          <w:b/>
          <w:snapToGrid/>
          <w:color w:val="auto"/>
          <w:kern w:val="0"/>
          <w:sz w:val="28"/>
          <w:szCs w:val="28"/>
          <w:highlight w:val="none"/>
          <w:lang w:val="en-US"/>
        </w:rPr>
        <w:t>2</w:t>
      </w:r>
      <w:r>
        <w:rPr>
          <w:rFonts w:hint="eastAsia" w:ascii="宋体" w:hAnsi="宋体" w:eastAsia="宋体" w:cs="Times New Roman"/>
          <w:b/>
          <w:snapToGrid/>
          <w:color w:val="auto"/>
          <w:kern w:val="0"/>
          <w:sz w:val="28"/>
          <w:szCs w:val="28"/>
          <w:highlight w:val="none"/>
        </w:rPr>
        <w:t>：</w:t>
      </w:r>
    </w:p>
    <w:p w14:paraId="156716CA">
      <w:pPr>
        <w:keepNext/>
        <w:keepLines/>
        <w:widowControl w:val="0"/>
        <w:spacing w:before="120" w:after="120" w:line="360" w:lineRule="auto"/>
        <w:ind w:firstLine="562" w:firstLineChars="200"/>
        <w:jc w:val="center"/>
        <w:outlineLvl w:val="2"/>
        <w:rPr>
          <w:rFonts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法定代表人身份证明书</w:t>
      </w:r>
    </w:p>
    <w:p w14:paraId="054B8E89">
      <w:pPr>
        <w:spacing w:line="440" w:lineRule="exact"/>
        <w:jc w:val="center"/>
        <w:rPr>
          <w:rFonts w:ascii="宋体" w:hAnsi="宋体" w:eastAsia="宋体" w:cs="Times New Roman"/>
          <w:b/>
          <w:snapToGrid/>
          <w:color w:val="auto"/>
          <w:kern w:val="2"/>
          <w:sz w:val="30"/>
          <w:szCs w:val="30"/>
          <w:highlight w:val="none"/>
        </w:rPr>
      </w:pPr>
    </w:p>
    <w:p w14:paraId="06E3056B">
      <w:pPr>
        <w:spacing w:line="360" w:lineRule="auto"/>
        <w:jc w:val="center"/>
        <w:rPr>
          <w:rFonts w:ascii="Times New Roman" w:hAnsi="Times New Roman" w:eastAsia="宋体" w:cs="Times New Roman"/>
          <w:b/>
          <w:snapToGrid/>
          <w:color w:val="auto"/>
          <w:kern w:val="2"/>
          <w:sz w:val="30"/>
          <w:szCs w:val="30"/>
          <w:highlight w:val="none"/>
        </w:rPr>
      </w:pPr>
    </w:p>
    <w:p w14:paraId="276BB791">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供应商名称：</w:t>
      </w:r>
      <w:r>
        <w:rPr>
          <w:rFonts w:ascii="Times New Roman" w:hAnsi="Times New Roman" w:eastAsia="宋体" w:cs="Times New Roman"/>
          <w:snapToGrid/>
          <w:color w:val="auto"/>
          <w:kern w:val="2"/>
          <w:sz w:val="24"/>
          <w:highlight w:val="none"/>
          <w:u w:val="single"/>
        </w:rPr>
        <w:t xml:space="preserve">                        </w:t>
      </w:r>
    </w:p>
    <w:p w14:paraId="58F41CB8">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单位性质：</w:t>
      </w:r>
      <w:r>
        <w:rPr>
          <w:rFonts w:ascii="Times New Roman" w:hAnsi="Times New Roman" w:eastAsia="宋体" w:cs="Times New Roman"/>
          <w:snapToGrid/>
          <w:color w:val="auto"/>
          <w:kern w:val="2"/>
          <w:sz w:val="24"/>
          <w:highlight w:val="none"/>
          <w:u w:val="single"/>
        </w:rPr>
        <w:t xml:space="preserve">                          </w:t>
      </w:r>
    </w:p>
    <w:p w14:paraId="49D314D3">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成立时间：</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年</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月</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日</w:t>
      </w:r>
    </w:p>
    <w:p w14:paraId="4987F456">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经营期限：</w:t>
      </w:r>
      <w:r>
        <w:rPr>
          <w:rFonts w:ascii="Times New Roman" w:hAnsi="Times New Roman" w:eastAsia="宋体" w:cs="Times New Roman"/>
          <w:snapToGrid/>
          <w:color w:val="auto"/>
          <w:kern w:val="2"/>
          <w:sz w:val="24"/>
          <w:highlight w:val="none"/>
          <w:u w:val="single"/>
        </w:rPr>
        <w:t xml:space="preserve">                          </w:t>
      </w:r>
    </w:p>
    <w:p w14:paraId="6ECA679A">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姓名：</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性别：</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年龄：</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职务：</w:t>
      </w:r>
      <w:r>
        <w:rPr>
          <w:rFonts w:ascii="Times New Roman" w:hAnsi="Times New Roman" w:eastAsia="宋体" w:cs="Times New Roman"/>
          <w:snapToGrid/>
          <w:color w:val="auto"/>
          <w:kern w:val="2"/>
          <w:sz w:val="24"/>
          <w:highlight w:val="none"/>
          <w:u w:val="single"/>
        </w:rPr>
        <w:t xml:space="preserve">            </w:t>
      </w:r>
    </w:p>
    <w:p w14:paraId="19D81985">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系</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（供应商名称）的法定代表人。</w:t>
      </w:r>
    </w:p>
    <w:p w14:paraId="1A15B137">
      <w:pPr>
        <w:spacing w:line="360" w:lineRule="auto"/>
        <w:ind w:firstLine="480" w:firstLineChars="200"/>
        <w:rPr>
          <w:rFonts w:ascii="Times New Roman" w:hAnsi="Times New Roman" w:eastAsia="宋体" w:cs="Times New Roman"/>
          <w:snapToGrid/>
          <w:color w:val="auto"/>
          <w:kern w:val="2"/>
          <w:sz w:val="24"/>
          <w:highlight w:val="none"/>
        </w:rPr>
      </w:pPr>
    </w:p>
    <w:p w14:paraId="4125F59C">
      <w:pPr>
        <w:spacing w:line="360" w:lineRule="auto"/>
        <w:ind w:firstLine="480" w:firstLineChars="200"/>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特此证明。</w:t>
      </w:r>
    </w:p>
    <w:p w14:paraId="1E8BD29C">
      <w:pPr>
        <w:spacing w:line="360" w:lineRule="auto"/>
        <w:rPr>
          <w:rFonts w:ascii="Times New Roman" w:hAnsi="Times New Roman" w:eastAsia="宋体" w:cs="Times New Roman"/>
          <w:b/>
          <w:bCs/>
          <w:snapToGrid/>
          <w:color w:val="auto"/>
          <w:kern w:val="2"/>
          <w:sz w:val="24"/>
          <w:highlight w:val="none"/>
        </w:rPr>
      </w:pPr>
    </w:p>
    <w:p w14:paraId="0453E206">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b/>
          <w:bCs/>
          <w:snapToGrid/>
          <w:color w:val="auto"/>
          <w:kern w:val="2"/>
          <w:sz w:val="24"/>
          <w:highlight w:val="none"/>
        </w:rPr>
        <w:t>注</w:t>
      </w:r>
      <w:r>
        <w:rPr>
          <w:rFonts w:ascii="Times New Roman" w:hAnsi="Times New Roman" w:eastAsia="宋体" w:cs="Times New Roman"/>
          <w:b/>
          <w:bCs/>
          <w:snapToGrid/>
          <w:color w:val="auto"/>
          <w:kern w:val="2"/>
          <w:sz w:val="24"/>
          <w:highlight w:val="none"/>
        </w:rPr>
        <w:t>:</w:t>
      </w:r>
      <w:r>
        <w:rPr>
          <w:rFonts w:hint="eastAsia" w:ascii="Times New Roman" w:hAnsi="Times New Roman" w:eastAsia="宋体" w:cs="Times New Roman"/>
          <w:b/>
          <w:bCs/>
          <w:snapToGrid/>
          <w:color w:val="auto"/>
          <w:kern w:val="2"/>
          <w:sz w:val="24"/>
          <w:highlight w:val="none"/>
        </w:rPr>
        <w:t>后附法定代表人身份证复印件。</w:t>
      </w:r>
    </w:p>
    <w:p w14:paraId="0EA57027">
      <w:pPr>
        <w:spacing w:line="360" w:lineRule="auto"/>
        <w:rPr>
          <w:rFonts w:ascii="Times New Roman" w:hAnsi="Times New Roman" w:eastAsia="宋体" w:cs="Times New Roman"/>
          <w:snapToGrid/>
          <w:color w:val="auto"/>
          <w:kern w:val="2"/>
          <w:sz w:val="24"/>
          <w:highlight w:val="none"/>
        </w:rPr>
      </w:pPr>
    </w:p>
    <w:p w14:paraId="25F4BE77">
      <w:pPr>
        <w:spacing w:line="360" w:lineRule="auto"/>
        <w:ind w:left="3780" w:leftChars="1800"/>
        <w:rPr>
          <w:rFonts w:ascii="Times New Roman" w:hAnsi="Times New Roman" w:eastAsia="宋体" w:cs="Times New Roman"/>
          <w:b/>
          <w:bCs/>
          <w:snapToGrid/>
          <w:color w:val="auto"/>
          <w:kern w:val="2"/>
          <w:sz w:val="24"/>
          <w:highlight w:val="none"/>
        </w:rPr>
      </w:pPr>
      <w:r>
        <w:rPr>
          <w:rFonts w:hint="eastAsia" w:ascii="Times New Roman" w:hAnsi="Times New Roman" w:eastAsia="宋体" w:cs="Times New Roman"/>
          <w:b/>
          <w:bCs/>
          <w:snapToGrid/>
          <w:color w:val="auto"/>
          <w:kern w:val="2"/>
          <w:sz w:val="24"/>
          <w:highlight w:val="none"/>
        </w:rPr>
        <w:t>供应商</w:t>
      </w:r>
      <w:r>
        <w:rPr>
          <w:rFonts w:hint="eastAsia" w:ascii="Times New Roman" w:hAnsi="Times New Roman" w:eastAsia="宋体" w:cs="Times New Roman"/>
          <w:b/>
          <w:bCs/>
          <w:snapToGrid/>
          <w:color w:val="auto"/>
          <w:kern w:val="2"/>
          <w:sz w:val="24"/>
          <w:highlight w:val="none"/>
          <w:lang w:val="en-US" w:eastAsia="zh-CN"/>
        </w:rPr>
        <w:t>全称</w:t>
      </w:r>
      <w:r>
        <w:rPr>
          <w:rFonts w:hint="eastAsia" w:ascii="Times New Roman" w:hAnsi="Times New Roman" w:eastAsia="宋体" w:cs="Times New Roman"/>
          <w:b/>
          <w:bCs/>
          <w:snapToGrid/>
          <w:color w:val="auto"/>
          <w:kern w:val="2"/>
          <w:sz w:val="24"/>
          <w:highlight w:val="none"/>
        </w:rPr>
        <w:t>：</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（电子签章）</w:t>
      </w:r>
    </w:p>
    <w:p w14:paraId="02E0E62A">
      <w:pPr>
        <w:spacing w:line="588" w:lineRule="exact"/>
        <w:ind w:firstLine="4819" w:firstLineChars="2000"/>
        <w:jc w:val="left"/>
        <w:rPr>
          <w:rFonts w:hint="eastAsia" w:ascii="宋体" w:hAnsi="宋体" w:cs="宋体"/>
          <w:b/>
          <w:color w:val="auto"/>
          <w:sz w:val="28"/>
          <w:szCs w:val="28"/>
          <w:highlight w:val="none"/>
        </w:rPr>
        <w:sectPr>
          <w:pgSz w:w="11906" w:h="16838"/>
          <w:pgMar w:top="1440" w:right="1440" w:bottom="1440" w:left="1440" w:header="850" w:footer="992" w:gutter="0"/>
          <w:pgNumType w:fmt="decimal"/>
          <w:cols w:space="0" w:num="1"/>
          <w:rtlGutter w:val="0"/>
          <w:docGrid w:type="lines" w:linePitch="317" w:charSpace="0"/>
        </w:sectPr>
      </w:pPr>
      <w:r>
        <w:rPr>
          <w:rFonts w:hint="eastAsia" w:ascii="Times New Roman" w:hAnsi="Times New Roman" w:eastAsia="宋体" w:cs="Times New Roman"/>
          <w:b/>
          <w:bCs/>
          <w:snapToGrid/>
          <w:color w:val="auto"/>
          <w:kern w:val="2"/>
          <w:sz w:val="24"/>
          <w:highlight w:val="none"/>
          <w:u w:val="none"/>
          <w:lang w:val="en-US" w:eastAsia="zh-CN"/>
        </w:rPr>
        <w:t>日期：</w:t>
      </w:r>
      <w:r>
        <w:rPr>
          <w:rFonts w:ascii="Times New Roman" w:hAnsi="Times New Roman" w:eastAsia="宋体" w:cs="Times New Roman"/>
          <w:b/>
          <w:bCs/>
          <w:snapToGrid/>
          <w:color w:val="auto"/>
          <w:kern w:val="2"/>
          <w:sz w:val="24"/>
          <w:highlight w:val="none"/>
          <w:u w:val="none"/>
        </w:rPr>
        <w:t xml:space="preserve"> </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年</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月</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日</w:t>
      </w:r>
    </w:p>
    <w:p w14:paraId="78249D0B">
      <w:pPr>
        <w:jc w:val="both"/>
        <w:outlineLvl w:val="2"/>
        <w:rPr>
          <w:rFonts w:ascii="Times New Roman" w:hAnsi="Times New Roman"/>
          <w:b/>
          <w:bCs/>
          <w:color w:val="auto"/>
          <w:sz w:val="28"/>
          <w:szCs w:val="36"/>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p>
    <w:p w14:paraId="182D842C">
      <w:pPr>
        <w:spacing w:line="360" w:lineRule="auto"/>
        <w:jc w:val="center"/>
        <w:rPr>
          <w:rFonts w:hint="eastAsia" w:ascii="宋体" w:hAnsi="宋体" w:eastAsia="宋体" w:cs="宋体"/>
          <w:snapToGrid/>
          <w:color w:val="auto"/>
          <w:kern w:val="2"/>
          <w:sz w:val="28"/>
          <w:szCs w:val="28"/>
          <w:highlight w:val="none"/>
        </w:rPr>
      </w:pPr>
      <w:r>
        <w:rPr>
          <w:rFonts w:hint="eastAsia" w:ascii="宋体" w:hAnsi="宋体" w:eastAsia="宋体" w:cs="宋体"/>
          <w:b/>
          <w:bCs w:val="0"/>
          <w:color w:val="auto"/>
          <w:kern w:val="0"/>
          <w:sz w:val="28"/>
          <w:szCs w:val="28"/>
          <w:highlight w:val="none"/>
          <w:lang w:val="en-US" w:eastAsia="zh-CN" w:bidi="ar-SA"/>
        </w:rPr>
        <w:t>法定代表人授权委托书</w:t>
      </w:r>
    </w:p>
    <w:p w14:paraId="62C7AE06">
      <w:pPr>
        <w:spacing w:line="360" w:lineRule="auto"/>
        <w:ind w:firstLine="480" w:firstLineChars="200"/>
        <w:rPr>
          <w:rFonts w:hint="eastAsia" w:ascii="宋体" w:hAnsi="宋体" w:eastAsia="宋体" w:cs="宋体"/>
          <w:snapToGrid/>
          <w:color w:val="auto"/>
          <w:kern w:val="2"/>
          <w:sz w:val="24"/>
          <w:szCs w:val="21"/>
          <w:highlight w:val="none"/>
        </w:rPr>
      </w:pPr>
    </w:p>
    <w:p w14:paraId="75527DFB">
      <w:pPr>
        <w:spacing w:line="480" w:lineRule="auto"/>
        <w:ind w:firstLine="480" w:firstLineChars="200"/>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本授权书声明：</w:t>
      </w:r>
      <w:r>
        <w:rPr>
          <w:rFonts w:hint="eastAsia" w:ascii="宋体" w:hAnsi="宋体" w:eastAsia="宋体" w:cs="宋体"/>
          <w:snapToGrid/>
          <w:color w:val="auto"/>
          <w:kern w:val="2"/>
          <w:sz w:val="24"/>
          <w:szCs w:val="21"/>
          <w:highlight w:val="none"/>
          <w:u w:val="single"/>
        </w:rPr>
        <w:t xml:space="preserve">     （供应商全称） </w:t>
      </w:r>
      <w:r>
        <w:rPr>
          <w:rFonts w:hint="eastAsia" w:ascii="宋体" w:hAnsi="宋体" w:eastAsia="宋体" w:cs="宋体"/>
          <w:snapToGrid/>
          <w:color w:val="auto"/>
          <w:kern w:val="2"/>
          <w:sz w:val="24"/>
          <w:szCs w:val="21"/>
          <w:highlight w:val="none"/>
        </w:rPr>
        <w:t>的法定代表人代表本公司授权</w:t>
      </w:r>
      <w:r>
        <w:rPr>
          <w:rFonts w:hint="eastAsia" w:ascii="宋体" w:hAnsi="宋体" w:eastAsia="宋体" w:cs="宋体"/>
          <w:snapToGrid/>
          <w:color w:val="auto"/>
          <w:kern w:val="2"/>
          <w:sz w:val="24"/>
          <w:szCs w:val="21"/>
          <w:highlight w:val="none"/>
          <w:u w:val="single"/>
        </w:rPr>
        <w:t xml:space="preserve">   （委托代理人姓名）   </w:t>
      </w:r>
      <w:r>
        <w:rPr>
          <w:rFonts w:hint="eastAsia" w:ascii="宋体" w:hAnsi="宋体" w:eastAsia="宋体" w:cs="宋体"/>
          <w:snapToGrid/>
          <w:color w:val="auto"/>
          <w:kern w:val="2"/>
          <w:sz w:val="24"/>
          <w:szCs w:val="21"/>
          <w:highlight w:val="none"/>
        </w:rPr>
        <w:t>为本公司合法代理人，以本单位名义亲自出席参加贵方组织的</w:t>
      </w:r>
      <w:r>
        <w:rPr>
          <w:rFonts w:hint="eastAsia" w:ascii="宋体" w:hAnsi="宋体" w:eastAsia="宋体" w:cs="宋体"/>
          <w:snapToGrid/>
          <w:color w:val="auto"/>
          <w:kern w:val="2"/>
          <w:sz w:val="24"/>
          <w:szCs w:val="21"/>
          <w:highlight w:val="none"/>
          <w:u w:val="single"/>
        </w:rPr>
        <w:t xml:space="preserve">    （项目名称）    </w:t>
      </w:r>
      <w:r>
        <w:rPr>
          <w:rFonts w:hint="eastAsia" w:ascii="宋体" w:hAnsi="宋体" w:eastAsia="宋体" w:cs="宋体"/>
          <w:snapToGrid/>
          <w:color w:val="auto"/>
          <w:kern w:val="2"/>
          <w:sz w:val="24"/>
          <w:szCs w:val="21"/>
          <w:highlight w:val="none"/>
        </w:rPr>
        <w:t>项目（项目编号：</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）的磋商采购。代理人在本项目磋商过程中所签署的一切文件和处理与之有关的一切事务，我方均予承认。</w:t>
      </w:r>
    </w:p>
    <w:p w14:paraId="7F0399F0">
      <w:pPr>
        <w:spacing w:line="480" w:lineRule="auto"/>
        <w:ind w:firstLine="480" w:firstLineChars="200"/>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代理人无转委托权。</w:t>
      </w:r>
    </w:p>
    <w:p w14:paraId="544D1EEB">
      <w:pPr>
        <w:spacing w:line="360" w:lineRule="auto"/>
        <w:ind w:firstLine="482" w:firstLineChars="200"/>
        <w:rPr>
          <w:rFonts w:hint="eastAsia" w:ascii="宋体" w:hAnsi="宋体" w:eastAsia="宋体" w:cs="宋体"/>
          <w:b/>
          <w:bCs/>
          <w:snapToGrid/>
          <w:color w:val="auto"/>
          <w:kern w:val="2"/>
          <w:sz w:val="24"/>
          <w:szCs w:val="21"/>
          <w:highlight w:val="none"/>
        </w:rPr>
      </w:pPr>
      <w:r>
        <w:rPr>
          <w:rFonts w:hint="eastAsia" w:ascii="宋体" w:hAnsi="宋体" w:eastAsia="宋体" w:cs="宋体"/>
          <w:b/>
          <w:bCs/>
          <w:snapToGrid/>
          <w:color w:val="auto"/>
          <w:kern w:val="2"/>
          <w:sz w:val="24"/>
          <w:szCs w:val="21"/>
          <w:highlight w:val="none"/>
        </w:rPr>
        <w:t>附：委托代理人身份证复印件</w:t>
      </w:r>
    </w:p>
    <w:p w14:paraId="2B353046">
      <w:pPr>
        <w:spacing w:line="360" w:lineRule="auto"/>
        <w:ind w:firstLine="420" w:firstLineChars="200"/>
        <w:rPr>
          <w:rFonts w:hint="eastAsia" w:ascii="宋体" w:hAnsi="宋体" w:eastAsia="宋体" w:cs="宋体"/>
          <w:color w:val="auto"/>
          <w:szCs w:val="21"/>
          <w:highlight w:val="none"/>
        </w:rPr>
      </w:pPr>
    </w:p>
    <w:p w14:paraId="55D4F726">
      <w:pPr>
        <w:spacing w:line="480" w:lineRule="auto"/>
        <w:rPr>
          <w:rFonts w:hint="eastAsia" w:ascii="宋体" w:hAnsi="宋体" w:eastAsia="宋体" w:cs="宋体"/>
          <w:color w:val="auto"/>
          <w:sz w:val="24"/>
          <w:szCs w:val="24"/>
          <w:highlight w:val="none"/>
        </w:rPr>
      </w:pPr>
    </w:p>
    <w:p w14:paraId="6E46FF7B">
      <w:pPr>
        <w:spacing w:line="480" w:lineRule="auto"/>
        <w:rPr>
          <w:rFonts w:hint="eastAsia" w:ascii="宋体" w:hAnsi="宋体" w:eastAsia="宋体" w:cs="宋体"/>
          <w:color w:val="auto"/>
          <w:sz w:val="24"/>
          <w:szCs w:val="24"/>
          <w:highlight w:val="none"/>
        </w:rPr>
      </w:pPr>
    </w:p>
    <w:p w14:paraId="6B421060">
      <w:pPr>
        <w:spacing w:line="480" w:lineRule="auto"/>
        <w:rPr>
          <w:rFonts w:hint="eastAsia" w:ascii="宋体" w:hAnsi="宋体" w:eastAsia="宋体" w:cs="宋体"/>
          <w:color w:val="auto"/>
          <w:sz w:val="24"/>
          <w:szCs w:val="24"/>
          <w:highlight w:val="none"/>
        </w:rPr>
      </w:pPr>
    </w:p>
    <w:p w14:paraId="4E7665C8">
      <w:pPr>
        <w:spacing w:line="480" w:lineRule="auto"/>
        <w:rPr>
          <w:rFonts w:hint="eastAsia" w:ascii="宋体" w:hAnsi="宋体" w:eastAsia="宋体" w:cs="宋体"/>
          <w:color w:val="auto"/>
          <w:sz w:val="24"/>
          <w:szCs w:val="24"/>
          <w:highlight w:val="none"/>
        </w:rPr>
      </w:pPr>
    </w:p>
    <w:p w14:paraId="6CE7A57D">
      <w:pPr>
        <w:spacing w:line="480" w:lineRule="auto"/>
        <w:rPr>
          <w:rFonts w:hint="eastAsia" w:ascii="宋体" w:hAnsi="宋体" w:eastAsia="宋体" w:cs="宋体"/>
          <w:color w:val="auto"/>
          <w:sz w:val="24"/>
          <w:szCs w:val="24"/>
          <w:highlight w:val="none"/>
        </w:rPr>
      </w:pPr>
    </w:p>
    <w:p w14:paraId="01F75309">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hAnsi="宋体" w:cs="宋体"/>
          <w:color w:val="auto"/>
          <w:sz w:val="24"/>
          <w:szCs w:val="24"/>
          <w:highlight w:val="none"/>
          <w:lang w:val="en-US" w:eastAsia="zh-CN"/>
        </w:rPr>
        <w:t>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电子签章</w:t>
      </w:r>
      <w:r>
        <w:rPr>
          <w:rFonts w:hint="eastAsia" w:ascii="宋体" w:hAnsi="宋体" w:eastAsia="宋体" w:cs="宋体"/>
          <w:color w:val="auto"/>
          <w:sz w:val="24"/>
          <w:szCs w:val="24"/>
          <w:highlight w:val="none"/>
          <w:u w:val="none"/>
        </w:rPr>
        <w:t>）</w:t>
      </w:r>
    </w:p>
    <w:p w14:paraId="5BEA296F">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b w:val="0"/>
          <w:bCs/>
          <w:snapToGrid/>
          <w:color w:val="auto"/>
          <w:kern w:val="2"/>
          <w:sz w:val="24"/>
          <w:highlight w:val="none"/>
          <w:u w:val="none"/>
          <w:lang w:eastAsia="zh-CN"/>
        </w:rPr>
        <w:t>电子签章或签字</w:t>
      </w:r>
      <w:r>
        <w:rPr>
          <w:rFonts w:hint="eastAsia" w:ascii="宋体" w:hAnsi="宋体" w:eastAsia="宋体" w:cs="宋体"/>
          <w:color w:val="auto"/>
          <w:sz w:val="24"/>
          <w:szCs w:val="24"/>
          <w:highlight w:val="none"/>
          <w:u w:val="none"/>
        </w:rPr>
        <w:t>）</w:t>
      </w:r>
    </w:p>
    <w:p w14:paraId="1A489CF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3FEBB97">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4B9403EA">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委托代理人身份证号码：</w:t>
      </w:r>
      <w:r>
        <w:rPr>
          <w:rFonts w:hint="eastAsia" w:ascii="宋体" w:hAnsi="宋体" w:eastAsia="宋体" w:cs="宋体"/>
          <w:color w:val="auto"/>
          <w:sz w:val="24"/>
          <w:szCs w:val="24"/>
          <w:highlight w:val="none"/>
          <w:u w:val="single"/>
        </w:rPr>
        <w:t xml:space="preserve">　　　                      </w:t>
      </w:r>
    </w:p>
    <w:p w14:paraId="14ADAC4A">
      <w:pPr>
        <w:spacing w:line="480" w:lineRule="auto"/>
        <w:rPr>
          <w:rFonts w:hint="eastAsia" w:ascii="宋体" w:hAnsi="宋体" w:eastAsia="宋体" w:cs="宋体"/>
          <w:color w:val="auto"/>
          <w:sz w:val="24"/>
          <w:szCs w:val="24"/>
          <w:highlight w:val="none"/>
        </w:rPr>
      </w:pPr>
      <w:r>
        <w:rPr>
          <w:rFonts w:hint="eastAsia" w:hAnsi="宋体" w:cs="宋体"/>
          <w:color w:val="auto"/>
          <w:sz w:val="24"/>
          <w:szCs w:val="24"/>
          <w:highlight w:val="none"/>
          <w:u w:val="none"/>
          <w:lang w:val="en-US" w:eastAsia="zh-CN"/>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1A2DDF2">
      <w:pPr>
        <w:rPr>
          <w:rFonts w:hint="eastAsia" w:hAnsi="宋体" w:cs="Times New Roman"/>
          <w:b/>
          <w:bCs/>
          <w:color w:val="auto"/>
          <w:kern w:val="0"/>
          <w:sz w:val="28"/>
          <w:szCs w:val="28"/>
          <w:highlight w:val="none"/>
          <w:lang w:val="en-US" w:eastAsia="zh-CN" w:bidi="ar-SA"/>
        </w:rPr>
      </w:pPr>
      <w:r>
        <w:rPr>
          <w:rFonts w:hint="eastAsia" w:hAnsi="宋体" w:cs="Times New Roman"/>
          <w:b/>
          <w:bCs/>
          <w:color w:val="auto"/>
          <w:kern w:val="0"/>
          <w:sz w:val="28"/>
          <w:szCs w:val="28"/>
          <w:highlight w:val="none"/>
          <w:lang w:val="en-US" w:eastAsia="zh-CN" w:bidi="ar-SA"/>
        </w:rPr>
        <w:br w:type="page"/>
      </w:r>
    </w:p>
    <w:p w14:paraId="0BA0F18F">
      <w:pPr>
        <w:rPr>
          <w:rFonts w:hint="eastAsia" w:hAnsi="宋体" w:cs="Times New Roman"/>
          <w:b/>
          <w:bCs/>
          <w:color w:val="auto"/>
          <w:kern w:val="0"/>
          <w:sz w:val="28"/>
          <w:szCs w:val="28"/>
          <w:highlight w:val="none"/>
          <w:lang w:val="en-US" w:eastAsia="zh-CN" w:bidi="ar-SA"/>
        </w:rPr>
      </w:pPr>
      <w:r>
        <w:rPr>
          <w:rFonts w:hint="eastAsia" w:hAnsi="宋体" w:cs="Times New Roman"/>
          <w:b/>
          <w:bCs/>
          <w:color w:val="auto"/>
          <w:kern w:val="0"/>
          <w:sz w:val="28"/>
          <w:szCs w:val="28"/>
          <w:highlight w:val="none"/>
          <w:lang w:val="en-US" w:eastAsia="zh-CN" w:bidi="ar-SA"/>
        </w:rPr>
        <w:t>格式4：</w:t>
      </w:r>
    </w:p>
    <w:p w14:paraId="7DB3C686">
      <w:pPr>
        <w:keepNext/>
        <w:keepLines/>
        <w:pageBreakBefore w:val="0"/>
        <w:widowControl w:val="0"/>
        <w:kinsoku/>
        <w:wordWrap/>
        <w:overflowPunct/>
        <w:topLinePunct w:val="0"/>
        <w:autoSpaceDE/>
        <w:autoSpaceDN/>
        <w:bidi w:val="0"/>
        <w:adjustRightInd/>
        <w:snapToGrid/>
        <w:spacing w:before="120" w:after="120" w:line="360" w:lineRule="auto"/>
        <w:ind w:firstLine="562" w:firstLineChars="200"/>
        <w:jc w:val="center"/>
        <w:textAlignment w:val="auto"/>
        <w:outlineLvl w:val="1"/>
        <w:rPr>
          <w:rFonts w:hint="eastAsia" w:ascii="宋体" w:hAnsi="宋体" w:eastAsia="宋体" w:cs="宋体"/>
          <w:b/>
          <w:snapToGrid/>
          <w:color w:val="auto"/>
          <w:kern w:val="0"/>
          <w:sz w:val="28"/>
          <w:szCs w:val="28"/>
          <w:highlight w:val="none"/>
          <w:lang w:val="en-US" w:eastAsia="zh-CN"/>
        </w:rPr>
      </w:pPr>
      <w:r>
        <w:rPr>
          <w:rFonts w:hint="eastAsia" w:ascii="宋体" w:hAnsi="宋体" w:eastAsia="宋体" w:cs="宋体"/>
          <w:b/>
          <w:snapToGrid/>
          <w:color w:val="auto"/>
          <w:kern w:val="0"/>
          <w:sz w:val="28"/>
          <w:szCs w:val="28"/>
          <w:highlight w:val="none"/>
          <w:lang w:val="en-US" w:eastAsia="zh-CN"/>
        </w:rPr>
        <w:t>磋商申请函</w:t>
      </w:r>
    </w:p>
    <w:p w14:paraId="231D765E">
      <w:pPr>
        <w:spacing w:line="360" w:lineRule="auto"/>
        <w:jc w:val="left"/>
        <w:rPr>
          <w:rFonts w:hint="eastAsia" w:ascii="宋体" w:hAnsi="宋体" w:eastAsia="宋体" w:cs="宋体"/>
          <w:b/>
          <w:bCs/>
          <w:snapToGrid/>
          <w:color w:val="auto"/>
          <w:kern w:val="2"/>
          <w:sz w:val="24"/>
          <w:szCs w:val="21"/>
          <w:highlight w:val="none"/>
        </w:rPr>
      </w:pPr>
      <w:r>
        <w:rPr>
          <w:rFonts w:hint="eastAsia" w:ascii="宋体" w:hAnsi="宋体" w:eastAsia="宋体" w:cs="宋体"/>
          <w:b/>
          <w:bCs/>
          <w:snapToGrid/>
          <w:color w:val="auto"/>
          <w:kern w:val="2"/>
          <w:sz w:val="24"/>
          <w:szCs w:val="21"/>
          <w:highlight w:val="none"/>
        </w:rPr>
        <w:t>致：</w:t>
      </w:r>
      <w:r>
        <w:rPr>
          <w:rFonts w:hint="eastAsia" w:ascii="宋体" w:hAnsi="宋体" w:eastAsia="宋体" w:cs="宋体"/>
          <w:b/>
          <w:bCs/>
          <w:snapToGrid/>
          <w:color w:val="auto"/>
          <w:kern w:val="2"/>
          <w:sz w:val="24"/>
          <w:szCs w:val="21"/>
          <w:highlight w:val="none"/>
          <w:u w:val="single"/>
        </w:rPr>
        <w:t xml:space="preserve">               （采购人名称）</w:t>
      </w:r>
    </w:p>
    <w:p w14:paraId="1D5B011A">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我方仔细研究了</w:t>
      </w:r>
      <w:r>
        <w:rPr>
          <w:rFonts w:hint="eastAsia" w:hAnsi="宋体" w:cs="宋体"/>
          <w:snapToGrid/>
          <w:color w:val="auto"/>
          <w:kern w:val="2"/>
          <w:sz w:val="24"/>
          <w:szCs w:val="21"/>
          <w:highlight w:val="none"/>
          <w:u w:val="single"/>
          <w:lang w:val="en-US" w:eastAsia="zh-CN"/>
        </w:rPr>
        <w:t xml:space="preserve">   </w:t>
      </w:r>
      <w:r>
        <w:rPr>
          <w:rFonts w:hint="eastAsia" w:ascii="宋体" w:hAnsi="宋体" w:eastAsia="宋体" w:cs="宋体"/>
          <w:snapToGrid/>
          <w:color w:val="auto"/>
          <w:kern w:val="2"/>
          <w:sz w:val="24"/>
          <w:szCs w:val="21"/>
          <w:highlight w:val="none"/>
          <w:u w:val="single"/>
        </w:rPr>
        <w:t xml:space="preserve">（项目名称）   </w:t>
      </w:r>
      <w:r>
        <w:rPr>
          <w:rFonts w:hint="eastAsia" w:ascii="宋体" w:hAnsi="宋体" w:eastAsia="宋体" w:cs="宋体"/>
          <w:snapToGrid/>
          <w:color w:val="auto"/>
          <w:kern w:val="2"/>
          <w:sz w:val="24"/>
          <w:szCs w:val="21"/>
          <w:highlight w:val="none"/>
        </w:rPr>
        <w:t>（项目编号：</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）竞争性磋商文件，并认可项目竞争性磋商文件的全部内容，我方正式授权下述人员</w:t>
      </w:r>
      <w:r>
        <w:rPr>
          <w:rFonts w:hint="eastAsia" w:ascii="宋体" w:hAnsi="宋体" w:eastAsia="宋体" w:cs="宋体"/>
          <w:snapToGrid/>
          <w:color w:val="auto"/>
          <w:kern w:val="2"/>
          <w:sz w:val="24"/>
          <w:szCs w:val="21"/>
          <w:highlight w:val="none"/>
          <w:u w:val="single"/>
        </w:rPr>
        <w:t xml:space="preserve">   （姓名和职务）  </w:t>
      </w:r>
      <w:r>
        <w:rPr>
          <w:rFonts w:hint="eastAsia" w:ascii="宋体" w:hAnsi="宋体" w:eastAsia="宋体" w:cs="宋体"/>
          <w:snapToGrid/>
          <w:color w:val="auto"/>
          <w:kern w:val="2"/>
          <w:sz w:val="24"/>
          <w:szCs w:val="21"/>
          <w:highlight w:val="none"/>
        </w:rPr>
        <w:t>全权代表</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u w:val="single"/>
          <w:lang w:val="en-US" w:eastAsia="zh-CN"/>
        </w:rPr>
        <w:t xml:space="preserve">       </w:t>
      </w:r>
      <w:r>
        <w:rPr>
          <w:rFonts w:hint="eastAsia" w:ascii="宋体" w:hAnsi="宋体" w:eastAsia="宋体" w:cs="宋体"/>
          <w:snapToGrid/>
          <w:color w:val="auto"/>
          <w:kern w:val="2"/>
          <w:sz w:val="24"/>
          <w:szCs w:val="21"/>
          <w:highlight w:val="none"/>
          <w:u w:val="single"/>
        </w:rPr>
        <w:t xml:space="preserve">（供应商全称）   </w:t>
      </w:r>
      <w:r>
        <w:rPr>
          <w:rFonts w:hint="eastAsia" w:ascii="宋体" w:hAnsi="宋体" w:eastAsia="宋体" w:cs="宋体"/>
          <w:snapToGrid/>
          <w:color w:val="auto"/>
          <w:kern w:val="2"/>
          <w:sz w:val="24"/>
          <w:szCs w:val="21"/>
          <w:highlight w:val="none"/>
        </w:rPr>
        <w:t>参加磋商，并提交响应文件正本一份，副本</w:t>
      </w:r>
      <w:r>
        <w:rPr>
          <w:rFonts w:hint="eastAsia" w:hAnsi="宋体" w:cs="宋体"/>
          <w:snapToGrid/>
          <w:color w:val="auto"/>
          <w:kern w:val="2"/>
          <w:sz w:val="24"/>
          <w:szCs w:val="21"/>
          <w:highlight w:val="none"/>
          <w:u w:val="none"/>
          <w:lang w:val="en-US" w:eastAsia="zh-CN"/>
        </w:rPr>
        <w:t>一</w:t>
      </w:r>
      <w:r>
        <w:rPr>
          <w:rFonts w:hint="eastAsia" w:ascii="宋体" w:hAnsi="宋体" w:eastAsia="宋体" w:cs="宋体"/>
          <w:snapToGrid/>
          <w:color w:val="auto"/>
          <w:kern w:val="2"/>
          <w:sz w:val="24"/>
          <w:szCs w:val="21"/>
          <w:highlight w:val="none"/>
        </w:rPr>
        <w:t>份。</w:t>
      </w:r>
    </w:p>
    <w:p w14:paraId="65A1331F">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据此申请书，我单位兹宣布同意如下：</w:t>
      </w:r>
    </w:p>
    <w:p w14:paraId="7E272F49">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1. 我方同意将按竞争性磋商文件的规定履行合同责任和义务。</w:t>
      </w:r>
    </w:p>
    <w:p w14:paraId="7154EE7D">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2. 我方已详细审查全部竞争性磋商文件，包括修改文件以及全部参考资料和所有附件。我们完全理解并认为该磋商文件公平公正，不存在倾向性，且同意放弃对这方面有不明及误解的权利。</w:t>
      </w:r>
    </w:p>
    <w:p w14:paraId="147994D0">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3. 我方响应文件有效期为自磋商之日起</w:t>
      </w:r>
      <w:r>
        <w:rPr>
          <w:rFonts w:hint="eastAsia" w:ascii="宋体" w:hAnsi="宋体" w:eastAsia="宋体" w:cs="宋体"/>
          <w:snapToGrid/>
          <w:color w:val="auto"/>
          <w:kern w:val="2"/>
          <w:sz w:val="24"/>
          <w:szCs w:val="21"/>
          <w:highlight w:val="none"/>
          <w:u w:val="single"/>
        </w:rPr>
        <w:t>90</w:t>
      </w:r>
      <w:r>
        <w:rPr>
          <w:rFonts w:hint="eastAsia" w:ascii="宋体" w:hAnsi="宋体" w:eastAsia="宋体" w:cs="宋体"/>
          <w:snapToGrid/>
          <w:color w:val="auto"/>
          <w:kern w:val="2"/>
          <w:sz w:val="24"/>
          <w:szCs w:val="21"/>
          <w:highlight w:val="none"/>
        </w:rPr>
        <w:t>天。</w:t>
      </w:r>
    </w:p>
    <w:p w14:paraId="671AAD8A">
      <w:pPr>
        <w:spacing w:line="360" w:lineRule="auto"/>
        <w:ind w:firstLine="480" w:firstLineChars="200"/>
        <w:jc w:val="left"/>
        <w:rPr>
          <w:rFonts w:hint="eastAsia" w:ascii="宋体" w:hAnsi="宋体" w:eastAsia="宋体" w:cs="宋体"/>
          <w:snapToGrid/>
          <w:color w:val="auto"/>
          <w:kern w:val="2"/>
          <w:sz w:val="24"/>
          <w:szCs w:val="21"/>
          <w:highlight w:val="none"/>
          <w:lang w:eastAsia="zh-CN"/>
        </w:rPr>
      </w:pPr>
      <w:r>
        <w:rPr>
          <w:rFonts w:hint="eastAsia" w:ascii="宋体" w:hAnsi="宋体" w:eastAsia="宋体" w:cs="宋体"/>
          <w:snapToGrid/>
          <w:color w:val="auto"/>
          <w:kern w:val="2"/>
          <w:sz w:val="24"/>
          <w:szCs w:val="21"/>
          <w:highlight w:val="none"/>
        </w:rPr>
        <w:t>4．我方同意供应商须知中关于没收保证金的规定</w:t>
      </w:r>
      <w:r>
        <w:rPr>
          <w:rFonts w:hint="eastAsia" w:hAnsi="宋体" w:cs="宋体"/>
          <w:snapToGrid/>
          <w:color w:val="auto"/>
          <w:kern w:val="2"/>
          <w:sz w:val="24"/>
          <w:szCs w:val="21"/>
          <w:highlight w:val="none"/>
          <w:lang w:eastAsia="zh-CN"/>
        </w:rPr>
        <w:t>。</w:t>
      </w:r>
    </w:p>
    <w:p w14:paraId="0C2CE142">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5</w:t>
      </w:r>
      <w:r>
        <w:rPr>
          <w:rFonts w:hint="eastAsia" w:hAnsi="宋体" w:cs="宋体"/>
          <w:snapToGrid/>
          <w:color w:val="auto"/>
          <w:kern w:val="2"/>
          <w:sz w:val="24"/>
          <w:szCs w:val="21"/>
          <w:highlight w:val="none"/>
          <w:lang w:val="en-US" w:eastAsia="zh-CN"/>
        </w:rPr>
        <w:t>.</w:t>
      </w:r>
      <w:r>
        <w:rPr>
          <w:rFonts w:hint="eastAsia" w:ascii="宋体" w:hAnsi="宋体" w:eastAsia="宋体" w:cs="宋体"/>
          <w:snapToGrid/>
          <w:color w:val="auto"/>
          <w:kern w:val="2"/>
          <w:sz w:val="24"/>
          <w:szCs w:val="21"/>
          <w:highlight w:val="none"/>
        </w:rPr>
        <w:t xml:space="preserve"> 同意应贵方要求提供与本次磋商有关的任何数据和资料，并保证数据和资料的完整性和真实性。</w:t>
      </w:r>
    </w:p>
    <w:p w14:paraId="6476580A">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6. 我方完全理解贵方不一定要接受最低报价的供应商为成交供应商的行为。</w:t>
      </w:r>
    </w:p>
    <w:p w14:paraId="1B54154B">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与本次磋商有关的正式通讯地址为：</w:t>
      </w:r>
    </w:p>
    <w:p w14:paraId="71D0F5A1">
      <w:pPr>
        <w:spacing w:line="360" w:lineRule="auto"/>
        <w:ind w:firstLine="480" w:firstLineChars="200"/>
        <w:jc w:val="left"/>
        <w:rPr>
          <w:rFonts w:hint="eastAsia" w:ascii="宋体" w:hAnsi="宋体" w:eastAsia="宋体" w:cs="宋体"/>
          <w:snapToGrid/>
          <w:color w:val="auto"/>
          <w:kern w:val="2"/>
          <w:sz w:val="24"/>
          <w:szCs w:val="21"/>
          <w:highlight w:val="none"/>
        </w:rPr>
      </w:pPr>
    </w:p>
    <w:p w14:paraId="15888A1F">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地    址：</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 xml:space="preserve">           邮政编码：</w:t>
      </w:r>
      <w:r>
        <w:rPr>
          <w:rFonts w:hint="eastAsia" w:ascii="宋体" w:hAnsi="宋体" w:eastAsia="宋体" w:cs="宋体"/>
          <w:snapToGrid/>
          <w:color w:val="auto"/>
          <w:kern w:val="2"/>
          <w:sz w:val="24"/>
          <w:szCs w:val="21"/>
          <w:highlight w:val="none"/>
          <w:u w:val="single"/>
        </w:rPr>
        <w:t xml:space="preserve">                </w:t>
      </w:r>
    </w:p>
    <w:p w14:paraId="1C7AED5D">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电    话：</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 xml:space="preserve">           传    真：</w:t>
      </w:r>
      <w:r>
        <w:rPr>
          <w:rFonts w:hint="eastAsia" w:ascii="宋体" w:hAnsi="宋体" w:eastAsia="宋体" w:cs="宋体"/>
          <w:snapToGrid/>
          <w:color w:val="auto"/>
          <w:kern w:val="2"/>
          <w:sz w:val="24"/>
          <w:szCs w:val="21"/>
          <w:highlight w:val="none"/>
          <w:u w:val="single"/>
        </w:rPr>
        <w:t>　　　　　　　　</w:t>
      </w:r>
    </w:p>
    <w:p w14:paraId="446DD7F6">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ascii="宋体" w:hAnsi="宋体" w:eastAsia="宋体" w:cs="宋体"/>
          <w:snapToGrid/>
          <w:color w:val="auto"/>
          <w:kern w:val="2"/>
          <w:sz w:val="24"/>
          <w:szCs w:val="21"/>
          <w:highlight w:val="none"/>
        </w:rPr>
        <w:t>开户名称：</w:t>
      </w:r>
      <w:r>
        <w:rPr>
          <w:rFonts w:hint="eastAsia" w:ascii="宋体" w:hAnsi="宋体" w:eastAsia="宋体" w:cs="宋体"/>
          <w:snapToGrid/>
          <w:color w:val="auto"/>
          <w:kern w:val="2"/>
          <w:sz w:val="24"/>
          <w:szCs w:val="21"/>
          <w:highlight w:val="none"/>
          <w:u w:val="single"/>
        </w:rPr>
        <w:t xml:space="preserve">                                                    </w:t>
      </w:r>
    </w:p>
    <w:p w14:paraId="4A699FCE">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ascii="宋体" w:hAnsi="宋体" w:eastAsia="宋体" w:cs="宋体"/>
          <w:snapToGrid/>
          <w:color w:val="auto"/>
          <w:kern w:val="2"/>
          <w:sz w:val="24"/>
          <w:szCs w:val="21"/>
          <w:highlight w:val="none"/>
        </w:rPr>
        <w:t>开户银行：</w:t>
      </w:r>
      <w:r>
        <w:rPr>
          <w:rFonts w:hint="eastAsia" w:ascii="宋体" w:hAnsi="宋体" w:eastAsia="宋体" w:cs="宋体"/>
          <w:snapToGrid/>
          <w:color w:val="auto"/>
          <w:kern w:val="2"/>
          <w:sz w:val="24"/>
          <w:szCs w:val="21"/>
          <w:highlight w:val="none"/>
          <w:u w:val="single"/>
        </w:rPr>
        <w:t xml:space="preserve">                                                    </w:t>
      </w:r>
    </w:p>
    <w:p w14:paraId="37E97FF2">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hAnsi="宋体" w:cs="宋体"/>
          <w:snapToGrid/>
          <w:color w:val="auto"/>
          <w:kern w:val="2"/>
          <w:sz w:val="24"/>
          <w:szCs w:val="21"/>
          <w:highlight w:val="none"/>
          <w:lang w:eastAsia="zh-CN"/>
        </w:rPr>
        <w:t>账</w:t>
      </w:r>
      <w:r>
        <w:rPr>
          <w:rFonts w:hint="eastAsia" w:ascii="宋体" w:hAnsi="宋体" w:eastAsia="宋体" w:cs="宋体"/>
          <w:snapToGrid/>
          <w:color w:val="auto"/>
          <w:kern w:val="2"/>
          <w:sz w:val="24"/>
          <w:szCs w:val="21"/>
          <w:highlight w:val="none"/>
        </w:rPr>
        <w:t xml:space="preserve">    号：</w:t>
      </w:r>
      <w:r>
        <w:rPr>
          <w:rFonts w:hint="eastAsia" w:ascii="宋体" w:hAnsi="宋体" w:eastAsia="宋体" w:cs="宋体"/>
          <w:snapToGrid/>
          <w:color w:val="auto"/>
          <w:kern w:val="2"/>
          <w:sz w:val="24"/>
          <w:szCs w:val="21"/>
          <w:highlight w:val="none"/>
          <w:u w:val="single"/>
        </w:rPr>
        <w:t xml:space="preserve">                                                    </w:t>
      </w:r>
    </w:p>
    <w:p w14:paraId="65333FBC">
      <w:pPr>
        <w:spacing w:line="360" w:lineRule="auto"/>
        <w:ind w:left="481" w:leftChars="229"/>
        <w:jc w:val="left"/>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供应商</w:t>
      </w:r>
      <w:r>
        <w:rPr>
          <w:rFonts w:hint="eastAsia" w:ascii="宋体" w:hAnsi="宋体" w:eastAsia="宋体" w:cs="宋体"/>
          <w:b w:val="0"/>
          <w:bCs/>
          <w:snapToGrid/>
          <w:color w:val="auto"/>
          <w:kern w:val="2"/>
          <w:sz w:val="24"/>
          <w:highlight w:val="none"/>
          <w:lang w:val="en-US" w:eastAsia="zh-CN"/>
        </w:rPr>
        <w:t>全称</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lang w:eastAsia="zh-CN"/>
        </w:rPr>
        <w:t>电子签章</w:t>
      </w:r>
      <w:r>
        <w:rPr>
          <w:rFonts w:hint="eastAsia" w:ascii="宋体" w:hAnsi="宋体" w:eastAsia="宋体" w:cs="宋体"/>
          <w:b w:val="0"/>
          <w:bCs/>
          <w:snapToGrid/>
          <w:color w:val="auto"/>
          <w:kern w:val="2"/>
          <w:sz w:val="24"/>
          <w:highlight w:val="none"/>
        </w:rPr>
        <w:t>）</w:t>
      </w:r>
    </w:p>
    <w:p w14:paraId="528600B0">
      <w:pPr>
        <w:spacing w:line="360" w:lineRule="auto"/>
        <w:ind w:left="481" w:leftChars="229"/>
        <w:jc w:val="left"/>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法定代表人或委托代理人：</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lang w:eastAsia="zh-CN"/>
        </w:rPr>
        <w:t>电子签章或签字</w:t>
      </w:r>
      <w:r>
        <w:rPr>
          <w:rFonts w:hint="eastAsia" w:ascii="宋体" w:hAnsi="宋体" w:eastAsia="宋体" w:cs="宋体"/>
          <w:b w:val="0"/>
          <w:bCs/>
          <w:snapToGrid/>
          <w:color w:val="auto"/>
          <w:kern w:val="2"/>
          <w:sz w:val="24"/>
          <w:highlight w:val="none"/>
        </w:rPr>
        <w:t>）</w:t>
      </w:r>
    </w:p>
    <w:p w14:paraId="73B0B9B5">
      <w:pPr>
        <w:spacing w:line="360" w:lineRule="auto"/>
        <w:ind w:left="481" w:leftChars="229"/>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日期：</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年</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月</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日</w:t>
      </w:r>
    </w:p>
    <w:p w14:paraId="66C364DE">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default" w:hAnsi="宋体" w:cs="宋体"/>
          <w:b/>
          <w:bCs/>
          <w:color w:val="auto"/>
          <w:kern w:val="0"/>
          <w:sz w:val="28"/>
          <w:szCs w:val="28"/>
          <w:highlight w:val="none"/>
          <w:lang w:val="en-US" w:eastAsia="zh-CN" w:bidi="ar-SA"/>
        </w:rPr>
      </w:pPr>
      <w:r>
        <w:rPr>
          <w:rFonts w:hint="eastAsia" w:hAnsi="宋体" w:cs="宋体"/>
          <w:b/>
          <w:bCs/>
          <w:color w:val="auto"/>
          <w:kern w:val="0"/>
          <w:sz w:val="28"/>
          <w:szCs w:val="28"/>
          <w:highlight w:val="none"/>
          <w:lang w:val="en-US" w:eastAsia="zh-CN" w:bidi="ar-SA"/>
        </w:rPr>
        <w:br w:type="page"/>
      </w:r>
      <w:r>
        <w:rPr>
          <w:rFonts w:hint="eastAsia" w:hAnsi="宋体" w:cs="宋体"/>
          <w:b/>
          <w:bCs/>
          <w:color w:val="auto"/>
          <w:kern w:val="0"/>
          <w:sz w:val="28"/>
          <w:szCs w:val="28"/>
          <w:highlight w:val="none"/>
          <w:lang w:val="en-US" w:eastAsia="zh-CN" w:bidi="ar-SA"/>
        </w:rPr>
        <w:t>格式5：</w:t>
      </w:r>
    </w:p>
    <w:p w14:paraId="48BD083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olor w:val="auto"/>
          <w:sz w:val="28"/>
          <w:szCs w:val="28"/>
          <w:highlight w:val="none"/>
        </w:rPr>
      </w:pPr>
      <w:r>
        <w:rPr>
          <w:rFonts w:hint="eastAsia" w:hAnsi="宋体" w:cs="宋体"/>
          <w:b/>
          <w:bCs/>
          <w:color w:val="auto"/>
          <w:kern w:val="0"/>
          <w:sz w:val="28"/>
          <w:szCs w:val="28"/>
          <w:highlight w:val="none"/>
          <w:lang w:val="en-US" w:eastAsia="zh-CN" w:bidi="ar-SA"/>
        </w:rPr>
        <w:t>磋商保证金</w:t>
      </w:r>
    </w:p>
    <w:p w14:paraId="54103996">
      <w:pPr>
        <w:autoSpaceDE w:val="0"/>
        <w:spacing w:line="240" w:lineRule="exact"/>
        <w:ind w:firstLine="960" w:firstLineChars="40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47F8240">
      <w:pPr>
        <w:spacing w:after="120" w:line="500" w:lineRule="exact"/>
        <w:rPr>
          <w:rFonts w:ascii="宋体" w:hAnsi="宋体" w:cs="宋体"/>
          <w:b/>
          <w:color w:val="auto"/>
          <w:sz w:val="24"/>
          <w:highlight w:val="none"/>
        </w:rPr>
      </w:pPr>
      <w:r>
        <w:rPr>
          <w:rFonts w:hint="eastAsia" w:ascii="宋体" w:hAnsi="宋体" w:cs="宋体"/>
          <w:b/>
          <w:color w:val="auto"/>
          <w:sz w:val="24"/>
          <w:highlight w:val="none"/>
        </w:rPr>
        <w:t>致：</w:t>
      </w:r>
      <w:r>
        <w:rPr>
          <w:rFonts w:hint="eastAsia" w:ascii="宋体" w:hAnsi="宋体" w:cs="宋体"/>
          <w:b/>
          <w:color w:val="auto"/>
          <w:sz w:val="24"/>
          <w:highlight w:val="none"/>
          <w:u w:val="single"/>
        </w:rPr>
        <w:t xml:space="preserve">  （采购人名称） </w:t>
      </w:r>
    </w:p>
    <w:p w14:paraId="5303A05F">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本书作为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（供应商</w:t>
      </w:r>
      <w:r>
        <w:rPr>
          <w:rFonts w:hint="eastAsia" w:hAnsi="宋体" w:cs="宋体"/>
          <w:color w:val="auto"/>
          <w:sz w:val="24"/>
          <w:highlight w:val="none"/>
          <w:u w:val="single"/>
          <w:lang w:val="en-US" w:eastAsia="zh-CN"/>
        </w:rPr>
        <w:t>名称</w:t>
      </w:r>
      <w:r>
        <w:rPr>
          <w:rFonts w:hint="eastAsia" w:ascii="宋体" w:hAnsi="宋体" w:cs="宋体"/>
          <w:color w:val="auto"/>
          <w:sz w:val="24"/>
          <w:highlight w:val="none"/>
          <w:u w:val="single"/>
        </w:rPr>
        <w:t>）</w:t>
      </w:r>
      <w:r>
        <w:rPr>
          <w:rFonts w:hint="eastAsia" w:hAnsi="宋体" w:cs="宋体"/>
          <w:color w:val="auto"/>
          <w:sz w:val="24"/>
          <w:highlight w:val="none"/>
          <w:u w:val="single"/>
          <w:lang w:val="en-US" w:eastAsia="zh-CN"/>
        </w:rPr>
        <w:t xml:space="preserve"> </w:t>
      </w:r>
      <w:r>
        <w:rPr>
          <w:rFonts w:hint="eastAsia" w:ascii="宋体" w:hAnsi="宋体" w:cs="宋体"/>
          <w:color w:val="auto"/>
          <w:sz w:val="24"/>
          <w:highlight w:val="none"/>
        </w:rPr>
        <w:t>对</w:t>
      </w:r>
      <w:r>
        <w:rPr>
          <w:rFonts w:hint="eastAsia" w:hAnsi="宋体" w:cs="宋体"/>
          <w:color w:val="auto"/>
          <w:sz w:val="24"/>
          <w:highlight w:val="none"/>
          <w:u w:val="single"/>
          <w:lang w:val="en-US" w:eastAsia="zh-CN"/>
        </w:rPr>
        <w:t xml:space="preserve">  （项目名称）  </w:t>
      </w:r>
      <w:r>
        <w:rPr>
          <w:rFonts w:hint="eastAsia" w:ascii="宋体" w:hAnsi="宋体" w:cs="宋体"/>
          <w:color w:val="auto"/>
          <w:sz w:val="24"/>
          <w:highlight w:val="none"/>
        </w:rPr>
        <w:t>，</w:t>
      </w:r>
      <w:r>
        <w:rPr>
          <w:rFonts w:hint="eastAsia" w:hAnsi="宋体" w:cs="宋体"/>
          <w:color w:val="auto"/>
          <w:sz w:val="24"/>
          <w:highlight w:val="none"/>
          <w:lang w:val="en-US" w:eastAsia="zh-CN"/>
        </w:rPr>
        <w:t>项目</w:t>
      </w:r>
      <w:r>
        <w:rPr>
          <w:rFonts w:hint="eastAsia" w:ascii="宋体" w:hAnsi="宋体" w:cs="宋体"/>
          <w:color w:val="auto"/>
          <w:sz w:val="24"/>
          <w:highlight w:val="none"/>
          <w:lang w:eastAsia="zh-CN"/>
        </w:rPr>
        <w:t>编号</w:t>
      </w:r>
      <w:r>
        <w:rPr>
          <w:rFonts w:hint="eastAsia" w:ascii="宋体" w:hAnsi="宋体" w:cs="宋体"/>
          <w:color w:val="auto"/>
          <w:sz w:val="24"/>
          <w:highlight w:val="none"/>
        </w:rPr>
        <w:t>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提供的</w:t>
      </w:r>
      <w:r>
        <w:rPr>
          <w:rFonts w:hint="eastAsia" w:hAnsi="宋体" w:cs="宋体"/>
          <w:color w:val="auto"/>
          <w:sz w:val="24"/>
          <w:highlight w:val="none"/>
          <w:lang w:val="en-US" w:eastAsia="zh-CN"/>
        </w:rPr>
        <w:t>磋商</w:t>
      </w:r>
      <w:r>
        <w:rPr>
          <w:rFonts w:hint="eastAsia" w:ascii="宋体" w:hAnsi="宋体" w:cs="宋体"/>
          <w:color w:val="auto"/>
          <w:sz w:val="24"/>
          <w:highlight w:val="none"/>
        </w:rPr>
        <w:t>保证金的保证。</w:t>
      </w:r>
    </w:p>
    <w:p w14:paraId="2460BF7D">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由</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（开户银行名称）提供的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（填</w:t>
      </w:r>
      <w:r>
        <w:rPr>
          <w:rFonts w:hint="eastAsia" w:hAnsi="宋体" w:cs="宋体"/>
          <w:color w:val="auto"/>
          <w:sz w:val="24"/>
          <w:highlight w:val="none"/>
          <w:lang w:val="en-US" w:eastAsia="zh-CN"/>
        </w:rPr>
        <w:t>磋商</w:t>
      </w:r>
      <w:r>
        <w:rPr>
          <w:rFonts w:hint="eastAsia" w:ascii="宋体" w:hAnsi="宋体" w:cs="宋体"/>
          <w:color w:val="auto"/>
          <w:sz w:val="24"/>
          <w:highlight w:val="none"/>
        </w:rPr>
        <w:t>保证金形式）总额为人民币大写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元）。</w:t>
      </w:r>
    </w:p>
    <w:p w14:paraId="2D3C6985">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一旦发生下述行为，我单位（或公司）将放弃追索保证金的权利：</w:t>
      </w:r>
    </w:p>
    <w:p w14:paraId="7F237925">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（1）从</w:t>
      </w:r>
      <w:r>
        <w:rPr>
          <w:rFonts w:hint="eastAsia" w:hAnsi="宋体" w:cs="宋体"/>
          <w:color w:val="auto"/>
          <w:sz w:val="24"/>
          <w:highlight w:val="none"/>
          <w:lang w:val="en-US" w:eastAsia="zh-CN"/>
        </w:rPr>
        <w:t>磋商</w:t>
      </w:r>
      <w:r>
        <w:rPr>
          <w:rFonts w:hint="eastAsia" w:ascii="宋体" w:hAnsi="宋体" w:cs="宋体"/>
          <w:color w:val="auto"/>
          <w:sz w:val="24"/>
          <w:highlight w:val="none"/>
        </w:rPr>
        <w:t>之日起到</w:t>
      </w:r>
      <w:r>
        <w:rPr>
          <w:rFonts w:hint="eastAsia" w:hAnsi="宋体" w:cs="宋体"/>
          <w:color w:val="auto"/>
          <w:sz w:val="24"/>
          <w:highlight w:val="none"/>
          <w:lang w:val="en-US" w:eastAsia="zh-CN"/>
        </w:rPr>
        <w:t>磋商</w:t>
      </w:r>
      <w:r>
        <w:rPr>
          <w:rFonts w:hint="eastAsia" w:ascii="宋体" w:hAnsi="宋体" w:cs="宋体"/>
          <w:color w:val="auto"/>
          <w:sz w:val="24"/>
          <w:highlight w:val="none"/>
        </w:rPr>
        <w:t>文件有效期满前，供应商撤回</w:t>
      </w:r>
      <w:r>
        <w:rPr>
          <w:rFonts w:hint="eastAsia" w:hAnsi="宋体" w:cs="宋体"/>
          <w:color w:val="auto"/>
          <w:sz w:val="24"/>
          <w:highlight w:val="none"/>
          <w:lang w:val="en-US" w:eastAsia="zh-CN"/>
        </w:rPr>
        <w:t>响应</w:t>
      </w:r>
      <w:r>
        <w:rPr>
          <w:rFonts w:hint="eastAsia" w:ascii="宋体" w:hAnsi="宋体" w:cs="宋体"/>
          <w:color w:val="auto"/>
          <w:sz w:val="24"/>
          <w:highlight w:val="none"/>
        </w:rPr>
        <w:t>文件；</w:t>
      </w:r>
    </w:p>
    <w:p w14:paraId="3FA948AA">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（2）</w:t>
      </w:r>
      <w:r>
        <w:rPr>
          <w:rFonts w:hint="eastAsia" w:hAnsi="宋体" w:cs="宋体"/>
          <w:color w:val="auto"/>
          <w:sz w:val="24"/>
          <w:highlight w:val="none"/>
          <w:lang w:val="en-US" w:eastAsia="zh-CN"/>
        </w:rPr>
        <w:t>磋商</w:t>
      </w:r>
      <w:r>
        <w:rPr>
          <w:rFonts w:hint="eastAsia" w:ascii="宋体" w:hAnsi="宋体" w:cs="宋体"/>
          <w:color w:val="auto"/>
          <w:sz w:val="24"/>
          <w:highlight w:val="none"/>
        </w:rPr>
        <w:t>、评审到成交期间发生违反</w:t>
      </w:r>
      <w:r>
        <w:rPr>
          <w:rFonts w:hint="eastAsia" w:hAnsi="宋体" w:cs="宋体"/>
          <w:color w:val="auto"/>
          <w:sz w:val="24"/>
          <w:highlight w:val="none"/>
          <w:lang w:val="en-US" w:eastAsia="zh-CN"/>
        </w:rPr>
        <w:t>磋商</w:t>
      </w:r>
      <w:r>
        <w:rPr>
          <w:rFonts w:hint="eastAsia" w:ascii="宋体" w:hAnsi="宋体" w:cs="宋体"/>
          <w:color w:val="auto"/>
          <w:sz w:val="24"/>
          <w:highlight w:val="none"/>
        </w:rPr>
        <w:t>文件规定的行为；</w:t>
      </w:r>
    </w:p>
    <w:p w14:paraId="31EECC1B">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（3）在收到《</w:t>
      </w:r>
      <w:r>
        <w:rPr>
          <w:rFonts w:hint="eastAsia" w:hAnsi="宋体" w:cs="宋体"/>
          <w:color w:val="auto"/>
          <w:sz w:val="24"/>
          <w:highlight w:val="none"/>
          <w:lang w:val="en-US" w:eastAsia="zh-CN"/>
        </w:rPr>
        <w:t>成交</w:t>
      </w:r>
      <w:r>
        <w:rPr>
          <w:rFonts w:hint="eastAsia" w:ascii="宋体" w:hAnsi="宋体" w:cs="宋体"/>
          <w:color w:val="auto"/>
          <w:sz w:val="24"/>
          <w:highlight w:val="none"/>
        </w:rPr>
        <w:t>通知书》后未能按</w:t>
      </w:r>
      <w:r>
        <w:rPr>
          <w:rFonts w:hint="eastAsia" w:hAnsi="宋体" w:cs="宋体"/>
          <w:color w:val="auto"/>
          <w:sz w:val="24"/>
          <w:highlight w:val="none"/>
          <w:lang w:val="en-US" w:eastAsia="zh-CN"/>
        </w:rPr>
        <w:t>成交</w:t>
      </w:r>
      <w:r>
        <w:rPr>
          <w:rFonts w:hint="eastAsia" w:ascii="宋体" w:hAnsi="宋体" w:cs="宋体"/>
          <w:color w:val="auto"/>
          <w:sz w:val="24"/>
          <w:highlight w:val="none"/>
        </w:rPr>
        <w:t>通知书规定的时间地点与需求方签订合同；</w:t>
      </w:r>
    </w:p>
    <w:p w14:paraId="087C06C4">
      <w:pPr>
        <w:spacing w:before="60" w:after="60" w:line="500" w:lineRule="exact"/>
        <w:ind w:firstLine="510"/>
        <w:outlineLvl w:val="9"/>
        <w:rPr>
          <w:rFonts w:ascii="宋体" w:hAnsi="宋体" w:cs="宋体"/>
          <w:color w:val="auto"/>
          <w:sz w:val="24"/>
          <w:highlight w:val="none"/>
        </w:rPr>
      </w:pPr>
      <w:r>
        <w:rPr>
          <w:rFonts w:hint="eastAsia" w:ascii="宋体" w:hAnsi="宋体" w:cs="宋体"/>
          <w:color w:val="auto"/>
          <w:sz w:val="24"/>
          <w:highlight w:val="none"/>
        </w:rPr>
        <w:t>（4）</w:t>
      </w:r>
      <w:r>
        <w:rPr>
          <w:rFonts w:hint="eastAsia" w:hAnsi="宋体" w:cs="宋体"/>
          <w:color w:val="auto"/>
          <w:sz w:val="24"/>
          <w:highlight w:val="none"/>
          <w:lang w:val="en-US" w:eastAsia="zh-CN"/>
        </w:rPr>
        <w:t>成交</w:t>
      </w:r>
      <w:r>
        <w:rPr>
          <w:rFonts w:hint="eastAsia" w:ascii="宋体" w:hAnsi="宋体" w:cs="宋体"/>
          <w:color w:val="auto"/>
          <w:sz w:val="24"/>
          <w:highlight w:val="none"/>
        </w:rPr>
        <w:t>后未按规定交付</w:t>
      </w:r>
      <w:r>
        <w:rPr>
          <w:rFonts w:hint="eastAsia" w:hAnsi="宋体" w:cs="宋体"/>
          <w:color w:val="auto"/>
          <w:sz w:val="24"/>
          <w:highlight w:val="none"/>
          <w:lang w:val="en-US" w:eastAsia="zh-CN"/>
        </w:rPr>
        <w:t>成交</w:t>
      </w:r>
      <w:r>
        <w:rPr>
          <w:rFonts w:hint="eastAsia" w:ascii="宋体" w:hAnsi="宋体" w:cs="宋体"/>
          <w:color w:val="auto"/>
          <w:sz w:val="24"/>
          <w:highlight w:val="none"/>
        </w:rPr>
        <w:t>服务费。</w:t>
      </w:r>
    </w:p>
    <w:p w14:paraId="7068A5E3">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本保证书自</w:t>
      </w:r>
      <w:r>
        <w:rPr>
          <w:rFonts w:hint="eastAsia" w:hAnsi="宋体" w:cs="宋体"/>
          <w:color w:val="auto"/>
          <w:sz w:val="24"/>
          <w:highlight w:val="none"/>
          <w:lang w:val="en-US" w:eastAsia="zh-CN"/>
        </w:rPr>
        <w:t>响应</w:t>
      </w:r>
      <w:r>
        <w:rPr>
          <w:rFonts w:hint="eastAsia" w:ascii="宋体" w:hAnsi="宋体" w:cs="宋体"/>
          <w:color w:val="auto"/>
          <w:sz w:val="24"/>
          <w:highlight w:val="none"/>
        </w:rPr>
        <w:t>文件递交截止时间起90日有效，除非贵方提前终止或解除本保证书。</w:t>
      </w:r>
    </w:p>
    <w:p w14:paraId="378DF5AB">
      <w:pPr>
        <w:spacing w:before="60" w:after="60" w:line="500" w:lineRule="exact"/>
        <w:outlineLvl w:val="0"/>
        <w:rPr>
          <w:rFonts w:ascii="宋体" w:hAnsi="宋体" w:cs="宋体"/>
          <w:b/>
          <w:bCs/>
          <w:color w:val="auto"/>
          <w:sz w:val="24"/>
          <w:highlight w:val="none"/>
        </w:rPr>
      </w:pPr>
      <w:bookmarkStart w:id="849" w:name="_Toc8638"/>
      <w:bookmarkEnd w:id="849"/>
      <w:bookmarkStart w:id="850" w:name="_Toc8454"/>
      <w:bookmarkStart w:id="851" w:name="_Toc8727"/>
      <w:r>
        <w:rPr>
          <w:rFonts w:hint="eastAsia" w:ascii="宋体" w:hAnsi="宋体" w:cs="宋体"/>
          <w:b/>
          <w:bCs/>
          <w:color w:val="auto"/>
          <w:sz w:val="24"/>
          <w:highlight w:val="none"/>
        </w:rPr>
        <w:t>附：</w:t>
      </w:r>
      <w:r>
        <w:rPr>
          <w:rFonts w:hint="eastAsia" w:hAnsi="宋体" w:cs="宋体"/>
          <w:b/>
          <w:bCs/>
          <w:color w:val="auto"/>
          <w:sz w:val="24"/>
          <w:highlight w:val="none"/>
          <w:lang w:val="en-US" w:eastAsia="zh-CN"/>
        </w:rPr>
        <w:t>磋商</w:t>
      </w:r>
      <w:r>
        <w:rPr>
          <w:rFonts w:hint="eastAsia" w:ascii="宋体" w:hAnsi="宋体" w:cs="宋体"/>
          <w:b/>
          <w:bCs/>
          <w:color w:val="auto"/>
          <w:sz w:val="24"/>
          <w:highlight w:val="none"/>
        </w:rPr>
        <w:t>保证金汇款凭证原件扫描件</w:t>
      </w:r>
      <w:bookmarkEnd w:id="850"/>
      <w:bookmarkEnd w:id="851"/>
    </w:p>
    <w:p w14:paraId="3C9B3AF4">
      <w:pPr>
        <w:spacing w:before="60" w:after="60" w:line="480" w:lineRule="auto"/>
        <w:rPr>
          <w:rFonts w:ascii="宋体" w:hAnsi="宋体" w:cs="宋体"/>
          <w:color w:val="auto"/>
          <w:sz w:val="24"/>
          <w:highlight w:val="none"/>
        </w:rPr>
      </w:pPr>
    </w:p>
    <w:p w14:paraId="27D9CE0D">
      <w:pPr>
        <w:spacing w:before="60" w:after="60" w:line="480" w:lineRule="auto"/>
        <w:ind w:firstLine="510"/>
        <w:rPr>
          <w:rFonts w:hint="eastAsia" w:ascii="宋体" w:hAnsi="宋体" w:cs="宋体"/>
          <w:color w:val="auto"/>
          <w:sz w:val="24"/>
          <w:highlight w:val="none"/>
        </w:rPr>
      </w:pPr>
    </w:p>
    <w:p w14:paraId="0EB3C4AF">
      <w:pPr>
        <w:spacing w:before="60" w:after="60" w:line="480" w:lineRule="auto"/>
        <w:ind w:firstLine="510"/>
        <w:rPr>
          <w:rFonts w:hint="eastAsia" w:ascii="宋体" w:hAnsi="宋体" w:cs="宋体"/>
          <w:color w:val="auto"/>
          <w:sz w:val="24"/>
          <w:highlight w:val="none"/>
        </w:rPr>
      </w:pPr>
    </w:p>
    <w:p w14:paraId="5FFE39EC">
      <w:pPr>
        <w:spacing w:before="60" w:after="60" w:line="480" w:lineRule="auto"/>
        <w:ind w:firstLine="51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供应商</w:t>
      </w:r>
      <w:r>
        <w:rPr>
          <w:rFonts w:hint="eastAsia" w:ascii="宋体" w:hAnsi="宋体" w:cs="宋体"/>
          <w:color w:val="auto"/>
          <w:sz w:val="24"/>
          <w:highlight w:val="none"/>
          <w:lang w:val="en-US" w:eastAsia="zh-CN"/>
        </w:rPr>
        <w:t>全称</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417C73BF">
      <w:pPr>
        <w:spacing w:before="60" w:after="60" w:line="480" w:lineRule="auto"/>
        <w:ind w:firstLine="510"/>
        <w:rPr>
          <w:rFonts w:ascii="宋体" w:hAnsi="宋体" w:cs="宋体"/>
          <w:color w:val="auto"/>
          <w:sz w:val="24"/>
          <w:highlight w:val="none"/>
          <w:u w:val="single"/>
        </w:rPr>
      </w:pPr>
      <w:r>
        <w:rPr>
          <w:rFonts w:hint="eastAsia" w:ascii="宋体" w:hAnsi="宋体" w:cs="宋体"/>
          <w:color w:val="auto"/>
          <w:sz w:val="24"/>
          <w:highlight w:val="none"/>
        </w:rPr>
        <w:t>开户银行：</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账号：</w:t>
      </w:r>
      <w:r>
        <w:rPr>
          <w:rFonts w:hint="eastAsia" w:ascii="宋体" w:hAnsi="宋体" w:cs="宋体"/>
          <w:color w:val="auto"/>
          <w:sz w:val="24"/>
          <w:highlight w:val="none"/>
          <w:u w:val="single"/>
          <w:lang w:val="en-US" w:eastAsia="zh-CN"/>
        </w:rPr>
        <w:t xml:space="preserve">                  </w:t>
      </w:r>
    </w:p>
    <w:p w14:paraId="4987FD18">
      <w:pPr>
        <w:spacing w:before="60" w:after="60" w:line="480" w:lineRule="auto"/>
        <w:ind w:firstLine="510"/>
        <w:rPr>
          <w:rFonts w:ascii="宋体" w:hAnsi="宋体" w:cs="宋体"/>
          <w:color w:val="auto"/>
          <w:sz w:val="24"/>
          <w:highlight w:val="none"/>
        </w:rPr>
      </w:pPr>
      <w:r>
        <w:rPr>
          <w:rFonts w:hint="eastAsia" w:ascii="宋体" w:hAnsi="宋体" w:eastAsia="宋体" w:cs="宋体"/>
          <w:b w:val="0"/>
          <w:bCs w:val="0"/>
          <w:color w:val="auto"/>
          <w:sz w:val="24"/>
          <w:szCs w:val="24"/>
          <w:highlight w:val="none"/>
        </w:rPr>
        <w:t>法定代表人或</w:t>
      </w:r>
      <w:r>
        <w:rPr>
          <w:rFonts w:hint="eastAsia" w:ascii="宋体" w:hAnsi="宋体" w:eastAsia="宋体" w:cs="宋体"/>
          <w:color w:val="auto"/>
          <w:sz w:val="24"/>
          <w:szCs w:val="24"/>
          <w:highlight w:val="none"/>
        </w:rPr>
        <w:t>委托代理人</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电子签章或</w:t>
      </w:r>
      <w:r>
        <w:rPr>
          <w:rFonts w:hint="eastAsia" w:ascii="宋体" w:hAnsi="宋体" w:cs="宋体"/>
          <w:color w:val="auto"/>
          <w:sz w:val="24"/>
          <w:highlight w:val="none"/>
        </w:rPr>
        <w:t>签字）</w:t>
      </w:r>
    </w:p>
    <w:p w14:paraId="720057B0">
      <w:pPr>
        <w:spacing w:before="60" w:after="60" w:line="480" w:lineRule="auto"/>
        <w:ind w:firstLine="510"/>
        <w:rPr>
          <w:rFonts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061F47E8">
      <w:pPr>
        <w:rPr>
          <w:rFonts w:hint="eastAsia" w:ascii="宋体" w:hAnsi="宋体" w:eastAsia="宋体" w:cs="Times New Roman"/>
          <w:b/>
          <w:bCs/>
          <w:color w:val="auto"/>
          <w:kern w:val="0"/>
          <w:sz w:val="28"/>
          <w:szCs w:val="28"/>
          <w:highlight w:val="none"/>
          <w:lang w:val="en-US" w:eastAsia="zh-CN" w:bidi="ar-SA"/>
        </w:rPr>
      </w:pPr>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6</w:t>
      </w:r>
      <w:r>
        <w:rPr>
          <w:rFonts w:hint="eastAsia" w:ascii="宋体" w:hAnsi="宋体" w:eastAsia="宋体" w:cs="Times New Roman"/>
          <w:b/>
          <w:bCs/>
          <w:color w:val="auto"/>
          <w:kern w:val="0"/>
          <w:sz w:val="28"/>
          <w:szCs w:val="28"/>
          <w:highlight w:val="none"/>
          <w:lang w:val="en-US" w:eastAsia="zh-CN" w:bidi="ar-SA"/>
        </w:rPr>
        <w:t>：</w:t>
      </w:r>
    </w:p>
    <w:p w14:paraId="2C03ADA8">
      <w:pPr>
        <w:spacing w:line="360" w:lineRule="auto"/>
        <w:jc w:val="center"/>
        <w:outlineLvl w:val="2"/>
        <w:rPr>
          <w:b/>
          <w:bCs/>
          <w:color w:val="auto"/>
          <w:sz w:val="28"/>
          <w:szCs w:val="28"/>
          <w:highlight w:val="none"/>
        </w:rPr>
      </w:pPr>
      <w:r>
        <w:rPr>
          <w:rFonts w:hint="eastAsia"/>
          <w:b/>
          <w:bCs/>
          <w:color w:val="auto"/>
          <w:sz w:val="28"/>
          <w:szCs w:val="28"/>
          <w:highlight w:val="none"/>
          <w:lang w:eastAsia="zh-CN"/>
        </w:rPr>
        <w:t>供应商</w:t>
      </w:r>
      <w:r>
        <w:rPr>
          <w:b/>
          <w:bCs/>
          <w:color w:val="auto"/>
          <w:sz w:val="28"/>
          <w:szCs w:val="28"/>
          <w:highlight w:val="none"/>
        </w:rPr>
        <w:t>在</w:t>
      </w:r>
      <w:r>
        <w:rPr>
          <w:rFonts w:hint="eastAsia"/>
          <w:b/>
          <w:bCs/>
          <w:color w:val="auto"/>
          <w:sz w:val="28"/>
          <w:szCs w:val="28"/>
          <w:highlight w:val="none"/>
          <w:lang w:eastAsia="zh-CN"/>
        </w:rPr>
        <w:t>响应</w:t>
      </w:r>
      <w:r>
        <w:rPr>
          <w:b/>
          <w:bCs/>
          <w:color w:val="auto"/>
          <w:sz w:val="28"/>
          <w:szCs w:val="28"/>
          <w:highlight w:val="none"/>
        </w:rPr>
        <w:t>文件中未提供虚假材料的承诺</w:t>
      </w:r>
    </w:p>
    <w:p w14:paraId="4908F5CA">
      <w:pPr>
        <w:spacing w:line="600" w:lineRule="exact"/>
        <w:rPr>
          <w:rFonts w:ascii="宋体" w:hAnsi="宋体" w:cs="宋体"/>
          <w:color w:val="auto"/>
          <w:sz w:val="24"/>
          <w:szCs w:val="24"/>
          <w:highlight w:val="none"/>
        </w:rPr>
      </w:pPr>
    </w:p>
    <w:p w14:paraId="41FBE22B">
      <w:pPr>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采购</w:t>
      </w:r>
      <w:r>
        <w:rPr>
          <w:rFonts w:hint="eastAsia" w:ascii="宋体" w:hAnsi="宋体" w:cs="宋体"/>
          <w:color w:val="auto"/>
          <w:sz w:val="24"/>
          <w:szCs w:val="24"/>
          <w:highlight w:val="none"/>
          <w:u w:val="single"/>
        </w:rPr>
        <w:t>人名称）</w:t>
      </w:r>
    </w:p>
    <w:p w14:paraId="25DF1545">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cs="宋体"/>
          <w:color w:val="auto"/>
          <w:sz w:val="24"/>
          <w:szCs w:val="24"/>
          <w:highlight w:val="none"/>
          <w:u w:val="single"/>
        </w:rPr>
        <w:t xml:space="preserve">名称）   </w:t>
      </w:r>
      <w:r>
        <w:rPr>
          <w:rFonts w:hint="eastAsia" w:ascii="宋体" w:hAnsi="宋体" w:cs="宋体"/>
          <w:color w:val="auto"/>
          <w:sz w:val="24"/>
          <w:szCs w:val="24"/>
          <w:highlight w:val="none"/>
        </w:rPr>
        <w:t>现对我公司参与的</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（项目编号：</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中，所提供的所有</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文件材料的真实性郑重声明如下：</w:t>
      </w:r>
    </w:p>
    <w:p w14:paraId="55FF472A">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1、我公司参与本项目</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文件所提供的各项材料，包括但不限于企业基本信息材料、资质与资格材料、《中小企业声明函》（若有）、残疾人福利性单位声明函（若有）、监狱企业的证明文件（若有）等均是真实的。</w:t>
      </w:r>
    </w:p>
    <w:p w14:paraId="00D078FF">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2、我方</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文件中提供的相关材料满足</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人依照本</w:t>
      </w: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文件有关规定进行核查的要求。若根据我方提供的材料无法进行核查或者核查结果证明我方提供的材料不实，我方愿意承担相应的后果。</w:t>
      </w:r>
    </w:p>
    <w:p w14:paraId="5260EA6D">
      <w:pPr>
        <w:spacing w:line="6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rPr>
        <w:t>我方郑重承诺：如提供虚假、不真实资料，我方将接受相关处罚，并对因此而造成的损失承担法律责任。</w:t>
      </w:r>
    </w:p>
    <w:p w14:paraId="201E97E9">
      <w:pPr>
        <w:spacing w:line="360" w:lineRule="auto"/>
        <w:ind w:firstLine="480" w:firstLineChars="200"/>
        <w:rPr>
          <w:color w:val="auto"/>
          <w:kern w:val="0"/>
          <w:sz w:val="24"/>
          <w:szCs w:val="24"/>
          <w:highlight w:val="none"/>
        </w:rPr>
      </w:pPr>
    </w:p>
    <w:p w14:paraId="69820CD0">
      <w:pPr>
        <w:wordWrap w:val="0"/>
        <w:spacing w:line="480" w:lineRule="auto"/>
        <w:jc w:val="right"/>
        <w:rPr>
          <w:rFonts w:hint="eastAsia" w:eastAsia="宋体"/>
          <w:bCs/>
          <w:color w:val="auto"/>
          <w:sz w:val="24"/>
          <w:szCs w:val="24"/>
          <w:highlight w:val="none"/>
          <w:lang w:eastAsia="zh-CN"/>
        </w:rPr>
      </w:pPr>
      <w:r>
        <w:rPr>
          <w:rFonts w:hint="eastAsia"/>
          <w:bCs/>
          <w:color w:val="auto"/>
          <w:sz w:val="24"/>
          <w:szCs w:val="24"/>
          <w:highlight w:val="none"/>
        </w:rPr>
        <w:t>供应商</w:t>
      </w:r>
      <w:r>
        <w:rPr>
          <w:rFonts w:hint="eastAsia"/>
          <w:bCs/>
          <w:color w:val="auto"/>
          <w:sz w:val="24"/>
          <w:szCs w:val="24"/>
          <w:highlight w:val="none"/>
          <w:lang w:val="en-US" w:eastAsia="zh-CN"/>
        </w:rPr>
        <w:t>全称</w:t>
      </w:r>
      <w:r>
        <w:rPr>
          <w:bCs/>
          <w:color w:val="auto"/>
          <w:sz w:val="24"/>
          <w:szCs w:val="24"/>
          <w:highlight w:val="none"/>
        </w:rPr>
        <w:t>：</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u w:val="none"/>
          <w:lang w:eastAsia="zh-CN"/>
        </w:rPr>
        <w:t>（电子签章）</w:t>
      </w:r>
    </w:p>
    <w:p w14:paraId="622F2293">
      <w:pPr>
        <w:wordWrap w:val="0"/>
        <w:spacing w:line="480" w:lineRule="auto"/>
        <w:ind w:left="4387" w:leftChars="1350" w:hanging="1552" w:hangingChars="647"/>
        <w:jc w:val="right"/>
        <w:rPr>
          <w:bCs/>
          <w:color w:val="auto"/>
          <w:sz w:val="24"/>
          <w:szCs w:val="24"/>
          <w:highlight w:val="none"/>
          <w:u w:val="single"/>
        </w:rPr>
      </w:pPr>
      <w:r>
        <w:rPr>
          <w:rFonts w:hint="eastAsia"/>
          <w:bCs/>
          <w:color w:val="auto"/>
          <w:sz w:val="24"/>
          <w:szCs w:val="24"/>
          <w:highlight w:val="none"/>
        </w:rPr>
        <w:t xml:space="preserve"> </w:t>
      </w:r>
      <w:r>
        <w:rPr>
          <w:bCs/>
          <w:color w:val="auto"/>
          <w:sz w:val="24"/>
          <w:szCs w:val="24"/>
          <w:highlight w:val="none"/>
        </w:rPr>
        <w:t>法定代表人</w:t>
      </w:r>
      <w:r>
        <w:rPr>
          <w:rFonts w:hint="eastAsia"/>
          <w:bCs/>
          <w:color w:val="auto"/>
          <w:sz w:val="24"/>
          <w:szCs w:val="24"/>
          <w:highlight w:val="none"/>
        </w:rPr>
        <w:t>或委托代理人</w:t>
      </w:r>
      <w:r>
        <w:rPr>
          <w:bCs/>
          <w:color w:val="auto"/>
          <w:sz w:val="24"/>
          <w:szCs w:val="24"/>
          <w:highlight w:val="none"/>
        </w:rPr>
        <w:t>：</w:t>
      </w:r>
      <w:r>
        <w:rPr>
          <w:bCs/>
          <w:color w:val="auto"/>
          <w:sz w:val="24"/>
          <w:szCs w:val="24"/>
          <w:highlight w:val="none"/>
          <w:u w:val="single"/>
        </w:rPr>
        <w:t xml:space="preserve">         </w:t>
      </w:r>
      <w:r>
        <w:rPr>
          <w:bCs/>
          <w:color w:val="auto"/>
          <w:sz w:val="24"/>
          <w:szCs w:val="24"/>
          <w:highlight w:val="none"/>
        </w:rPr>
        <w:t>（电子签章或签字）</w:t>
      </w:r>
    </w:p>
    <w:p w14:paraId="5AC38D4F">
      <w:pPr>
        <w:spacing w:line="480" w:lineRule="auto"/>
        <w:ind w:left="4383" w:leftChars="1692" w:hanging="830" w:hangingChars="346"/>
        <w:jc w:val="both"/>
        <w:rPr>
          <w:bCs/>
          <w:color w:val="auto"/>
          <w:sz w:val="24"/>
          <w:szCs w:val="24"/>
          <w:highlight w:val="none"/>
        </w:rPr>
      </w:pPr>
      <w:r>
        <w:rPr>
          <w:bCs/>
          <w:color w:val="auto"/>
          <w:sz w:val="24"/>
          <w:szCs w:val="24"/>
          <w:highlight w:val="none"/>
        </w:rPr>
        <w:t>日期：</w:t>
      </w: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日</w:t>
      </w:r>
    </w:p>
    <w:p w14:paraId="1BF9CB04">
      <w:pPr>
        <w:rPr>
          <w:bCs/>
          <w:color w:val="auto"/>
          <w:sz w:val="24"/>
          <w:szCs w:val="24"/>
          <w:highlight w:val="none"/>
        </w:rPr>
      </w:pPr>
      <w:r>
        <w:rPr>
          <w:bCs/>
          <w:color w:val="auto"/>
          <w:sz w:val="24"/>
          <w:szCs w:val="24"/>
          <w:highlight w:val="none"/>
        </w:rPr>
        <w:br w:type="page"/>
      </w:r>
    </w:p>
    <w:p w14:paraId="7E30AB84">
      <w:pPr>
        <w:rPr>
          <w:rFonts w:hint="eastAsia" w:ascii="宋体" w:hAnsi="宋体" w:eastAsia="宋体" w:cs="Times New Roman"/>
          <w:b/>
          <w:bCs/>
          <w:color w:val="auto"/>
          <w:kern w:val="0"/>
          <w:sz w:val="28"/>
          <w:szCs w:val="28"/>
          <w:highlight w:val="none"/>
          <w:lang w:val="en-US" w:eastAsia="zh-CN" w:bidi="ar-SA"/>
        </w:rPr>
      </w:pPr>
      <w:bookmarkStart w:id="852" w:name="_Toc82683138"/>
      <w:bookmarkStart w:id="853" w:name="_Toc259924774"/>
      <w:bookmarkStart w:id="854" w:name="_Toc46765057"/>
      <w:bookmarkStart w:id="855" w:name="_Toc83328639"/>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7</w:t>
      </w:r>
      <w:r>
        <w:rPr>
          <w:rFonts w:hint="eastAsia" w:ascii="宋体" w:hAnsi="宋体" w:eastAsia="宋体" w:cs="Times New Roman"/>
          <w:b/>
          <w:bCs/>
          <w:color w:val="auto"/>
          <w:kern w:val="0"/>
          <w:sz w:val="28"/>
          <w:szCs w:val="28"/>
          <w:highlight w:val="none"/>
          <w:lang w:val="en-US" w:eastAsia="zh-CN" w:bidi="ar-SA"/>
        </w:rPr>
        <w:t>：</w:t>
      </w:r>
    </w:p>
    <w:bookmarkEnd w:id="852"/>
    <w:bookmarkEnd w:id="853"/>
    <w:bookmarkEnd w:id="854"/>
    <w:bookmarkEnd w:id="855"/>
    <w:p w14:paraId="0D01834E">
      <w:pPr>
        <w:widowControl/>
        <w:spacing w:line="360" w:lineRule="auto"/>
        <w:jc w:val="center"/>
        <w:rPr>
          <w:rFonts w:hint="eastAsia" w:ascii="Times New Roman" w:hAnsi="Times New Roman" w:eastAsia="宋体" w:cs="Times New Roman"/>
          <w:b/>
          <w:bCs/>
          <w:color w:val="auto"/>
          <w:sz w:val="28"/>
          <w:szCs w:val="36"/>
          <w:highlight w:val="none"/>
          <w:lang w:val="en-US" w:eastAsia="zh-CN"/>
        </w:rPr>
      </w:pPr>
      <w:bookmarkStart w:id="856" w:name="_Toc139357092"/>
      <w:bookmarkStart w:id="857" w:name="_Toc125986496"/>
      <w:bookmarkStart w:id="858" w:name="_Toc2173"/>
      <w:bookmarkStart w:id="859" w:name="_Toc125904361"/>
      <w:bookmarkStart w:id="860" w:name="_Toc166067795"/>
      <w:bookmarkStart w:id="861" w:name="_Toc22122"/>
      <w:bookmarkStart w:id="862" w:name="_Toc38894482"/>
      <w:bookmarkStart w:id="863" w:name="_Toc38383425"/>
      <w:r>
        <w:rPr>
          <w:rFonts w:hint="eastAsia" w:ascii="Times New Roman" w:hAnsi="Times New Roman" w:eastAsia="宋体" w:cs="Times New Roman"/>
          <w:b/>
          <w:bCs/>
          <w:color w:val="auto"/>
          <w:sz w:val="28"/>
          <w:szCs w:val="36"/>
          <w:highlight w:val="none"/>
          <w:lang w:val="en-US" w:eastAsia="zh-CN"/>
        </w:rPr>
        <w:t>已标价工程量清单</w:t>
      </w:r>
      <w:bookmarkStart w:id="864" w:name="_Toc172558846"/>
      <w:bookmarkStart w:id="865" w:name="_Toc169627255"/>
    </w:p>
    <w:p w14:paraId="05A16CB0">
      <w:pPr>
        <w:widowControl/>
        <w:spacing w:line="360" w:lineRule="auto"/>
        <w:jc w:val="left"/>
        <w:rPr>
          <w:rFonts w:hint="eastAsia" w:ascii="Times New Roman" w:hAnsi="Times New Roman" w:eastAsia="宋体" w:cs="Times New Roman"/>
          <w:b/>
          <w:bCs/>
          <w:color w:val="auto"/>
          <w:sz w:val="28"/>
          <w:szCs w:val="36"/>
          <w:highlight w:val="none"/>
          <w:lang w:val="en-US" w:eastAsia="zh-CN"/>
        </w:rPr>
      </w:pPr>
    </w:p>
    <w:p w14:paraId="0C0AAE01">
      <w:pPr>
        <w:widowControl/>
        <w:spacing w:line="360" w:lineRule="auto"/>
        <w:jc w:val="left"/>
        <w:rPr>
          <w:rFonts w:hint="eastAsia" w:ascii="宋体" w:hAnsi="宋体" w:eastAsia="宋体" w:cs="宋体"/>
          <w:b/>
          <w:bCs/>
          <w:sz w:val="28"/>
          <w:szCs w:val="28"/>
          <w:highlight w:val="none"/>
        </w:rPr>
      </w:pPr>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8</w:t>
      </w:r>
      <w:r>
        <w:rPr>
          <w:rFonts w:hint="eastAsia" w:ascii="宋体" w:hAnsi="宋体" w:eastAsia="宋体" w:cs="Times New Roman"/>
          <w:b/>
          <w:bCs/>
          <w:color w:val="auto"/>
          <w:kern w:val="0"/>
          <w:sz w:val="28"/>
          <w:szCs w:val="28"/>
          <w:highlight w:val="none"/>
          <w:lang w:val="en-US" w:eastAsia="zh-CN" w:bidi="ar-SA"/>
        </w:rPr>
        <w:t>：</w:t>
      </w:r>
    </w:p>
    <w:p w14:paraId="60A4795A">
      <w:pPr>
        <w:spacing w:before="283" w:line="219" w:lineRule="auto"/>
        <w:ind w:left="2662"/>
        <w:outlineLvl w:val="1"/>
        <w:rPr>
          <w:rFonts w:ascii="宋体" w:hAnsi="宋体" w:eastAsia="宋体" w:cs="宋体"/>
          <w:sz w:val="28"/>
          <w:szCs w:val="28"/>
        </w:rPr>
      </w:pPr>
      <w:r>
        <w:rPr>
          <w:rFonts w:ascii="宋体" w:hAnsi="宋体" w:eastAsia="宋体" w:cs="宋体"/>
          <w:b/>
          <w:bCs/>
          <w:spacing w:val="-4"/>
          <w:sz w:val="28"/>
          <w:szCs w:val="28"/>
        </w:rPr>
        <w:t>拟投入本项项目管理团队</w:t>
      </w:r>
    </w:p>
    <w:p w14:paraId="6BD64498">
      <w:pPr>
        <w:spacing w:before="78" w:line="219" w:lineRule="auto"/>
        <w:rPr>
          <w:rFonts w:ascii="宋体" w:hAnsi="宋体" w:eastAsia="宋体" w:cs="宋体"/>
          <w:spacing w:val="-1"/>
          <w:sz w:val="24"/>
          <w:szCs w:val="24"/>
        </w:rPr>
      </w:pPr>
    </w:p>
    <w:p w14:paraId="23878A3C">
      <w:pPr>
        <w:rPr>
          <w:rFonts w:ascii="宋体" w:hAnsi="宋体" w:eastAsia="宋体" w:cs="宋体"/>
          <w:spacing w:val="-1"/>
          <w:sz w:val="24"/>
          <w:szCs w:val="24"/>
        </w:rPr>
      </w:pPr>
      <w:r>
        <w:rPr>
          <w:rFonts w:ascii="宋体" w:hAnsi="宋体" w:eastAsia="宋体" w:cs="宋体"/>
          <w:spacing w:val="-1"/>
          <w:sz w:val="24"/>
          <w:szCs w:val="24"/>
        </w:rPr>
        <w:t>根据评审标准，格式自拟</w:t>
      </w:r>
    </w:p>
    <w:p w14:paraId="284C54C0">
      <w:pPr>
        <w:pStyle w:val="2"/>
        <w:rPr>
          <w:rFonts w:hint="eastAsia"/>
          <w:lang w:val="en-US" w:eastAsia="zh-CN"/>
        </w:rPr>
      </w:pPr>
    </w:p>
    <w:p w14:paraId="6B97D062">
      <w:pPr>
        <w:widowControl/>
        <w:spacing w:line="360" w:lineRule="auto"/>
        <w:jc w:val="both"/>
        <w:rPr>
          <w:rFonts w:hint="eastAsia" w:ascii="Times New Roman" w:hAnsi="Times New Roman" w:cs="Times New Roman"/>
          <w:b/>
          <w:bCs/>
          <w:color w:val="auto"/>
          <w:sz w:val="28"/>
          <w:szCs w:val="36"/>
          <w:highlight w:val="none"/>
          <w:lang w:val="en-US" w:eastAsia="zh-CN"/>
        </w:rPr>
      </w:pPr>
      <w:r>
        <w:rPr>
          <w:rFonts w:hint="eastAsia" w:ascii="Times New Roman" w:hAnsi="Times New Roman" w:cs="Times New Roman"/>
          <w:b/>
          <w:bCs/>
          <w:color w:val="auto"/>
          <w:sz w:val="28"/>
          <w:szCs w:val="36"/>
          <w:highlight w:val="none"/>
          <w:lang w:val="en-US" w:eastAsia="zh-CN"/>
        </w:rPr>
        <w:t>格式9：</w:t>
      </w:r>
    </w:p>
    <w:p w14:paraId="5606F1E6">
      <w:pPr>
        <w:widowControl/>
        <w:spacing w:line="360" w:lineRule="auto"/>
        <w:jc w:val="center"/>
        <w:rPr>
          <w:rFonts w:hint="eastAsia" w:ascii="Times New Roman" w:hAnsi="Times New Roman" w:eastAsia="宋体" w:cs="Times New Roman"/>
          <w:b/>
          <w:bCs/>
          <w:color w:val="auto"/>
          <w:sz w:val="28"/>
          <w:szCs w:val="36"/>
          <w:highlight w:val="none"/>
          <w:lang w:val="en-US" w:eastAsia="zh-CN"/>
        </w:rPr>
      </w:pPr>
      <w:r>
        <w:rPr>
          <w:rFonts w:hint="eastAsia" w:ascii="Times New Roman" w:hAnsi="Times New Roman" w:eastAsia="宋体" w:cs="Times New Roman"/>
          <w:b/>
          <w:bCs/>
          <w:color w:val="auto"/>
          <w:sz w:val="28"/>
          <w:szCs w:val="36"/>
          <w:highlight w:val="none"/>
          <w:lang w:val="en-US" w:eastAsia="zh-CN"/>
        </w:rPr>
        <w:t>构成响应文件商务部分的其他资料</w:t>
      </w:r>
      <w:bookmarkEnd w:id="856"/>
      <w:bookmarkEnd w:id="857"/>
      <w:bookmarkEnd w:id="858"/>
      <w:bookmarkEnd w:id="859"/>
      <w:bookmarkEnd w:id="860"/>
      <w:bookmarkEnd w:id="864"/>
      <w:bookmarkEnd w:id="865"/>
    </w:p>
    <w:bookmarkEnd w:id="861"/>
    <w:bookmarkEnd w:id="862"/>
    <w:bookmarkEnd w:id="863"/>
    <w:p w14:paraId="4C473D39">
      <w:pPr>
        <w:spacing w:line="360" w:lineRule="auto"/>
        <w:jc w:val="center"/>
        <w:rPr>
          <w:rFonts w:ascii="Times New Roman" w:hAnsi="Times New Roman" w:eastAsia="宋体" w:cs="Times New Roman"/>
          <w:bCs/>
          <w:color w:val="auto"/>
          <w:sz w:val="24"/>
          <w:szCs w:val="32"/>
          <w:highlight w:val="none"/>
        </w:rPr>
      </w:pPr>
      <w:r>
        <w:rPr>
          <w:rFonts w:ascii="Times New Roman" w:hAnsi="Times New Roman" w:eastAsia="宋体" w:cs="Times New Roman"/>
          <w:bCs/>
          <w:color w:val="auto"/>
          <w:sz w:val="24"/>
          <w:szCs w:val="32"/>
          <w:highlight w:val="none"/>
        </w:rPr>
        <w:t>（若有，内容格式自拟）</w:t>
      </w:r>
    </w:p>
    <w:p w14:paraId="5A7B36A8">
      <w:pPr>
        <w:bidi w:val="0"/>
        <w:rPr>
          <w:rFonts w:hint="eastAsia"/>
          <w:color w:val="auto"/>
          <w:highlight w:val="none"/>
          <w:lang w:val="en-US" w:eastAsia="zh-CN"/>
        </w:rPr>
        <w:sectPr>
          <w:pgSz w:w="11906" w:h="16838"/>
          <w:pgMar w:top="1440" w:right="1440" w:bottom="1440" w:left="1440" w:header="850" w:footer="992" w:gutter="0"/>
          <w:pgNumType w:fmt="decimal"/>
          <w:cols w:space="0" w:num="1"/>
          <w:rtlGutter w:val="0"/>
          <w:docGrid w:type="lines" w:linePitch="317" w:charSpace="0"/>
        </w:sectPr>
      </w:pPr>
    </w:p>
    <w:bookmarkEnd w:id="830"/>
    <w:bookmarkEnd w:id="831"/>
    <w:bookmarkEnd w:id="832"/>
    <w:bookmarkEnd w:id="833"/>
    <w:bookmarkEnd w:id="834"/>
    <w:bookmarkEnd w:id="835"/>
    <w:bookmarkEnd w:id="836"/>
    <w:p w14:paraId="05FA0073">
      <w:pPr>
        <w:pStyle w:val="2"/>
        <w:pageBreakBefore w:val="0"/>
        <w:widowControl/>
        <w:kinsoku/>
        <w:wordWrap/>
        <w:overflowPunct/>
        <w:topLinePunct w:val="0"/>
        <w:autoSpaceDE/>
        <w:autoSpaceDN/>
        <w:bidi w:val="0"/>
        <w:adjustRightInd/>
        <w:snapToGrid/>
        <w:spacing w:before="240" w:after="240" w:line="480" w:lineRule="auto"/>
        <w:jc w:val="center"/>
        <w:rPr>
          <w:rFonts w:hint="eastAsia" w:ascii="宋体" w:hAnsi="宋体" w:eastAsia="宋体" w:cs="宋体"/>
          <w:b/>
          <w:bCs w:val="0"/>
          <w:color w:val="auto"/>
          <w:sz w:val="24"/>
          <w:highlight w:val="none"/>
          <w:lang w:eastAsia="zh-CN"/>
        </w:rPr>
      </w:pPr>
      <w:bookmarkStart w:id="866" w:name="_Toc9447"/>
      <w:bookmarkStart w:id="867" w:name="_Toc11896"/>
      <w:bookmarkStart w:id="868" w:name="_Toc10866"/>
      <w:r>
        <w:rPr>
          <w:rFonts w:hint="eastAsia" w:ascii="宋体" w:hAnsi="宋体" w:eastAsia="宋体" w:cs="宋体"/>
          <w:b/>
          <w:bCs w:val="0"/>
          <w:color w:val="auto"/>
          <w:sz w:val="36"/>
          <w:szCs w:val="36"/>
          <w:highlight w:val="none"/>
          <w:lang w:val="zh-CN"/>
        </w:rPr>
        <w:t xml:space="preserve">第五章  </w:t>
      </w:r>
      <w:bookmarkEnd w:id="817"/>
      <w:bookmarkEnd w:id="818"/>
      <w:bookmarkStart w:id="869" w:name="_Toc421799430"/>
      <w:bookmarkStart w:id="870" w:name="_Toc421622894"/>
      <w:bookmarkStart w:id="871" w:name="_Toc125054730"/>
      <w:r>
        <w:rPr>
          <w:rFonts w:hint="eastAsia" w:ascii="宋体" w:hAnsi="宋体"/>
          <w:b/>
          <w:bCs w:val="0"/>
          <w:color w:val="auto"/>
          <w:sz w:val="36"/>
          <w:highlight w:val="none"/>
          <w:lang w:eastAsia="zh-CN"/>
        </w:rPr>
        <w:t>采购需求</w:t>
      </w:r>
      <w:bookmarkEnd w:id="866"/>
      <w:bookmarkEnd w:id="867"/>
      <w:bookmarkEnd w:id="868"/>
    </w:p>
    <w:p w14:paraId="631BD56E">
      <w:pPr>
        <w:spacing w:before="208" w:line="219" w:lineRule="auto"/>
        <w:ind w:left="4"/>
        <w:rPr>
          <w:rFonts w:ascii="宋体" w:hAnsi="宋体" w:eastAsia="宋体" w:cs="宋体"/>
          <w:sz w:val="24"/>
          <w:szCs w:val="24"/>
        </w:rPr>
      </w:pPr>
      <w:bookmarkStart w:id="872" w:name="_Toc32505"/>
      <w:r>
        <w:rPr>
          <w:rFonts w:ascii="宋体" w:hAnsi="宋体" w:eastAsia="宋体" w:cs="宋体"/>
          <w:b/>
          <w:bCs/>
          <w:spacing w:val="-4"/>
          <w:sz w:val="24"/>
          <w:szCs w:val="24"/>
        </w:rPr>
        <w:t>一、工程概况</w:t>
      </w:r>
    </w:p>
    <w:p w14:paraId="142E37C2">
      <w:pPr>
        <w:spacing w:before="182" w:line="219" w:lineRule="auto"/>
        <w:ind w:left="12"/>
        <w:rPr>
          <w:rFonts w:hint="eastAsia" w:ascii="宋体" w:hAnsi="宋体" w:eastAsia="宋体" w:cs="宋体"/>
          <w:sz w:val="24"/>
          <w:szCs w:val="24"/>
          <w:lang w:eastAsia="zh-CN"/>
        </w:rPr>
      </w:pPr>
      <w:r>
        <w:rPr>
          <w:rFonts w:ascii="宋体" w:hAnsi="宋体" w:eastAsia="宋体" w:cs="宋体"/>
          <w:b/>
          <w:bCs/>
          <w:spacing w:val="-1"/>
          <w:sz w:val="24"/>
          <w:szCs w:val="24"/>
        </w:rPr>
        <w:t>（一）项目名称：</w:t>
      </w:r>
      <w:r>
        <w:rPr>
          <w:rFonts w:hint="eastAsia" w:hAnsi="宋体" w:cs="宋体"/>
          <w:spacing w:val="-1"/>
          <w:sz w:val="24"/>
          <w:szCs w:val="24"/>
          <w:lang w:eastAsia="zh-CN"/>
        </w:rPr>
        <w:t>腾冲市固东镇集镇环西路建设项目 (二期工程)二次</w:t>
      </w:r>
    </w:p>
    <w:p w14:paraId="0F0F84CA">
      <w:pPr>
        <w:spacing w:before="183" w:line="219" w:lineRule="auto"/>
        <w:ind w:left="12"/>
        <w:rPr>
          <w:rFonts w:ascii="宋体" w:hAnsi="宋体" w:eastAsia="宋体" w:cs="宋体"/>
          <w:sz w:val="24"/>
          <w:szCs w:val="24"/>
        </w:rPr>
      </w:pPr>
      <w:r>
        <w:rPr>
          <w:rFonts w:ascii="宋体" w:hAnsi="宋体" w:eastAsia="宋体" w:cs="宋体"/>
          <w:b/>
          <w:bCs/>
          <w:spacing w:val="-5"/>
          <w:sz w:val="24"/>
          <w:szCs w:val="24"/>
        </w:rPr>
        <w:t>（二）采购范围：</w:t>
      </w:r>
    </w:p>
    <w:p w14:paraId="491CCBD9">
      <w:pPr>
        <w:spacing w:before="182" w:line="330" w:lineRule="auto"/>
        <w:ind w:firstLine="481"/>
        <w:rPr>
          <w:rFonts w:hint="eastAsia" w:hAnsi="宋体" w:cs="宋体"/>
          <w:sz w:val="24"/>
          <w:szCs w:val="24"/>
          <w:lang w:eastAsia="zh-CN"/>
        </w:rPr>
      </w:pPr>
      <w:r>
        <w:rPr>
          <w:rFonts w:ascii="宋体" w:hAnsi="宋体" w:eastAsia="宋体" w:cs="宋体"/>
          <w:sz w:val="24"/>
          <w:szCs w:val="24"/>
        </w:rPr>
        <w:t>具体内容为：</w:t>
      </w:r>
      <w:r>
        <w:rPr>
          <w:rFonts w:hint="eastAsia" w:hAnsi="宋体" w:cs="宋体"/>
          <w:sz w:val="24"/>
          <w:szCs w:val="24"/>
          <w:lang w:eastAsia="zh-CN"/>
        </w:rPr>
        <w:t xml:space="preserve">改建固东集镇沥青混凝土道路一条，长 580 米，宽 16 米，敷设沥青路面 9280 平方米；安装钢带双壁波纹排水管 1800 米（其中：DN600 管 1300 米，DN300 管 500 米）；安装检查井 30 座，雨水井 64 座。（具体内容详见工程量清单） </w:t>
      </w:r>
    </w:p>
    <w:p w14:paraId="3405EE91">
      <w:pPr>
        <w:spacing w:before="182" w:line="330" w:lineRule="auto"/>
        <w:ind w:firstLine="481"/>
        <w:rPr>
          <w:rFonts w:hint="eastAsia" w:hAnsi="宋体" w:cs="宋体"/>
          <w:sz w:val="24"/>
          <w:szCs w:val="24"/>
          <w:lang w:eastAsia="zh-CN"/>
        </w:rPr>
      </w:pPr>
    </w:p>
    <w:p w14:paraId="5E852A69">
      <w:pPr>
        <w:spacing w:line="220" w:lineRule="auto"/>
        <w:ind w:left="12"/>
        <w:rPr>
          <w:rFonts w:ascii="宋体" w:hAnsi="宋体" w:eastAsia="宋体" w:cs="宋体"/>
          <w:sz w:val="24"/>
          <w:szCs w:val="24"/>
        </w:rPr>
      </w:pPr>
      <w:r>
        <w:rPr>
          <w:rFonts w:ascii="宋体" w:hAnsi="宋体" w:eastAsia="宋体" w:cs="宋体"/>
          <w:b/>
          <w:bCs/>
          <w:spacing w:val="-7"/>
          <w:sz w:val="24"/>
          <w:szCs w:val="24"/>
        </w:rPr>
        <w:t>（三）合同履行期限：</w:t>
      </w:r>
      <w:r>
        <w:rPr>
          <w:rFonts w:ascii="宋体" w:hAnsi="宋体" w:eastAsia="宋体" w:cs="宋体"/>
          <w:spacing w:val="-7"/>
          <w:sz w:val="24"/>
          <w:szCs w:val="24"/>
        </w:rPr>
        <w:t>工期</w:t>
      </w:r>
      <w:r>
        <w:rPr>
          <w:rFonts w:ascii="宋体" w:hAnsi="宋体" w:eastAsia="宋体" w:cs="宋体"/>
          <w:spacing w:val="-18"/>
          <w:sz w:val="24"/>
          <w:szCs w:val="24"/>
        </w:rPr>
        <w:t xml:space="preserve"> </w:t>
      </w:r>
      <w:r>
        <w:rPr>
          <w:rFonts w:hint="eastAsia" w:hAnsi="宋体" w:cs="宋体"/>
          <w:spacing w:val="-7"/>
          <w:sz w:val="24"/>
          <w:szCs w:val="24"/>
          <w:lang w:val="en-US" w:eastAsia="zh-CN"/>
        </w:rPr>
        <w:t>120</w:t>
      </w:r>
      <w:r>
        <w:rPr>
          <w:rFonts w:ascii="宋体" w:hAnsi="宋体" w:eastAsia="宋体" w:cs="宋体"/>
          <w:spacing w:val="-7"/>
          <w:sz w:val="24"/>
          <w:szCs w:val="24"/>
        </w:rPr>
        <w:t xml:space="preserve"> 日历天。</w:t>
      </w:r>
    </w:p>
    <w:p w14:paraId="2769A1E1">
      <w:pPr>
        <w:spacing w:before="184" w:line="312" w:lineRule="auto"/>
        <w:ind w:firstLine="11"/>
        <w:rPr>
          <w:rFonts w:ascii="宋体" w:hAnsi="宋体" w:eastAsia="宋体" w:cs="宋体"/>
          <w:sz w:val="24"/>
          <w:szCs w:val="24"/>
        </w:rPr>
      </w:pPr>
      <w:r>
        <w:rPr>
          <w:rFonts w:ascii="宋体" w:hAnsi="宋体" w:eastAsia="宋体" w:cs="宋体"/>
          <w:b/>
          <w:bCs/>
          <w:spacing w:val="-3"/>
          <w:sz w:val="24"/>
          <w:szCs w:val="24"/>
        </w:rPr>
        <w:t>（四）质量标准：</w:t>
      </w:r>
      <w:r>
        <w:rPr>
          <w:rFonts w:hint="eastAsia" w:ascii="宋体" w:hAnsi="宋体" w:eastAsia="宋体" w:cs="宋体"/>
          <w:spacing w:val="-3"/>
          <w:sz w:val="24"/>
          <w:szCs w:val="24"/>
          <w:lang w:val="en-US" w:eastAsia="zh-CN"/>
        </w:rPr>
        <w:t>符合现行行业标准及规范规定的质量标准，一次性验收合格</w:t>
      </w:r>
      <w:r>
        <w:rPr>
          <w:rFonts w:ascii="宋体" w:hAnsi="宋体" w:eastAsia="宋体" w:cs="宋体"/>
          <w:spacing w:val="-1"/>
          <w:sz w:val="24"/>
          <w:szCs w:val="24"/>
        </w:rPr>
        <w:t>。</w:t>
      </w:r>
    </w:p>
    <w:p w14:paraId="241059B9">
      <w:pPr>
        <w:spacing w:before="224" w:line="219" w:lineRule="auto"/>
        <w:ind w:left="12"/>
        <w:rPr>
          <w:rFonts w:ascii="宋体" w:hAnsi="宋体" w:eastAsia="宋体" w:cs="宋体"/>
          <w:sz w:val="24"/>
          <w:szCs w:val="24"/>
        </w:rPr>
      </w:pPr>
      <w:r>
        <w:rPr>
          <w:rFonts w:ascii="宋体" w:hAnsi="宋体" w:eastAsia="宋体" w:cs="宋体"/>
          <w:b/>
          <w:bCs/>
          <w:spacing w:val="-5"/>
          <w:sz w:val="24"/>
          <w:szCs w:val="24"/>
        </w:rPr>
        <w:t>（</w:t>
      </w:r>
      <w:r>
        <w:rPr>
          <w:rFonts w:hint="eastAsia" w:ascii="宋体" w:hAnsi="宋体" w:eastAsia="宋体" w:cs="宋体"/>
          <w:b/>
          <w:bCs/>
          <w:spacing w:val="-5"/>
          <w:sz w:val="24"/>
          <w:szCs w:val="24"/>
          <w:lang w:val="en-US" w:eastAsia="zh-CN"/>
        </w:rPr>
        <w:t>五</w:t>
      </w:r>
      <w:r>
        <w:rPr>
          <w:rFonts w:ascii="宋体" w:hAnsi="宋体" w:eastAsia="宋体" w:cs="宋体"/>
          <w:b/>
          <w:bCs/>
          <w:spacing w:val="-5"/>
          <w:sz w:val="24"/>
          <w:szCs w:val="24"/>
        </w:rPr>
        <w:t>）付款方式：</w:t>
      </w:r>
    </w:p>
    <w:p w14:paraId="52B530C5">
      <w:pPr>
        <w:spacing w:before="183" w:line="219" w:lineRule="auto"/>
        <w:ind w:left="486"/>
        <w:rPr>
          <w:rFonts w:ascii="宋体" w:hAnsi="宋体" w:eastAsia="宋体" w:cs="宋体"/>
          <w:sz w:val="24"/>
          <w:szCs w:val="24"/>
        </w:rPr>
      </w:pPr>
      <w:r>
        <w:rPr>
          <w:rFonts w:ascii="宋体" w:hAnsi="宋体" w:eastAsia="宋体" w:cs="宋体"/>
          <w:spacing w:val="-1"/>
          <w:sz w:val="24"/>
          <w:szCs w:val="24"/>
        </w:rPr>
        <w:t>具体双方在签订合同时约定。</w:t>
      </w:r>
    </w:p>
    <w:p w14:paraId="3377E192">
      <w:pPr>
        <w:spacing w:before="183" w:line="220" w:lineRule="auto"/>
        <w:ind w:left="4"/>
        <w:rPr>
          <w:rFonts w:ascii="宋体" w:hAnsi="宋体" w:eastAsia="宋体" w:cs="宋体"/>
          <w:sz w:val="24"/>
          <w:szCs w:val="24"/>
        </w:rPr>
      </w:pPr>
      <w:r>
        <w:rPr>
          <w:rFonts w:ascii="宋体" w:hAnsi="宋体" w:eastAsia="宋体" w:cs="宋体"/>
          <w:b/>
          <w:bCs/>
          <w:spacing w:val="-4"/>
          <w:sz w:val="24"/>
          <w:szCs w:val="24"/>
        </w:rPr>
        <w:t>二、工程量清单：另册</w:t>
      </w:r>
    </w:p>
    <w:p w14:paraId="1B6C7C46">
      <w:pPr>
        <w:spacing w:before="182" w:line="218" w:lineRule="auto"/>
        <w:ind w:left="483"/>
        <w:rPr>
          <w:rFonts w:ascii="宋体" w:hAnsi="宋体" w:eastAsia="宋体" w:cs="宋体"/>
          <w:b/>
          <w:bCs/>
          <w:sz w:val="24"/>
          <w:szCs w:val="24"/>
        </w:rPr>
      </w:pPr>
      <w:r>
        <w:rPr>
          <w:rFonts w:ascii="宋体" w:hAnsi="宋体" w:eastAsia="宋体" w:cs="宋体"/>
          <w:b/>
          <w:bCs/>
          <w:spacing w:val="-1"/>
          <w:sz w:val="24"/>
          <w:szCs w:val="24"/>
        </w:rPr>
        <w:t>说明：采购人不接受磋商单位的报价高于采购人公布的各项最高限价。</w:t>
      </w:r>
    </w:p>
    <w:p w14:paraId="43A5C682">
      <w:pPr>
        <w:pStyle w:val="2"/>
        <w:pageBreakBefore w:val="0"/>
        <w:kinsoku/>
        <w:wordWrap/>
        <w:overflowPunct/>
        <w:topLinePunct w:val="0"/>
        <w:autoSpaceDE/>
        <w:autoSpaceDN/>
        <w:bidi w:val="0"/>
        <w:adjustRightInd/>
        <w:snapToGrid/>
        <w:spacing w:line="500" w:lineRule="exact"/>
        <w:ind w:firstLine="478" w:firstLineChars="200"/>
        <w:jc w:val="both"/>
        <w:textAlignment w:val="auto"/>
        <w:rPr>
          <w:rFonts w:hint="eastAsia" w:ascii="宋体" w:hAnsi="宋体" w:eastAsia="宋体" w:cs="宋体"/>
          <w:bCs w:val="0"/>
          <w:color w:val="auto"/>
          <w:kern w:val="0"/>
          <w:sz w:val="24"/>
          <w:szCs w:val="24"/>
          <w:highlight w:val="none"/>
          <w:lang w:val="en-US" w:eastAsia="zh-CN" w:bidi="ar-SA"/>
        </w:rPr>
      </w:pPr>
      <w:r>
        <w:rPr>
          <w:rFonts w:hint="eastAsia" w:ascii="宋体" w:hAnsi="宋体" w:cs="宋体"/>
          <w:b/>
          <w:bCs/>
          <w:spacing w:val="-1"/>
          <w:sz w:val="24"/>
          <w:szCs w:val="24"/>
          <w:lang w:eastAsia="zh-CN"/>
        </w:rPr>
        <w:t>腾冲市固东镇集镇环西路建设项目 (二期工程)二次</w:t>
      </w:r>
      <w:r>
        <w:rPr>
          <w:rFonts w:ascii="宋体" w:hAnsi="宋体" w:eastAsia="宋体" w:cs="宋体"/>
          <w:b/>
          <w:bCs/>
          <w:spacing w:val="13"/>
          <w:sz w:val="24"/>
          <w:szCs w:val="24"/>
        </w:rPr>
        <w:t>最高采购限价为</w:t>
      </w:r>
      <w:r>
        <w:rPr>
          <w:rFonts w:hint="eastAsia" w:ascii="宋体" w:hAnsi="宋体" w:eastAsia="宋体" w:cs="宋体"/>
          <w:b/>
          <w:bCs/>
          <w:color w:val="auto"/>
          <w:sz w:val="24"/>
          <w:szCs w:val="24"/>
          <w:highlight w:val="none"/>
          <w:lang w:val="en-US" w:eastAsia="zh-CN"/>
        </w:rPr>
        <w:t>3793526.64</w:t>
      </w:r>
      <w:r>
        <w:rPr>
          <w:rFonts w:hint="eastAsia" w:hAnsi="宋体" w:cs="宋体"/>
          <w:b/>
          <w:bCs/>
          <w:color w:val="auto"/>
          <w:sz w:val="24"/>
          <w:szCs w:val="24"/>
          <w:highlight w:val="none"/>
          <w:lang w:val="en-US" w:eastAsia="zh-CN"/>
        </w:rPr>
        <w:t>元</w:t>
      </w:r>
      <w:r>
        <w:rPr>
          <w:rFonts w:hint="eastAsia" w:ascii="宋体" w:hAnsi="宋体" w:eastAsia="宋体" w:cs="宋体"/>
          <w:b/>
          <w:bCs/>
          <w:color w:val="auto"/>
          <w:sz w:val="24"/>
          <w:szCs w:val="24"/>
          <w:highlight w:val="none"/>
          <w:lang w:val="en-US" w:eastAsia="zh-CN"/>
        </w:rPr>
        <w:t>（大写：</w:t>
      </w:r>
      <w:r>
        <w:rPr>
          <w:rFonts w:hint="eastAsia" w:hAnsi="宋体" w:cs="宋体"/>
          <w:b/>
          <w:bCs/>
          <w:color w:val="auto"/>
          <w:sz w:val="24"/>
          <w:szCs w:val="24"/>
          <w:highlight w:val="none"/>
          <w:lang w:val="en-US" w:eastAsia="zh-CN"/>
        </w:rPr>
        <w:t>叁佰柒拾玖万叁仟伍佰贰拾陆元陆角肆分</w:t>
      </w:r>
      <w:r>
        <w:rPr>
          <w:rFonts w:hint="eastAsia" w:ascii="宋体" w:hAnsi="宋体" w:eastAsia="宋体" w:cs="宋体"/>
          <w:b/>
          <w:bCs/>
          <w:color w:val="auto"/>
          <w:sz w:val="24"/>
          <w:szCs w:val="24"/>
          <w:highlight w:val="none"/>
          <w:lang w:val="en-US" w:eastAsia="zh-CN"/>
        </w:rPr>
        <w:t>）</w:t>
      </w:r>
      <w:r>
        <w:rPr>
          <w:rFonts w:ascii="宋体" w:hAnsi="宋体" w:eastAsia="宋体" w:cs="宋体"/>
          <w:b/>
          <w:bCs/>
          <w:spacing w:val="-3"/>
          <w:sz w:val="24"/>
          <w:szCs w:val="24"/>
        </w:rPr>
        <w:t>。</w:t>
      </w:r>
    </w:p>
    <w:p w14:paraId="4E56DD59">
      <w:pPr>
        <w:pStyle w:val="2"/>
        <w:bidi w:val="0"/>
        <w:jc w:val="both"/>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br w:type="page"/>
      </w:r>
      <w:bookmarkStart w:id="873" w:name="_Toc20845"/>
      <w:bookmarkStart w:id="874" w:name="_Toc25944"/>
      <w:r>
        <w:rPr>
          <w:rFonts w:hint="eastAsia" w:ascii="宋体" w:hAnsi="宋体" w:eastAsia="宋体" w:cs="宋体"/>
          <w:b/>
          <w:bCs w:val="0"/>
          <w:color w:val="auto"/>
          <w:sz w:val="36"/>
          <w:szCs w:val="36"/>
          <w:highlight w:val="none"/>
          <w:lang w:val="zh-CN"/>
        </w:rPr>
        <w:t xml:space="preserve">第六章  </w:t>
      </w:r>
      <w:bookmarkEnd w:id="869"/>
      <w:bookmarkEnd w:id="870"/>
      <w:r>
        <w:rPr>
          <w:rFonts w:hint="eastAsia" w:ascii="宋体" w:hAnsi="宋体" w:eastAsia="宋体" w:cs="宋体"/>
          <w:b/>
          <w:bCs w:val="0"/>
          <w:color w:val="auto"/>
          <w:sz w:val="36"/>
          <w:szCs w:val="36"/>
          <w:highlight w:val="none"/>
          <w:lang w:val="zh-CN"/>
        </w:rPr>
        <w:t>评审方法</w:t>
      </w:r>
      <w:bookmarkEnd w:id="871"/>
      <w:bookmarkEnd w:id="872"/>
      <w:bookmarkEnd w:id="873"/>
      <w:bookmarkEnd w:id="874"/>
      <w:bookmarkStart w:id="875" w:name="_Toc196764552"/>
    </w:p>
    <w:bookmarkEnd w:id="875"/>
    <w:p w14:paraId="479771D4">
      <w:pPr>
        <w:pStyle w:val="3"/>
        <w:spacing w:before="0" w:after="120" w:line="360" w:lineRule="auto"/>
        <w:jc w:val="center"/>
        <w:rPr>
          <w:rFonts w:hint="eastAsia" w:ascii="宋体" w:hAnsi="宋体" w:eastAsia="宋体" w:cs="宋体"/>
          <w:b/>
          <w:color w:val="auto"/>
          <w:sz w:val="28"/>
          <w:szCs w:val="28"/>
          <w:highlight w:val="none"/>
          <w:lang w:val="en-US"/>
        </w:rPr>
      </w:pPr>
      <w:bookmarkStart w:id="876" w:name="_Toc482343782"/>
      <w:bookmarkStart w:id="877" w:name="_Toc125054731"/>
      <w:r>
        <w:rPr>
          <w:rFonts w:hint="eastAsia" w:ascii="宋体" w:hAnsi="宋体" w:eastAsia="宋体" w:cs="宋体"/>
          <w:b/>
          <w:color w:val="auto"/>
          <w:sz w:val="28"/>
          <w:szCs w:val="28"/>
          <w:highlight w:val="none"/>
          <w:lang w:val="en-US"/>
        </w:rPr>
        <w:t>评审方法前附表</w:t>
      </w:r>
      <w:bookmarkEnd w:id="876"/>
      <w:bookmarkEnd w:id="877"/>
    </w:p>
    <w:tbl>
      <w:tblPr>
        <w:tblStyle w:val="15"/>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813"/>
        <w:gridCol w:w="3118"/>
        <w:gridCol w:w="4515"/>
      </w:tblGrid>
      <w:tr w14:paraId="5439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2" w:type="dxa"/>
            <w:gridSpan w:val="2"/>
            <w:noWrap w:val="0"/>
            <w:vAlign w:val="center"/>
          </w:tcPr>
          <w:p w14:paraId="0B53DD47">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条款号</w:t>
            </w:r>
          </w:p>
        </w:tc>
        <w:tc>
          <w:tcPr>
            <w:tcW w:w="3118" w:type="dxa"/>
            <w:noWrap w:val="0"/>
            <w:vAlign w:val="center"/>
          </w:tcPr>
          <w:p w14:paraId="2497BCD0">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评审因素</w:t>
            </w:r>
          </w:p>
        </w:tc>
        <w:tc>
          <w:tcPr>
            <w:tcW w:w="4515" w:type="dxa"/>
            <w:noWrap w:val="0"/>
            <w:vAlign w:val="center"/>
          </w:tcPr>
          <w:p w14:paraId="0A3F4C09">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评审标准</w:t>
            </w:r>
          </w:p>
        </w:tc>
      </w:tr>
      <w:tr w14:paraId="0EF5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732" w:type="dxa"/>
            <w:gridSpan w:val="2"/>
            <w:noWrap w:val="0"/>
            <w:vAlign w:val="center"/>
          </w:tcPr>
          <w:p w14:paraId="57C0838E">
            <w:pPr>
              <w:autoSpaceDE w:val="0"/>
              <w:autoSpaceDN w:val="0"/>
              <w:adjustRightInd w:val="0"/>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2.1.1</w:t>
            </w:r>
          </w:p>
        </w:tc>
        <w:tc>
          <w:tcPr>
            <w:tcW w:w="3118" w:type="dxa"/>
            <w:noWrap w:val="0"/>
            <w:vAlign w:val="center"/>
          </w:tcPr>
          <w:p w14:paraId="7D861D40">
            <w:pPr>
              <w:spacing w:line="360" w:lineRule="exact"/>
              <w:jc w:val="center"/>
              <w:rPr>
                <w:rFonts w:ascii="宋体" w:hAnsi="宋体" w:cs="宋体"/>
                <w:color w:val="auto"/>
                <w:sz w:val="24"/>
                <w:highlight w:val="none"/>
              </w:rPr>
            </w:pPr>
            <w:r>
              <w:rPr>
                <w:rFonts w:hint="eastAsia" w:ascii="宋体" w:hAnsi="宋体" w:cs="宋体"/>
                <w:color w:val="auto"/>
                <w:sz w:val="24"/>
                <w:highlight w:val="none"/>
                <w:lang w:val="zh-TW" w:eastAsia="zh-TW"/>
              </w:rPr>
              <w:t>资格条件</w:t>
            </w:r>
          </w:p>
        </w:tc>
        <w:tc>
          <w:tcPr>
            <w:tcW w:w="4515" w:type="dxa"/>
            <w:noWrap w:val="0"/>
            <w:vAlign w:val="center"/>
          </w:tcPr>
          <w:p w14:paraId="4DD6E85D">
            <w:pPr>
              <w:pStyle w:val="9"/>
              <w:spacing w:line="360" w:lineRule="exact"/>
              <w:rPr>
                <w:rFonts w:hAnsi="宋体" w:cs="宋体"/>
                <w:color w:val="auto"/>
                <w:sz w:val="24"/>
                <w:szCs w:val="24"/>
                <w:highlight w:val="none"/>
              </w:rPr>
            </w:pPr>
            <w:r>
              <w:rPr>
                <w:rFonts w:hAnsi="宋体" w:cs="宋体"/>
                <w:color w:val="auto"/>
                <w:sz w:val="24"/>
                <w:szCs w:val="24"/>
                <w:highlight w:val="none"/>
                <w:lang w:val="zh-TW" w:eastAsia="zh-TW"/>
              </w:rPr>
              <w:t>符合第二章</w:t>
            </w:r>
            <w:r>
              <w:rPr>
                <w:rFonts w:hAnsi="宋体" w:cs="宋体"/>
                <w:color w:val="auto"/>
                <w:sz w:val="24"/>
                <w:szCs w:val="24"/>
                <w:highlight w:val="none"/>
              </w:rPr>
              <w:t>“</w:t>
            </w:r>
            <w:r>
              <w:rPr>
                <w:rFonts w:hAnsi="宋体" w:cs="宋体"/>
                <w:color w:val="auto"/>
                <w:sz w:val="24"/>
                <w:szCs w:val="24"/>
                <w:highlight w:val="none"/>
                <w:lang w:val="zh-TW" w:eastAsia="zh-TW"/>
              </w:rPr>
              <w:t>供应商须知</w:t>
            </w:r>
            <w:r>
              <w:rPr>
                <w:rFonts w:hAnsi="宋体" w:cs="宋体"/>
                <w:color w:val="auto"/>
                <w:sz w:val="24"/>
                <w:szCs w:val="24"/>
                <w:highlight w:val="none"/>
              </w:rPr>
              <w:t>”</w:t>
            </w:r>
            <w:r>
              <w:rPr>
                <w:rFonts w:hAnsi="宋体" w:cs="宋体"/>
                <w:color w:val="auto"/>
                <w:sz w:val="24"/>
                <w:szCs w:val="24"/>
                <w:highlight w:val="none"/>
                <w:lang w:val="zh-TW" w:eastAsia="zh-TW"/>
              </w:rPr>
              <w:t>第</w:t>
            </w:r>
            <w:r>
              <w:rPr>
                <w:rFonts w:hAnsi="宋体" w:cs="宋体"/>
                <w:color w:val="auto"/>
                <w:sz w:val="24"/>
                <w:szCs w:val="24"/>
                <w:highlight w:val="none"/>
              </w:rPr>
              <w:t>4</w:t>
            </w:r>
            <w:r>
              <w:rPr>
                <w:rFonts w:hint="eastAsia" w:hAnsi="宋体" w:cs="宋体"/>
                <w:color w:val="auto"/>
                <w:sz w:val="24"/>
                <w:szCs w:val="24"/>
                <w:highlight w:val="none"/>
                <w:lang w:val="en-US" w:eastAsia="zh-CN"/>
              </w:rPr>
              <w:t>.1</w:t>
            </w:r>
            <w:r>
              <w:rPr>
                <w:rFonts w:hAnsi="宋体" w:cs="宋体"/>
                <w:color w:val="auto"/>
                <w:sz w:val="24"/>
                <w:szCs w:val="24"/>
                <w:highlight w:val="none"/>
                <w:lang w:val="zh-TW" w:eastAsia="zh-TW"/>
              </w:rPr>
              <w:t>项规定</w:t>
            </w:r>
          </w:p>
        </w:tc>
      </w:tr>
      <w:tr w14:paraId="3A59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19" w:type="dxa"/>
            <w:vMerge w:val="restart"/>
            <w:noWrap w:val="0"/>
            <w:vAlign w:val="center"/>
          </w:tcPr>
          <w:p w14:paraId="2373C87A">
            <w:pPr>
              <w:autoSpaceDE w:val="0"/>
              <w:autoSpaceDN w:val="0"/>
              <w:adjustRightInd w:val="0"/>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2.1.</w:t>
            </w:r>
            <w:r>
              <w:rPr>
                <w:rFonts w:hint="eastAsia" w:hAnsi="宋体" w:cs="宋体"/>
                <w:color w:val="auto"/>
                <w:sz w:val="24"/>
                <w:highlight w:val="none"/>
                <w:lang w:val="en-US" w:eastAsia="zh-CN"/>
              </w:rPr>
              <w:t>2</w:t>
            </w:r>
          </w:p>
        </w:tc>
        <w:tc>
          <w:tcPr>
            <w:tcW w:w="813" w:type="dxa"/>
            <w:vMerge w:val="restart"/>
            <w:noWrap w:val="0"/>
            <w:vAlign w:val="center"/>
          </w:tcPr>
          <w:p w14:paraId="6310E1AE">
            <w:pPr>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sz w:val="24"/>
                <w:highlight w:val="none"/>
              </w:rPr>
              <w:t>符合性评审标准</w:t>
            </w:r>
          </w:p>
        </w:tc>
        <w:tc>
          <w:tcPr>
            <w:tcW w:w="3118" w:type="dxa"/>
            <w:noWrap w:val="0"/>
            <w:vAlign w:val="center"/>
          </w:tcPr>
          <w:p w14:paraId="6EC6C29E">
            <w:pPr>
              <w:spacing w:line="360" w:lineRule="exact"/>
              <w:jc w:val="center"/>
              <w:rPr>
                <w:rFonts w:ascii="宋体" w:hAnsi="宋体" w:cs="宋体"/>
                <w:color w:val="auto"/>
                <w:sz w:val="24"/>
                <w:highlight w:val="none"/>
              </w:rPr>
            </w:pPr>
            <w:r>
              <w:rPr>
                <w:rFonts w:hint="eastAsia" w:hAnsi="宋体" w:cs="宋体"/>
                <w:color w:val="auto"/>
                <w:sz w:val="24"/>
                <w:highlight w:val="none"/>
                <w:lang w:val="en-US" w:eastAsia="zh-CN"/>
              </w:rPr>
              <w:t>磋商</w:t>
            </w:r>
            <w:r>
              <w:rPr>
                <w:rFonts w:hint="eastAsia" w:ascii="宋体" w:hAnsi="宋体" w:cs="宋体"/>
                <w:color w:val="auto"/>
                <w:sz w:val="24"/>
                <w:highlight w:val="none"/>
              </w:rPr>
              <w:t>报价</w:t>
            </w:r>
          </w:p>
        </w:tc>
        <w:tc>
          <w:tcPr>
            <w:tcW w:w="4515" w:type="dxa"/>
            <w:noWrap w:val="0"/>
            <w:vAlign w:val="center"/>
          </w:tcPr>
          <w:p w14:paraId="109736ED">
            <w:pPr>
              <w:spacing w:line="360" w:lineRule="exact"/>
              <w:rPr>
                <w:rFonts w:hAnsi="宋体" w:cs="宋体"/>
                <w:color w:val="auto"/>
                <w:sz w:val="24"/>
                <w:szCs w:val="24"/>
                <w:highlight w:val="none"/>
              </w:rPr>
            </w:pPr>
            <w:r>
              <w:rPr>
                <w:rFonts w:hint="eastAsia" w:ascii="宋体" w:hAnsi="宋体" w:cs="宋体"/>
                <w:color w:val="auto"/>
                <w:sz w:val="24"/>
                <w:highlight w:val="none"/>
                <w:lang w:val="zh-TW" w:eastAsia="zh-TW"/>
              </w:rPr>
              <w:t>报价未超过项目最高限价，采购人不接受磋商单位的报价高于采购人公布的各项最高限价</w:t>
            </w:r>
            <w:r>
              <w:rPr>
                <w:rFonts w:hint="eastAsia" w:hAnsi="宋体" w:cs="宋体"/>
                <w:color w:val="auto"/>
                <w:sz w:val="24"/>
                <w:highlight w:val="none"/>
                <w:lang w:val="zh-TW" w:eastAsia="zh-CN"/>
              </w:rPr>
              <w:t>，</w:t>
            </w:r>
            <w:r>
              <w:rPr>
                <w:rFonts w:hint="eastAsia" w:ascii="宋体" w:hAnsi="宋体" w:cs="宋体"/>
                <w:color w:val="auto"/>
                <w:sz w:val="24"/>
                <w:highlight w:val="none"/>
                <w:lang w:val="zh-TW" w:eastAsia="zh-TW"/>
              </w:rPr>
              <w:t>按</w:t>
            </w:r>
            <w:r>
              <w:rPr>
                <w:rFonts w:hint="eastAsia" w:ascii="宋体" w:hAnsi="宋体" w:cs="宋体"/>
                <w:color w:val="auto"/>
                <w:sz w:val="24"/>
                <w:highlight w:val="none"/>
                <w:lang w:val="zh-TW"/>
              </w:rPr>
              <w:t>磋商文件要求进行报价。</w:t>
            </w:r>
          </w:p>
        </w:tc>
      </w:tr>
      <w:tr w14:paraId="274B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19" w:type="dxa"/>
            <w:vMerge w:val="continue"/>
            <w:noWrap w:val="0"/>
            <w:vAlign w:val="center"/>
          </w:tcPr>
          <w:p w14:paraId="02C35839">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166FB2EB">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04DB6607">
            <w:pPr>
              <w:autoSpaceDE w:val="0"/>
              <w:autoSpaceDN w:val="0"/>
              <w:adjustRightInd w:val="0"/>
              <w:spacing w:line="3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TW" w:eastAsia="zh-TW"/>
              </w:rPr>
              <w:t>响应文件的编制</w:t>
            </w:r>
          </w:p>
        </w:tc>
        <w:tc>
          <w:tcPr>
            <w:tcW w:w="4515" w:type="dxa"/>
            <w:noWrap w:val="0"/>
            <w:vAlign w:val="center"/>
          </w:tcPr>
          <w:p w14:paraId="0DFB0DDA">
            <w:pPr>
              <w:autoSpaceDE w:val="0"/>
              <w:autoSpaceDN w:val="0"/>
              <w:adjustRightInd w:val="0"/>
              <w:spacing w:line="3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TW" w:eastAsia="zh-TW"/>
              </w:rPr>
              <w:t>符合资料提供、</w:t>
            </w:r>
            <w:r>
              <w:rPr>
                <w:rFonts w:hint="eastAsia" w:ascii="宋体" w:hAnsi="宋体" w:eastAsia="宋体" w:cs="宋体"/>
                <w:color w:val="auto"/>
                <w:kern w:val="0"/>
                <w:sz w:val="24"/>
                <w:highlight w:val="none"/>
                <w:lang w:val="zh-TW"/>
              </w:rPr>
              <w:t>内容、</w:t>
            </w:r>
            <w:r>
              <w:rPr>
                <w:rFonts w:hint="eastAsia" w:ascii="宋体" w:hAnsi="宋体" w:eastAsia="宋体" w:cs="宋体"/>
                <w:color w:val="auto"/>
                <w:kern w:val="0"/>
                <w:sz w:val="24"/>
                <w:highlight w:val="none"/>
                <w:lang w:val="zh-TW" w:eastAsia="zh-TW"/>
              </w:rPr>
              <w:t>文件签署等的要求</w:t>
            </w:r>
          </w:p>
        </w:tc>
      </w:tr>
      <w:tr w14:paraId="6EB5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919" w:type="dxa"/>
            <w:vMerge w:val="continue"/>
            <w:noWrap w:val="0"/>
            <w:vAlign w:val="center"/>
          </w:tcPr>
          <w:p w14:paraId="51C4DF31">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7595B061">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22399814">
            <w:pPr>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法定代表人身份证明书</w:t>
            </w:r>
          </w:p>
        </w:tc>
        <w:tc>
          <w:tcPr>
            <w:tcW w:w="4515" w:type="dxa"/>
            <w:noWrap w:val="0"/>
            <w:vAlign w:val="center"/>
          </w:tcPr>
          <w:p w14:paraId="5EE7D7FB">
            <w:pPr>
              <w:autoSpaceDE w:val="0"/>
              <w:autoSpaceDN w:val="0"/>
              <w:adjustRightInd w:val="0"/>
              <w:spacing w:line="360" w:lineRule="exact"/>
              <w:rPr>
                <w:rFonts w:ascii="宋体" w:hAnsi="宋体" w:cs="宋体"/>
                <w:color w:val="auto"/>
                <w:sz w:val="24"/>
                <w:highlight w:val="none"/>
              </w:rPr>
            </w:pPr>
            <w:r>
              <w:rPr>
                <w:rFonts w:hint="eastAsia" w:ascii="宋体" w:hAnsi="宋体" w:cs="宋体"/>
                <w:color w:val="auto"/>
                <w:kern w:val="0"/>
                <w:sz w:val="24"/>
                <w:highlight w:val="none"/>
              </w:rPr>
              <w:t>符合</w:t>
            </w:r>
            <w:r>
              <w:rPr>
                <w:rFonts w:hint="eastAsia" w:hAnsi="宋体" w:cs="宋体"/>
                <w:color w:val="auto"/>
                <w:kern w:val="0"/>
                <w:sz w:val="24"/>
                <w:highlight w:val="none"/>
                <w:lang w:eastAsia="zh-CN"/>
              </w:rPr>
              <w:t>磋商文件</w:t>
            </w:r>
            <w:r>
              <w:rPr>
                <w:rFonts w:hint="eastAsia" w:ascii="宋体" w:hAnsi="宋体" w:cs="宋体"/>
                <w:color w:val="auto"/>
                <w:kern w:val="0"/>
                <w:sz w:val="24"/>
                <w:highlight w:val="none"/>
              </w:rPr>
              <w:t>规定的格式及内容。</w:t>
            </w:r>
          </w:p>
        </w:tc>
      </w:tr>
      <w:tr w14:paraId="0805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19" w:type="dxa"/>
            <w:vMerge w:val="continue"/>
            <w:noWrap w:val="0"/>
            <w:vAlign w:val="center"/>
          </w:tcPr>
          <w:p w14:paraId="6043CEB7">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A1F0A09">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043C001B">
            <w:pPr>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法定代表人授权委托书</w:t>
            </w:r>
          </w:p>
        </w:tc>
        <w:tc>
          <w:tcPr>
            <w:tcW w:w="4515" w:type="dxa"/>
            <w:noWrap w:val="0"/>
            <w:vAlign w:val="center"/>
          </w:tcPr>
          <w:p w14:paraId="23012822">
            <w:pPr>
              <w:autoSpaceDE w:val="0"/>
              <w:autoSpaceDN w:val="0"/>
              <w:adjustRightInd w:val="0"/>
              <w:spacing w:line="360" w:lineRule="exact"/>
              <w:rPr>
                <w:rFonts w:hint="eastAsia" w:ascii="宋体" w:hAnsi="宋体" w:cs="宋体"/>
                <w:color w:val="auto"/>
                <w:sz w:val="24"/>
                <w:highlight w:val="none"/>
                <w:lang w:eastAsia="zh-CN"/>
              </w:rPr>
            </w:pPr>
            <w:r>
              <w:rPr>
                <w:rFonts w:hint="eastAsia" w:ascii="宋体" w:hAnsi="宋体" w:cs="宋体"/>
                <w:color w:val="auto"/>
                <w:kern w:val="0"/>
                <w:sz w:val="24"/>
                <w:highlight w:val="none"/>
              </w:rPr>
              <w:t>符合</w:t>
            </w:r>
            <w:r>
              <w:rPr>
                <w:rFonts w:hint="eastAsia" w:hAnsi="宋体" w:cs="宋体"/>
                <w:color w:val="auto"/>
                <w:kern w:val="0"/>
                <w:sz w:val="24"/>
                <w:highlight w:val="none"/>
                <w:lang w:eastAsia="zh-CN"/>
              </w:rPr>
              <w:t>磋商文件</w:t>
            </w:r>
            <w:r>
              <w:rPr>
                <w:rFonts w:hint="eastAsia" w:ascii="宋体" w:hAnsi="宋体" w:cs="宋体"/>
                <w:color w:val="auto"/>
                <w:kern w:val="0"/>
                <w:sz w:val="24"/>
                <w:highlight w:val="none"/>
              </w:rPr>
              <w:t>规定的格式及内容。</w:t>
            </w:r>
          </w:p>
        </w:tc>
      </w:tr>
      <w:tr w14:paraId="0C85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19" w:type="dxa"/>
            <w:vMerge w:val="continue"/>
            <w:noWrap w:val="0"/>
            <w:vAlign w:val="center"/>
          </w:tcPr>
          <w:p w14:paraId="05E93A14">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7E667479">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5F8EE5A3">
            <w:pPr>
              <w:spacing w:line="360" w:lineRule="exact"/>
              <w:jc w:val="center"/>
              <w:rPr>
                <w:rFonts w:hint="eastAsia" w:ascii="宋体" w:hAnsi="宋体" w:cs="宋体"/>
                <w:color w:val="auto"/>
                <w:sz w:val="24"/>
                <w:highlight w:val="none"/>
              </w:rPr>
            </w:pPr>
            <w:r>
              <w:rPr>
                <w:rFonts w:hint="eastAsia" w:ascii="宋体" w:hAnsi="宋体" w:eastAsia="宋体" w:cs="宋体"/>
                <w:color w:val="auto"/>
                <w:sz w:val="24"/>
                <w:highlight w:val="none"/>
                <w:lang w:val="zh-CN" w:eastAsia="zh-CN"/>
              </w:rPr>
              <w:t>工程量清单一致</w:t>
            </w:r>
          </w:p>
        </w:tc>
        <w:tc>
          <w:tcPr>
            <w:tcW w:w="4515" w:type="dxa"/>
            <w:noWrap w:val="0"/>
            <w:vAlign w:val="center"/>
          </w:tcPr>
          <w:p w14:paraId="09DAC439">
            <w:pPr>
              <w:spacing w:line="360" w:lineRule="exact"/>
              <w:jc w:val="center"/>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与采购人提供的工程量清单中项目名称、项目特征、计量单位和工程量完全一致。</w:t>
            </w:r>
          </w:p>
        </w:tc>
      </w:tr>
      <w:tr w14:paraId="1217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19" w:type="dxa"/>
            <w:vMerge w:val="continue"/>
            <w:noWrap w:val="0"/>
            <w:vAlign w:val="center"/>
          </w:tcPr>
          <w:p w14:paraId="13A47723">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08B4A9D4">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58D17945">
            <w:pPr>
              <w:spacing w:line="36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合同履行期限（工期）</w:t>
            </w:r>
          </w:p>
        </w:tc>
        <w:tc>
          <w:tcPr>
            <w:tcW w:w="4515" w:type="dxa"/>
            <w:noWrap w:val="0"/>
            <w:vAlign w:val="center"/>
          </w:tcPr>
          <w:p w14:paraId="6A135CDA">
            <w:pPr>
              <w:spacing w:line="360" w:lineRule="exact"/>
              <w:rPr>
                <w:rFonts w:ascii="宋体" w:hAnsi="宋体" w:cs="宋体"/>
                <w:color w:val="auto"/>
                <w:sz w:val="24"/>
                <w:highlight w:val="none"/>
              </w:rPr>
            </w:pPr>
            <w:r>
              <w:rPr>
                <w:rFonts w:hint="eastAsia" w:ascii="宋体" w:hAnsi="宋体" w:cs="宋体"/>
                <w:color w:val="auto"/>
                <w:sz w:val="24"/>
                <w:highlight w:val="none"/>
              </w:rPr>
              <w:t>满足</w:t>
            </w:r>
            <w:r>
              <w:rPr>
                <w:rFonts w:hint="eastAsia" w:hAnsi="宋体" w:cs="宋体"/>
                <w:color w:val="auto"/>
                <w:sz w:val="24"/>
                <w:highlight w:val="none"/>
                <w:lang w:eastAsia="zh-CN"/>
              </w:rPr>
              <w:t>磋商文件</w:t>
            </w:r>
            <w:r>
              <w:rPr>
                <w:rFonts w:hint="eastAsia" w:ascii="宋体" w:hAnsi="宋体" w:cs="宋体"/>
                <w:color w:val="auto"/>
                <w:sz w:val="24"/>
                <w:highlight w:val="none"/>
              </w:rPr>
              <w:t>要求</w:t>
            </w:r>
          </w:p>
        </w:tc>
      </w:tr>
      <w:tr w14:paraId="3377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19" w:type="dxa"/>
            <w:vMerge w:val="continue"/>
            <w:noWrap w:val="0"/>
            <w:vAlign w:val="center"/>
          </w:tcPr>
          <w:p w14:paraId="6DDE5D87">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DBCB9BD">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6E986BD3">
            <w:pPr>
              <w:spacing w:line="360" w:lineRule="exact"/>
              <w:jc w:val="center"/>
              <w:rPr>
                <w:rFonts w:ascii="宋体" w:hAnsi="宋体" w:cs="宋体"/>
                <w:color w:val="auto"/>
                <w:sz w:val="24"/>
                <w:highlight w:val="none"/>
              </w:rPr>
            </w:pPr>
            <w:r>
              <w:rPr>
                <w:rFonts w:hint="eastAsia" w:hAnsi="宋体" w:cs="宋体"/>
                <w:color w:val="auto"/>
                <w:sz w:val="24"/>
                <w:highlight w:val="none"/>
                <w:lang w:val="en-US" w:eastAsia="zh-CN"/>
              </w:rPr>
              <w:t>磋商</w:t>
            </w:r>
            <w:r>
              <w:rPr>
                <w:rFonts w:hint="eastAsia" w:ascii="宋体" w:hAnsi="宋体" w:cs="宋体"/>
                <w:color w:val="auto"/>
                <w:sz w:val="24"/>
                <w:highlight w:val="none"/>
                <w:lang w:val="zh-CN"/>
              </w:rPr>
              <w:t>有效期</w:t>
            </w:r>
          </w:p>
        </w:tc>
        <w:tc>
          <w:tcPr>
            <w:tcW w:w="4515" w:type="dxa"/>
            <w:noWrap w:val="0"/>
            <w:vAlign w:val="center"/>
          </w:tcPr>
          <w:p w14:paraId="6F4FF899">
            <w:pPr>
              <w:spacing w:line="360" w:lineRule="exact"/>
              <w:rPr>
                <w:rFonts w:ascii="宋体" w:hAnsi="宋体" w:cs="宋体"/>
                <w:color w:val="auto"/>
                <w:sz w:val="24"/>
                <w:highlight w:val="none"/>
              </w:rPr>
            </w:pPr>
            <w:r>
              <w:rPr>
                <w:rFonts w:hint="eastAsia" w:ascii="宋体" w:hAnsi="宋体" w:cs="宋体"/>
                <w:color w:val="auto"/>
                <w:sz w:val="24"/>
                <w:highlight w:val="none"/>
                <w:lang w:val="zh-CN"/>
              </w:rPr>
              <w:t>满足</w:t>
            </w:r>
            <w:r>
              <w:rPr>
                <w:rFonts w:hint="eastAsia" w:hAnsi="宋体" w:cs="宋体"/>
                <w:color w:val="auto"/>
                <w:sz w:val="24"/>
                <w:highlight w:val="none"/>
                <w:lang w:val="zh-CN"/>
              </w:rPr>
              <w:t>磋商文件</w:t>
            </w:r>
            <w:r>
              <w:rPr>
                <w:rFonts w:hint="eastAsia" w:ascii="宋体" w:hAnsi="宋体" w:cs="宋体"/>
                <w:color w:val="auto"/>
                <w:sz w:val="24"/>
                <w:highlight w:val="none"/>
                <w:lang w:val="zh-CN"/>
              </w:rPr>
              <w:t>规定</w:t>
            </w:r>
          </w:p>
        </w:tc>
      </w:tr>
      <w:tr w14:paraId="4919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19" w:type="dxa"/>
            <w:vMerge w:val="continue"/>
            <w:noWrap w:val="0"/>
            <w:vAlign w:val="center"/>
          </w:tcPr>
          <w:p w14:paraId="0292210A">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5F25E57F">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69AC6F7E">
            <w:pPr>
              <w:pStyle w:val="9"/>
              <w:spacing w:line="360" w:lineRule="exact"/>
              <w:jc w:val="center"/>
              <w:rPr>
                <w:rFonts w:hint="eastAsia" w:ascii="宋体" w:hAnsi="宋体" w:eastAsia="宋体" w:cs="宋体"/>
                <w:color w:val="auto"/>
                <w:sz w:val="24"/>
                <w:highlight w:val="none"/>
                <w:lang w:val="zh-CN"/>
              </w:rPr>
            </w:pPr>
            <w:r>
              <w:rPr>
                <w:rFonts w:hint="eastAsia" w:hAnsi="宋体" w:cs="宋体"/>
                <w:color w:val="auto"/>
                <w:sz w:val="24"/>
                <w:szCs w:val="24"/>
                <w:highlight w:val="none"/>
                <w:lang w:val="en-US" w:eastAsia="zh-CN"/>
              </w:rPr>
              <w:t>供应商</w:t>
            </w:r>
            <w:r>
              <w:rPr>
                <w:rFonts w:hint="eastAsia" w:hAnsi="宋体" w:cs="宋体"/>
                <w:color w:val="auto"/>
                <w:sz w:val="24"/>
                <w:szCs w:val="24"/>
                <w:highlight w:val="none"/>
              </w:rPr>
              <w:t>名称</w:t>
            </w:r>
          </w:p>
        </w:tc>
        <w:tc>
          <w:tcPr>
            <w:tcW w:w="4515" w:type="dxa"/>
            <w:noWrap w:val="0"/>
            <w:vAlign w:val="center"/>
          </w:tcPr>
          <w:p w14:paraId="180BE921">
            <w:pPr>
              <w:pStyle w:val="9"/>
              <w:spacing w:line="360" w:lineRule="exact"/>
              <w:rPr>
                <w:rFonts w:hint="eastAsia" w:ascii="宋体" w:hAnsi="宋体" w:eastAsia="宋体" w:cs="宋体"/>
                <w:color w:val="auto"/>
                <w:sz w:val="24"/>
                <w:highlight w:val="none"/>
                <w:lang w:val="zh-CN"/>
              </w:rPr>
            </w:pPr>
            <w:r>
              <w:rPr>
                <w:rFonts w:hint="eastAsia" w:hAnsi="宋体" w:cs="宋体"/>
                <w:color w:val="auto"/>
                <w:sz w:val="24"/>
                <w:szCs w:val="24"/>
                <w:highlight w:val="none"/>
              </w:rPr>
              <w:t>与营业执照一致</w:t>
            </w:r>
          </w:p>
        </w:tc>
      </w:tr>
      <w:tr w14:paraId="6625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919" w:type="dxa"/>
            <w:vMerge w:val="continue"/>
            <w:noWrap w:val="0"/>
            <w:vAlign w:val="center"/>
          </w:tcPr>
          <w:p w14:paraId="200B9D7E">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1ADCA78">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229831F7">
            <w:pPr>
              <w:spacing w:line="360" w:lineRule="exact"/>
              <w:jc w:val="center"/>
              <w:rPr>
                <w:rFonts w:ascii="宋体" w:hAnsi="宋体" w:cs="宋体"/>
                <w:color w:val="auto"/>
                <w:sz w:val="24"/>
                <w:highlight w:val="none"/>
              </w:rPr>
            </w:pPr>
            <w:r>
              <w:rPr>
                <w:rFonts w:hint="eastAsia" w:ascii="宋体" w:hAnsi="宋体" w:cs="宋体"/>
                <w:color w:val="auto"/>
                <w:sz w:val="24"/>
                <w:highlight w:val="none"/>
              </w:rPr>
              <w:t>其它实质性条件</w:t>
            </w:r>
          </w:p>
        </w:tc>
        <w:tc>
          <w:tcPr>
            <w:tcW w:w="4515" w:type="dxa"/>
            <w:noWrap w:val="0"/>
            <w:vAlign w:val="center"/>
          </w:tcPr>
          <w:p w14:paraId="301C7AD6">
            <w:pPr>
              <w:spacing w:line="360" w:lineRule="exact"/>
              <w:jc w:val="center"/>
              <w:rPr>
                <w:rFonts w:hint="eastAsia" w:ascii="宋体" w:hAnsi="宋体" w:eastAsia="宋体" w:cs="宋体"/>
                <w:color w:val="auto"/>
                <w:sz w:val="24"/>
                <w:highlight w:val="none"/>
                <w:lang w:val="zh-TW" w:eastAsia="zh-TW"/>
              </w:rPr>
            </w:pPr>
            <w:r>
              <w:rPr>
                <w:rFonts w:hint="eastAsia" w:hAnsi="宋体" w:cs="宋体"/>
                <w:color w:val="auto"/>
                <w:sz w:val="24"/>
                <w:highlight w:val="none"/>
                <w:lang w:val="en-US" w:eastAsia="zh-CN"/>
              </w:rPr>
              <w:t>1、</w:t>
            </w:r>
            <w:r>
              <w:rPr>
                <w:rFonts w:hint="eastAsia" w:ascii="宋体" w:hAnsi="宋体" w:eastAsia="宋体" w:cs="宋体"/>
                <w:color w:val="auto"/>
                <w:sz w:val="24"/>
                <w:highlight w:val="none"/>
                <w:lang w:val="zh-TW" w:eastAsia="zh-TW"/>
              </w:rPr>
              <w:t>未出现关键内容字迹潦草、表达不清或未按要求填写而导致非唯一理解的。</w:t>
            </w:r>
          </w:p>
          <w:p w14:paraId="1B895C80">
            <w:pPr>
              <w:spacing w:line="360" w:lineRule="exact"/>
              <w:jc w:val="both"/>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2、</w:t>
            </w:r>
            <w:r>
              <w:rPr>
                <w:rFonts w:hint="eastAsia" w:ascii="宋体" w:hAnsi="宋体" w:eastAsia="宋体" w:cs="宋体"/>
                <w:color w:val="auto"/>
                <w:sz w:val="24"/>
                <w:highlight w:val="none"/>
                <w:lang w:val="zh-TW" w:eastAsia="zh-TW"/>
              </w:rPr>
              <w:t>实质性响应磋商文件中★条款要求的</w:t>
            </w:r>
          </w:p>
          <w:p w14:paraId="1ED984AB">
            <w:pPr>
              <w:spacing w:line="360" w:lineRule="exact"/>
              <w:jc w:val="both"/>
              <w:rPr>
                <w:rFonts w:hint="eastAsia" w:ascii="宋体" w:hAnsi="宋体" w:eastAsia="宋体" w:cs="宋体"/>
                <w:color w:val="auto"/>
                <w:sz w:val="24"/>
                <w:highlight w:val="none"/>
                <w:lang w:val="zh-CN" w:eastAsia="zh-CN"/>
              </w:rPr>
            </w:pPr>
            <w:r>
              <w:rPr>
                <w:rFonts w:hint="eastAsia" w:hAnsi="宋体" w:cs="宋体"/>
                <w:color w:val="auto"/>
                <w:sz w:val="24"/>
                <w:highlight w:val="none"/>
                <w:lang w:val="en-US" w:eastAsia="zh-CN"/>
              </w:rPr>
              <w:t>3、</w:t>
            </w:r>
            <w:r>
              <w:rPr>
                <w:rFonts w:hint="eastAsia" w:ascii="宋体" w:hAnsi="宋体" w:eastAsia="宋体" w:cs="宋体"/>
                <w:color w:val="auto"/>
                <w:sz w:val="24"/>
                <w:highlight w:val="none"/>
                <w:lang w:val="zh-TW" w:eastAsia="zh-TW"/>
              </w:rPr>
              <w:t>符合法律、法规和磋商文件的要求</w:t>
            </w:r>
          </w:p>
        </w:tc>
      </w:tr>
    </w:tbl>
    <w:p w14:paraId="0295E73B">
      <w:pPr>
        <w:rPr>
          <w:rFonts w:hint="eastAsia" w:ascii="宋体" w:eastAsia="宋体" w:cs="宋体"/>
          <w:color w:val="auto"/>
          <w:kern w:val="2"/>
          <w:szCs w:val="28"/>
          <w:highlight w:val="none"/>
          <w:lang w:val="en-US" w:eastAsia="zh-CN"/>
        </w:rPr>
      </w:pPr>
      <w:bookmarkStart w:id="878" w:name="_Toc32308"/>
      <w:bookmarkStart w:id="879" w:name="_Toc20008"/>
      <w:bookmarkStart w:id="880" w:name="_Toc419"/>
      <w:r>
        <w:rPr>
          <w:rFonts w:hint="eastAsia" w:ascii="宋体" w:eastAsia="宋体" w:cs="宋体"/>
          <w:color w:val="auto"/>
          <w:kern w:val="2"/>
          <w:szCs w:val="28"/>
          <w:highlight w:val="none"/>
          <w:lang w:val="en-US" w:eastAsia="zh-CN"/>
        </w:rPr>
        <w:br w:type="page"/>
      </w:r>
    </w:p>
    <w:tbl>
      <w:tblPr>
        <w:tblStyle w:val="26"/>
        <w:tblW w:w="102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1325"/>
        <w:gridCol w:w="1479"/>
        <w:gridCol w:w="6076"/>
      </w:tblGrid>
      <w:tr w14:paraId="6A810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325" w:type="dxa"/>
            <w:vAlign w:val="center"/>
          </w:tcPr>
          <w:p w14:paraId="3CB42F67">
            <w:pPr>
              <w:pStyle w:val="25"/>
              <w:spacing w:before="200" w:line="219" w:lineRule="auto"/>
              <w:ind w:left="188"/>
              <w:jc w:val="center"/>
              <w:rPr>
                <w:rFonts w:hint="eastAsia" w:eastAsia="宋体"/>
                <w:b/>
                <w:bCs/>
                <w:spacing w:val="-5"/>
                <w:lang w:val="en-US" w:eastAsia="zh-CN"/>
              </w:rPr>
            </w:pPr>
            <w:r>
              <w:rPr>
                <w:rFonts w:hint="eastAsia"/>
                <w:b/>
                <w:bCs/>
                <w:spacing w:val="-5"/>
                <w:lang w:val="en-US" w:eastAsia="zh-CN"/>
              </w:rPr>
              <w:t>条款号</w:t>
            </w:r>
          </w:p>
        </w:tc>
        <w:tc>
          <w:tcPr>
            <w:tcW w:w="1325" w:type="dxa"/>
            <w:vAlign w:val="center"/>
          </w:tcPr>
          <w:p w14:paraId="1156A8D6">
            <w:pPr>
              <w:pStyle w:val="25"/>
              <w:spacing w:before="200" w:line="219" w:lineRule="auto"/>
              <w:ind w:left="188"/>
            </w:pPr>
            <w:r>
              <w:rPr>
                <w:b/>
                <w:bCs/>
                <w:spacing w:val="-5"/>
              </w:rPr>
              <w:t>评审内容</w:t>
            </w:r>
          </w:p>
        </w:tc>
        <w:tc>
          <w:tcPr>
            <w:tcW w:w="1479" w:type="dxa"/>
            <w:vAlign w:val="center"/>
          </w:tcPr>
          <w:p w14:paraId="427EA203">
            <w:pPr>
              <w:pStyle w:val="25"/>
              <w:spacing w:before="200" w:line="219" w:lineRule="auto"/>
              <w:ind w:left="349"/>
            </w:pPr>
            <w:r>
              <w:rPr>
                <w:b/>
                <w:bCs/>
                <w:spacing w:val="-5"/>
              </w:rPr>
              <w:t>评审因素</w:t>
            </w:r>
          </w:p>
        </w:tc>
        <w:tc>
          <w:tcPr>
            <w:tcW w:w="6076" w:type="dxa"/>
            <w:vAlign w:val="center"/>
          </w:tcPr>
          <w:p w14:paraId="6E59D706">
            <w:pPr>
              <w:pStyle w:val="25"/>
              <w:spacing w:before="199" w:line="220" w:lineRule="auto"/>
              <w:ind w:left="3062"/>
            </w:pPr>
            <w:r>
              <w:rPr>
                <w:b/>
                <w:bCs/>
                <w:spacing w:val="-5"/>
              </w:rPr>
              <w:t>评审标准</w:t>
            </w:r>
          </w:p>
        </w:tc>
      </w:tr>
      <w:tr w14:paraId="532E5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1325" w:type="dxa"/>
            <w:tcBorders>
              <w:bottom w:val="nil"/>
            </w:tcBorders>
            <w:vAlign w:val="center"/>
          </w:tcPr>
          <w:p w14:paraId="6A433A37">
            <w:pPr>
              <w:pStyle w:val="25"/>
              <w:spacing w:before="78" w:line="220" w:lineRule="auto"/>
              <w:ind w:left="192"/>
              <w:rPr>
                <w:spacing w:val="-4"/>
              </w:rPr>
            </w:pPr>
          </w:p>
        </w:tc>
        <w:tc>
          <w:tcPr>
            <w:tcW w:w="1325" w:type="dxa"/>
            <w:vMerge w:val="restart"/>
            <w:tcBorders>
              <w:bottom w:val="nil"/>
            </w:tcBorders>
            <w:vAlign w:val="center"/>
          </w:tcPr>
          <w:p w14:paraId="6C62ED91">
            <w:pPr>
              <w:spacing w:line="311" w:lineRule="auto"/>
              <w:rPr>
                <w:rFonts w:ascii="Arial"/>
                <w:sz w:val="21"/>
              </w:rPr>
            </w:pPr>
          </w:p>
          <w:p w14:paraId="716CDB41">
            <w:pPr>
              <w:pStyle w:val="25"/>
              <w:spacing w:before="78" w:line="220" w:lineRule="auto"/>
              <w:ind w:left="192"/>
            </w:pPr>
            <w:r>
              <w:rPr>
                <w:spacing w:val="-4"/>
              </w:rPr>
              <w:t>详细评审</w:t>
            </w:r>
          </w:p>
        </w:tc>
        <w:tc>
          <w:tcPr>
            <w:tcW w:w="1479" w:type="dxa"/>
            <w:vAlign w:val="center"/>
          </w:tcPr>
          <w:p w14:paraId="6797BC34">
            <w:pPr>
              <w:pStyle w:val="25"/>
              <w:spacing w:before="147" w:line="219" w:lineRule="auto"/>
              <w:ind w:left="355"/>
            </w:pPr>
            <w:r>
              <w:rPr>
                <w:spacing w:val="-4"/>
              </w:rPr>
              <w:t>分值构成</w:t>
            </w:r>
          </w:p>
        </w:tc>
        <w:tc>
          <w:tcPr>
            <w:tcW w:w="6076" w:type="dxa"/>
            <w:vAlign w:val="center"/>
          </w:tcPr>
          <w:p w14:paraId="75F55948">
            <w:pPr>
              <w:pStyle w:val="25"/>
              <w:spacing w:before="146" w:line="218" w:lineRule="auto"/>
              <w:ind w:left="112"/>
            </w:pPr>
            <w:r>
              <w:rPr>
                <w:spacing w:val="-1"/>
              </w:rPr>
              <w:t>磋商报价：</w:t>
            </w:r>
            <w:r>
              <w:rPr>
                <w:spacing w:val="-1"/>
                <w:u w:val="single" w:color="auto"/>
              </w:rPr>
              <w:t>30</w:t>
            </w:r>
            <w:r>
              <w:rPr>
                <w:spacing w:val="-1"/>
              </w:rPr>
              <w:t xml:space="preserve"> 分； 技术部分：</w:t>
            </w:r>
            <w:r>
              <w:rPr>
                <w:rFonts w:hint="eastAsia"/>
                <w:spacing w:val="-1"/>
                <w:u w:val="single" w:color="auto"/>
                <w:lang w:val="en-US" w:eastAsia="zh-CN"/>
              </w:rPr>
              <w:t>60</w:t>
            </w:r>
            <w:r>
              <w:rPr>
                <w:spacing w:val="-48"/>
                <w:u w:val="single" w:color="auto"/>
              </w:rPr>
              <w:t xml:space="preserve"> </w:t>
            </w:r>
            <w:r>
              <w:rPr>
                <w:spacing w:val="-1"/>
              </w:rPr>
              <w:t>分；商务</w:t>
            </w:r>
            <w:r>
              <w:rPr>
                <w:spacing w:val="-2"/>
              </w:rPr>
              <w:t>部分：</w:t>
            </w:r>
            <w:r>
              <w:rPr>
                <w:rFonts w:hint="eastAsia"/>
                <w:spacing w:val="-2"/>
                <w:u w:val="single" w:color="auto"/>
                <w:lang w:val="en-US" w:eastAsia="zh-CN"/>
              </w:rPr>
              <w:t>10</w:t>
            </w:r>
            <w:r>
              <w:rPr>
                <w:spacing w:val="-48"/>
                <w:u w:val="single" w:color="auto"/>
              </w:rPr>
              <w:t xml:space="preserve"> </w:t>
            </w:r>
            <w:r>
              <w:rPr>
                <w:spacing w:val="-2"/>
              </w:rPr>
              <w:t>分。</w:t>
            </w:r>
          </w:p>
        </w:tc>
      </w:tr>
      <w:tr w14:paraId="46A32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1325" w:type="dxa"/>
            <w:vMerge w:val="restart"/>
            <w:tcBorders>
              <w:top w:val="nil"/>
            </w:tcBorders>
            <w:vAlign w:val="center"/>
          </w:tcPr>
          <w:p w14:paraId="11DA169A">
            <w:pPr>
              <w:autoSpaceDE w:val="0"/>
              <w:autoSpaceDN w:val="0"/>
              <w:adjustRightInd w:val="0"/>
              <w:spacing w:line="360" w:lineRule="exact"/>
              <w:jc w:val="center"/>
              <w:rPr>
                <w:rFonts w:hint="default" w:ascii="Arial" w:eastAsia="宋体"/>
                <w:sz w:val="21"/>
                <w:lang w:val="en-US" w:eastAsia="zh-CN"/>
              </w:rPr>
            </w:pPr>
            <w:r>
              <w:rPr>
                <w:rFonts w:hint="eastAsia" w:ascii="宋体" w:hAnsi="宋体" w:cs="宋体"/>
                <w:color w:val="auto"/>
                <w:sz w:val="24"/>
                <w:highlight w:val="none"/>
                <w:lang w:val="en-US" w:eastAsia="zh-CN"/>
              </w:rPr>
              <w:t>2.2</w:t>
            </w:r>
          </w:p>
        </w:tc>
        <w:tc>
          <w:tcPr>
            <w:tcW w:w="1325" w:type="dxa"/>
            <w:vMerge w:val="continue"/>
            <w:tcBorders>
              <w:top w:val="nil"/>
            </w:tcBorders>
            <w:vAlign w:val="center"/>
          </w:tcPr>
          <w:p w14:paraId="3F57BFB5">
            <w:pPr>
              <w:rPr>
                <w:rFonts w:ascii="Arial"/>
                <w:sz w:val="21"/>
              </w:rPr>
            </w:pPr>
          </w:p>
        </w:tc>
        <w:tc>
          <w:tcPr>
            <w:tcW w:w="1479" w:type="dxa"/>
            <w:vAlign w:val="center"/>
          </w:tcPr>
          <w:p w14:paraId="53F41733">
            <w:pPr>
              <w:pStyle w:val="25"/>
              <w:spacing w:before="147" w:line="218" w:lineRule="auto"/>
              <w:ind w:left="246"/>
            </w:pPr>
            <w:r>
              <w:rPr>
                <w:spacing w:val="-2"/>
              </w:rPr>
              <w:t>磋商基准价</w:t>
            </w:r>
          </w:p>
        </w:tc>
        <w:tc>
          <w:tcPr>
            <w:tcW w:w="6076" w:type="dxa"/>
            <w:vAlign w:val="center"/>
          </w:tcPr>
          <w:p w14:paraId="5A8FF0D6">
            <w:pPr>
              <w:pStyle w:val="25"/>
              <w:spacing w:before="147" w:line="218" w:lineRule="auto"/>
              <w:ind w:left="352"/>
            </w:pPr>
            <w:r>
              <w:rPr>
                <w:spacing w:val="-1"/>
              </w:rPr>
              <w:t>磋商基准价为：所有有效的最终报价的最低值；</w:t>
            </w:r>
          </w:p>
        </w:tc>
      </w:tr>
      <w:tr w14:paraId="0FF2A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3" w:hRule="atLeast"/>
          <w:jc w:val="center"/>
        </w:trPr>
        <w:tc>
          <w:tcPr>
            <w:tcW w:w="1325" w:type="dxa"/>
            <w:vMerge w:val="continue"/>
            <w:vAlign w:val="center"/>
          </w:tcPr>
          <w:p w14:paraId="37C2BC4A">
            <w:pPr>
              <w:pStyle w:val="25"/>
              <w:spacing w:before="215" w:line="373" w:lineRule="auto"/>
              <w:ind w:left="431" w:right="151" w:hanging="260"/>
              <w:rPr>
                <w:spacing w:val="-7"/>
              </w:rPr>
            </w:pPr>
          </w:p>
        </w:tc>
        <w:tc>
          <w:tcPr>
            <w:tcW w:w="1325" w:type="dxa"/>
            <w:vAlign w:val="center"/>
          </w:tcPr>
          <w:p w14:paraId="5D1DE23E">
            <w:pPr>
              <w:spacing w:line="277" w:lineRule="auto"/>
              <w:rPr>
                <w:rFonts w:ascii="Arial"/>
                <w:sz w:val="21"/>
              </w:rPr>
            </w:pPr>
          </w:p>
          <w:p w14:paraId="350681E3">
            <w:pPr>
              <w:spacing w:line="277" w:lineRule="auto"/>
              <w:rPr>
                <w:rFonts w:ascii="Arial"/>
                <w:sz w:val="21"/>
              </w:rPr>
            </w:pPr>
          </w:p>
          <w:p w14:paraId="7AD5BC7A">
            <w:pPr>
              <w:spacing w:line="278" w:lineRule="auto"/>
              <w:rPr>
                <w:rFonts w:ascii="Arial"/>
                <w:sz w:val="21"/>
              </w:rPr>
            </w:pPr>
          </w:p>
          <w:p w14:paraId="0E17CCFC">
            <w:pPr>
              <w:spacing w:line="278" w:lineRule="auto"/>
              <w:rPr>
                <w:rFonts w:ascii="Arial"/>
                <w:sz w:val="21"/>
              </w:rPr>
            </w:pPr>
          </w:p>
          <w:p w14:paraId="4BF06048">
            <w:pPr>
              <w:pStyle w:val="25"/>
              <w:spacing w:before="78" w:line="218" w:lineRule="auto"/>
              <w:ind w:left="188"/>
            </w:pPr>
            <w:r>
              <w:rPr>
                <w:spacing w:val="-3"/>
              </w:rPr>
              <w:t>磋商报价</w:t>
            </w:r>
          </w:p>
          <w:p w14:paraId="545A931C">
            <w:pPr>
              <w:pStyle w:val="25"/>
              <w:spacing w:before="215" w:line="373" w:lineRule="auto"/>
              <w:ind w:left="431" w:right="151" w:hanging="260"/>
            </w:pPr>
            <w:r>
              <w:rPr>
                <w:spacing w:val="-7"/>
              </w:rPr>
              <w:t>（满分</w:t>
            </w:r>
            <w:r>
              <w:rPr>
                <w:spacing w:val="-46"/>
              </w:rPr>
              <w:t xml:space="preserve"> </w:t>
            </w:r>
            <w:r>
              <w:rPr>
                <w:spacing w:val="-7"/>
              </w:rPr>
              <w:t>30</w:t>
            </w:r>
            <w:r>
              <w:t xml:space="preserve"> </w:t>
            </w:r>
            <w:r>
              <w:rPr>
                <w:spacing w:val="-7"/>
              </w:rPr>
              <w:t>分）</w:t>
            </w:r>
          </w:p>
        </w:tc>
        <w:tc>
          <w:tcPr>
            <w:tcW w:w="1479" w:type="dxa"/>
            <w:vAlign w:val="center"/>
          </w:tcPr>
          <w:p w14:paraId="41EA9D5D">
            <w:pPr>
              <w:spacing w:line="271" w:lineRule="auto"/>
              <w:rPr>
                <w:rFonts w:ascii="Arial"/>
                <w:sz w:val="21"/>
              </w:rPr>
            </w:pPr>
          </w:p>
          <w:p w14:paraId="46900409">
            <w:pPr>
              <w:spacing w:line="271" w:lineRule="auto"/>
              <w:rPr>
                <w:rFonts w:ascii="Arial"/>
                <w:sz w:val="21"/>
              </w:rPr>
            </w:pPr>
          </w:p>
          <w:p w14:paraId="69FD8FD5">
            <w:pPr>
              <w:spacing w:line="271" w:lineRule="auto"/>
              <w:rPr>
                <w:rFonts w:ascii="Arial"/>
                <w:sz w:val="21"/>
              </w:rPr>
            </w:pPr>
          </w:p>
          <w:p w14:paraId="670D0819">
            <w:pPr>
              <w:spacing w:line="272" w:lineRule="auto"/>
              <w:rPr>
                <w:rFonts w:ascii="Arial"/>
                <w:sz w:val="21"/>
              </w:rPr>
            </w:pPr>
          </w:p>
          <w:p w14:paraId="51BE1B0C">
            <w:pPr>
              <w:spacing w:line="272" w:lineRule="auto"/>
              <w:rPr>
                <w:rFonts w:ascii="Arial"/>
                <w:sz w:val="21"/>
              </w:rPr>
            </w:pPr>
          </w:p>
          <w:p w14:paraId="06DC82A4">
            <w:pPr>
              <w:pStyle w:val="25"/>
              <w:spacing w:before="78" w:line="373" w:lineRule="auto"/>
              <w:ind w:left="123" w:right="7" w:hanging="10"/>
            </w:pPr>
            <w:r>
              <w:rPr>
                <w:spacing w:val="-2"/>
              </w:rPr>
              <w:t>有效磋商报价</w:t>
            </w:r>
            <w:r>
              <w:t xml:space="preserve"> </w:t>
            </w:r>
            <w:r>
              <w:rPr>
                <w:spacing w:val="-10"/>
              </w:rPr>
              <w:t>（满分</w:t>
            </w:r>
            <w:r>
              <w:rPr>
                <w:spacing w:val="-45"/>
              </w:rPr>
              <w:t xml:space="preserve"> </w:t>
            </w:r>
            <w:r>
              <w:rPr>
                <w:spacing w:val="-10"/>
              </w:rPr>
              <w:t>30</w:t>
            </w:r>
            <w:r>
              <w:rPr>
                <w:spacing w:val="-48"/>
              </w:rPr>
              <w:t xml:space="preserve"> </w:t>
            </w:r>
            <w:r>
              <w:rPr>
                <w:spacing w:val="-10"/>
              </w:rPr>
              <w:t>分）</w:t>
            </w:r>
          </w:p>
        </w:tc>
        <w:tc>
          <w:tcPr>
            <w:tcW w:w="6076" w:type="dxa"/>
            <w:vAlign w:val="center"/>
          </w:tcPr>
          <w:p w14:paraId="3324F073">
            <w:pPr>
              <w:pStyle w:val="25"/>
              <w:spacing w:before="37" w:line="353" w:lineRule="auto"/>
              <w:ind w:left="113" w:right="107"/>
              <w:jc w:val="both"/>
              <w:rPr>
                <w:rFonts w:hint="eastAsia"/>
              </w:rPr>
            </w:pPr>
            <w:r>
              <w:rPr>
                <w:rFonts w:hint="eastAsia"/>
              </w:rPr>
              <w:t>1、评标基准价为满足磋商文件要求且价格最低的二次报价为评标基准价。</w:t>
            </w:r>
          </w:p>
          <w:p w14:paraId="5868ADBD">
            <w:pPr>
              <w:pStyle w:val="25"/>
              <w:spacing w:before="37" w:line="353" w:lineRule="auto"/>
              <w:ind w:left="113" w:right="107"/>
              <w:jc w:val="both"/>
              <w:rPr>
                <w:rFonts w:hint="eastAsia"/>
              </w:rPr>
            </w:pPr>
            <w:r>
              <w:rPr>
                <w:rFonts w:hint="eastAsia"/>
              </w:rPr>
              <w:t>2、满足磋商文件要求且报价最低的有效二次报价，其报价分为满分。其他供应商的报价得分统一按照下列公式计算：</w:t>
            </w:r>
          </w:p>
          <w:p w14:paraId="37A61FAE">
            <w:pPr>
              <w:pStyle w:val="25"/>
              <w:spacing w:before="37" w:line="353" w:lineRule="auto"/>
              <w:ind w:left="113" w:right="107"/>
              <w:jc w:val="both"/>
              <w:rPr>
                <w:rFonts w:hint="eastAsia"/>
              </w:rPr>
            </w:pPr>
            <w:r>
              <w:rPr>
                <w:rFonts w:hint="eastAsia"/>
              </w:rPr>
              <w:t>即：F1=[C/（B1，B2，…，Bn）]×</w:t>
            </w:r>
            <w:r>
              <w:rPr>
                <w:rFonts w:hint="eastAsia"/>
                <w:lang w:val="en-US" w:eastAsia="zh-CN"/>
              </w:rPr>
              <w:t>3</w:t>
            </w:r>
            <w:r>
              <w:rPr>
                <w:rFonts w:hint="eastAsia"/>
              </w:rPr>
              <w:t>0</w:t>
            </w:r>
          </w:p>
          <w:p w14:paraId="23BCF8D1">
            <w:pPr>
              <w:pStyle w:val="25"/>
              <w:spacing w:before="37" w:line="353" w:lineRule="auto"/>
              <w:ind w:left="113" w:right="107"/>
              <w:jc w:val="both"/>
              <w:rPr>
                <w:rFonts w:hint="eastAsia"/>
              </w:rPr>
            </w:pPr>
            <w:r>
              <w:rPr>
                <w:rFonts w:hint="eastAsia"/>
              </w:rPr>
              <w:t>注：C为评标基准价，即经初步审查合格且投标价格最低的有效投标报价；</w:t>
            </w:r>
          </w:p>
          <w:p w14:paraId="6E0413F7">
            <w:pPr>
              <w:pStyle w:val="25"/>
              <w:spacing w:before="37" w:line="353" w:lineRule="auto"/>
              <w:ind w:left="113" w:right="107"/>
              <w:jc w:val="both"/>
              <w:rPr>
                <w:rFonts w:hint="eastAsia"/>
              </w:rPr>
            </w:pPr>
            <w:r>
              <w:rPr>
                <w:rFonts w:hint="eastAsia"/>
              </w:rPr>
              <w:t>B1，B2，…，Bn为第n个经初步审查合格的有效投标报价。</w:t>
            </w:r>
          </w:p>
          <w:p w14:paraId="54761B42">
            <w:pPr>
              <w:pStyle w:val="25"/>
              <w:spacing w:before="37" w:line="353" w:lineRule="auto"/>
              <w:ind w:left="113" w:right="107"/>
              <w:jc w:val="both"/>
              <w:rPr>
                <w:rFonts w:hint="eastAsia"/>
              </w:rPr>
            </w:pPr>
            <w:r>
              <w:rPr>
                <w:rFonts w:hint="eastAsia"/>
              </w:rPr>
              <w:t>4、算术修正报价：若存在算术修正，应按修正后的投标报价进行评标基准价和投标报价得分计算。</w:t>
            </w:r>
          </w:p>
          <w:p w14:paraId="59E21985">
            <w:pPr>
              <w:pStyle w:val="25"/>
              <w:spacing w:before="37" w:line="353" w:lineRule="auto"/>
              <w:ind w:left="113" w:right="107"/>
              <w:jc w:val="both"/>
            </w:pPr>
            <w:r>
              <w:rPr>
                <w:rFonts w:hint="eastAsia"/>
              </w:rPr>
              <w:t>5、供应商的报价超出项目预算金额的，则该项不得分。</w:t>
            </w:r>
          </w:p>
        </w:tc>
      </w:tr>
      <w:tr w14:paraId="025FE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14808C86">
            <w:pPr>
              <w:pStyle w:val="25"/>
              <w:spacing w:before="214" w:line="371" w:lineRule="auto"/>
              <w:ind w:right="151"/>
              <w:rPr>
                <w:spacing w:val="-7"/>
              </w:rPr>
            </w:pPr>
          </w:p>
        </w:tc>
        <w:tc>
          <w:tcPr>
            <w:tcW w:w="1325" w:type="dxa"/>
            <w:vMerge w:val="restart"/>
            <w:vAlign w:val="center"/>
          </w:tcPr>
          <w:p w14:paraId="08F5567A">
            <w:pPr>
              <w:pStyle w:val="25"/>
              <w:spacing w:before="78" w:line="219" w:lineRule="auto"/>
              <w:ind w:left="190"/>
            </w:pPr>
            <w:r>
              <w:rPr>
                <w:spacing w:val="-3"/>
              </w:rPr>
              <w:t>技术部分</w:t>
            </w:r>
          </w:p>
          <w:p w14:paraId="7C891A82">
            <w:pPr>
              <w:pStyle w:val="25"/>
              <w:spacing w:before="214" w:line="371" w:lineRule="auto"/>
              <w:ind w:right="151"/>
            </w:pPr>
            <w:r>
              <w:rPr>
                <w:spacing w:val="-7"/>
              </w:rPr>
              <w:t>（满分</w:t>
            </w:r>
            <w:r>
              <w:rPr>
                <w:spacing w:val="-47"/>
              </w:rPr>
              <w:t xml:space="preserve"> </w:t>
            </w:r>
            <w:r>
              <w:rPr>
                <w:spacing w:val="-7"/>
              </w:rPr>
              <w:t>6</w:t>
            </w:r>
            <w:r>
              <w:rPr>
                <w:rFonts w:hint="eastAsia"/>
                <w:spacing w:val="-7"/>
                <w:lang w:val="en-US" w:eastAsia="zh-CN"/>
              </w:rPr>
              <w:t>0</w:t>
            </w:r>
            <w:r>
              <w:t xml:space="preserve"> </w:t>
            </w:r>
            <w:r>
              <w:rPr>
                <w:spacing w:val="-7"/>
              </w:rPr>
              <w:t>分）</w:t>
            </w:r>
          </w:p>
        </w:tc>
        <w:tc>
          <w:tcPr>
            <w:tcW w:w="1479" w:type="dxa"/>
            <w:vAlign w:val="center"/>
          </w:tcPr>
          <w:p w14:paraId="29DB8306">
            <w:pPr>
              <w:spacing w:line="268" w:lineRule="auto"/>
              <w:rPr>
                <w:rFonts w:ascii="Arial"/>
                <w:sz w:val="21"/>
              </w:rPr>
            </w:pPr>
          </w:p>
          <w:p w14:paraId="5AB10BA8">
            <w:pPr>
              <w:spacing w:line="268" w:lineRule="auto"/>
              <w:rPr>
                <w:rFonts w:ascii="Arial"/>
                <w:sz w:val="21"/>
              </w:rPr>
            </w:pPr>
          </w:p>
          <w:p w14:paraId="4383AC51">
            <w:pPr>
              <w:pStyle w:val="25"/>
              <w:spacing w:before="78" w:line="371" w:lineRule="auto"/>
              <w:ind w:left="114" w:right="106" w:hanging="1"/>
            </w:pPr>
            <w:r>
              <w:rPr>
                <w:b/>
                <w:bCs/>
                <w:spacing w:val="-5"/>
              </w:rPr>
              <w:t>技术方案（满</w:t>
            </w:r>
            <w:r>
              <w:rPr>
                <w:spacing w:val="3"/>
              </w:rPr>
              <w:t xml:space="preserve"> </w:t>
            </w:r>
            <w:r>
              <w:rPr>
                <w:b/>
                <w:bCs/>
                <w:spacing w:val="-10"/>
              </w:rPr>
              <w:t>分</w:t>
            </w:r>
            <w:r>
              <w:rPr>
                <w:spacing w:val="-46"/>
              </w:rPr>
              <w:t xml:space="preserve"> </w:t>
            </w:r>
            <w:r>
              <w:rPr>
                <w:rFonts w:hint="eastAsia"/>
                <w:b/>
                <w:bCs/>
                <w:spacing w:val="-10"/>
                <w:lang w:val="en-US" w:eastAsia="zh-CN"/>
              </w:rPr>
              <w:t>30</w:t>
            </w:r>
            <w:r>
              <w:rPr>
                <w:b/>
                <w:bCs/>
                <w:spacing w:val="-10"/>
              </w:rPr>
              <w:t>分）</w:t>
            </w:r>
          </w:p>
        </w:tc>
        <w:tc>
          <w:tcPr>
            <w:tcW w:w="6076" w:type="dxa"/>
            <w:vAlign w:val="center"/>
          </w:tcPr>
          <w:p w14:paraId="1727DFEA">
            <w:pPr>
              <w:pStyle w:val="25"/>
              <w:spacing w:before="214" w:line="376" w:lineRule="auto"/>
              <w:ind w:right="107"/>
              <w:jc w:val="both"/>
              <w:rPr>
                <w:rFonts w:hint="eastAsia"/>
                <w:spacing w:val="-1"/>
                <w:lang w:val="en-US" w:eastAsia="zh-CN"/>
              </w:rPr>
            </w:pPr>
            <w:r>
              <w:rPr>
                <w:b/>
                <w:bCs/>
                <w:spacing w:val="-3"/>
              </w:rPr>
              <w:t>第一档次</w:t>
            </w:r>
            <w:r>
              <w:rPr>
                <w:spacing w:val="54"/>
              </w:rPr>
              <w:t xml:space="preserve"> </w:t>
            </w:r>
            <w:r>
              <w:rPr>
                <w:b/>
                <w:bCs/>
                <w:spacing w:val="-3"/>
              </w:rPr>
              <w:t>(</w:t>
            </w:r>
            <w:r>
              <w:rPr>
                <w:rFonts w:hint="eastAsia"/>
                <w:b/>
                <w:bCs/>
                <w:spacing w:val="-3"/>
                <w:lang w:val="en-US" w:eastAsia="zh-CN"/>
              </w:rPr>
              <w:t>30</w:t>
            </w:r>
            <w:r>
              <w:rPr>
                <w:spacing w:val="-47"/>
              </w:rPr>
              <w:t xml:space="preserve"> </w:t>
            </w:r>
            <w:r>
              <w:rPr>
                <w:b/>
                <w:bCs/>
                <w:spacing w:val="-3"/>
              </w:rPr>
              <w:t>分)</w:t>
            </w:r>
            <w:r>
              <w:rPr>
                <w:rFonts w:hint="eastAsia"/>
                <w:b/>
                <w:bCs/>
                <w:spacing w:val="-3"/>
                <w:lang w:eastAsia="zh-CN"/>
              </w:rPr>
              <w:t>：</w:t>
            </w:r>
            <w:r>
              <w:rPr>
                <w:rFonts w:hint="eastAsia"/>
                <w:b w:val="0"/>
                <w:bCs w:val="0"/>
                <w:spacing w:val="-3"/>
              </w:rPr>
              <w:t>包括但不限于</w:t>
            </w:r>
            <w:r>
              <w:rPr>
                <w:rFonts w:hint="eastAsia"/>
                <w:b w:val="0"/>
                <w:bCs w:val="0"/>
                <w:spacing w:val="-3"/>
                <w:lang w:val="en-US" w:eastAsia="zh-CN"/>
              </w:rPr>
              <w:t>:</w:t>
            </w:r>
            <w:r>
              <w:rPr>
                <w:rFonts w:hint="eastAsia"/>
                <w:b w:val="0"/>
                <w:bCs w:val="0"/>
                <w:spacing w:val="-3"/>
              </w:rPr>
              <w:t>①施工组织技术方案</w:t>
            </w:r>
            <w:r>
              <w:rPr>
                <w:rFonts w:hint="eastAsia"/>
                <w:b w:val="0"/>
                <w:bCs w:val="0"/>
                <w:spacing w:val="-3"/>
                <w:lang w:eastAsia="zh-CN"/>
              </w:rPr>
              <w:t>、</w:t>
            </w:r>
            <w:r>
              <w:rPr>
                <w:rFonts w:hint="eastAsia"/>
                <w:b w:val="0"/>
                <w:bCs w:val="0"/>
                <w:spacing w:val="-3"/>
                <w:lang w:val="en-US" w:eastAsia="zh-CN"/>
              </w:rPr>
              <w:t>②施工工艺、③施工准备、④风险管理计划</w:t>
            </w:r>
            <w:r>
              <w:rPr>
                <w:rFonts w:hint="eastAsia"/>
                <w:b w:val="0"/>
                <w:bCs w:val="0"/>
                <w:spacing w:val="-1"/>
                <w:lang w:val="en-US" w:eastAsia="zh-CN"/>
              </w:rPr>
              <w:t>，每</w:t>
            </w:r>
            <w:r>
              <w:rPr>
                <w:rFonts w:hint="eastAsia"/>
                <w:spacing w:val="-1"/>
                <w:lang w:val="en-US" w:eastAsia="zh-CN"/>
              </w:rPr>
              <w:t>有一项内容进行了详细阐述且贴合项目需求，施工组织设计合理且能指导施工，施工措施具体且有针对性，施工部署全面的。</w:t>
            </w:r>
          </w:p>
          <w:p w14:paraId="7236BB64">
            <w:pPr>
              <w:pStyle w:val="25"/>
              <w:spacing w:before="214" w:line="376" w:lineRule="auto"/>
              <w:ind w:right="107"/>
              <w:jc w:val="both"/>
              <w:rPr>
                <w:rFonts w:hint="eastAsia"/>
                <w:spacing w:val="-1"/>
                <w:lang w:val="en-US" w:eastAsia="zh-CN"/>
              </w:rPr>
            </w:pPr>
            <w:r>
              <w:rPr>
                <w:b/>
                <w:bCs/>
                <w:spacing w:val="-3"/>
              </w:rPr>
              <w:t>第二档次</w:t>
            </w:r>
            <w:r>
              <w:rPr>
                <w:spacing w:val="54"/>
              </w:rPr>
              <w:t xml:space="preserve"> </w:t>
            </w:r>
            <w:r>
              <w:rPr>
                <w:b/>
                <w:bCs/>
                <w:spacing w:val="-3"/>
              </w:rPr>
              <w:t>(</w:t>
            </w:r>
            <w:r>
              <w:rPr>
                <w:rFonts w:hint="eastAsia"/>
                <w:b/>
                <w:bCs/>
                <w:spacing w:val="-3"/>
                <w:lang w:val="en-US" w:eastAsia="zh-CN"/>
              </w:rPr>
              <w:t>28</w:t>
            </w:r>
            <w:r>
              <w:rPr>
                <w:b/>
                <w:bCs/>
                <w:spacing w:val="-3"/>
              </w:rPr>
              <w:t>分)</w:t>
            </w:r>
            <w:r>
              <w:rPr>
                <w:rFonts w:hint="eastAsia"/>
                <w:b/>
                <w:bCs/>
                <w:spacing w:val="-3"/>
                <w:lang w:eastAsia="zh-CN"/>
              </w:rPr>
              <w:t>：</w:t>
            </w:r>
            <w:r>
              <w:rPr>
                <w:rFonts w:hint="eastAsia"/>
                <w:b w:val="0"/>
                <w:bCs w:val="0"/>
                <w:spacing w:val="-3"/>
              </w:rPr>
              <w:t>包括但不限于</w:t>
            </w:r>
            <w:r>
              <w:rPr>
                <w:rFonts w:hint="eastAsia"/>
                <w:b w:val="0"/>
                <w:bCs w:val="0"/>
                <w:spacing w:val="-3"/>
                <w:lang w:val="en-US" w:eastAsia="zh-CN"/>
              </w:rPr>
              <w:t>:</w:t>
            </w:r>
            <w:r>
              <w:rPr>
                <w:rFonts w:hint="eastAsia"/>
                <w:b w:val="0"/>
                <w:bCs w:val="0"/>
                <w:spacing w:val="-3"/>
              </w:rPr>
              <w:t>①施工组织技术方案</w:t>
            </w:r>
            <w:r>
              <w:rPr>
                <w:rFonts w:hint="eastAsia"/>
                <w:b w:val="0"/>
                <w:bCs w:val="0"/>
                <w:spacing w:val="-3"/>
                <w:lang w:eastAsia="zh-CN"/>
              </w:rPr>
              <w:t>、</w:t>
            </w:r>
            <w:r>
              <w:rPr>
                <w:rFonts w:hint="eastAsia"/>
                <w:b w:val="0"/>
                <w:bCs w:val="0"/>
                <w:spacing w:val="-3"/>
                <w:lang w:val="en-US" w:eastAsia="zh-CN"/>
              </w:rPr>
              <w:t>②施工工艺、③施工准备、④风险管理计划</w:t>
            </w:r>
            <w:r>
              <w:rPr>
                <w:rFonts w:hint="eastAsia"/>
                <w:b w:val="0"/>
                <w:bCs w:val="0"/>
                <w:spacing w:val="-1"/>
                <w:lang w:val="en-US" w:eastAsia="zh-CN"/>
              </w:rPr>
              <w:t>，</w:t>
            </w:r>
            <w:r>
              <w:rPr>
                <w:rFonts w:hint="eastAsia"/>
                <w:spacing w:val="-1"/>
                <w:lang w:val="en-US" w:eastAsia="zh-CN"/>
              </w:rPr>
              <w:t>有一项内容虽然进行了阐述但过于一般，施工组织设计合理但对施工指导性一般，施工措施具体但针对性一般。</w:t>
            </w:r>
          </w:p>
          <w:p w14:paraId="681E18CB">
            <w:pPr>
              <w:pStyle w:val="25"/>
              <w:spacing w:before="214" w:line="376" w:lineRule="auto"/>
              <w:ind w:right="107"/>
              <w:jc w:val="both"/>
              <w:rPr>
                <w:rFonts w:hint="eastAsia"/>
                <w:spacing w:val="-1"/>
                <w:lang w:val="en-US" w:eastAsia="zh-CN"/>
              </w:rPr>
            </w:pPr>
            <w:r>
              <w:rPr>
                <w:b/>
                <w:bCs/>
                <w:spacing w:val="-5"/>
              </w:rPr>
              <w:t>第三档次</w:t>
            </w:r>
            <w:r>
              <w:rPr>
                <w:spacing w:val="56"/>
              </w:rPr>
              <w:t xml:space="preserve"> </w:t>
            </w:r>
            <w:r>
              <w:rPr>
                <w:b/>
                <w:bCs/>
                <w:spacing w:val="-5"/>
              </w:rPr>
              <w:t>(</w:t>
            </w:r>
            <w:r>
              <w:rPr>
                <w:rFonts w:hint="eastAsia"/>
                <w:b/>
                <w:bCs/>
                <w:spacing w:val="-5"/>
                <w:lang w:val="en-US" w:eastAsia="zh-CN"/>
              </w:rPr>
              <w:t>26</w:t>
            </w:r>
            <w:r>
              <w:rPr>
                <w:b/>
                <w:bCs/>
                <w:spacing w:val="-5"/>
              </w:rPr>
              <w:t>分)</w:t>
            </w:r>
            <w:r>
              <w:rPr>
                <w:rFonts w:hint="eastAsia"/>
                <w:b/>
                <w:bCs/>
                <w:spacing w:val="-5"/>
                <w:lang w:eastAsia="zh-CN"/>
              </w:rPr>
              <w:t>：</w:t>
            </w:r>
            <w:r>
              <w:rPr>
                <w:rFonts w:hint="eastAsia"/>
                <w:b w:val="0"/>
                <w:bCs w:val="0"/>
                <w:spacing w:val="-5"/>
              </w:rPr>
              <w:t>包括但不限于</w:t>
            </w:r>
            <w:r>
              <w:rPr>
                <w:rFonts w:hint="eastAsia"/>
                <w:b w:val="0"/>
                <w:bCs w:val="0"/>
                <w:spacing w:val="-5"/>
                <w:lang w:val="en-US" w:eastAsia="zh-CN"/>
              </w:rPr>
              <w:t>:</w:t>
            </w:r>
            <w:r>
              <w:rPr>
                <w:rFonts w:hint="eastAsia"/>
                <w:b w:val="0"/>
                <w:bCs w:val="0"/>
                <w:spacing w:val="-5"/>
              </w:rPr>
              <w:t>①施工组织技术方案</w:t>
            </w:r>
            <w:r>
              <w:rPr>
                <w:rFonts w:hint="eastAsia"/>
                <w:b w:val="0"/>
                <w:bCs w:val="0"/>
                <w:spacing w:val="-5"/>
                <w:lang w:eastAsia="zh-CN"/>
              </w:rPr>
              <w:t>、</w:t>
            </w:r>
            <w:r>
              <w:rPr>
                <w:rFonts w:hint="eastAsia"/>
                <w:b w:val="0"/>
                <w:bCs w:val="0"/>
                <w:spacing w:val="-5"/>
                <w:lang w:val="en-US" w:eastAsia="zh-CN"/>
              </w:rPr>
              <w:t>②施工工艺、③施工准备、④风险管理计划</w:t>
            </w:r>
            <w:r>
              <w:rPr>
                <w:rFonts w:hint="eastAsia"/>
                <w:b w:val="0"/>
                <w:bCs w:val="0"/>
                <w:spacing w:val="-1"/>
                <w:lang w:val="en-US" w:eastAsia="zh-CN"/>
              </w:rPr>
              <w:t>，</w:t>
            </w:r>
            <w:r>
              <w:rPr>
                <w:rFonts w:hint="eastAsia"/>
                <w:spacing w:val="-1"/>
                <w:lang w:val="en-US" w:eastAsia="zh-CN"/>
              </w:rPr>
              <w:t>有一项内容虽然进行了阐述但过于简单，施工组织设计合理但对施工指导性简单，施工措施具体但针对性简单。</w:t>
            </w:r>
            <w:r>
              <w:rPr>
                <w:spacing w:val="48"/>
              </w:rPr>
              <w:t xml:space="preserve"> </w:t>
            </w:r>
          </w:p>
          <w:p w14:paraId="705E0D1B">
            <w:pPr>
              <w:pStyle w:val="25"/>
              <w:spacing w:before="214" w:line="376" w:lineRule="auto"/>
              <w:ind w:right="107"/>
              <w:jc w:val="both"/>
            </w:pPr>
            <w:r>
              <w:rPr>
                <w:b/>
                <w:bCs/>
                <w:spacing w:val="-5"/>
              </w:rPr>
              <w:t>第四档次</w:t>
            </w:r>
            <w:r>
              <w:rPr>
                <w:spacing w:val="59"/>
              </w:rPr>
              <w:t xml:space="preserve"> </w:t>
            </w:r>
            <w:r>
              <w:rPr>
                <w:b/>
                <w:bCs/>
                <w:spacing w:val="-5"/>
              </w:rPr>
              <w:t>(</w:t>
            </w:r>
            <w:r>
              <w:rPr>
                <w:rFonts w:hint="eastAsia"/>
                <w:b/>
                <w:bCs/>
                <w:spacing w:val="-5"/>
                <w:lang w:val="en-US" w:eastAsia="zh-CN"/>
              </w:rPr>
              <w:t>24</w:t>
            </w:r>
            <w:r>
              <w:rPr>
                <w:b/>
                <w:bCs/>
                <w:spacing w:val="-5"/>
              </w:rPr>
              <w:t>分)</w:t>
            </w:r>
            <w:r>
              <w:rPr>
                <w:rFonts w:hint="eastAsia"/>
                <w:b w:val="0"/>
                <w:bCs w:val="0"/>
                <w:spacing w:val="-5"/>
              </w:rPr>
              <w:t>包括但不限于</w:t>
            </w:r>
            <w:r>
              <w:rPr>
                <w:rFonts w:hint="eastAsia"/>
                <w:b w:val="0"/>
                <w:bCs w:val="0"/>
                <w:spacing w:val="-5"/>
                <w:lang w:val="en-US" w:eastAsia="zh-CN"/>
              </w:rPr>
              <w:t>:</w:t>
            </w:r>
            <w:r>
              <w:rPr>
                <w:rFonts w:hint="eastAsia"/>
                <w:b w:val="0"/>
                <w:bCs w:val="0"/>
                <w:spacing w:val="-5"/>
              </w:rPr>
              <w:t>①施工组织技术方案</w:t>
            </w:r>
            <w:r>
              <w:rPr>
                <w:rFonts w:hint="eastAsia"/>
                <w:b w:val="0"/>
                <w:bCs w:val="0"/>
                <w:spacing w:val="-5"/>
                <w:lang w:eastAsia="zh-CN"/>
              </w:rPr>
              <w:t>、</w:t>
            </w:r>
            <w:r>
              <w:rPr>
                <w:rFonts w:hint="eastAsia"/>
                <w:b w:val="0"/>
                <w:bCs w:val="0"/>
                <w:spacing w:val="-5"/>
                <w:lang w:val="en-US" w:eastAsia="zh-CN"/>
              </w:rPr>
              <w:t>②施工工艺、③施工准备、④风险管理计划</w:t>
            </w:r>
            <w:r>
              <w:rPr>
                <w:rFonts w:hint="eastAsia"/>
                <w:b w:val="0"/>
                <w:bCs w:val="0"/>
                <w:spacing w:val="-1"/>
                <w:lang w:val="en-US" w:eastAsia="zh-CN"/>
              </w:rPr>
              <w:t>；</w:t>
            </w:r>
            <w:r>
              <w:rPr>
                <w:rFonts w:hint="eastAsia"/>
                <w:spacing w:val="-1"/>
                <w:lang w:val="en-US" w:eastAsia="zh-CN"/>
              </w:rPr>
              <w:t>有一项内容缺少，施工组织设计不够合理，缺少施工指导性，施工措施不具体缺少针对性</w:t>
            </w:r>
            <w:r>
              <w:rPr>
                <w:spacing w:val="-5"/>
              </w:rPr>
              <w:t>。</w:t>
            </w:r>
          </w:p>
        </w:tc>
      </w:tr>
      <w:tr w14:paraId="2DE05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26894BE7">
            <w:pPr>
              <w:pStyle w:val="25"/>
              <w:spacing w:before="214" w:line="371" w:lineRule="auto"/>
              <w:ind w:left="431" w:right="151" w:hanging="260"/>
              <w:rPr>
                <w:spacing w:val="-7"/>
              </w:rPr>
            </w:pPr>
          </w:p>
        </w:tc>
        <w:tc>
          <w:tcPr>
            <w:tcW w:w="1325" w:type="dxa"/>
            <w:vMerge w:val="continue"/>
            <w:vAlign w:val="center"/>
          </w:tcPr>
          <w:p w14:paraId="4C225C49">
            <w:pPr>
              <w:pStyle w:val="25"/>
              <w:spacing w:before="214" w:line="371" w:lineRule="auto"/>
              <w:ind w:left="431" w:right="151" w:hanging="260"/>
              <w:rPr>
                <w:spacing w:val="-7"/>
              </w:rPr>
            </w:pPr>
          </w:p>
        </w:tc>
        <w:tc>
          <w:tcPr>
            <w:tcW w:w="1479" w:type="dxa"/>
            <w:vAlign w:val="center"/>
          </w:tcPr>
          <w:p w14:paraId="4F8BCD93">
            <w:pPr>
              <w:pStyle w:val="25"/>
              <w:spacing w:before="78" w:line="219" w:lineRule="auto"/>
              <w:ind w:left="231"/>
              <w:rPr>
                <w:b/>
                <w:bCs/>
                <w:spacing w:val="-5"/>
              </w:rPr>
            </w:pPr>
            <w:r>
              <w:rPr>
                <w:b/>
                <w:bCs/>
                <w:spacing w:val="-4"/>
              </w:rPr>
              <w:t>质量承诺及</w:t>
            </w:r>
            <w:r>
              <w:rPr>
                <w:b/>
                <w:bCs/>
                <w:spacing w:val="-5"/>
              </w:rPr>
              <w:t>保证措施</w:t>
            </w:r>
            <w:r>
              <w:rPr>
                <w:b/>
                <w:bCs/>
                <w:spacing w:val="-10"/>
              </w:rPr>
              <w:t>（满分</w:t>
            </w:r>
            <w:r>
              <w:rPr>
                <w:rFonts w:hint="eastAsia"/>
                <w:b/>
                <w:bCs/>
                <w:spacing w:val="-47"/>
                <w:lang w:val="en-US" w:eastAsia="zh-CN"/>
              </w:rPr>
              <w:t>10</w:t>
            </w:r>
            <w:r>
              <w:rPr>
                <w:b/>
                <w:bCs/>
                <w:spacing w:val="-48"/>
              </w:rPr>
              <w:t xml:space="preserve"> </w:t>
            </w:r>
            <w:r>
              <w:rPr>
                <w:b/>
                <w:bCs/>
                <w:spacing w:val="-10"/>
              </w:rPr>
              <w:t>分）</w:t>
            </w:r>
          </w:p>
        </w:tc>
        <w:tc>
          <w:tcPr>
            <w:tcW w:w="6076" w:type="dxa"/>
            <w:vAlign w:val="center"/>
          </w:tcPr>
          <w:p w14:paraId="046FCF7F">
            <w:pPr>
              <w:pStyle w:val="25"/>
              <w:spacing w:before="199" w:line="360" w:lineRule="auto"/>
              <w:ind w:left="125"/>
              <w:rPr>
                <w:rFonts w:hint="eastAsia" w:ascii="宋体" w:hAnsi="宋体" w:eastAsia="宋体" w:cs="宋体"/>
                <w:spacing w:val="-3"/>
                <w:sz w:val="24"/>
                <w:szCs w:val="24"/>
                <w:lang w:val="en-US" w:eastAsia="zh-CN"/>
              </w:rPr>
            </w:pPr>
            <w:r>
              <w:rPr>
                <w:b/>
                <w:bCs/>
                <w:spacing w:val="-3"/>
              </w:rPr>
              <w:t>第一档次</w:t>
            </w:r>
            <w:r>
              <w:rPr>
                <w:spacing w:val="54"/>
              </w:rPr>
              <w:t xml:space="preserve"> </w:t>
            </w:r>
            <w:r>
              <w:rPr>
                <w:b/>
                <w:bCs/>
                <w:spacing w:val="-3"/>
              </w:rPr>
              <w:t>(</w:t>
            </w:r>
            <w:r>
              <w:rPr>
                <w:rFonts w:hint="eastAsia"/>
                <w:b/>
                <w:bCs/>
                <w:spacing w:val="-3"/>
                <w:lang w:val="en-US" w:eastAsia="zh-CN"/>
              </w:rPr>
              <w:t>10</w:t>
            </w:r>
            <w:r>
              <w:rPr>
                <w:b/>
                <w:bCs/>
                <w:spacing w:val="-3"/>
              </w:rPr>
              <w:t>分)</w:t>
            </w:r>
            <w:r>
              <w:rPr>
                <w:rFonts w:hint="eastAsia"/>
                <w:b/>
                <w:bCs/>
                <w:spacing w:val="-3"/>
                <w:lang w:eastAsia="zh-CN"/>
              </w:rPr>
              <w:t>：</w:t>
            </w:r>
            <w:r>
              <w:rPr>
                <w:rFonts w:hint="eastAsia"/>
                <w:b w:val="0"/>
                <w:bCs w:val="0"/>
                <w:spacing w:val="-3"/>
              </w:rPr>
              <w:t>包括但不限于</w:t>
            </w:r>
            <w:r>
              <w:rPr>
                <w:rFonts w:hint="eastAsia"/>
                <w:b w:val="0"/>
                <w:bCs w:val="0"/>
                <w:spacing w:val="-3"/>
                <w:lang w:val="en-US" w:eastAsia="zh-CN"/>
              </w:rPr>
              <w:t>:①</w:t>
            </w:r>
            <w:r>
              <w:rPr>
                <w:rFonts w:hint="eastAsia"/>
                <w:b w:val="0"/>
                <w:bCs w:val="0"/>
                <w:spacing w:val="-3"/>
              </w:rPr>
              <w:t>质量承诺、</w:t>
            </w:r>
            <w:r>
              <w:rPr>
                <w:rFonts w:hint="eastAsia"/>
                <w:b w:val="0"/>
                <w:bCs w:val="0"/>
                <w:spacing w:val="-3"/>
                <w:lang w:val="en-US" w:eastAsia="zh-CN"/>
              </w:rPr>
              <w:t>②</w:t>
            </w:r>
            <w:r>
              <w:rPr>
                <w:rFonts w:hint="eastAsia"/>
                <w:b w:val="0"/>
                <w:bCs w:val="0"/>
                <w:spacing w:val="-3"/>
              </w:rPr>
              <w:t>保证措施</w:t>
            </w:r>
            <w:r>
              <w:rPr>
                <w:rFonts w:hint="eastAsia"/>
                <w:b w:val="0"/>
                <w:bCs w:val="0"/>
                <w:spacing w:val="-3"/>
                <w:lang w:eastAsia="zh-CN"/>
              </w:rPr>
              <w:t>、</w:t>
            </w:r>
            <w:r>
              <w:rPr>
                <w:rFonts w:hint="eastAsia"/>
                <w:b w:val="0"/>
                <w:bCs w:val="0"/>
                <w:spacing w:val="-3"/>
                <w:lang w:val="en-US" w:eastAsia="zh-CN"/>
              </w:rPr>
              <w:t>③违约承诺</w:t>
            </w:r>
            <w:r>
              <w:rPr>
                <w:rFonts w:hint="eastAsia" w:ascii="宋体" w:hAnsi="宋体" w:eastAsia="宋体" w:cs="宋体"/>
                <w:b w:val="0"/>
                <w:bCs w:val="0"/>
                <w:spacing w:val="-3"/>
                <w:sz w:val="24"/>
                <w:szCs w:val="24"/>
                <w:lang w:val="en-US" w:eastAsia="zh-CN"/>
              </w:rPr>
              <w:t>；每有</w:t>
            </w:r>
            <w:r>
              <w:rPr>
                <w:rFonts w:hint="eastAsia" w:ascii="宋体" w:hAnsi="宋体" w:eastAsia="宋体" w:cs="宋体"/>
                <w:spacing w:val="-3"/>
                <w:sz w:val="24"/>
                <w:szCs w:val="24"/>
                <w:lang w:val="en-US" w:eastAsia="zh-CN"/>
              </w:rPr>
              <w:t>一项内容满足竞争性磋商文件且有具体的违约责任承诺，质量保证措施严格按竞争性磋商文件要求的施工技术规范、标准编制且针对性好的。</w:t>
            </w:r>
          </w:p>
          <w:p w14:paraId="03D593E9">
            <w:pPr>
              <w:pStyle w:val="25"/>
              <w:spacing w:before="199" w:line="360" w:lineRule="auto"/>
              <w:ind w:left="125"/>
              <w:rPr>
                <w:rFonts w:hint="eastAsia" w:ascii="宋体" w:hAnsi="宋体" w:eastAsia="宋体" w:cs="宋体"/>
                <w:spacing w:val="-3"/>
                <w:sz w:val="24"/>
                <w:szCs w:val="24"/>
                <w:lang w:val="en-US" w:eastAsia="zh-CN"/>
              </w:rPr>
            </w:pPr>
            <w:r>
              <w:rPr>
                <w:b/>
                <w:bCs/>
                <w:spacing w:val="-3"/>
              </w:rPr>
              <w:t>第二档次</w:t>
            </w:r>
            <w:r>
              <w:rPr>
                <w:spacing w:val="54"/>
              </w:rPr>
              <w:t xml:space="preserve"> </w:t>
            </w:r>
            <w:r>
              <w:rPr>
                <w:b/>
                <w:bCs/>
                <w:spacing w:val="-3"/>
              </w:rPr>
              <w:t>(</w:t>
            </w:r>
            <w:r>
              <w:rPr>
                <w:rFonts w:hint="eastAsia"/>
                <w:b/>
                <w:bCs/>
                <w:spacing w:val="-3"/>
                <w:lang w:val="en-US" w:eastAsia="zh-CN"/>
              </w:rPr>
              <w:t>9</w:t>
            </w:r>
            <w:r>
              <w:rPr>
                <w:b/>
                <w:bCs/>
                <w:spacing w:val="-3"/>
              </w:rPr>
              <w:t>分)</w:t>
            </w:r>
            <w:r>
              <w:rPr>
                <w:rFonts w:hint="eastAsia"/>
                <w:b/>
                <w:bCs/>
                <w:spacing w:val="-3"/>
                <w:lang w:eastAsia="zh-CN"/>
              </w:rPr>
              <w:t>：</w:t>
            </w:r>
            <w:r>
              <w:rPr>
                <w:rFonts w:hint="eastAsia"/>
                <w:b w:val="0"/>
                <w:bCs w:val="0"/>
                <w:spacing w:val="-3"/>
              </w:rPr>
              <w:t>包括但不限于</w:t>
            </w:r>
            <w:r>
              <w:rPr>
                <w:rFonts w:hint="eastAsia"/>
                <w:b w:val="0"/>
                <w:bCs w:val="0"/>
                <w:spacing w:val="-3"/>
                <w:lang w:val="en-US" w:eastAsia="zh-CN"/>
              </w:rPr>
              <w:t>:①</w:t>
            </w:r>
            <w:r>
              <w:rPr>
                <w:rFonts w:hint="eastAsia"/>
                <w:b w:val="0"/>
                <w:bCs w:val="0"/>
                <w:spacing w:val="-3"/>
              </w:rPr>
              <w:t>质量承诺、</w:t>
            </w:r>
            <w:r>
              <w:rPr>
                <w:rFonts w:hint="eastAsia"/>
                <w:b w:val="0"/>
                <w:bCs w:val="0"/>
                <w:spacing w:val="-3"/>
                <w:lang w:val="en-US" w:eastAsia="zh-CN"/>
              </w:rPr>
              <w:t>②</w:t>
            </w:r>
            <w:r>
              <w:rPr>
                <w:rFonts w:hint="eastAsia"/>
                <w:b w:val="0"/>
                <w:bCs w:val="0"/>
                <w:spacing w:val="-3"/>
              </w:rPr>
              <w:t>保证措施</w:t>
            </w:r>
            <w:r>
              <w:rPr>
                <w:rFonts w:hint="eastAsia"/>
                <w:b w:val="0"/>
                <w:bCs w:val="0"/>
                <w:spacing w:val="-3"/>
                <w:lang w:eastAsia="zh-CN"/>
              </w:rPr>
              <w:t>、</w:t>
            </w:r>
            <w:r>
              <w:rPr>
                <w:rFonts w:hint="eastAsia"/>
                <w:b w:val="0"/>
                <w:bCs w:val="0"/>
                <w:spacing w:val="-3"/>
                <w:lang w:val="en-US" w:eastAsia="zh-CN"/>
              </w:rPr>
              <w:t>③违约承诺</w:t>
            </w:r>
            <w:r>
              <w:rPr>
                <w:rFonts w:hint="eastAsia" w:ascii="宋体" w:hAnsi="宋体" w:eastAsia="宋体" w:cs="宋体"/>
                <w:b w:val="0"/>
                <w:bCs w:val="0"/>
                <w:spacing w:val="-3"/>
                <w:sz w:val="24"/>
                <w:szCs w:val="24"/>
                <w:lang w:val="en-US" w:eastAsia="zh-CN"/>
              </w:rPr>
              <w:t>；质</w:t>
            </w:r>
            <w:r>
              <w:rPr>
                <w:rFonts w:hint="eastAsia" w:ascii="宋体" w:hAnsi="宋体" w:eastAsia="宋体" w:cs="宋体"/>
                <w:spacing w:val="-3"/>
                <w:sz w:val="24"/>
                <w:szCs w:val="24"/>
                <w:lang w:val="en-US" w:eastAsia="zh-CN"/>
              </w:rPr>
              <w:t>量承诺满足竞争性磋商文件且有具体的违约责任承诺，质量保证措施达到竞争性磋商文件要求的施工技术规范、标准但针对性一般的。</w:t>
            </w:r>
          </w:p>
          <w:p w14:paraId="2845CFAB">
            <w:pPr>
              <w:pStyle w:val="25"/>
              <w:spacing w:before="199" w:line="360" w:lineRule="auto"/>
              <w:ind w:left="125"/>
              <w:rPr>
                <w:rFonts w:hint="eastAsia" w:ascii="宋体" w:hAnsi="宋体" w:eastAsia="宋体" w:cs="宋体"/>
                <w:spacing w:val="-3"/>
                <w:sz w:val="24"/>
                <w:szCs w:val="24"/>
                <w:lang w:val="en-US" w:eastAsia="zh-CN"/>
              </w:rPr>
            </w:pPr>
            <w:r>
              <w:rPr>
                <w:b/>
                <w:bCs/>
                <w:spacing w:val="-3"/>
              </w:rPr>
              <w:t>第</w:t>
            </w:r>
            <w:r>
              <w:rPr>
                <w:rFonts w:hint="eastAsia"/>
                <w:b/>
                <w:bCs/>
                <w:spacing w:val="-3"/>
                <w:lang w:val="en-US" w:eastAsia="zh-CN"/>
              </w:rPr>
              <w:t>三</w:t>
            </w:r>
            <w:r>
              <w:rPr>
                <w:b/>
                <w:bCs/>
                <w:spacing w:val="-3"/>
              </w:rPr>
              <w:t>档次</w:t>
            </w:r>
            <w:r>
              <w:rPr>
                <w:spacing w:val="54"/>
              </w:rPr>
              <w:t xml:space="preserve"> </w:t>
            </w:r>
            <w:r>
              <w:rPr>
                <w:b/>
                <w:bCs/>
                <w:spacing w:val="-3"/>
              </w:rPr>
              <w:t>(</w:t>
            </w:r>
            <w:r>
              <w:rPr>
                <w:rFonts w:hint="eastAsia"/>
                <w:b/>
                <w:bCs/>
                <w:spacing w:val="-3"/>
                <w:lang w:val="en-US" w:eastAsia="zh-CN"/>
              </w:rPr>
              <w:t>8</w:t>
            </w:r>
            <w:r>
              <w:rPr>
                <w:b/>
                <w:bCs/>
                <w:spacing w:val="-3"/>
              </w:rPr>
              <w:t>分)</w:t>
            </w:r>
            <w:r>
              <w:rPr>
                <w:rFonts w:hint="eastAsia"/>
                <w:b/>
                <w:bCs/>
                <w:spacing w:val="-3"/>
                <w:lang w:eastAsia="zh-CN"/>
              </w:rPr>
              <w:t>：</w:t>
            </w:r>
            <w:r>
              <w:rPr>
                <w:rFonts w:hint="eastAsia"/>
                <w:b w:val="0"/>
                <w:bCs w:val="0"/>
                <w:spacing w:val="-3"/>
              </w:rPr>
              <w:t>包括但不限于</w:t>
            </w:r>
            <w:r>
              <w:rPr>
                <w:rFonts w:hint="eastAsia"/>
                <w:b w:val="0"/>
                <w:bCs w:val="0"/>
                <w:spacing w:val="-3"/>
                <w:lang w:val="en-US" w:eastAsia="zh-CN"/>
              </w:rPr>
              <w:t>:①</w:t>
            </w:r>
            <w:r>
              <w:rPr>
                <w:rFonts w:hint="eastAsia"/>
                <w:b w:val="0"/>
                <w:bCs w:val="0"/>
                <w:spacing w:val="-3"/>
              </w:rPr>
              <w:t>质量承诺、</w:t>
            </w:r>
            <w:r>
              <w:rPr>
                <w:rFonts w:hint="eastAsia"/>
                <w:b w:val="0"/>
                <w:bCs w:val="0"/>
                <w:spacing w:val="-3"/>
                <w:lang w:val="en-US" w:eastAsia="zh-CN"/>
              </w:rPr>
              <w:t>②</w:t>
            </w:r>
            <w:r>
              <w:rPr>
                <w:rFonts w:hint="eastAsia"/>
                <w:b w:val="0"/>
                <w:bCs w:val="0"/>
                <w:spacing w:val="-3"/>
              </w:rPr>
              <w:t>保证措施</w:t>
            </w:r>
            <w:r>
              <w:rPr>
                <w:rFonts w:hint="eastAsia"/>
                <w:b w:val="0"/>
                <w:bCs w:val="0"/>
                <w:spacing w:val="-3"/>
                <w:lang w:eastAsia="zh-CN"/>
              </w:rPr>
              <w:t>、</w:t>
            </w:r>
            <w:r>
              <w:rPr>
                <w:rFonts w:hint="eastAsia"/>
                <w:b w:val="0"/>
                <w:bCs w:val="0"/>
                <w:spacing w:val="-3"/>
                <w:lang w:val="en-US" w:eastAsia="zh-CN"/>
              </w:rPr>
              <w:t>③违约承诺</w:t>
            </w:r>
            <w:r>
              <w:rPr>
                <w:rFonts w:hint="eastAsia" w:ascii="宋体" w:hAnsi="宋体" w:eastAsia="宋体" w:cs="宋体"/>
                <w:b w:val="0"/>
                <w:bCs w:val="0"/>
                <w:spacing w:val="-3"/>
                <w:sz w:val="24"/>
                <w:szCs w:val="24"/>
                <w:lang w:val="en-US" w:eastAsia="zh-CN"/>
              </w:rPr>
              <w:t>；质</w:t>
            </w:r>
            <w:r>
              <w:rPr>
                <w:rFonts w:hint="eastAsia" w:ascii="宋体" w:hAnsi="宋体" w:eastAsia="宋体" w:cs="宋体"/>
                <w:spacing w:val="-3"/>
                <w:sz w:val="24"/>
                <w:szCs w:val="24"/>
                <w:lang w:val="en-US" w:eastAsia="zh-CN"/>
              </w:rPr>
              <w:t>量承诺满足竞争性磋商文件且有具体的违约责任承诺，质量保证措施达到竞争性磋商文件要求的施工技术规范、标准但针对性简单的。</w:t>
            </w:r>
          </w:p>
          <w:p w14:paraId="568093C9">
            <w:pPr>
              <w:pStyle w:val="25"/>
              <w:spacing w:before="214" w:line="376" w:lineRule="auto"/>
              <w:ind w:right="107"/>
              <w:jc w:val="both"/>
              <w:rPr>
                <w:b/>
                <w:bCs/>
                <w:spacing w:val="-3"/>
              </w:rPr>
            </w:pPr>
            <w:r>
              <w:rPr>
                <w:b/>
                <w:bCs/>
                <w:spacing w:val="-5"/>
              </w:rPr>
              <w:t>第四档次</w:t>
            </w:r>
            <w:r>
              <w:rPr>
                <w:spacing w:val="59"/>
              </w:rPr>
              <w:t xml:space="preserve"> </w:t>
            </w:r>
            <w:r>
              <w:rPr>
                <w:b/>
                <w:bCs/>
                <w:spacing w:val="-5"/>
              </w:rPr>
              <w:t>(</w:t>
            </w:r>
            <w:r>
              <w:rPr>
                <w:rFonts w:hint="eastAsia"/>
                <w:b/>
                <w:bCs/>
                <w:spacing w:val="-5"/>
                <w:lang w:val="en-US" w:eastAsia="zh-CN"/>
              </w:rPr>
              <w:t>6</w:t>
            </w:r>
            <w:r>
              <w:rPr>
                <w:b/>
                <w:bCs/>
                <w:spacing w:val="-5"/>
              </w:rPr>
              <w:t>分)</w:t>
            </w:r>
            <w:r>
              <w:rPr>
                <w:rFonts w:hint="eastAsia"/>
                <w:b/>
                <w:bCs/>
                <w:spacing w:val="-5"/>
                <w:lang w:eastAsia="zh-CN"/>
              </w:rPr>
              <w:t>：</w:t>
            </w:r>
            <w:r>
              <w:rPr>
                <w:rFonts w:hint="eastAsia"/>
                <w:b w:val="0"/>
                <w:bCs w:val="0"/>
                <w:spacing w:val="-3"/>
              </w:rPr>
              <w:t>包括但不限于</w:t>
            </w:r>
            <w:r>
              <w:rPr>
                <w:rFonts w:hint="eastAsia"/>
                <w:b w:val="0"/>
                <w:bCs w:val="0"/>
                <w:spacing w:val="-3"/>
                <w:lang w:val="en-US" w:eastAsia="zh-CN"/>
              </w:rPr>
              <w:t>:①</w:t>
            </w:r>
            <w:r>
              <w:rPr>
                <w:rFonts w:hint="eastAsia"/>
                <w:b w:val="0"/>
                <w:bCs w:val="0"/>
                <w:spacing w:val="-3"/>
              </w:rPr>
              <w:t>质量承诺、</w:t>
            </w:r>
            <w:r>
              <w:rPr>
                <w:rFonts w:hint="eastAsia"/>
                <w:b w:val="0"/>
                <w:bCs w:val="0"/>
                <w:spacing w:val="-3"/>
                <w:lang w:val="en-US" w:eastAsia="zh-CN"/>
              </w:rPr>
              <w:t>②</w:t>
            </w:r>
            <w:r>
              <w:rPr>
                <w:rFonts w:hint="eastAsia"/>
                <w:b w:val="0"/>
                <w:bCs w:val="0"/>
                <w:spacing w:val="-3"/>
              </w:rPr>
              <w:t>保证措施</w:t>
            </w:r>
            <w:r>
              <w:rPr>
                <w:rFonts w:hint="eastAsia"/>
                <w:b w:val="0"/>
                <w:bCs w:val="0"/>
                <w:spacing w:val="-3"/>
                <w:lang w:eastAsia="zh-CN"/>
              </w:rPr>
              <w:t>、</w:t>
            </w:r>
            <w:r>
              <w:rPr>
                <w:rFonts w:hint="eastAsia"/>
                <w:b w:val="0"/>
                <w:bCs w:val="0"/>
                <w:spacing w:val="-3"/>
                <w:lang w:val="en-US" w:eastAsia="zh-CN"/>
              </w:rPr>
              <w:t>③违约承诺</w:t>
            </w:r>
            <w:r>
              <w:rPr>
                <w:rFonts w:hint="eastAsia" w:ascii="宋体" w:hAnsi="宋体" w:eastAsia="宋体" w:cs="宋体"/>
                <w:b w:val="0"/>
                <w:bCs w:val="0"/>
                <w:spacing w:val="-3"/>
                <w:sz w:val="24"/>
                <w:szCs w:val="24"/>
                <w:lang w:val="en-US" w:eastAsia="zh-CN"/>
              </w:rPr>
              <w:t>；质</w:t>
            </w:r>
            <w:r>
              <w:rPr>
                <w:rFonts w:hint="eastAsia" w:ascii="宋体" w:hAnsi="宋体" w:eastAsia="宋体" w:cs="宋体"/>
                <w:spacing w:val="-3"/>
                <w:sz w:val="24"/>
                <w:szCs w:val="24"/>
                <w:lang w:val="en-US" w:eastAsia="zh-CN"/>
              </w:rPr>
              <w:t>量承诺</w:t>
            </w:r>
            <w:r>
              <w:rPr>
                <w:rFonts w:hint="eastAsia"/>
                <w:spacing w:val="-1"/>
                <w:lang w:val="en-US" w:eastAsia="zh-CN"/>
              </w:rPr>
              <w:t>有一项内容缺少</w:t>
            </w:r>
            <w:r>
              <w:rPr>
                <w:spacing w:val="-5"/>
              </w:rPr>
              <w:t>。</w:t>
            </w:r>
          </w:p>
        </w:tc>
      </w:tr>
      <w:tr w14:paraId="12697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745F5B75">
            <w:pPr>
              <w:pStyle w:val="25"/>
              <w:spacing w:before="214" w:line="371" w:lineRule="auto"/>
              <w:ind w:left="431" w:right="151" w:hanging="260"/>
              <w:rPr>
                <w:spacing w:val="-7"/>
              </w:rPr>
            </w:pPr>
          </w:p>
        </w:tc>
        <w:tc>
          <w:tcPr>
            <w:tcW w:w="1325" w:type="dxa"/>
            <w:vMerge w:val="continue"/>
            <w:vAlign w:val="center"/>
          </w:tcPr>
          <w:p w14:paraId="6C4A13C6">
            <w:pPr>
              <w:pStyle w:val="25"/>
              <w:spacing w:before="214" w:line="371" w:lineRule="auto"/>
              <w:ind w:left="431" w:right="151" w:hanging="260"/>
              <w:rPr>
                <w:spacing w:val="-7"/>
              </w:rPr>
            </w:pPr>
          </w:p>
        </w:tc>
        <w:tc>
          <w:tcPr>
            <w:tcW w:w="1479" w:type="dxa"/>
            <w:vAlign w:val="center"/>
          </w:tcPr>
          <w:p w14:paraId="0698F009">
            <w:pPr>
              <w:pStyle w:val="25"/>
              <w:spacing w:before="78" w:line="371" w:lineRule="auto"/>
              <w:ind w:left="114" w:right="106" w:hanging="1"/>
              <w:rPr>
                <w:b/>
                <w:bCs/>
                <w:spacing w:val="-10"/>
              </w:rPr>
            </w:pPr>
            <w:r>
              <w:rPr>
                <w:b/>
                <w:bCs/>
                <w:spacing w:val="-5"/>
              </w:rPr>
              <w:t>安全文明施</w:t>
            </w:r>
            <w:r>
              <w:rPr>
                <w:spacing w:val="1"/>
              </w:rPr>
              <w:t xml:space="preserve">  </w:t>
            </w:r>
            <w:r>
              <w:rPr>
                <w:b/>
                <w:bCs/>
                <w:spacing w:val="-5"/>
              </w:rPr>
              <w:t>工保证措施</w:t>
            </w:r>
            <w:r>
              <w:rPr>
                <w:spacing w:val="1"/>
              </w:rPr>
              <w:t xml:space="preserve">  </w:t>
            </w:r>
            <w:r>
              <w:rPr>
                <w:b/>
                <w:bCs/>
                <w:spacing w:val="-13"/>
              </w:rPr>
              <w:t>（满分</w:t>
            </w:r>
            <w:r>
              <w:rPr>
                <w:spacing w:val="-39"/>
              </w:rPr>
              <w:t xml:space="preserve"> </w:t>
            </w:r>
            <w:r>
              <w:rPr>
                <w:b/>
                <w:bCs/>
                <w:spacing w:val="-13"/>
              </w:rPr>
              <w:t>5</w:t>
            </w:r>
            <w:r>
              <w:rPr>
                <w:spacing w:val="-48"/>
              </w:rPr>
              <w:t xml:space="preserve"> </w:t>
            </w:r>
            <w:r>
              <w:rPr>
                <w:b/>
                <w:bCs/>
                <w:spacing w:val="-13"/>
              </w:rPr>
              <w:t>分）</w:t>
            </w:r>
          </w:p>
        </w:tc>
        <w:tc>
          <w:tcPr>
            <w:tcW w:w="6076" w:type="dxa"/>
            <w:vAlign w:val="center"/>
          </w:tcPr>
          <w:p w14:paraId="476BE4D9">
            <w:pPr>
              <w:pStyle w:val="25"/>
              <w:spacing w:before="35" w:line="372" w:lineRule="auto"/>
              <w:ind w:left="117" w:right="182" w:hanging="4"/>
              <w:rPr>
                <w:rFonts w:hint="default" w:ascii="宋体" w:hAnsi="宋体" w:eastAsia="宋体" w:cs="宋体"/>
                <w:spacing w:val="-3"/>
                <w:lang w:val="en-US" w:eastAsia="zh-CN"/>
              </w:rPr>
            </w:pPr>
            <w:r>
              <w:rPr>
                <w:b/>
                <w:bCs/>
                <w:spacing w:val="-5"/>
              </w:rPr>
              <w:t>第一档次</w:t>
            </w:r>
            <w:r>
              <w:rPr>
                <w:spacing w:val="66"/>
              </w:rPr>
              <w:t xml:space="preserve"> </w:t>
            </w:r>
            <w:r>
              <w:rPr>
                <w:b/>
                <w:bCs/>
                <w:spacing w:val="-5"/>
              </w:rPr>
              <w:t>(5</w:t>
            </w:r>
            <w:r>
              <w:rPr>
                <w:spacing w:val="-46"/>
              </w:rPr>
              <w:t xml:space="preserve"> </w:t>
            </w:r>
            <w:r>
              <w:rPr>
                <w:b/>
                <w:bCs/>
                <w:spacing w:val="-5"/>
              </w:rPr>
              <w:t>分)</w:t>
            </w:r>
            <w:r>
              <w:rPr>
                <w:rFonts w:hint="eastAsia"/>
                <w:b/>
                <w:bCs/>
                <w:spacing w:val="-5"/>
                <w:lang w:eastAsia="zh-CN"/>
              </w:rPr>
              <w:t>：</w:t>
            </w:r>
            <w:r>
              <w:rPr>
                <w:rFonts w:hint="eastAsia" w:ascii="宋体" w:hAnsi="宋体" w:eastAsia="宋体" w:cs="宋体"/>
                <w:spacing w:val="-3"/>
                <w:lang w:val="en-US" w:eastAsia="zh-CN"/>
              </w:rPr>
              <w:t>对①</w:t>
            </w:r>
            <w:r>
              <w:rPr>
                <w:rFonts w:hint="eastAsia" w:ascii="宋体" w:hAnsi="宋体" w:eastAsia="宋体" w:cs="宋体"/>
                <w:spacing w:val="-3"/>
              </w:rPr>
              <w:t>防火、防滑</w:t>
            </w:r>
            <w:r>
              <w:rPr>
                <w:rFonts w:hint="eastAsia" w:ascii="宋体" w:hAnsi="宋体" w:eastAsia="宋体" w:cs="宋体"/>
                <w:spacing w:val="-3"/>
                <w:lang w:val="en-US" w:eastAsia="zh-CN"/>
              </w:rPr>
              <w:t>措施；②</w:t>
            </w:r>
            <w:r>
              <w:rPr>
                <w:rFonts w:hint="eastAsia" w:ascii="宋体" w:hAnsi="宋体" w:eastAsia="宋体" w:cs="宋体"/>
                <w:spacing w:val="-3"/>
              </w:rPr>
              <w:t>安全用电</w:t>
            </w:r>
            <w:r>
              <w:rPr>
                <w:rFonts w:hint="eastAsia" w:ascii="宋体" w:hAnsi="宋体" w:eastAsia="宋体" w:cs="宋体"/>
                <w:spacing w:val="-3"/>
                <w:lang w:val="en-US" w:eastAsia="zh-CN"/>
              </w:rPr>
              <w:t>措施；③</w:t>
            </w:r>
            <w:r>
              <w:rPr>
                <w:rFonts w:hint="eastAsia" w:ascii="宋体" w:hAnsi="宋体" w:eastAsia="宋体" w:cs="宋体"/>
                <w:spacing w:val="-3"/>
              </w:rPr>
              <w:t>材料堆放、垃圾清运</w:t>
            </w:r>
            <w:r>
              <w:rPr>
                <w:rFonts w:hint="eastAsia" w:ascii="宋体" w:hAnsi="宋体" w:eastAsia="宋体" w:cs="宋体"/>
                <w:spacing w:val="-3"/>
                <w:lang w:eastAsia="zh-CN"/>
              </w:rPr>
              <w:t>、</w:t>
            </w:r>
            <w:r>
              <w:rPr>
                <w:rFonts w:hint="eastAsia" w:ascii="宋体" w:hAnsi="宋体" w:eastAsia="宋体" w:cs="宋体"/>
                <w:spacing w:val="-3"/>
                <w:lang w:val="en-US" w:eastAsia="zh-CN"/>
              </w:rPr>
              <w:t>场容场貌措施</w:t>
            </w:r>
            <w:r>
              <w:rPr>
                <w:rFonts w:hint="eastAsia" w:ascii="宋体" w:hAnsi="宋体" w:eastAsia="宋体" w:cs="宋体"/>
                <w:spacing w:val="-3"/>
                <w:lang w:eastAsia="zh-CN"/>
              </w:rPr>
              <w:t>；</w:t>
            </w:r>
            <w:r>
              <w:rPr>
                <w:rFonts w:hint="eastAsia" w:ascii="宋体" w:hAnsi="宋体" w:eastAsia="宋体" w:cs="宋体"/>
                <w:spacing w:val="-3"/>
                <w:lang w:val="en-US" w:eastAsia="zh-CN"/>
              </w:rPr>
              <w:t>④现场围挡、安全警示措施。每有一项内容进行了详细阐述且贴合项目需求，对防火、防滑、安全用电、材料堆放、垃圾清运、场容场貌，现场围挡、安全警示等有具体描述、可行性强，针对性好。</w:t>
            </w:r>
          </w:p>
          <w:p w14:paraId="3C271BFF">
            <w:pPr>
              <w:pStyle w:val="25"/>
              <w:spacing w:before="35" w:line="372" w:lineRule="auto"/>
              <w:ind w:left="117" w:right="182" w:hanging="4"/>
              <w:rPr>
                <w:rFonts w:hint="eastAsia" w:ascii="宋体" w:hAnsi="宋体" w:eastAsia="宋体" w:cs="宋体"/>
                <w:spacing w:val="-3"/>
                <w:lang w:val="en-US" w:eastAsia="zh-CN"/>
              </w:rPr>
            </w:pPr>
            <w:r>
              <w:rPr>
                <w:b/>
                <w:bCs/>
                <w:spacing w:val="-3"/>
              </w:rPr>
              <w:t>第二档次</w:t>
            </w:r>
            <w:r>
              <w:rPr>
                <w:spacing w:val="54"/>
              </w:rPr>
              <w:t xml:space="preserve"> </w:t>
            </w:r>
            <w:r>
              <w:rPr>
                <w:b/>
                <w:bCs/>
                <w:spacing w:val="-3"/>
              </w:rPr>
              <w:t>(</w:t>
            </w:r>
            <w:r>
              <w:rPr>
                <w:rFonts w:hint="eastAsia"/>
                <w:b/>
                <w:bCs/>
                <w:spacing w:val="-3"/>
                <w:lang w:val="en-US" w:eastAsia="zh-CN"/>
              </w:rPr>
              <w:t>4</w:t>
            </w:r>
            <w:r>
              <w:rPr>
                <w:spacing w:val="-45"/>
              </w:rPr>
              <w:t xml:space="preserve"> </w:t>
            </w:r>
            <w:r>
              <w:rPr>
                <w:b/>
                <w:bCs/>
                <w:spacing w:val="-3"/>
              </w:rPr>
              <w:t>分)</w:t>
            </w:r>
            <w:r>
              <w:rPr>
                <w:rFonts w:hint="eastAsia"/>
                <w:b/>
                <w:bCs/>
                <w:spacing w:val="-3"/>
                <w:lang w:eastAsia="zh-CN"/>
              </w:rPr>
              <w:t>：</w:t>
            </w:r>
            <w:r>
              <w:rPr>
                <w:rFonts w:hint="eastAsia" w:ascii="宋体" w:hAnsi="宋体" w:eastAsia="宋体" w:cs="宋体"/>
                <w:spacing w:val="-3"/>
                <w:lang w:val="en-US" w:eastAsia="zh-CN"/>
              </w:rPr>
              <w:t>对①</w:t>
            </w:r>
            <w:r>
              <w:rPr>
                <w:rFonts w:hint="eastAsia" w:ascii="宋体" w:hAnsi="宋体" w:eastAsia="宋体" w:cs="宋体"/>
                <w:spacing w:val="-3"/>
              </w:rPr>
              <w:t>防火、防滑</w:t>
            </w:r>
            <w:r>
              <w:rPr>
                <w:rFonts w:hint="eastAsia" w:ascii="宋体" w:hAnsi="宋体" w:eastAsia="宋体" w:cs="宋体"/>
                <w:spacing w:val="-3"/>
                <w:lang w:val="en-US" w:eastAsia="zh-CN"/>
              </w:rPr>
              <w:t>措施；②</w:t>
            </w:r>
            <w:r>
              <w:rPr>
                <w:rFonts w:hint="eastAsia" w:ascii="宋体" w:hAnsi="宋体" w:eastAsia="宋体" w:cs="宋体"/>
                <w:spacing w:val="-3"/>
              </w:rPr>
              <w:t>安全用电</w:t>
            </w:r>
            <w:r>
              <w:rPr>
                <w:rFonts w:hint="eastAsia" w:ascii="宋体" w:hAnsi="宋体" w:eastAsia="宋体" w:cs="宋体"/>
                <w:spacing w:val="-3"/>
                <w:lang w:val="en-US" w:eastAsia="zh-CN"/>
              </w:rPr>
              <w:t>措施；③</w:t>
            </w:r>
            <w:r>
              <w:rPr>
                <w:rFonts w:hint="eastAsia" w:ascii="宋体" w:hAnsi="宋体" w:eastAsia="宋体" w:cs="宋体"/>
                <w:spacing w:val="-3"/>
              </w:rPr>
              <w:t>材料堆放、垃圾清运</w:t>
            </w:r>
            <w:r>
              <w:rPr>
                <w:rFonts w:hint="eastAsia" w:ascii="宋体" w:hAnsi="宋体" w:eastAsia="宋体" w:cs="宋体"/>
                <w:spacing w:val="-3"/>
                <w:lang w:eastAsia="zh-CN"/>
              </w:rPr>
              <w:t>、</w:t>
            </w:r>
            <w:r>
              <w:rPr>
                <w:rFonts w:hint="eastAsia" w:ascii="宋体" w:hAnsi="宋体" w:eastAsia="宋体" w:cs="宋体"/>
                <w:spacing w:val="-3"/>
                <w:lang w:val="en-US" w:eastAsia="zh-CN"/>
              </w:rPr>
              <w:t>场容场貌措施</w:t>
            </w:r>
            <w:r>
              <w:rPr>
                <w:rFonts w:hint="eastAsia" w:ascii="宋体" w:hAnsi="宋体" w:eastAsia="宋体" w:cs="宋体"/>
                <w:spacing w:val="-3"/>
                <w:lang w:eastAsia="zh-CN"/>
              </w:rPr>
              <w:t>；</w:t>
            </w:r>
            <w:r>
              <w:rPr>
                <w:rFonts w:hint="eastAsia" w:ascii="宋体" w:hAnsi="宋体" w:eastAsia="宋体" w:cs="宋体"/>
                <w:spacing w:val="-3"/>
                <w:lang w:val="en-US" w:eastAsia="zh-CN"/>
              </w:rPr>
              <w:t>④现场围挡、安全警示措施。每有一项内容虽然进行了阐述但一般，对防火、防滑、安全用电、材料堆放、垃圾清运、场容场貌，现场围挡、安全警示措施一般，针对性一般的。</w:t>
            </w:r>
          </w:p>
          <w:p w14:paraId="7BE3CA0D">
            <w:pPr>
              <w:pStyle w:val="25"/>
              <w:spacing w:before="35" w:line="372" w:lineRule="auto"/>
              <w:ind w:left="117" w:right="182" w:hanging="4"/>
              <w:rPr>
                <w:rFonts w:hint="eastAsia" w:ascii="宋体" w:hAnsi="宋体" w:eastAsia="宋体" w:cs="宋体"/>
                <w:spacing w:val="-3"/>
                <w:lang w:val="en-US" w:eastAsia="zh-CN"/>
              </w:rPr>
            </w:pPr>
            <w:r>
              <w:rPr>
                <w:b/>
                <w:bCs/>
                <w:spacing w:val="-3"/>
              </w:rPr>
              <w:t>第</w:t>
            </w:r>
            <w:r>
              <w:rPr>
                <w:rFonts w:hint="eastAsia"/>
                <w:b/>
                <w:bCs/>
                <w:spacing w:val="-3"/>
                <w:lang w:val="en-US" w:eastAsia="zh-CN"/>
              </w:rPr>
              <w:t>三</w:t>
            </w:r>
            <w:r>
              <w:rPr>
                <w:b/>
                <w:bCs/>
                <w:spacing w:val="-3"/>
              </w:rPr>
              <w:t>档次</w:t>
            </w:r>
            <w:r>
              <w:rPr>
                <w:spacing w:val="54"/>
              </w:rPr>
              <w:t xml:space="preserve"> </w:t>
            </w:r>
            <w:r>
              <w:rPr>
                <w:b/>
                <w:bCs/>
                <w:spacing w:val="-3"/>
              </w:rPr>
              <w:t>(</w:t>
            </w:r>
            <w:r>
              <w:rPr>
                <w:rFonts w:hint="eastAsia"/>
                <w:b/>
                <w:bCs/>
                <w:spacing w:val="-3"/>
                <w:lang w:val="en-US" w:eastAsia="zh-CN"/>
              </w:rPr>
              <w:t>3</w:t>
            </w:r>
            <w:r>
              <w:rPr>
                <w:b/>
                <w:bCs/>
                <w:spacing w:val="-3"/>
              </w:rPr>
              <w:t>分)</w:t>
            </w:r>
            <w:r>
              <w:rPr>
                <w:rFonts w:hint="eastAsia"/>
                <w:b/>
                <w:bCs/>
                <w:spacing w:val="-3"/>
                <w:lang w:eastAsia="zh-CN"/>
              </w:rPr>
              <w:t>：</w:t>
            </w:r>
            <w:r>
              <w:rPr>
                <w:rFonts w:hint="eastAsia" w:ascii="宋体" w:hAnsi="宋体" w:eastAsia="宋体" w:cs="宋体"/>
                <w:spacing w:val="-3"/>
                <w:lang w:val="en-US" w:eastAsia="zh-CN"/>
              </w:rPr>
              <w:t>对①</w:t>
            </w:r>
            <w:r>
              <w:rPr>
                <w:rFonts w:hint="eastAsia" w:ascii="宋体" w:hAnsi="宋体" w:eastAsia="宋体" w:cs="宋体"/>
                <w:spacing w:val="-3"/>
              </w:rPr>
              <w:t>防火、防滑</w:t>
            </w:r>
            <w:r>
              <w:rPr>
                <w:rFonts w:hint="eastAsia" w:ascii="宋体" w:hAnsi="宋体" w:eastAsia="宋体" w:cs="宋体"/>
                <w:spacing w:val="-3"/>
                <w:lang w:val="en-US" w:eastAsia="zh-CN"/>
              </w:rPr>
              <w:t>措施；②</w:t>
            </w:r>
            <w:r>
              <w:rPr>
                <w:rFonts w:hint="eastAsia" w:ascii="宋体" w:hAnsi="宋体" w:eastAsia="宋体" w:cs="宋体"/>
                <w:spacing w:val="-3"/>
              </w:rPr>
              <w:t>安全用电</w:t>
            </w:r>
            <w:r>
              <w:rPr>
                <w:rFonts w:hint="eastAsia" w:ascii="宋体" w:hAnsi="宋体" w:eastAsia="宋体" w:cs="宋体"/>
                <w:spacing w:val="-3"/>
                <w:lang w:val="en-US" w:eastAsia="zh-CN"/>
              </w:rPr>
              <w:t>措施；③</w:t>
            </w:r>
            <w:r>
              <w:rPr>
                <w:rFonts w:hint="eastAsia" w:ascii="宋体" w:hAnsi="宋体" w:eastAsia="宋体" w:cs="宋体"/>
                <w:spacing w:val="-3"/>
              </w:rPr>
              <w:t>材料堆放、垃圾清运</w:t>
            </w:r>
            <w:r>
              <w:rPr>
                <w:rFonts w:hint="eastAsia" w:ascii="宋体" w:hAnsi="宋体" w:eastAsia="宋体" w:cs="宋体"/>
                <w:spacing w:val="-3"/>
                <w:lang w:eastAsia="zh-CN"/>
              </w:rPr>
              <w:t>、</w:t>
            </w:r>
            <w:r>
              <w:rPr>
                <w:rFonts w:hint="eastAsia" w:ascii="宋体" w:hAnsi="宋体" w:eastAsia="宋体" w:cs="宋体"/>
                <w:spacing w:val="-3"/>
                <w:lang w:val="en-US" w:eastAsia="zh-CN"/>
              </w:rPr>
              <w:t>场容场貌措施</w:t>
            </w:r>
            <w:r>
              <w:rPr>
                <w:rFonts w:hint="eastAsia" w:ascii="宋体" w:hAnsi="宋体" w:eastAsia="宋体" w:cs="宋体"/>
                <w:spacing w:val="-3"/>
                <w:lang w:eastAsia="zh-CN"/>
              </w:rPr>
              <w:t>；</w:t>
            </w:r>
            <w:r>
              <w:rPr>
                <w:rFonts w:hint="eastAsia" w:ascii="宋体" w:hAnsi="宋体" w:eastAsia="宋体" w:cs="宋体"/>
                <w:spacing w:val="-3"/>
                <w:lang w:val="en-US" w:eastAsia="zh-CN"/>
              </w:rPr>
              <w:t>④现场围挡、安全警示措施。每有一项内容有缺少，对防火、防滑、安全用电、材料堆放、垃圾清运、场容场貌，现场围挡、安全警示措施简单。</w:t>
            </w:r>
          </w:p>
          <w:p w14:paraId="7D4720AB">
            <w:pPr>
              <w:pStyle w:val="25"/>
              <w:spacing w:before="39" w:line="332" w:lineRule="auto"/>
              <w:ind w:left="113" w:right="107"/>
              <w:jc w:val="both"/>
              <w:rPr>
                <w:spacing w:val="-1"/>
              </w:rPr>
            </w:pPr>
            <w:r>
              <w:rPr>
                <w:b/>
                <w:bCs/>
                <w:spacing w:val="-5"/>
              </w:rPr>
              <w:t>第</w:t>
            </w:r>
            <w:r>
              <w:rPr>
                <w:rFonts w:hint="eastAsia"/>
                <w:b/>
                <w:bCs/>
                <w:spacing w:val="-5"/>
                <w:lang w:val="en-US" w:eastAsia="zh-CN"/>
              </w:rPr>
              <w:t>四</w:t>
            </w:r>
            <w:r>
              <w:rPr>
                <w:b/>
                <w:bCs/>
                <w:spacing w:val="-5"/>
              </w:rPr>
              <w:t>档次</w:t>
            </w:r>
            <w:r>
              <w:rPr>
                <w:spacing w:val="56"/>
              </w:rPr>
              <w:t xml:space="preserve"> </w:t>
            </w:r>
            <w:r>
              <w:rPr>
                <w:b/>
                <w:bCs/>
                <w:spacing w:val="-5"/>
              </w:rPr>
              <w:t>(0</w:t>
            </w:r>
            <w:r>
              <w:rPr>
                <w:spacing w:val="-45"/>
              </w:rPr>
              <w:t xml:space="preserve"> </w:t>
            </w:r>
            <w:r>
              <w:rPr>
                <w:b/>
                <w:bCs/>
                <w:spacing w:val="-5"/>
              </w:rPr>
              <w:t>分)</w:t>
            </w:r>
            <w:r>
              <w:rPr>
                <w:rFonts w:hint="eastAsia"/>
                <w:b/>
                <w:bCs/>
                <w:spacing w:val="-5"/>
                <w:lang w:eastAsia="zh-CN"/>
              </w:rPr>
              <w:t>：</w:t>
            </w:r>
            <w:r>
              <w:rPr>
                <w:spacing w:val="-5"/>
              </w:rPr>
              <w:t>响应文件中没有安全文明施工保证措施的。</w:t>
            </w:r>
          </w:p>
        </w:tc>
      </w:tr>
      <w:tr w14:paraId="4AE9C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3BB94732">
            <w:pPr>
              <w:pStyle w:val="25"/>
              <w:spacing w:before="214" w:line="371" w:lineRule="auto"/>
              <w:ind w:left="431" w:right="151" w:hanging="260"/>
              <w:rPr>
                <w:spacing w:val="-7"/>
              </w:rPr>
            </w:pPr>
          </w:p>
        </w:tc>
        <w:tc>
          <w:tcPr>
            <w:tcW w:w="1325" w:type="dxa"/>
            <w:vMerge w:val="continue"/>
            <w:vAlign w:val="center"/>
          </w:tcPr>
          <w:p w14:paraId="03AE3943">
            <w:pPr>
              <w:pStyle w:val="25"/>
              <w:spacing w:before="214" w:line="371" w:lineRule="auto"/>
              <w:ind w:left="431" w:right="151" w:hanging="260"/>
              <w:rPr>
                <w:spacing w:val="-7"/>
              </w:rPr>
            </w:pPr>
          </w:p>
        </w:tc>
        <w:tc>
          <w:tcPr>
            <w:tcW w:w="1479" w:type="dxa"/>
            <w:vAlign w:val="center"/>
          </w:tcPr>
          <w:p w14:paraId="3AEBE4F0">
            <w:pPr>
              <w:pStyle w:val="25"/>
              <w:spacing w:before="78" w:line="371" w:lineRule="auto"/>
              <w:ind w:left="114" w:right="106" w:hanging="1"/>
              <w:rPr>
                <w:b/>
                <w:bCs/>
                <w:spacing w:val="-5"/>
              </w:rPr>
            </w:pPr>
            <w:r>
              <w:rPr>
                <w:b/>
                <w:bCs/>
                <w:spacing w:val="-4"/>
              </w:rPr>
              <w:t>环境保护管</w:t>
            </w:r>
            <w:r>
              <w:rPr>
                <w:spacing w:val="1"/>
              </w:rPr>
              <w:t xml:space="preserve"> </w:t>
            </w:r>
            <w:r>
              <w:rPr>
                <w:b/>
                <w:bCs/>
                <w:spacing w:val="-5"/>
              </w:rPr>
              <w:t>理体系与措</w:t>
            </w:r>
            <w:r>
              <w:rPr>
                <w:b/>
                <w:bCs/>
                <w:spacing w:val="-27"/>
              </w:rPr>
              <w:t>施（满分</w:t>
            </w:r>
            <w:r>
              <w:rPr>
                <w:spacing w:val="-49"/>
              </w:rPr>
              <w:t xml:space="preserve"> </w:t>
            </w:r>
            <w:r>
              <w:rPr>
                <w:b/>
                <w:bCs/>
                <w:spacing w:val="-27"/>
              </w:rPr>
              <w:t>5</w:t>
            </w:r>
            <w:r>
              <w:rPr>
                <w:spacing w:val="-50"/>
              </w:rPr>
              <w:t xml:space="preserve"> </w:t>
            </w:r>
            <w:r>
              <w:rPr>
                <w:b/>
                <w:bCs/>
                <w:spacing w:val="-27"/>
              </w:rPr>
              <w:t>分）</w:t>
            </w:r>
          </w:p>
        </w:tc>
        <w:tc>
          <w:tcPr>
            <w:tcW w:w="6076" w:type="dxa"/>
            <w:vAlign w:val="center"/>
          </w:tcPr>
          <w:p w14:paraId="61A3E804">
            <w:pPr>
              <w:pStyle w:val="25"/>
              <w:spacing w:before="200" w:line="360" w:lineRule="auto"/>
              <w:ind w:left="113"/>
            </w:pPr>
            <w:r>
              <w:rPr>
                <w:b/>
                <w:bCs/>
                <w:spacing w:val="-3"/>
              </w:rPr>
              <w:t>第一档次</w:t>
            </w:r>
            <w:r>
              <w:rPr>
                <w:spacing w:val="54"/>
              </w:rPr>
              <w:t xml:space="preserve"> </w:t>
            </w:r>
            <w:r>
              <w:rPr>
                <w:b/>
                <w:bCs/>
                <w:spacing w:val="-3"/>
              </w:rPr>
              <w:t>(5</w:t>
            </w:r>
            <w:r>
              <w:rPr>
                <w:spacing w:val="-45"/>
              </w:rPr>
              <w:t xml:space="preserve"> </w:t>
            </w:r>
            <w:r>
              <w:rPr>
                <w:b/>
                <w:bCs/>
                <w:spacing w:val="-3"/>
              </w:rPr>
              <w:t>分)</w:t>
            </w:r>
            <w:r>
              <w:rPr>
                <w:rFonts w:hint="eastAsia"/>
                <w:b/>
                <w:bCs/>
                <w:spacing w:val="-3"/>
                <w:lang w:eastAsia="zh-CN"/>
              </w:rPr>
              <w:t>：</w:t>
            </w:r>
            <w:r>
              <w:rPr>
                <w:rFonts w:ascii="宋体" w:hAnsi="宋体" w:eastAsia="宋体" w:cs="宋体"/>
                <w:spacing w:val="-3"/>
              </w:rPr>
              <w:t>响应文件中环境管理目标符合或优于采购文件要求；管理机构健全，职责分工明确；管理制度齐全；实施与监控措施全面、有效。</w:t>
            </w:r>
          </w:p>
          <w:p w14:paraId="504F4470">
            <w:pPr>
              <w:pStyle w:val="25"/>
              <w:spacing w:before="213" w:line="376" w:lineRule="auto"/>
              <w:ind w:left="113" w:right="107"/>
              <w:jc w:val="both"/>
              <w:rPr>
                <w:spacing w:val="-2"/>
              </w:rPr>
            </w:pPr>
            <w:r>
              <w:rPr>
                <w:b/>
                <w:bCs/>
                <w:spacing w:val="-3"/>
              </w:rPr>
              <w:t>第二档次</w:t>
            </w:r>
            <w:r>
              <w:rPr>
                <w:spacing w:val="54"/>
              </w:rPr>
              <w:t xml:space="preserve"> </w:t>
            </w:r>
            <w:r>
              <w:rPr>
                <w:b/>
                <w:bCs/>
                <w:spacing w:val="-3"/>
              </w:rPr>
              <w:t>(</w:t>
            </w:r>
            <w:r>
              <w:rPr>
                <w:rFonts w:hint="eastAsia"/>
                <w:b/>
                <w:bCs/>
                <w:spacing w:val="-3"/>
                <w:lang w:val="en-US" w:eastAsia="zh-CN"/>
              </w:rPr>
              <w:t>4</w:t>
            </w:r>
            <w:r>
              <w:rPr>
                <w:b/>
                <w:bCs/>
                <w:spacing w:val="-3"/>
              </w:rPr>
              <w:t>分)</w:t>
            </w:r>
            <w:r>
              <w:rPr>
                <w:rFonts w:hint="eastAsia"/>
                <w:b/>
                <w:bCs/>
                <w:spacing w:val="-3"/>
                <w:lang w:eastAsia="zh-CN"/>
              </w:rPr>
              <w:t>：</w:t>
            </w:r>
            <w:r>
              <w:rPr>
                <w:spacing w:val="-3"/>
              </w:rPr>
              <w:t>响应文件中环境管理目标符合采</w:t>
            </w:r>
            <w:r>
              <w:rPr>
                <w:spacing w:val="-4"/>
              </w:rPr>
              <w:t>购文件要求；管理机构</w:t>
            </w:r>
            <w:r>
              <w:rPr>
                <w:rFonts w:hint="eastAsia"/>
                <w:spacing w:val="-4"/>
                <w:lang w:val="en-US" w:eastAsia="zh-CN"/>
              </w:rPr>
              <w:t>一般</w:t>
            </w:r>
            <w:r>
              <w:rPr>
                <w:spacing w:val="-4"/>
              </w:rPr>
              <w:t>，职责分工</w:t>
            </w:r>
            <w:r>
              <w:rPr>
                <w:rFonts w:hint="eastAsia"/>
                <w:spacing w:val="-4"/>
                <w:lang w:val="en-US" w:eastAsia="zh-CN"/>
              </w:rPr>
              <w:t>一般</w:t>
            </w:r>
            <w:r>
              <w:rPr>
                <w:spacing w:val="-4"/>
              </w:rPr>
              <w:t>；管理制度</w:t>
            </w:r>
            <w:r>
              <w:rPr>
                <w:rFonts w:hint="eastAsia"/>
                <w:spacing w:val="-4"/>
                <w:lang w:val="en-US" w:eastAsia="zh-CN"/>
              </w:rPr>
              <w:t>一般</w:t>
            </w:r>
            <w:r>
              <w:rPr>
                <w:spacing w:val="-4"/>
              </w:rPr>
              <w:t>；实施</w:t>
            </w:r>
            <w:r>
              <w:rPr>
                <w:spacing w:val="-2"/>
              </w:rPr>
              <w:t>与监控措施</w:t>
            </w:r>
            <w:r>
              <w:rPr>
                <w:rFonts w:hint="eastAsia"/>
                <w:spacing w:val="-2"/>
                <w:lang w:val="en-US" w:eastAsia="zh-CN"/>
              </w:rPr>
              <w:t>一般</w:t>
            </w:r>
            <w:r>
              <w:rPr>
                <w:spacing w:val="-2"/>
              </w:rPr>
              <w:t>。</w:t>
            </w:r>
          </w:p>
          <w:p w14:paraId="6F3E09AF">
            <w:pPr>
              <w:pStyle w:val="25"/>
              <w:spacing w:before="213" w:line="376" w:lineRule="auto"/>
              <w:ind w:left="113" w:right="107"/>
              <w:jc w:val="both"/>
              <w:rPr>
                <w:spacing w:val="-2"/>
              </w:rPr>
            </w:pPr>
            <w:r>
              <w:rPr>
                <w:b/>
                <w:bCs/>
                <w:spacing w:val="-5"/>
              </w:rPr>
              <w:t>第三档次</w:t>
            </w:r>
            <w:r>
              <w:rPr>
                <w:spacing w:val="56"/>
              </w:rPr>
              <w:t xml:space="preserve"> </w:t>
            </w:r>
            <w:r>
              <w:rPr>
                <w:b/>
                <w:bCs/>
                <w:spacing w:val="-5"/>
              </w:rPr>
              <w:t>(</w:t>
            </w:r>
            <w:r>
              <w:rPr>
                <w:rFonts w:hint="eastAsia"/>
                <w:b/>
                <w:bCs/>
                <w:spacing w:val="-5"/>
                <w:lang w:val="en-US" w:eastAsia="zh-CN"/>
              </w:rPr>
              <w:t>3</w:t>
            </w:r>
            <w:r>
              <w:rPr>
                <w:b/>
                <w:bCs/>
                <w:spacing w:val="-5"/>
              </w:rPr>
              <w:t>分)</w:t>
            </w:r>
            <w:r>
              <w:rPr>
                <w:rFonts w:hint="eastAsia"/>
                <w:spacing w:val="48"/>
                <w:lang w:eastAsia="zh-CN"/>
              </w:rPr>
              <w:t>：</w:t>
            </w:r>
            <w:r>
              <w:rPr>
                <w:spacing w:val="-3"/>
              </w:rPr>
              <w:t>响应文件中环境管理目标符合采</w:t>
            </w:r>
            <w:r>
              <w:rPr>
                <w:spacing w:val="-4"/>
              </w:rPr>
              <w:t>购文件要求；管理机构较</w:t>
            </w:r>
            <w:r>
              <w:rPr>
                <w:rFonts w:hint="eastAsia"/>
                <w:spacing w:val="-4"/>
                <w:lang w:val="en-US" w:eastAsia="zh-CN"/>
              </w:rPr>
              <w:t>简单</w:t>
            </w:r>
            <w:r>
              <w:rPr>
                <w:spacing w:val="-4"/>
              </w:rPr>
              <w:t>，职责分工较</w:t>
            </w:r>
            <w:r>
              <w:rPr>
                <w:rFonts w:hint="eastAsia"/>
                <w:spacing w:val="-4"/>
                <w:lang w:val="en-US" w:eastAsia="zh-CN"/>
              </w:rPr>
              <w:t>简单</w:t>
            </w:r>
            <w:r>
              <w:rPr>
                <w:spacing w:val="-4"/>
              </w:rPr>
              <w:t>；管理制度较</w:t>
            </w:r>
            <w:r>
              <w:rPr>
                <w:rFonts w:hint="eastAsia"/>
                <w:spacing w:val="-4"/>
                <w:lang w:val="en-US" w:eastAsia="zh-CN"/>
              </w:rPr>
              <w:t>简单</w:t>
            </w:r>
            <w:r>
              <w:rPr>
                <w:spacing w:val="-4"/>
              </w:rPr>
              <w:t>；实施</w:t>
            </w:r>
            <w:r>
              <w:rPr>
                <w:spacing w:val="-2"/>
              </w:rPr>
              <w:t>与监控措施较</w:t>
            </w:r>
            <w:r>
              <w:rPr>
                <w:rFonts w:hint="eastAsia"/>
                <w:spacing w:val="-2"/>
                <w:lang w:val="en-US" w:eastAsia="zh-CN"/>
              </w:rPr>
              <w:t>简单</w:t>
            </w:r>
            <w:r>
              <w:rPr>
                <w:spacing w:val="-2"/>
              </w:rPr>
              <w:t>。</w:t>
            </w:r>
          </w:p>
          <w:p w14:paraId="7A086C92">
            <w:pPr>
              <w:pStyle w:val="25"/>
              <w:spacing w:before="39" w:line="332" w:lineRule="auto"/>
              <w:ind w:left="113" w:right="107"/>
              <w:jc w:val="both"/>
              <w:rPr>
                <w:spacing w:val="-5"/>
              </w:rPr>
            </w:pPr>
            <w:r>
              <w:rPr>
                <w:b/>
                <w:bCs/>
                <w:spacing w:val="-5"/>
              </w:rPr>
              <w:t>第</w:t>
            </w:r>
            <w:r>
              <w:rPr>
                <w:rFonts w:hint="eastAsia"/>
                <w:b/>
                <w:bCs/>
                <w:spacing w:val="-5"/>
                <w:lang w:val="en-US" w:eastAsia="zh-CN"/>
              </w:rPr>
              <w:t>四</w:t>
            </w:r>
            <w:r>
              <w:rPr>
                <w:b/>
                <w:bCs/>
                <w:spacing w:val="-5"/>
              </w:rPr>
              <w:t>档次</w:t>
            </w:r>
            <w:r>
              <w:rPr>
                <w:spacing w:val="56"/>
              </w:rPr>
              <w:t xml:space="preserve"> </w:t>
            </w:r>
            <w:r>
              <w:rPr>
                <w:b/>
                <w:bCs/>
                <w:spacing w:val="-5"/>
              </w:rPr>
              <w:t>(0</w:t>
            </w:r>
            <w:r>
              <w:rPr>
                <w:spacing w:val="-45"/>
              </w:rPr>
              <w:t xml:space="preserve"> </w:t>
            </w:r>
            <w:r>
              <w:rPr>
                <w:b/>
                <w:bCs/>
                <w:spacing w:val="-5"/>
              </w:rPr>
              <w:t>分)</w:t>
            </w:r>
            <w:r>
              <w:rPr>
                <w:rFonts w:hint="eastAsia"/>
                <w:spacing w:val="-5"/>
                <w:lang w:eastAsia="zh-CN"/>
              </w:rPr>
              <w:t>：</w:t>
            </w:r>
            <w:r>
              <w:rPr>
                <w:spacing w:val="-5"/>
              </w:rPr>
              <w:t>响应文件中没有环境保护管理体系与措施。</w:t>
            </w:r>
          </w:p>
        </w:tc>
      </w:tr>
      <w:tr w14:paraId="1B300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7AEF1B01">
            <w:pPr>
              <w:pStyle w:val="25"/>
              <w:spacing w:before="214" w:line="371" w:lineRule="auto"/>
              <w:ind w:left="431" w:right="151" w:hanging="260"/>
              <w:rPr>
                <w:spacing w:val="-7"/>
              </w:rPr>
            </w:pPr>
          </w:p>
        </w:tc>
        <w:tc>
          <w:tcPr>
            <w:tcW w:w="1325" w:type="dxa"/>
            <w:vMerge w:val="continue"/>
            <w:vAlign w:val="center"/>
          </w:tcPr>
          <w:p w14:paraId="20BA70C3">
            <w:pPr>
              <w:pStyle w:val="25"/>
              <w:spacing w:before="214" w:line="371" w:lineRule="auto"/>
              <w:ind w:left="431" w:right="151" w:hanging="260"/>
              <w:rPr>
                <w:spacing w:val="-7"/>
              </w:rPr>
            </w:pPr>
          </w:p>
        </w:tc>
        <w:tc>
          <w:tcPr>
            <w:tcW w:w="1479" w:type="dxa"/>
            <w:vAlign w:val="center"/>
          </w:tcPr>
          <w:p w14:paraId="145BCB5E">
            <w:pPr>
              <w:pStyle w:val="25"/>
              <w:spacing w:before="78" w:line="219" w:lineRule="auto"/>
              <w:ind w:left="115"/>
            </w:pPr>
            <w:r>
              <w:rPr>
                <w:b/>
                <w:bCs/>
                <w:spacing w:val="-5"/>
              </w:rPr>
              <w:t>工期承诺及</w:t>
            </w:r>
          </w:p>
          <w:p w14:paraId="44133D03">
            <w:pPr>
              <w:pStyle w:val="25"/>
              <w:spacing w:before="78" w:line="371" w:lineRule="auto"/>
              <w:ind w:left="114" w:right="106" w:hanging="1"/>
              <w:rPr>
                <w:b/>
                <w:bCs/>
                <w:spacing w:val="-5"/>
              </w:rPr>
            </w:pPr>
            <w:r>
              <w:rPr>
                <w:b/>
                <w:bCs/>
                <w:spacing w:val="-5"/>
              </w:rPr>
              <w:t>保证措施（满</w:t>
            </w:r>
            <w:r>
              <w:rPr>
                <w:b/>
                <w:bCs/>
                <w:spacing w:val="-12"/>
              </w:rPr>
              <w:t>分</w:t>
            </w:r>
            <w:r>
              <w:rPr>
                <w:spacing w:val="-48"/>
              </w:rPr>
              <w:t xml:space="preserve"> </w:t>
            </w:r>
            <w:r>
              <w:rPr>
                <w:rFonts w:hint="eastAsia"/>
                <w:b/>
                <w:bCs/>
                <w:spacing w:val="-12"/>
                <w:lang w:val="en-US" w:eastAsia="zh-CN"/>
              </w:rPr>
              <w:t>5</w:t>
            </w:r>
            <w:r>
              <w:rPr>
                <w:spacing w:val="-45"/>
              </w:rPr>
              <w:t xml:space="preserve"> </w:t>
            </w:r>
            <w:r>
              <w:rPr>
                <w:b/>
                <w:bCs/>
                <w:spacing w:val="-12"/>
              </w:rPr>
              <w:t>分）</w:t>
            </w:r>
          </w:p>
        </w:tc>
        <w:tc>
          <w:tcPr>
            <w:tcW w:w="6076" w:type="dxa"/>
            <w:vAlign w:val="center"/>
          </w:tcPr>
          <w:p w14:paraId="1797337A">
            <w:pPr>
              <w:pStyle w:val="25"/>
              <w:spacing w:before="196" w:line="371" w:lineRule="auto"/>
              <w:ind w:left="113" w:right="302"/>
            </w:pPr>
            <w:r>
              <w:rPr>
                <w:b/>
                <w:bCs/>
                <w:spacing w:val="-3"/>
              </w:rPr>
              <w:t>第一档次</w:t>
            </w:r>
            <w:r>
              <w:rPr>
                <w:spacing w:val="54"/>
              </w:rPr>
              <w:t xml:space="preserve"> </w:t>
            </w:r>
            <w:r>
              <w:rPr>
                <w:b/>
                <w:bCs/>
                <w:spacing w:val="-3"/>
              </w:rPr>
              <w:t>(</w:t>
            </w:r>
            <w:r>
              <w:rPr>
                <w:rFonts w:hint="eastAsia"/>
                <w:b/>
                <w:bCs/>
                <w:spacing w:val="-3"/>
                <w:lang w:val="en-US" w:eastAsia="zh-CN"/>
              </w:rPr>
              <w:t>5</w:t>
            </w:r>
            <w:r>
              <w:rPr>
                <w:spacing w:val="-45"/>
              </w:rPr>
              <w:t xml:space="preserve"> </w:t>
            </w:r>
            <w:r>
              <w:rPr>
                <w:b/>
                <w:bCs/>
                <w:spacing w:val="-3"/>
              </w:rPr>
              <w:t>分)</w:t>
            </w:r>
            <w:r>
              <w:rPr>
                <w:rFonts w:hint="eastAsia"/>
                <w:b/>
                <w:bCs/>
                <w:spacing w:val="-3"/>
                <w:lang w:eastAsia="zh-CN"/>
              </w:rPr>
              <w:t>：</w:t>
            </w:r>
            <w:r>
              <w:rPr>
                <w:spacing w:val="-3"/>
              </w:rPr>
              <w:t>工期承诺满足采购文件且有具体</w:t>
            </w:r>
            <w:r>
              <w:rPr>
                <w:spacing w:val="-4"/>
              </w:rPr>
              <w:t>的违约责任承</w:t>
            </w:r>
            <w:r>
              <w:rPr>
                <w:spacing w:val="-1"/>
              </w:rPr>
              <w:t>诺</w:t>
            </w:r>
            <w:r>
              <w:rPr>
                <w:rFonts w:hint="eastAsia"/>
                <w:spacing w:val="-1"/>
                <w:lang w:eastAsia="zh-CN"/>
              </w:rPr>
              <w:t>、</w:t>
            </w:r>
            <w:r>
              <w:rPr>
                <w:spacing w:val="-3"/>
              </w:rPr>
              <w:t>奖罚条件</w:t>
            </w:r>
            <w:r>
              <w:rPr>
                <w:spacing w:val="-1"/>
              </w:rPr>
              <w:t>，有施工进度计划，且能保证工期的。</w:t>
            </w:r>
          </w:p>
          <w:p w14:paraId="79DFC05D">
            <w:pPr>
              <w:pStyle w:val="25"/>
              <w:spacing w:before="34" w:line="372" w:lineRule="auto"/>
              <w:ind w:left="112" w:right="182"/>
              <w:rPr>
                <w:spacing w:val="-1"/>
              </w:rPr>
            </w:pPr>
            <w:r>
              <w:rPr>
                <w:b/>
                <w:bCs/>
                <w:spacing w:val="-3"/>
              </w:rPr>
              <w:t>第二档次</w:t>
            </w:r>
            <w:r>
              <w:rPr>
                <w:spacing w:val="54"/>
              </w:rPr>
              <w:t xml:space="preserve"> </w:t>
            </w:r>
            <w:r>
              <w:rPr>
                <w:b/>
                <w:bCs/>
                <w:spacing w:val="-3"/>
              </w:rPr>
              <w:t>(</w:t>
            </w:r>
            <w:r>
              <w:rPr>
                <w:rFonts w:hint="eastAsia"/>
                <w:b/>
                <w:bCs/>
                <w:spacing w:val="-3"/>
                <w:lang w:val="en-US" w:eastAsia="zh-CN"/>
              </w:rPr>
              <w:t>4</w:t>
            </w:r>
            <w:r>
              <w:rPr>
                <w:b/>
                <w:bCs/>
                <w:spacing w:val="-3"/>
              </w:rPr>
              <w:t>分)</w:t>
            </w:r>
            <w:r>
              <w:rPr>
                <w:rFonts w:hint="eastAsia"/>
                <w:b/>
                <w:bCs/>
                <w:spacing w:val="-3"/>
                <w:lang w:eastAsia="zh-CN"/>
              </w:rPr>
              <w:t>：</w:t>
            </w:r>
            <w:r>
              <w:rPr>
                <w:spacing w:val="-3"/>
              </w:rPr>
              <w:t>工期承诺满足采购文件且有</w:t>
            </w:r>
            <w:r>
              <w:rPr>
                <w:spacing w:val="-4"/>
              </w:rPr>
              <w:t>违约责任承</w:t>
            </w:r>
            <w:r>
              <w:rPr>
                <w:spacing w:val="-1"/>
              </w:rPr>
              <w:t>诺</w:t>
            </w:r>
            <w:r>
              <w:rPr>
                <w:rFonts w:hint="eastAsia"/>
                <w:spacing w:val="-1"/>
                <w:lang w:eastAsia="zh-CN"/>
              </w:rPr>
              <w:t>，</w:t>
            </w:r>
            <w:r>
              <w:rPr>
                <w:spacing w:val="-3"/>
              </w:rPr>
              <w:t>有</w:t>
            </w:r>
            <w:r>
              <w:rPr>
                <w:spacing w:val="-4"/>
              </w:rPr>
              <w:t>施工进</w:t>
            </w:r>
            <w:r>
              <w:rPr>
                <w:spacing w:val="-1"/>
              </w:rPr>
              <w:t>度计划，但</w:t>
            </w:r>
            <w:r>
              <w:rPr>
                <w:rFonts w:hint="eastAsia"/>
                <w:spacing w:val="-1"/>
                <w:lang w:val="en-US" w:eastAsia="zh-CN"/>
              </w:rPr>
              <w:t>工期保证内容针对性一般</w:t>
            </w:r>
            <w:r>
              <w:rPr>
                <w:spacing w:val="-1"/>
              </w:rPr>
              <w:t>。</w:t>
            </w:r>
          </w:p>
          <w:p w14:paraId="1E1B0E15">
            <w:pPr>
              <w:pStyle w:val="25"/>
              <w:spacing w:before="34" w:line="372" w:lineRule="auto"/>
              <w:ind w:left="112" w:right="182"/>
              <w:rPr>
                <w:spacing w:val="-1"/>
              </w:rPr>
            </w:pPr>
            <w:r>
              <w:rPr>
                <w:b/>
                <w:bCs/>
                <w:spacing w:val="-3"/>
              </w:rPr>
              <w:t>第</w:t>
            </w:r>
            <w:r>
              <w:rPr>
                <w:rFonts w:hint="eastAsia"/>
                <w:b/>
                <w:bCs/>
                <w:spacing w:val="-3"/>
                <w:lang w:val="en-US" w:eastAsia="zh-CN"/>
              </w:rPr>
              <w:t>三</w:t>
            </w:r>
            <w:r>
              <w:rPr>
                <w:b/>
                <w:bCs/>
                <w:spacing w:val="-3"/>
              </w:rPr>
              <w:t>档次</w:t>
            </w:r>
            <w:r>
              <w:rPr>
                <w:spacing w:val="54"/>
              </w:rPr>
              <w:t xml:space="preserve"> </w:t>
            </w:r>
            <w:r>
              <w:rPr>
                <w:b/>
                <w:bCs/>
                <w:spacing w:val="-3"/>
              </w:rPr>
              <w:t>(</w:t>
            </w:r>
            <w:r>
              <w:rPr>
                <w:rFonts w:hint="eastAsia"/>
                <w:b/>
                <w:bCs/>
                <w:spacing w:val="-3"/>
                <w:lang w:val="en-US" w:eastAsia="zh-CN"/>
              </w:rPr>
              <w:t>3</w:t>
            </w:r>
            <w:r>
              <w:rPr>
                <w:b/>
                <w:bCs/>
                <w:spacing w:val="-3"/>
              </w:rPr>
              <w:t>分)</w:t>
            </w:r>
            <w:r>
              <w:rPr>
                <w:rFonts w:hint="eastAsia"/>
                <w:b/>
                <w:bCs/>
                <w:spacing w:val="-3"/>
                <w:lang w:eastAsia="zh-CN"/>
              </w:rPr>
              <w:t>：</w:t>
            </w:r>
            <w:r>
              <w:rPr>
                <w:spacing w:val="-3"/>
              </w:rPr>
              <w:t>工期承诺满足采购文件</w:t>
            </w:r>
            <w:r>
              <w:rPr>
                <w:rFonts w:hint="eastAsia"/>
                <w:spacing w:val="-1"/>
                <w:lang w:eastAsia="zh-CN"/>
              </w:rPr>
              <w:t>，</w:t>
            </w:r>
            <w:r>
              <w:rPr>
                <w:spacing w:val="-3"/>
              </w:rPr>
              <w:t>有</w:t>
            </w:r>
            <w:r>
              <w:rPr>
                <w:spacing w:val="-4"/>
              </w:rPr>
              <w:t>施工进</w:t>
            </w:r>
            <w:r>
              <w:rPr>
                <w:spacing w:val="-1"/>
              </w:rPr>
              <w:t>度计划，但</w:t>
            </w:r>
            <w:r>
              <w:rPr>
                <w:rFonts w:hint="eastAsia"/>
                <w:spacing w:val="-1"/>
                <w:lang w:val="en-US" w:eastAsia="zh-CN"/>
              </w:rPr>
              <w:t>工期保证内容针对性不强</w:t>
            </w:r>
            <w:r>
              <w:rPr>
                <w:spacing w:val="-1"/>
              </w:rPr>
              <w:t>。</w:t>
            </w:r>
          </w:p>
          <w:p w14:paraId="6BF3BD88">
            <w:pPr>
              <w:pStyle w:val="25"/>
              <w:spacing w:before="39" w:line="332" w:lineRule="auto"/>
              <w:ind w:left="113" w:right="107"/>
              <w:jc w:val="both"/>
              <w:rPr>
                <w:b/>
                <w:bCs/>
                <w:spacing w:val="-5"/>
              </w:rPr>
            </w:pPr>
            <w:r>
              <w:rPr>
                <w:b/>
                <w:bCs/>
                <w:spacing w:val="-6"/>
              </w:rPr>
              <w:t>第</w:t>
            </w:r>
            <w:r>
              <w:rPr>
                <w:rFonts w:hint="eastAsia"/>
                <w:b/>
                <w:bCs/>
                <w:spacing w:val="-6"/>
                <w:lang w:val="en-US" w:eastAsia="zh-CN"/>
              </w:rPr>
              <w:t>四</w:t>
            </w:r>
            <w:r>
              <w:rPr>
                <w:b/>
                <w:bCs/>
                <w:spacing w:val="-6"/>
              </w:rPr>
              <w:t>档次</w:t>
            </w:r>
            <w:r>
              <w:rPr>
                <w:spacing w:val="72"/>
              </w:rPr>
              <w:t xml:space="preserve"> </w:t>
            </w:r>
            <w:r>
              <w:rPr>
                <w:b/>
                <w:bCs/>
                <w:spacing w:val="-6"/>
              </w:rPr>
              <w:t>(0</w:t>
            </w:r>
            <w:r>
              <w:rPr>
                <w:spacing w:val="-45"/>
              </w:rPr>
              <w:t xml:space="preserve"> </w:t>
            </w:r>
            <w:r>
              <w:rPr>
                <w:b/>
                <w:bCs/>
                <w:spacing w:val="-6"/>
              </w:rPr>
              <w:t>分)</w:t>
            </w:r>
            <w:r>
              <w:rPr>
                <w:rFonts w:hint="eastAsia"/>
                <w:spacing w:val="48"/>
                <w:lang w:eastAsia="zh-CN"/>
              </w:rPr>
              <w:t>：</w:t>
            </w:r>
            <w:r>
              <w:rPr>
                <w:spacing w:val="-6"/>
              </w:rPr>
              <w:t>响应文件中无施工进度计划的不得分。</w:t>
            </w:r>
          </w:p>
        </w:tc>
      </w:tr>
      <w:tr w14:paraId="7003E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68EB2596">
            <w:pPr>
              <w:pStyle w:val="25"/>
              <w:spacing w:before="214" w:line="371" w:lineRule="auto"/>
              <w:ind w:left="431" w:right="151" w:hanging="260"/>
              <w:rPr>
                <w:spacing w:val="-7"/>
              </w:rPr>
            </w:pPr>
          </w:p>
        </w:tc>
        <w:tc>
          <w:tcPr>
            <w:tcW w:w="1325" w:type="dxa"/>
            <w:vMerge w:val="continue"/>
            <w:vAlign w:val="center"/>
          </w:tcPr>
          <w:p w14:paraId="2BFBD7F5">
            <w:pPr>
              <w:pStyle w:val="25"/>
              <w:spacing w:before="214" w:line="371" w:lineRule="auto"/>
              <w:ind w:left="431" w:right="151" w:hanging="260"/>
              <w:rPr>
                <w:spacing w:val="-7"/>
              </w:rPr>
            </w:pPr>
          </w:p>
        </w:tc>
        <w:tc>
          <w:tcPr>
            <w:tcW w:w="1479" w:type="dxa"/>
            <w:vAlign w:val="center"/>
          </w:tcPr>
          <w:p w14:paraId="3E4B74F3">
            <w:pPr>
              <w:pStyle w:val="25"/>
              <w:spacing w:before="78" w:line="219" w:lineRule="auto"/>
              <w:ind w:left="111"/>
            </w:pPr>
            <w:r>
              <w:rPr>
                <w:b/>
                <w:bCs/>
                <w:spacing w:val="-4"/>
              </w:rPr>
              <w:t>施工机械投</w:t>
            </w:r>
          </w:p>
          <w:p w14:paraId="503A61AE">
            <w:pPr>
              <w:pStyle w:val="25"/>
              <w:spacing w:before="215" w:line="370" w:lineRule="auto"/>
              <w:ind w:left="111" w:right="106"/>
              <w:rPr>
                <w:b/>
                <w:bCs/>
                <w:spacing w:val="-5"/>
              </w:rPr>
            </w:pPr>
            <w:r>
              <w:rPr>
                <w:b/>
                <w:bCs/>
                <w:spacing w:val="-4"/>
              </w:rPr>
              <w:t>入、劳动力安排和周转材</w:t>
            </w:r>
            <w:r>
              <w:rPr>
                <w:b/>
                <w:bCs/>
                <w:spacing w:val="-5"/>
              </w:rPr>
              <w:t>料计划（满分</w:t>
            </w:r>
            <w:r>
              <w:rPr>
                <w:rFonts w:hint="eastAsia"/>
                <w:b/>
                <w:bCs/>
                <w:spacing w:val="-11"/>
                <w:lang w:val="en-US" w:eastAsia="zh-CN"/>
              </w:rPr>
              <w:t>5</w:t>
            </w:r>
            <w:r>
              <w:rPr>
                <w:spacing w:val="-46"/>
              </w:rPr>
              <w:t xml:space="preserve"> </w:t>
            </w:r>
            <w:r>
              <w:rPr>
                <w:b/>
                <w:bCs/>
                <w:spacing w:val="-11"/>
              </w:rPr>
              <w:t>分）</w:t>
            </w:r>
          </w:p>
          <w:p w14:paraId="13548A24">
            <w:pPr>
              <w:pStyle w:val="25"/>
              <w:spacing w:before="78" w:line="371" w:lineRule="auto"/>
              <w:ind w:left="114" w:right="106" w:hanging="1"/>
              <w:rPr>
                <w:b/>
                <w:bCs/>
                <w:spacing w:val="-5"/>
              </w:rPr>
            </w:pPr>
          </w:p>
        </w:tc>
        <w:tc>
          <w:tcPr>
            <w:tcW w:w="6076" w:type="dxa"/>
            <w:vAlign w:val="center"/>
          </w:tcPr>
          <w:p w14:paraId="33D68C75">
            <w:pPr>
              <w:pStyle w:val="25"/>
              <w:spacing w:before="195" w:line="378" w:lineRule="auto"/>
              <w:ind w:left="111" w:right="107" w:firstLine="1"/>
              <w:jc w:val="both"/>
            </w:pPr>
            <w:r>
              <w:rPr>
                <w:b/>
                <w:bCs/>
                <w:spacing w:val="-5"/>
              </w:rPr>
              <w:t>第一档次</w:t>
            </w:r>
            <w:r>
              <w:rPr>
                <w:spacing w:val="66"/>
              </w:rPr>
              <w:t xml:space="preserve"> </w:t>
            </w:r>
            <w:r>
              <w:rPr>
                <w:b/>
                <w:bCs/>
                <w:spacing w:val="-5"/>
              </w:rPr>
              <w:t>(</w:t>
            </w:r>
            <w:r>
              <w:rPr>
                <w:rFonts w:hint="eastAsia"/>
                <w:b/>
                <w:bCs/>
                <w:spacing w:val="-5"/>
                <w:lang w:val="en-US" w:eastAsia="zh-CN"/>
              </w:rPr>
              <w:t>5</w:t>
            </w:r>
            <w:r>
              <w:rPr>
                <w:spacing w:val="-46"/>
              </w:rPr>
              <w:t xml:space="preserve"> </w:t>
            </w:r>
            <w:r>
              <w:rPr>
                <w:b/>
                <w:bCs/>
                <w:spacing w:val="-5"/>
              </w:rPr>
              <w:t>分)</w:t>
            </w:r>
            <w:r>
              <w:rPr>
                <w:rFonts w:hint="eastAsia"/>
                <w:b/>
                <w:bCs/>
                <w:spacing w:val="-5"/>
                <w:lang w:eastAsia="zh-CN"/>
              </w:rPr>
              <w:t>：</w:t>
            </w:r>
            <w:r>
              <w:rPr>
                <w:spacing w:val="-5"/>
              </w:rPr>
              <w:t>劳动力安排、周转材料计划、施工机具计划、主</w:t>
            </w:r>
            <w:r>
              <w:rPr>
                <w:spacing w:val="-4"/>
              </w:rPr>
              <w:t>要材料一次性需用量计划等资源投入计划与施工部署、施工方法及进度计划</w:t>
            </w:r>
            <w:r>
              <w:rPr>
                <w:rFonts w:hint="eastAsia"/>
                <w:spacing w:val="-4"/>
                <w:lang w:val="en-US" w:eastAsia="zh-CN"/>
              </w:rPr>
              <w:t>完全</w:t>
            </w:r>
            <w:r>
              <w:rPr>
                <w:spacing w:val="-4"/>
              </w:rPr>
              <w:t>呼应，有详细完整的劳动力安排表、拟投入的主要施工机</w:t>
            </w:r>
            <w:r>
              <w:rPr>
                <w:spacing w:val="-1"/>
              </w:rPr>
              <w:t>具表，很好的满足施工需要，调配投入计划合理、准确全面。</w:t>
            </w:r>
          </w:p>
          <w:p w14:paraId="629D78F8">
            <w:pPr>
              <w:pStyle w:val="25"/>
              <w:spacing w:before="195" w:line="378" w:lineRule="auto"/>
              <w:ind w:left="111" w:right="107" w:firstLine="1"/>
              <w:jc w:val="both"/>
              <w:rPr>
                <w:rFonts w:ascii="宋体" w:hAnsi="宋体" w:eastAsia="宋体" w:cs="宋体"/>
                <w:spacing w:val="-5"/>
              </w:rPr>
            </w:pPr>
            <w:r>
              <w:rPr>
                <w:b/>
                <w:bCs/>
                <w:spacing w:val="-3"/>
              </w:rPr>
              <w:t>第二档次</w:t>
            </w:r>
            <w:r>
              <w:rPr>
                <w:spacing w:val="54"/>
              </w:rPr>
              <w:t xml:space="preserve"> </w:t>
            </w:r>
            <w:r>
              <w:rPr>
                <w:b/>
                <w:bCs/>
                <w:spacing w:val="-3"/>
              </w:rPr>
              <w:t>(</w:t>
            </w:r>
            <w:r>
              <w:rPr>
                <w:rFonts w:hint="eastAsia"/>
                <w:b/>
                <w:bCs/>
                <w:spacing w:val="-3"/>
                <w:lang w:val="en-US" w:eastAsia="zh-CN"/>
              </w:rPr>
              <w:t>4</w:t>
            </w:r>
            <w:r>
              <w:rPr>
                <w:spacing w:val="-45"/>
              </w:rPr>
              <w:t xml:space="preserve"> </w:t>
            </w:r>
            <w:r>
              <w:rPr>
                <w:b/>
                <w:bCs/>
                <w:spacing w:val="-3"/>
              </w:rPr>
              <w:t>分)</w:t>
            </w:r>
            <w:r>
              <w:rPr>
                <w:rFonts w:hint="eastAsia"/>
                <w:b/>
                <w:bCs/>
                <w:spacing w:val="-3"/>
                <w:lang w:eastAsia="zh-CN"/>
              </w:rPr>
              <w:t>：</w:t>
            </w:r>
            <w:r>
              <w:rPr>
                <w:rFonts w:ascii="宋体" w:hAnsi="宋体" w:eastAsia="宋体" w:cs="宋体"/>
                <w:spacing w:val="-5"/>
              </w:rPr>
              <w:t>劳动力安排、周转材料计划、施工机具计划、主要材料一次性需用量计划等资源投入计划与施工部署、施工方法及进度计划</w:t>
            </w:r>
            <w:r>
              <w:rPr>
                <w:rFonts w:hint="eastAsia" w:ascii="宋体" w:hAnsi="宋体" w:eastAsia="宋体" w:cs="宋体"/>
                <w:spacing w:val="-5"/>
                <w:lang w:val="en-US" w:eastAsia="zh-CN"/>
              </w:rPr>
              <w:t>一般</w:t>
            </w:r>
            <w:r>
              <w:rPr>
                <w:rFonts w:ascii="宋体" w:hAnsi="宋体" w:eastAsia="宋体" w:cs="宋体"/>
                <w:spacing w:val="-5"/>
              </w:rPr>
              <w:t>呼应，有</w:t>
            </w:r>
            <w:r>
              <w:rPr>
                <w:rFonts w:hint="eastAsia" w:ascii="宋体" w:hAnsi="宋体" w:eastAsia="宋体" w:cs="宋体"/>
                <w:spacing w:val="-5"/>
                <w:lang w:val="en-US" w:eastAsia="zh-CN"/>
              </w:rPr>
              <w:t>基本</w:t>
            </w:r>
            <w:r>
              <w:rPr>
                <w:rFonts w:ascii="宋体" w:hAnsi="宋体" w:eastAsia="宋体" w:cs="宋体"/>
                <w:spacing w:val="-5"/>
              </w:rPr>
              <w:t>的劳动力安排表、拟投入的主要施工机具表，</w:t>
            </w:r>
            <w:r>
              <w:rPr>
                <w:rFonts w:hint="eastAsia" w:ascii="宋体" w:hAnsi="宋体" w:eastAsia="宋体" w:cs="宋体"/>
                <w:spacing w:val="-5"/>
                <w:lang w:val="en-US" w:eastAsia="zh-CN"/>
              </w:rPr>
              <w:t>基本</w:t>
            </w:r>
            <w:r>
              <w:rPr>
                <w:rFonts w:ascii="宋体" w:hAnsi="宋体" w:eastAsia="宋体" w:cs="宋体"/>
                <w:spacing w:val="-5"/>
              </w:rPr>
              <w:t>地满足施工需要，调配投入计划合理。</w:t>
            </w:r>
          </w:p>
          <w:p w14:paraId="3C5C0E46">
            <w:pPr>
              <w:pStyle w:val="25"/>
              <w:spacing w:before="195" w:line="378" w:lineRule="auto"/>
              <w:ind w:left="111" w:right="107" w:firstLine="1"/>
              <w:jc w:val="both"/>
              <w:rPr>
                <w:rFonts w:ascii="宋体" w:hAnsi="宋体" w:eastAsia="宋体" w:cs="宋体"/>
                <w:spacing w:val="-5"/>
              </w:rPr>
            </w:pPr>
            <w:r>
              <w:rPr>
                <w:b/>
                <w:bCs/>
                <w:spacing w:val="-3"/>
              </w:rPr>
              <w:t>第</w:t>
            </w:r>
            <w:r>
              <w:rPr>
                <w:rFonts w:hint="eastAsia"/>
                <w:b/>
                <w:bCs/>
                <w:spacing w:val="-3"/>
                <w:lang w:val="en-US" w:eastAsia="zh-CN"/>
              </w:rPr>
              <w:t>三</w:t>
            </w:r>
            <w:r>
              <w:rPr>
                <w:b/>
                <w:bCs/>
                <w:spacing w:val="-3"/>
              </w:rPr>
              <w:t>档次</w:t>
            </w:r>
            <w:r>
              <w:rPr>
                <w:spacing w:val="54"/>
              </w:rPr>
              <w:t xml:space="preserve"> </w:t>
            </w:r>
            <w:r>
              <w:rPr>
                <w:b/>
                <w:bCs/>
                <w:spacing w:val="-3"/>
              </w:rPr>
              <w:t>(</w:t>
            </w:r>
            <w:r>
              <w:rPr>
                <w:rFonts w:hint="eastAsia"/>
                <w:b/>
                <w:bCs/>
                <w:spacing w:val="-3"/>
                <w:lang w:val="en-US" w:eastAsia="zh-CN"/>
              </w:rPr>
              <w:t>3</w:t>
            </w:r>
            <w:r>
              <w:rPr>
                <w:b/>
                <w:bCs/>
                <w:spacing w:val="-3"/>
              </w:rPr>
              <w:t>分)</w:t>
            </w:r>
            <w:r>
              <w:rPr>
                <w:rFonts w:hint="eastAsia"/>
                <w:b/>
                <w:bCs/>
                <w:spacing w:val="-3"/>
                <w:lang w:eastAsia="zh-CN"/>
              </w:rPr>
              <w:t>：</w:t>
            </w:r>
            <w:r>
              <w:rPr>
                <w:rFonts w:ascii="宋体" w:hAnsi="宋体" w:eastAsia="宋体" w:cs="宋体"/>
                <w:spacing w:val="-5"/>
              </w:rPr>
              <w:t>劳动力安排、周转材料计划、施工机具计划、主要材料一次性需用量计划等资源投入计划与施工部署、施工方法及进度计划</w:t>
            </w:r>
            <w:r>
              <w:rPr>
                <w:rFonts w:hint="eastAsia" w:ascii="宋体" w:hAnsi="宋体" w:eastAsia="宋体" w:cs="宋体"/>
                <w:spacing w:val="-5"/>
                <w:lang w:val="en-US" w:eastAsia="zh-CN"/>
              </w:rPr>
              <w:t>简单</w:t>
            </w:r>
            <w:r>
              <w:rPr>
                <w:rFonts w:ascii="宋体" w:hAnsi="宋体" w:eastAsia="宋体" w:cs="宋体"/>
                <w:spacing w:val="-5"/>
              </w:rPr>
              <w:t>，有</w:t>
            </w:r>
            <w:r>
              <w:rPr>
                <w:rFonts w:hint="eastAsia" w:ascii="宋体" w:hAnsi="宋体" w:eastAsia="宋体" w:cs="宋体"/>
                <w:spacing w:val="-5"/>
                <w:lang w:val="en-US" w:eastAsia="zh-CN"/>
              </w:rPr>
              <w:t>简单</w:t>
            </w:r>
            <w:r>
              <w:rPr>
                <w:rFonts w:ascii="宋体" w:hAnsi="宋体" w:eastAsia="宋体" w:cs="宋体"/>
                <w:spacing w:val="-5"/>
              </w:rPr>
              <w:t>的劳动力安排表、拟投入的主要施工机具表，调配投入计划</w:t>
            </w:r>
            <w:r>
              <w:rPr>
                <w:rFonts w:hint="eastAsia" w:ascii="宋体" w:hAnsi="宋体" w:eastAsia="宋体" w:cs="宋体"/>
                <w:spacing w:val="-5"/>
                <w:lang w:val="en-US" w:eastAsia="zh-CN"/>
              </w:rPr>
              <w:t>简单</w:t>
            </w:r>
            <w:r>
              <w:rPr>
                <w:rFonts w:ascii="宋体" w:hAnsi="宋体" w:eastAsia="宋体" w:cs="宋体"/>
                <w:spacing w:val="-5"/>
              </w:rPr>
              <w:t>。</w:t>
            </w:r>
          </w:p>
          <w:p w14:paraId="4E397BBA">
            <w:pPr>
              <w:pStyle w:val="25"/>
              <w:spacing w:before="195" w:line="378" w:lineRule="auto"/>
              <w:ind w:left="111" w:right="107" w:firstLine="1"/>
              <w:jc w:val="both"/>
              <w:rPr>
                <w:b/>
                <w:bCs/>
                <w:spacing w:val="-6"/>
              </w:rPr>
            </w:pPr>
            <w:r>
              <w:rPr>
                <w:rFonts w:ascii="宋体" w:hAnsi="宋体" w:eastAsia="宋体" w:cs="宋体"/>
                <w:b/>
                <w:bCs/>
                <w:spacing w:val="-5"/>
              </w:rPr>
              <w:t>第</w:t>
            </w:r>
            <w:r>
              <w:rPr>
                <w:rFonts w:hint="eastAsia" w:ascii="宋体" w:hAnsi="宋体" w:eastAsia="宋体" w:cs="宋体"/>
                <w:b/>
                <w:bCs/>
                <w:spacing w:val="-5"/>
                <w:lang w:val="en-US" w:eastAsia="zh-CN"/>
              </w:rPr>
              <w:t>四</w:t>
            </w:r>
            <w:r>
              <w:rPr>
                <w:rFonts w:ascii="宋体" w:hAnsi="宋体" w:eastAsia="宋体" w:cs="宋体"/>
                <w:b/>
                <w:bCs/>
                <w:spacing w:val="-5"/>
              </w:rPr>
              <w:t xml:space="preserve">档次 </w:t>
            </w:r>
            <w:r>
              <w:rPr>
                <w:b/>
                <w:bCs/>
                <w:spacing w:val="-6"/>
              </w:rPr>
              <w:t>(</w:t>
            </w:r>
            <w:r>
              <w:rPr>
                <w:rFonts w:hint="eastAsia"/>
                <w:b/>
                <w:bCs/>
                <w:spacing w:val="-6"/>
                <w:lang w:val="en-US" w:eastAsia="zh-CN"/>
              </w:rPr>
              <w:t>2</w:t>
            </w:r>
            <w:r>
              <w:rPr>
                <w:b/>
                <w:bCs/>
                <w:spacing w:val="-6"/>
              </w:rPr>
              <w:t>分)</w:t>
            </w:r>
            <w:r>
              <w:rPr>
                <w:rFonts w:hint="eastAsia"/>
                <w:spacing w:val="-6"/>
                <w:lang w:eastAsia="zh-CN"/>
              </w:rPr>
              <w:t>：</w:t>
            </w:r>
            <w:r>
              <w:rPr>
                <w:spacing w:val="-6"/>
              </w:rPr>
              <w:t>劳动力安排、周转材料计划、施工机具计划、</w:t>
            </w:r>
            <w:r>
              <w:rPr>
                <w:spacing w:val="-4"/>
              </w:rPr>
              <w:t>主要材料一次性需用量计划等资源投入计划与施工部署、施工方法</w:t>
            </w:r>
            <w:r>
              <w:rPr>
                <w:spacing w:val="-5"/>
              </w:rPr>
              <w:t>及进度计划</w:t>
            </w:r>
            <w:r>
              <w:rPr>
                <w:rFonts w:hint="eastAsia"/>
                <w:spacing w:val="-5"/>
                <w:lang w:val="en-US" w:eastAsia="zh-CN"/>
              </w:rPr>
              <w:t>不够全面</w:t>
            </w:r>
            <w:r>
              <w:rPr>
                <w:spacing w:val="-5"/>
              </w:rPr>
              <w:t>，“劳动力安排表、拟投入的主要施工机具表</w:t>
            </w:r>
            <w:r>
              <w:rPr>
                <w:spacing w:val="-81"/>
              </w:rPr>
              <w:t xml:space="preserve"> </w:t>
            </w:r>
            <w:r>
              <w:rPr>
                <w:spacing w:val="-5"/>
              </w:rPr>
              <w:t>”</w:t>
            </w:r>
            <w:r>
              <w:rPr>
                <w:rFonts w:hint="eastAsia"/>
                <w:spacing w:val="-5"/>
                <w:lang w:val="en-US" w:eastAsia="zh-CN"/>
              </w:rPr>
              <w:t>不够完整</w:t>
            </w:r>
            <w:r>
              <w:rPr>
                <w:spacing w:val="-5"/>
              </w:rPr>
              <w:t>；调</w:t>
            </w:r>
            <w:r>
              <w:rPr>
                <w:spacing w:val="-1"/>
              </w:rPr>
              <w:t>配投入计划</w:t>
            </w:r>
            <w:r>
              <w:rPr>
                <w:rFonts w:hint="eastAsia"/>
                <w:spacing w:val="-1"/>
                <w:lang w:val="en-US" w:eastAsia="zh-CN"/>
              </w:rPr>
              <w:t>达不到</w:t>
            </w:r>
            <w:r>
              <w:rPr>
                <w:spacing w:val="-1"/>
              </w:rPr>
              <w:t>要求。</w:t>
            </w:r>
          </w:p>
        </w:tc>
      </w:tr>
      <w:tr w14:paraId="4444A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1BDE0524">
            <w:pPr>
              <w:pStyle w:val="25"/>
              <w:spacing w:before="214" w:line="371" w:lineRule="auto"/>
              <w:ind w:right="151"/>
              <w:rPr>
                <w:spacing w:val="-7"/>
              </w:rPr>
            </w:pPr>
          </w:p>
        </w:tc>
        <w:tc>
          <w:tcPr>
            <w:tcW w:w="1325" w:type="dxa"/>
            <w:vAlign w:val="center"/>
          </w:tcPr>
          <w:p w14:paraId="4805BBF4">
            <w:pPr>
              <w:pStyle w:val="25"/>
              <w:spacing w:before="214" w:line="371" w:lineRule="auto"/>
              <w:ind w:right="151"/>
              <w:rPr>
                <w:spacing w:val="-7"/>
              </w:rPr>
            </w:pPr>
            <w:r>
              <w:rPr>
                <w:b w:val="0"/>
                <w:bCs w:val="0"/>
                <w:spacing w:val="-7"/>
              </w:rPr>
              <w:t>商务部分 （满 分</w:t>
            </w:r>
            <w:r>
              <w:rPr>
                <w:rFonts w:hint="eastAsia"/>
                <w:b w:val="0"/>
                <w:bCs w:val="0"/>
                <w:spacing w:val="-7"/>
                <w:lang w:val="en-US" w:eastAsia="zh-CN"/>
              </w:rPr>
              <w:t xml:space="preserve"> 10</w:t>
            </w:r>
            <w:r>
              <w:rPr>
                <w:b w:val="0"/>
                <w:bCs w:val="0"/>
                <w:spacing w:val="-7"/>
              </w:rPr>
              <w:t xml:space="preserve"> 分）</w:t>
            </w:r>
          </w:p>
        </w:tc>
        <w:tc>
          <w:tcPr>
            <w:tcW w:w="1479" w:type="dxa"/>
            <w:vAlign w:val="center"/>
          </w:tcPr>
          <w:p w14:paraId="13268EC2">
            <w:pPr>
              <w:pStyle w:val="25"/>
              <w:spacing w:before="78" w:line="371" w:lineRule="auto"/>
              <w:ind w:left="114" w:right="106" w:hanging="1"/>
              <w:rPr>
                <w:b/>
                <w:bCs/>
                <w:spacing w:val="-5"/>
              </w:rPr>
            </w:pPr>
            <w:r>
              <w:rPr>
                <w:b/>
                <w:bCs/>
                <w:spacing w:val="-4"/>
              </w:rPr>
              <w:t>拟投入本</w:t>
            </w:r>
            <w:r>
              <w:rPr>
                <w:b/>
                <w:bCs/>
                <w:spacing w:val="-5"/>
              </w:rPr>
              <w:t>项目管理团</w:t>
            </w:r>
            <w:r>
              <w:rPr>
                <w:b/>
                <w:bCs/>
                <w:spacing w:val="-30"/>
              </w:rPr>
              <w:t>队（满分</w:t>
            </w:r>
            <w:r>
              <w:rPr>
                <w:spacing w:val="-48"/>
              </w:rPr>
              <w:t xml:space="preserve"> </w:t>
            </w:r>
            <w:r>
              <w:rPr>
                <w:rFonts w:hint="eastAsia"/>
                <w:b/>
                <w:bCs/>
                <w:spacing w:val="-30"/>
                <w:lang w:val="en-US" w:eastAsia="zh-CN"/>
              </w:rPr>
              <w:t>10</w:t>
            </w:r>
            <w:r>
              <w:rPr>
                <w:b/>
                <w:bCs/>
                <w:spacing w:val="-30"/>
              </w:rPr>
              <w:t>分）</w:t>
            </w:r>
          </w:p>
        </w:tc>
        <w:tc>
          <w:tcPr>
            <w:tcW w:w="6076" w:type="dxa"/>
            <w:vAlign w:val="center"/>
          </w:tcPr>
          <w:p w14:paraId="2B48A060">
            <w:pPr>
              <w:pStyle w:val="25"/>
              <w:spacing w:before="202" w:line="375" w:lineRule="auto"/>
              <w:ind w:left="111" w:right="107" w:firstLine="1"/>
              <w:jc w:val="both"/>
            </w:pPr>
            <w:r>
              <w:rPr>
                <w:b/>
                <w:bCs/>
                <w:spacing w:val="-2"/>
              </w:rPr>
              <w:t>第一档次（</w:t>
            </w:r>
            <w:r>
              <w:rPr>
                <w:rFonts w:hint="eastAsia"/>
                <w:b/>
                <w:bCs/>
                <w:spacing w:val="-2"/>
                <w:lang w:val="en-US" w:eastAsia="zh-CN"/>
              </w:rPr>
              <w:t>10</w:t>
            </w:r>
            <w:r>
              <w:rPr>
                <w:b/>
                <w:bCs/>
                <w:spacing w:val="-2"/>
              </w:rPr>
              <w:t>分</w:t>
            </w:r>
            <w:r>
              <w:rPr>
                <w:b/>
                <w:bCs/>
                <w:spacing w:val="-12"/>
              </w:rPr>
              <w:t>）：</w:t>
            </w:r>
            <w:r>
              <w:rPr>
                <w:spacing w:val="-2"/>
              </w:rPr>
              <w:t>磋商单位拟定的项目管理人员针对</w:t>
            </w:r>
            <w:r>
              <w:rPr>
                <w:spacing w:val="-3"/>
              </w:rPr>
              <w:t>工程实际配</w:t>
            </w:r>
            <w:r>
              <w:rPr>
                <w:spacing w:val="-4"/>
              </w:rPr>
              <w:t>置且合理，能</w:t>
            </w:r>
            <w:r>
              <w:rPr>
                <w:rFonts w:hint="eastAsia"/>
                <w:spacing w:val="-4"/>
                <w:lang w:val="en-US" w:eastAsia="zh-CN"/>
              </w:rPr>
              <w:t>完全</w:t>
            </w:r>
            <w:r>
              <w:rPr>
                <w:spacing w:val="-4"/>
              </w:rPr>
              <w:t>满足工程管理需要且有针对性，项目主要管理人员持</w:t>
            </w:r>
            <w:r>
              <w:rPr>
                <w:spacing w:val="-2"/>
              </w:rPr>
              <w:t>证上岗。</w:t>
            </w:r>
          </w:p>
          <w:p w14:paraId="56646DA7">
            <w:pPr>
              <w:pStyle w:val="25"/>
              <w:spacing w:before="200" w:line="360" w:lineRule="auto"/>
              <w:ind w:left="115"/>
            </w:pPr>
            <w:r>
              <w:rPr>
                <w:b/>
                <w:bCs/>
                <w:spacing w:val="-3"/>
              </w:rPr>
              <w:t>第二档次（</w:t>
            </w:r>
            <w:r>
              <w:rPr>
                <w:rFonts w:hint="eastAsia"/>
                <w:b/>
                <w:bCs/>
                <w:spacing w:val="-3"/>
                <w:lang w:val="en-US" w:eastAsia="zh-CN"/>
              </w:rPr>
              <w:t>9</w:t>
            </w:r>
            <w:r>
              <w:rPr>
                <w:b/>
                <w:bCs/>
                <w:spacing w:val="-3"/>
              </w:rPr>
              <w:t>分</w:t>
            </w:r>
            <w:r>
              <w:rPr>
                <w:b/>
                <w:bCs/>
                <w:spacing w:val="-2"/>
              </w:rPr>
              <w:t>）：</w:t>
            </w:r>
            <w:r>
              <w:rPr>
                <w:spacing w:val="-3"/>
              </w:rPr>
              <w:t>磋商单位拟定的项目管理人员配置合理，能满</w:t>
            </w:r>
            <w:r>
              <w:rPr>
                <w:spacing w:val="-4"/>
              </w:rPr>
              <w:t>足工程管理需要，但专业配置针对性一般，项目主要管理人员持证上岗。</w:t>
            </w:r>
          </w:p>
          <w:p w14:paraId="18359443">
            <w:pPr>
              <w:pStyle w:val="25"/>
              <w:spacing w:before="200" w:line="360" w:lineRule="auto"/>
              <w:ind w:left="115"/>
              <w:rPr>
                <w:rFonts w:ascii="宋体" w:hAnsi="宋体" w:eastAsia="宋体" w:cs="宋体"/>
                <w:spacing w:val="-3"/>
              </w:rPr>
            </w:pPr>
            <w:r>
              <w:rPr>
                <w:b/>
                <w:bCs/>
                <w:spacing w:val="-3"/>
              </w:rPr>
              <w:t>第</w:t>
            </w:r>
            <w:r>
              <w:rPr>
                <w:rFonts w:hint="eastAsia"/>
                <w:b/>
                <w:bCs/>
                <w:spacing w:val="-3"/>
                <w:lang w:val="en-US" w:eastAsia="zh-CN"/>
              </w:rPr>
              <w:t>三</w:t>
            </w:r>
            <w:r>
              <w:rPr>
                <w:b/>
                <w:bCs/>
                <w:spacing w:val="-3"/>
              </w:rPr>
              <w:t>档次（</w:t>
            </w:r>
            <w:r>
              <w:rPr>
                <w:rFonts w:hint="eastAsia"/>
                <w:b/>
                <w:bCs/>
                <w:spacing w:val="-3"/>
                <w:lang w:val="en-US" w:eastAsia="zh-CN"/>
              </w:rPr>
              <w:t>8</w:t>
            </w:r>
            <w:r>
              <w:rPr>
                <w:b/>
                <w:bCs/>
                <w:spacing w:val="-3"/>
              </w:rPr>
              <w:t>分</w:t>
            </w:r>
            <w:r>
              <w:rPr>
                <w:b/>
                <w:bCs/>
                <w:spacing w:val="-2"/>
              </w:rPr>
              <w:t>）：</w:t>
            </w:r>
            <w:r>
              <w:rPr>
                <w:rFonts w:ascii="宋体" w:hAnsi="宋体" w:eastAsia="宋体" w:cs="宋体"/>
                <w:spacing w:val="-3"/>
              </w:rPr>
              <w:t>磋商单位拟定的项目管理人员配置合理，能</w:t>
            </w:r>
            <w:r>
              <w:rPr>
                <w:rFonts w:hint="eastAsia" w:ascii="宋体" w:hAnsi="宋体" w:eastAsia="宋体" w:cs="宋体"/>
                <w:spacing w:val="-3"/>
                <w:lang w:val="en-US" w:eastAsia="zh-CN"/>
              </w:rPr>
              <w:t>基本</w:t>
            </w:r>
            <w:r>
              <w:rPr>
                <w:rFonts w:ascii="宋体" w:hAnsi="宋体" w:eastAsia="宋体" w:cs="宋体"/>
                <w:spacing w:val="-3"/>
              </w:rPr>
              <w:t>满足工程管理需要，但专业配置针对性</w:t>
            </w:r>
            <w:r>
              <w:rPr>
                <w:rFonts w:hint="eastAsia" w:ascii="宋体" w:hAnsi="宋体" w:eastAsia="宋体" w:cs="宋体"/>
                <w:spacing w:val="-3"/>
                <w:lang w:val="en-US" w:eastAsia="zh-CN"/>
              </w:rPr>
              <w:t>简单</w:t>
            </w:r>
            <w:r>
              <w:rPr>
                <w:rFonts w:ascii="宋体" w:hAnsi="宋体" w:eastAsia="宋体" w:cs="宋体"/>
                <w:spacing w:val="-3"/>
              </w:rPr>
              <w:t>，项目主要管理人员持证上岗。</w:t>
            </w:r>
          </w:p>
          <w:p w14:paraId="577F0AFD">
            <w:pPr>
              <w:pStyle w:val="25"/>
              <w:spacing w:before="39" w:line="332" w:lineRule="auto"/>
              <w:ind w:left="113" w:right="107"/>
              <w:jc w:val="both"/>
              <w:rPr>
                <w:spacing w:val="-2"/>
              </w:rPr>
            </w:pPr>
            <w:r>
              <w:rPr>
                <w:b/>
                <w:bCs/>
                <w:spacing w:val="-3"/>
              </w:rPr>
              <w:t>第</w:t>
            </w:r>
            <w:r>
              <w:rPr>
                <w:rFonts w:hint="eastAsia"/>
                <w:b/>
                <w:bCs/>
                <w:spacing w:val="-3"/>
                <w:lang w:val="en-US" w:eastAsia="zh-CN"/>
              </w:rPr>
              <w:t>四</w:t>
            </w:r>
            <w:r>
              <w:rPr>
                <w:b/>
                <w:bCs/>
                <w:spacing w:val="-3"/>
              </w:rPr>
              <w:t>档次（</w:t>
            </w:r>
            <w:r>
              <w:rPr>
                <w:rFonts w:hint="eastAsia"/>
                <w:b/>
                <w:bCs/>
                <w:spacing w:val="-3"/>
                <w:lang w:val="en-US" w:eastAsia="zh-CN"/>
              </w:rPr>
              <w:t>6</w:t>
            </w:r>
            <w:r>
              <w:rPr>
                <w:b/>
                <w:bCs/>
                <w:spacing w:val="-3"/>
              </w:rPr>
              <w:t>分</w:t>
            </w:r>
            <w:r>
              <w:rPr>
                <w:b/>
                <w:bCs/>
                <w:spacing w:val="-2"/>
              </w:rPr>
              <w:t>）：</w:t>
            </w:r>
            <w:r>
              <w:rPr>
                <w:spacing w:val="-3"/>
              </w:rPr>
              <w:t>磋商单位项目管理人员配置</w:t>
            </w:r>
            <w:r>
              <w:rPr>
                <w:rFonts w:hint="eastAsia"/>
                <w:spacing w:val="-3"/>
                <w:lang w:val="en-US" w:eastAsia="zh-CN"/>
              </w:rPr>
              <w:t>不够合理</w:t>
            </w:r>
            <w:r>
              <w:rPr>
                <w:spacing w:val="-3"/>
              </w:rPr>
              <w:t>，不</w:t>
            </w:r>
            <w:r>
              <w:rPr>
                <w:rFonts w:hint="eastAsia"/>
                <w:spacing w:val="-3"/>
                <w:lang w:val="en-US" w:eastAsia="zh-CN"/>
              </w:rPr>
              <w:t>充分</w:t>
            </w:r>
            <w:r>
              <w:rPr>
                <w:spacing w:val="-3"/>
              </w:rPr>
              <w:t>满足工程管</w:t>
            </w:r>
            <w:r>
              <w:rPr>
                <w:spacing w:val="-2"/>
              </w:rPr>
              <w:t>理需要，无专业配置性。</w:t>
            </w:r>
          </w:p>
          <w:p w14:paraId="247225B0">
            <w:pPr>
              <w:pStyle w:val="25"/>
              <w:spacing w:before="39" w:line="332" w:lineRule="auto"/>
              <w:ind w:left="113" w:right="107"/>
              <w:jc w:val="both"/>
              <w:rPr>
                <w:spacing w:val="-2"/>
              </w:rPr>
            </w:pPr>
          </w:p>
        </w:tc>
      </w:tr>
    </w:tbl>
    <w:p w14:paraId="101EEB6C">
      <w:pPr>
        <w:rPr>
          <w:rFonts w:hint="eastAsia" w:ascii="宋体" w:eastAsia="宋体" w:cs="宋体"/>
          <w:color w:val="auto"/>
          <w:kern w:val="2"/>
          <w:szCs w:val="28"/>
          <w:highlight w:val="none"/>
          <w:lang w:val="en-US" w:eastAsia="zh-CN"/>
        </w:rPr>
      </w:pPr>
    </w:p>
    <w:p w14:paraId="72845528">
      <w:pPr>
        <w:pStyle w:val="3"/>
        <w:numPr>
          <w:ilvl w:val="1"/>
          <w:numId w:val="0"/>
        </w:numPr>
        <w:jc w:val="center"/>
        <w:rPr>
          <w:rFonts w:ascii="宋体" w:hAnsi="宋体" w:eastAsia="宋体" w:cs="宋体"/>
          <w:color w:val="auto"/>
          <w:kern w:val="2"/>
          <w:szCs w:val="28"/>
          <w:highlight w:val="none"/>
          <w:lang w:val="en-US"/>
        </w:rPr>
      </w:pPr>
      <w:r>
        <w:rPr>
          <w:rFonts w:hint="eastAsia" w:ascii="宋体" w:eastAsia="宋体" w:cs="宋体"/>
          <w:color w:val="auto"/>
          <w:kern w:val="2"/>
          <w:szCs w:val="28"/>
          <w:highlight w:val="none"/>
          <w:lang w:val="en-US" w:eastAsia="zh-CN"/>
        </w:rPr>
        <w:t>评审</w:t>
      </w:r>
      <w:r>
        <w:rPr>
          <w:rFonts w:hint="eastAsia" w:ascii="宋体" w:hAnsi="宋体" w:eastAsia="宋体" w:cs="宋体"/>
          <w:color w:val="auto"/>
          <w:kern w:val="2"/>
          <w:szCs w:val="28"/>
          <w:highlight w:val="none"/>
          <w:lang w:val="en-US"/>
        </w:rPr>
        <w:t>办法正文部分</w:t>
      </w:r>
      <w:bookmarkEnd w:id="878"/>
    </w:p>
    <w:bookmarkEnd w:id="879"/>
    <w:bookmarkEnd w:id="880"/>
    <w:p w14:paraId="18DA6E98">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snapToGrid/>
          <w:color w:val="auto"/>
          <w:kern w:val="0"/>
          <w:sz w:val="24"/>
          <w:szCs w:val="24"/>
          <w:highlight w:val="none"/>
          <w:lang w:val="en-US"/>
        </w:rPr>
        <w:t>1. 磋商方法：</w:t>
      </w:r>
    </w:p>
    <w:p w14:paraId="5D6A94A2">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1.1本次磋商采用综合评分法。</w:t>
      </w:r>
    </w:p>
    <w:p w14:paraId="4A061214">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磋商小组根据竞争性磋商文件规定的磋商程序和方法对各供应商的响应文件进行综合评分，按照评审得分由高到低顺序推荐3名以上成交候选供应商；</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总得分及报价</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相等时，</w:t>
      </w:r>
      <w:r>
        <w:rPr>
          <w:rFonts w:hint="eastAsia" w:ascii="宋体" w:hAnsi="宋体" w:eastAsia="宋体" w:cs="宋体"/>
          <w:color w:val="auto"/>
          <w:sz w:val="24"/>
          <w:szCs w:val="24"/>
          <w:highlight w:val="none"/>
          <w:lang w:eastAsia="zh-CN"/>
        </w:rPr>
        <w:t>评审小组</w:t>
      </w:r>
      <w:r>
        <w:rPr>
          <w:rFonts w:hint="eastAsia" w:ascii="宋体" w:hAnsi="宋体" w:eastAsia="宋体" w:cs="宋体"/>
          <w:color w:val="auto"/>
          <w:sz w:val="24"/>
          <w:szCs w:val="24"/>
          <w:highlight w:val="none"/>
        </w:rPr>
        <w:t>将依次按技术、商务部分得分高优先的顺序推荐；</w:t>
      </w:r>
      <w:r>
        <w:rPr>
          <w:rFonts w:hint="default" w:ascii="Times New Roman" w:hAnsi="Times New Roman" w:eastAsia="宋体" w:cs="Times New Roman"/>
          <w:caps w:val="0"/>
          <w:smallCaps w:val="0"/>
          <w:color w:val="auto"/>
          <w:sz w:val="24"/>
          <w:highlight w:val="none"/>
        </w:rPr>
        <w:t>节能环保产品参与投标，根据《中华人民共和国政府采购法</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中华人民共和国政府采购法实施条例</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政府采购货物和服务招标投标管理办法》（财政部令第87号）的规定，优先采购节能环保产品</w:t>
      </w:r>
      <w:r>
        <w:rPr>
          <w:rFonts w:hint="eastAsia" w:ascii="Times New Roman" w:hAnsi="Times New Roman" w:eastAsia="宋体" w:cs="Times New Roman"/>
          <w:caps w:val="0"/>
          <w:smallCaps w:val="0"/>
          <w:color w:val="auto"/>
          <w:sz w:val="24"/>
          <w:highlight w:val="none"/>
          <w:lang w:eastAsia="zh-CN"/>
        </w:rPr>
        <w:t>；</w:t>
      </w:r>
      <w:r>
        <w:rPr>
          <w:rFonts w:hint="eastAsia" w:ascii="宋体" w:hAnsi="宋体" w:eastAsia="宋体" w:cs="宋体"/>
          <w:color w:val="auto"/>
          <w:sz w:val="24"/>
          <w:szCs w:val="24"/>
          <w:highlight w:val="none"/>
        </w:rPr>
        <w:t>其余情况由竞争性磋商小组进行投票，得票多者排名在前。</w:t>
      </w:r>
    </w:p>
    <w:p w14:paraId="441F17C4">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7E3EF2B5">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中小企业</w:t>
      </w:r>
    </w:p>
    <w:p w14:paraId="5AD7AFE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1.2.1根据《关于印发《政府采购促进中小企业发展管理办法》的通知》（财库〔2020〕46号）的规定，在政府采购活动中，供应商提供的货物、工程或者服务符合下列情形的，享受本办法规定的中小企业扶持政策：</w:t>
      </w:r>
    </w:p>
    <w:p w14:paraId="7C9500D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39F0626C">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9792219">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》订立劳动合同的从业人员。</w:t>
      </w:r>
    </w:p>
    <w:p w14:paraId="20088071">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76E112D4">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211672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A6524FF">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1.1.3小型、微型企业提供中型企业制造的货物的，视同为中型企业。</w:t>
      </w:r>
    </w:p>
    <w:p w14:paraId="21841DA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1.1.4中小企业提供本企业制造的货物参与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时，须提供本企业的《中小企业声明函》；中小企业提供其他中小企业制造的货物参与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时，须在《中小企业声明函》中如实填报制造商信息。</w:t>
      </w:r>
    </w:p>
    <w:p w14:paraId="00B95188">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监狱企业</w:t>
      </w:r>
    </w:p>
    <w:p w14:paraId="69FB290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设区的市</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w:t>
      </w:r>
    </w:p>
    <w:p w14:paraId="70A3113A">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残疾人福利性单位</w:t>
      </w:r>
    </w:p>
    <w:p w14:paraId="34EF15CF">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根据《财政部 民政部 中国残疾人联合会关于促进残疾人就业政府采购政策的通知》，享受政府采购支持政策的残疾人福利性单位应当同时满足以下条件：</w:t>
      </w:r>
    </w:p>
    <w:p w14:paraId="7D5EF5DB">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（1）安置的残疾人占本单位在职职工人数的比例不低于25%（含25%），并且安置的残疾人人数不少于10人（含10人）；</w:t>
      </w:r>
    </w:p>
    <w:p w14:paraId="25E01EAB">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（2）依法与安置的每位残疾人签订了一年以上（含一年）的劳动合同或服务协议；</w:t>
      </w:r>
    </w:p>
    <w:p w14:paraId="4252F11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（3）为安置的每位残疾人按月足额缴纳了基本养老保险、基本医疗保险、失业保险、工伤保险和生育保险等社会保险费；</w:t>
      </w:r>
    </w:p>
    <w:p w14:paraId="3F47405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（4）通过银行等金融机构向安置的每位残疾人，按月支付了不低于单位所在区县适用的经省级人民政府批准的月最低工资标准的工资；</w:t>
      </w:r>
    </w:p>
    <w:p w14:paraId="51766002">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660C8F8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C1551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符合条件的残疾人福利性单位在参加政府采购活动时，应当提供《残疾人福利性单位声明函》，并对声明的真实性负责。</w:t>
      </w:r>
    </w:p>
    <w:p w14:paraId="44812E56">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2. 评审标准</w:t>
      </w:r>
    </w:p>
    <w:p w14:paraId="591AB5AF">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2.1资格审查</w:t>
      </w:r>
    </w:p>
    <w:p w14:paraId="256D81B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2.1.1资格评审标准：依据法律法规和磋商文件的规定，对响应文件中的资格证明文件进行审查，见评标方法前附表。</w:t>
      </w:r>
    </w:p>
    <w:p w14:paraId="0C7E1713">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2.2符合性审查</w:t>
      </w:r>
    </w:p>
    <w:p w14:paraId="53E8AEE6">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2.2.1符合性审查标准：依据磋商文件的规定，从保证金、响应文件的有效性、完整性和对磋商文件的响应程度进行审查，见评标方法前附表。</w:t>
      </w:r>
    </w:p>
    <w:p w14:paraId="307ED399">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881" w:name="_Toc82683145"/>
      <w:bookmarkStart w:id="882" w:name="_Toc83328645"/>
      <w:bookmarkStart w:id="883" w:name="_Toc432106530"/>
      <w:bookmarkStart w:id="884" w:name="_Toc432194880"/>
      <w:bookmarkStart w:id="885" w:name="_Toc46765065"/>
      <w:bookmarkStart w:id="886" w:name="_Toc321836408"/>
      <w:bookmarkStart w:id="887" w:name="_Toc516501451"/>
      <w:r>
        <w:rPr>
          <w:rFonts w:hint="eastAsia" w:ascii="宋体" w:hAnsi="宋体" w:eastAsia="宋体" w:cs="宋体"/>
          <w:color w:val="auto"/>
          <w:sz w:val="24"/>
          <w:szCs w:val="24"/>
          <w:highlight w:val="none"/>
        </w:rPr>
        <w:t>2.3分值构成与评分标准</w:t>
      </w:r>
      <w:bookmarkEnd w:id="881"/>
      <w:bookmarkEnd w:id="882"/>
      <w:bookmarkEnd w:id="883"/>
      <w:bookmarkEnd w:id="884"/>
      <w:bookmarkEnd w:id="885"/>
      <w:bookmarkEnd w:id="886"/>
      <w:bookmarkEnd w:id="887"/>
    </w:p>
    <w:p w14:paraId="1D1D9C4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分值构成</w:t>
      </w:r>
    </w:p>
    <w:p w14:paraId="37DB445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1C4F9E6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（2）技术及商务部分：见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12BE9CA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2.3.2基准价计算方法：见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253ABCDC">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评分标准</w:t>
      </w:r>
    </w:p>
    <w:p w14:paraId="21754868">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按磋商文件中规定的</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方法和标准，对资格评审和实质性评审合格的响应文件进行技术和商务评估，综合比较与评价。</w:t>
      </w:r>
    </w:p>
    <w:p w14:paraId="43826093">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（1）磋商报价评分标准：见前附表；</w:t>
      </w:r>
    </w:p>
    <w:p w14:paraId="6749F053">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（2）技术及商务部分评分标准：见前附表；</w:t>
      </w:r>
    </w:p>
    <w:p w14:paraId="78303657">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bookmarkStart w:id="888" w:name="_Toc516501452"/>
      <w:bookmarkStart w:id="889" w:name="_Toc432194881"/>
      <w:bookmarkStart w:id="890" w:name="_Toc82683146"/>
      <w:bookmarkStart w:id="891" w:name="_Toc432106531"/>
      <w:bookmarkStart w:id="892" w:name="_Toc321836409"/>
      <w:bookmarkStart w:id="893" w:name="_Toc83328646"/>
      <w:bookmarkStart w:id="894" w:name="_Toc46765066"/>
      <w:r>
        <w:rPr>
          <w:rFonts w:hint="eastAsia" w:ascii="宋体" w:hAnsi="宋体" w:eastAsia="宋体" w:cs="宋体"/>
          <w:b/>
          <w:bCs w:val="0"/>
          <w:color w:val="auto"/>
          <w:sz w:val="24"/>
          <w:szCs w:val="24"/>
          <w:highlight w:val="none"/>
        </w:rPr>
        <w:t>3.磋商程序</w:t>
      </w:r>
      <w:bookmarkEnd w:id="888"/>
      <w:bookmarkEnd w:id="889"/>
      <w:bookmarkEnd w:id="890"/>
      <w:bookmarkEnd w:id="891"/>
      <w:bookmarkEnd w:id="892"/>
      <w:bookmarkEnd w:id="893"/>
      <w:bookmarkEnd w:id="894"/>
    </w:p>
    <w:p w14:paraId="4027EEFC">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895" w:name="_Toc83328647"/>
      <w:bookmarkStart w:id="896" w:name="_Toc432106532"/>
      <w:bookmarkStart w:id="897" w:name="_Toc82683147"/>
      <w:bookmarkStart w:id="898" w:name="_Toc432194882"/>
      <w:bookmarkStart w:id="899" w:name="_Toc321836410"/>
      <w:bookmarkStart w:id="900" w:name="_Toc516501453"/>
      <w:bookmarkStart w:id="901" w:name="_Toc46765067"/>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val="en-US" w:eastAsia="zh-CN"/>
        </w:rPr>
        <w:t>资格、符合性</w:t>
      </w:r>
      <w:r>
        <w:rPr>
          <w:rFonts w:hint="eastAsia" w:ascii="宋体" w:hAnsi="宋体" w:eastAsia="宋体" w:cs="宋体"/>
          <w:color w:val="auto"/>
          <w:sz w:val="24"/>
          <w:szCs w:val="24"/>
          <w:highlight w:val="none"/>
        </w:rPr>
        <w:t>评审</w:t>
      </w:r>
      <w:bookmarkEnd w:id="895"/>
      <w:bookmarkEnd w:id="896"/>
      <w:bookmarkEnd w:id="897"/>
      <w:bookmarkEnd w:id="898"/>
      <w:bookmarkEnd w:id="899"/>
      <w:bookmarkEnd w:id="900"/>
      <w:bookmarkEnd w:id="901"/>
    </w:p>
    <w:p w14:paraId="77A361C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3.1.1磋商小组依据本章第2.1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项、第2.</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2项规定的标准对响应文件进行评审。</w:t>
      </w:r>
      <w:r>
        <w:rPr>
          <w:rFonts w:hint="eastAsia" w:ascii="宋体" w:hAnsi="宋体" w:eastAsia="宋体" w:cs="宋体"/>
          <w:color w:val="auto"/>
          <w:kern w:val="0"/>
          <w:sz w:val="24"/>
          <w:szCs w:val="24"/>
          <w:highlight w:val="none"/>
        </w:rPr>
        <w:t>有一项不符合磋商标准的，不通过审查，不再参与磋商。当响应磋商文件</w:t>
      </w:r>
      <w:r>
        <w:rPr>
          <w:rFonts w:hint="eastAsia" w:ascii="宋体" w:hAnsi="宋体" w:eastAsia="宋体" w:cs="宋体"/>
          <w:color w:val="auto"/>
          <w:kern w:val="0"/>
          <w:sz w:val="24"/>
          <w:szCs w:val="24"/>
          <w:highlight w:val="none"/>
          <w:lang w:val="en-US" w:eastAsia="zh-CN"/>
        </w:rPr>
        <w:t>通过资格、符合性评审</w:t>
      </w:r>
      <w:r>
        <w:rPr>
          <w:rFonts w:hint="eastAsia" w:ascii="宋体" w:hAnsi="宋体" w:eastAsia="宋体" w:cs="宋体"/>
          <w:color w:val="auto"/>
          <w:kern w:val="0"/>
          <w:sz w:val="24"/>
          <w:szCs w:val="24"/>
          <w:highlight w:val="none"/>
        </w:rPr>
        <w:t>要求的供应商少于3家时，将终止本次竞争性磋商采购活动。</w:t>
      </w:r>
    </w:p>
    <w:p w14:paraId="15343F9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3.1.2磋商小组成员要依法独立审查，并对审查意见承担个人责任。磋商小组成员对需要共同认定的事项存在争议的，按照少数服从多数的原则做出结论。</w:t>
      </w:r>
    </w:p>
    <w:p w14:paraId="46FB56C2">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3.1.3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99E679B">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02" w:name="_Toc432194883"/>
      <w:bookmarkStart w:id="903" w:name="_Toc46765068"/>
      <w:bookmarkStart w:id="904" w:name="_Toc83328648"/>
      <w:bookmarkStart w:id="905" w:name="_Toc432106533"/>
      <w:bookmarkStart w:id="906" w:name="_Toc516501454"/>
      <w:bookmarkStart w:id="907" w:name="_Toc82683148"/>
      <w:r>
        <w:rPr>
          <w:rFonts w:hint="eastAsia" w:ascii="宋体" w:hAnsi="宋体" w:eastAsia="宋体" w:cs="宋体"/>
          <w:color w:val="auto"/>
          <w:sz w:val="24"/>
          <w:szCs w:val="24"/>
          <w:highlight w:val="none"/>
        </w:rPr>
        <w:t>3.2磋商及最后报价</w:t>
      </w:r>
      <w:bookmarkEnd w:id="902"/>
      <w:bookmarkEnd w:id="903"/>
      <w:bookmarkEnd w:id="904"/>
      <w:bookmarkEnd w:id="905"/>
      <w:bookmarkEnd w:id="906"/>
      <w:bookmarkEnd w:id="907"/>
    </w:p>
    <w:p w14:paraId="5D555401">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3.2.1磋商小组所有成员集中与通过</w:t>
      </w:r>
      <w:r>
        <w:rPr>
          <w:rFonts w:hint="eastAsia" w:ascii="宋体" w:hAnsi="宋体" w:eastAsia="宋体" w:cs="宋体"/>
          <w:color w:val="auto"/>
          <w:kern w:val="0"/>
          <w:sz w:val="24"/>
          <w:szCs w:val="24"/>
          <w:highlight w:val="none"/>
          <w:lang w:val="en-US" w:eastAsia="zh-CN"/>
        </w:rPr>
        <w:t>资格、符合性</w:t>
      </w:r>
      <w:r>
        <w:rPr>
          <w:rFonts w:hint="eastAsia" w:ascii="宋体" w:hAnsi="宋体" w:eastAsia="宋体" w:cs="宋体"/>
          <w:color w:val="auto"/>
          <w:kern w:val="0"/>
          <w:sz w:val="24"/>
          <w:szCs w:val="24"/>
          <w:highlight w:val="none"/>
        </w:rPr>
        <w:t>评审审查的单一供应商分别进行磋商。在磋商中，磋商的任何一方不得透露与磋商有关的其他供应商的技术资料、价格、折扣和其他信息。</w:t>
      </w:r>
    </w:p>
    <w:p w14:paraId="4718C66E">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3.2.2磋商文件有实质性变动的，磋商小组将经采购人代表确认后，以书面形式通知所有参加磋商的供应商。但不得对涉及竞争的公平、公正性内容进行修改、变动。</w:t>
      </w:r>
    </w:p>
    <w:p w14:paraId="53EBF36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3.2.3为有助于对响应文件的详细审查、评价和比较，磋商小组可要求对供应商分别进行技术询问、澄清，有关要求和答复均现场进行。</w:t>
      </w:r>
    </w:p>
    <w:p w14:paraId="6FA9627E">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DF5071C">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1F16D7F2">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3.2.6磋商结束后，磋商小组将要求所有继续参加磋商的供应商在规定时间内提交最后报价，提交最后报价的供应商不得少于3家。</w:t>
      </w:r>
    </w:p>
    <w:p w14:paraId="418B5268">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08" w:name="_Toc321836411"/>
      <w:bookmarkStart w:id="909" w:name="_Toc82683149"/>
      <w:bookmarkStart w:id="910" w:name="_Toc432194884"/>
      <w:bookmarkStart w:id="911" w:name="_Toc432106534"/>
      <w:bookmarkStart w:id="912" w:name="_Toc83328649"/>
      <w:bookmarkStart w:id="913" w:name="_Toc516501455"/>
      <w:bookmarkStart w:id="914" w:name="_Toc46765069"/>
      <w:r>
        <w:rPr>
          <w:rFonts w:hint="eastAsia" w:ascii="宋体" w:hAnsi="宋体" w:eastAsia="宋体" w:cs="宋体"/>
          <w:color w:val="auto"/>
          <w:sz w:val="24"/>
          <w:szCs w:val="24"/>
          <w:highlight w:val="none"/>
        </w:rPr>
        <w:t>3.</w:t>
      </w:r>
      <w:bookmarkEnd w:id="908"/>
      <w:r>
        <w:rPr>
          <w:rFonts w:hint="eastAsia" w:ascii="宋体" w:hAnsi="宋体" w:eastAsia="宋体" w:cs="宋体"/>
          <w:color w:val="auto"/>
          <w:sz w:val="24"/>
          <w:szCs w:val="24"/>
          <w:highlight w:val="none"/>
        </w:rPr>
        <w:t>3评分</w:t>
      </w:r>
      <w:bookmarkEnd w:id="909"/>
      <w:bookmarkEnd w:id="910"/>
      <w:bookmarkEnd w:id="911"/>
      <w:bookmarkEnd w:id="912"/>
      <w:bookmarkEnd w:id="913"/>
      <w:bookmarkEnd w:id="914"/>
    </w:p>
    <w:p w14:paraId="4B367D9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kern w:val="0"/>
          <w:sz w:val="24"/>
          <w:szCs w:val="24"/>
          <w:highlight w:val="none"/>
        </w:rPr>
        <w:t>磋商小组</w:t>
      </w:r>
      <w:r>
        <w:rPr>
          <w:rFonts w:hint="eastAsia" w:ascii="宋体" w:hAnsi="宋体" w:eastAsia="宋体" w:cs="宋体"/>
          <w:color w:val="auto"/>
          <w:sz w:val="24"/>
          <w:szCs w:val="24"/>
          <w:highlight w:val="none"/>
        </w:rPr>
        <w:t>按本章第2</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款规定的量化因素和分值进行打分，并计算出供应商的磋商总得分。对其他需要借助专业知识评判的主观评分项，应当严格按照评分细则公正评分。</w:t>
      </w:r>
    </w:p>
    <w:p w14:paraId="2AF3397E">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（1）按本章前附表的规定对磋商报价计算出得分F1；</w:t>
      </w:r>
    </w:p>
    <w:p w14:paraId="6E1A48E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（2）按本章前附表的规定对技术部分评分，得分F2；</w:t>
      </w:r>
    </w:p>
    <w:p w14:paraId="39877928">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rPr>
        <w:t>按本章前附表的规定对</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部分评分，得分F</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p>
    <w:p w14:paraId="7A796065">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按本章前附表的规定计算总得分。</w:t>
      </w:r>
    </w:p>
    <w:p w14:paraId="3C66249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3.3.2技术及商务部分得分由磋商小组成员独立评分，供应商各项评分因素得分为该项因素各评委评分的算术平均值（保留小数点后两位），小数点后第三位“四舍五入”。</w:t>
      </w:r>
    </w:p>
    <w:p w14:paraId="4DAC975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2D21D0CE">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3.4响应文件如果出现计算或表达上的错误，修正错误的原则如下：</w:t>
      </w:r>
    </w:p>
    <w:p w14:paraId="51754B40">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（一）响应文件中</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一览表内容与响应文件中相应内容不一致的，以</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一览表为准；</w:t>
      </w:r>
    </w:p>
    <w:p w14:paraId="5A8C9020">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（二）大写金额和小写金额不一致的，以大写金额为准；</w:t>
      </w:r>
    </w:p>
    <w:p w14:paraId="504573BC">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（三）单价金额小数点或者百分比有明显错位的，以</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一览表的总价为准，并修改单价；</w:t>
      </w:r>
    </w:p>
    <w:p w14:paraId="39B1F25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（四）总价金额与按单价汇总金额不一致的，以单价金额计算结果为准。</w:t>
      </w:r>
    </w:p>
    <w:p w14:paraId="20BF8C70">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p w14:paraId="52698F7D">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15" w:name="_Toc83328650"/>
      <w:bookmarkStart w:id="916" w:name="_Toc46765070"/>
      <w:bookmarkStart w:id="917" w:name="_Toc432106535"/>
      <w:bookmarkStart w:id="918" w:name="_Toc82683150"/>
      <w:bookmarkStart w:id="919" w:name="_Toc432194885"/>
      <w:bookmarkStart w:id="920" w:name="_Toc321836413"/>
      <w:bookmarkStart w:id="921" w:name="_Toc516501456"/>
      <w:r>
        <w:rPr>
          <w:rFonts w:hint="eastAsia" w:ascii="宋体" w:hAnsi="宋体" w:eastAsia="宋体" w:cs="宋体"/>
          <w:color w:val="auto"/>
          <w:sz w:val="24"/>
          <w:szCs w:val="24"/>
          <w:highlight w:val="none"/>
        </w:rPr>
        <w:t>3.5 磋商结果</w:t>
      </w:r>
      <w:bookmarkEnd w:id="915"/>
      <w:bookmarkEnd w:id="916"/>
      <w:bookmarkEnd w:id="917"/>
      <w:bookmarkEnd w:id="918"/>
      <w:bookmarkEnd w:id="919"/>
      <w:bookmarkEnd w:id="920"/>
      <w:bookmarkEnd w:id="921"/>
    </w:p>
    <w:p w14:paraId="181EB848">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3.5.1磋商小组按最终得分由高到低顺序推荐成交候选人，并提出书面评标报告。</w:t>
      </w:r>
    </w:p>
    <w:p w14:paraId="3BAFE4D4">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采购人根据磋商小组提出的书面评标报告和推荐的成交候选人名单，确定成交人。</w:t>
      </w:r>
    </w:p>
    <w:p w14:paraId="4E66CC62">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bookmarkStart w:id="922" w:name="_Toc125054732"/>
    </w:p>
    <w:p w14:paraId="7819C15E">
      <w:pPr>
        <w:rPr>
          <w:rFonts w:hint="eastAsia" w:ascii="宋体" w:hAnsi="宋体" w:eastAsia="宋体" w:cs="宋体"/>
          <w:color w:val="auto"/>
          <w:sz w:val="24"/>
          <w:szCs w:val="24"/>
          <w:highlight w:val="none"/>
        </w:rPr>
      </w:pPr>
    </w:p>
    <w:bookmarkEnd w:id="922"/>
    <w:p w14:paraId="5203950B">
      <w:pPr>
        <w:rPr>
          <w:rFonts w:hint="eastAsia" w:ascii="宋体" w:hAnsi="宋体" w:eastAsia="宋体" w:cs="宋体"/>
          <w:color w:val="auto"/>
          <w:sz w:val="24"/>
          <w:szCs w:val="24"/>
          <w:highlight w:val="none"/>
        </w:rPr>
      </w:pPr>
    </w:p>
    <w:p w14:paraId="5A636ECC">
      <w:pPr>
        <w:rPr>
          <w:color w:val="auto"/>
          <w:highlight w:val="none"/>
        </w:rPr>
      </w:pPr>
    </w:p>
    <w:p w14:paraId="7B40773E"/>
    <w:sectPr>
      <w:pgSz w:w="11906" w:h="16838"/>
      <w:pgMar w:top="1440" w:right="1440" w:bottom="1440" w:left="1440" w:header="850" w:footer="992" w:gutter="0"/>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C9D9">
    <w:pPr>
      <w:pStyle w:val="1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C10EA">
                          <w:pPr>
                            <w:pStyle w:val="10"/>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16C10EA">
                    <w:pPr>
                      <w:pStyle w:val="10"/>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00B1">
    <w:pPr>
      <w:pStyle w:val="11"/>
      <w:pBdr>
        <w:bottom w:val="none" w:color="auto" w:sz="0" w:space="1"/>
      </w:pBdr>
      <w:jc w:val="both"/>
      <w:rPr>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BC5C">
    <w:pPr>
      <w:pStyle w:val="11"/>
      <w:pBdr>
        <w:bottom w:val="none" w:color="auto" w:sz="0" w:space="1"/>
      </w:pBdr>
      <w:tabs>
        <w:tab w:val="left" w:pos="2228"/>
        <w:tab w:val="clear" w:pos="4153"/>
      </w:tabs>
      <w:jc w:val="left"/>
      <w:rPr>
        <w:rFonts w:hint="eastAsia" w:eastAsia="宋体"/>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C46FF1"/>
    <w:rsid w:val="00225378"/>
    <w:rsid w:val="00700335"/>
    <w:rsid w:val="00704336"/>
    <w:rsid w:val="009E3B2C"/>
    <w:rsid w:val="009F4C1B"/>
    <w:rsid w:val="00E16FE2"/>
    <w:rsid w:val="014852B3"/>
    <w:rsid w:val="01695955"/>
    <w:rsid w:val="01A77A83"/>
    <w:rsid w:val="01FB0577"/>
    <w:rsid w:val="022A49B8"/>
    <w:rsid w:val="025F0B06"/>
    <w:rsid w:val="026406C0"/>
    <w:rsid w:val="02AF6974"/>
    <w:rsid w:val="02B349AE"/>
    <w:rsid w:val="02C1356F"/>
    <w:rsid w:val="02FE3E7B"/>
    <w:rsid w:val="03165668"/>
    <w:rsid w:val="03253AFD"/>
    <w:rsid w:val="03750ED4"/>
    <w:rsid w:val="0397575D"/>
    <w:rsid w:val="03B76BCA"/>
    <w:rsid w:val="03C84489"/>
    <w:rsid w:val="03C86237"/>
    <w:rsid w:val="03CE7CF1"/>
    <w:rsid w:val="03CF3A69"/>
    <w:rsid w:val="03F76119"/>
    <w:rsid w:val="041E22FB"/>
    <w:rsid w:val="044C330C"/>
    <w:rsid w:val="048760F2"/>
    <w:rsid w:val="048E56D2"/>
    <w:rsid w:val="04EE0073"/>
    <w:rsid w:val="0534627A"/>
    <w:rsid w:val="05616943"/>
    <w:rsid w:val="059D4944"/>
    <w:rsid w:val="05A52CD4"/>
    <w:rsid w:val="05B367D5"/>
    <w:rsid w:val="05DC421B"/>
    <w:rsid w:val="05DE7F94"/>
    <w:rsid w:val="05F31C91"/>
    <w:rsid w:val="061F2A86"/>
    <w:rsid w:val="0633208D"/>
    <w:rsid w:val="06581AF4"/>
    <w:rsid w:val="06826B71"/>
    <w:rsid w:val="06B70F10"/>
    <w:rsid w:val="06E25698"/>
    <w:rsid w:val="06E635A4"/>
    <w:rsid w:val="076B3AA9"/>
    <w:rsid w:val="078B7694"/>
    <w:rsid w:val="07EF6488"/>
    <w:rsid w:val="0817778D"/>
    <w:rsid w:val="0849203C"/>
    <w:rsid w:val="08721F1C"/>
    <w:rsid w:val="08986B20"/>
    <w:rsid w:val="08A92ADB"/>
    <w:rsid w:val="08D86F1C"/>
    <w:rsid w:val="08F63846"/>
    <w:rsid w:val="093E0D0D"/>
    <w:rsid w:val="09BE4364"/>
    <w:rsid w:val="09F725D2"/>
    <w:rsid w:val="0A4C5E14"/>
    <w:rsid w:val="0A7669ED"/>
    <w:rsid w:val="0A79028B"/>
    <w:rsid w:val="0A7D7D7B"/>
    <w:rsid w:val="0A892BC4"/>
    <w:rsid w:val="0A8A2498"/>
    <w:rsid w:val="0A8C7FBE"/>
    <w:rsid w:val="0B2E4928"/>
    <w:rsid w:val="0B534F80"/>
    <w:rsid w:val="0B575FDC"/>
    <w:rsid w:val="0BF978D5"/>
    <w:rsid w:val="0C297A4A"/>
    <w:rsid w:val="0C2F28FF"/>
    <w:rsid w:val="0C3C3C66"/>
    <w:rsid w:val="0C61547A"/>
    <w:rsid w:val="0C7C59A3"/>
    <w:rsid w:val="0C8278CB"/>
    <w:rsid w:val="0C9910B8"/>
    <w:rsid w:val="0CF63E15"/>
    <w:rsid w:val="0D215336"/>
    <w:rsid w:val="0D705975"/>
    <w:rsid w:val="0DA47D15"/>
    <w:rsid w:val="0DA7666B"/>
    <w:rsid w:val="0E0013EF"/>
    <w:rsid w:val="0E2055ED"/>
    <w:rsid w:val="0E370B89"/>
    <w:rsid w:val="0E4536AF"/>
    <w:rsid w:val="0F2C4B67"/>
    <w:rsid w:val="0F3F7CF5"/>
    <w:rsid w:val="0F41761A"/>
    <w:rsid w:val="0F4946D0"/>
    <w:rsid w:val="0F626485"/>
    <w:rsid w:val="0FAD0CF9"/>
    <w:rsid w:val="10073E3A"/>
    <w:rsid w:val="102E0898"/>
    <w:rsid w:val="103A04BC"/>
    <w:rsid w:val="10725EA8"/>
    <w:rsid w:val="10D12BCF"/>
    <w:rsid w:val="1103267B"/>
    <w:rsid w:val="112847B9"/>
    <w:rsid w:val="112B7251"/>
    <w:rsid w:val="11493EB8"/>
    <w:rsid w:val="116F149C"/>
    <w:rsid w:val="11BD75F7"/>
    <w:rsid w:val="11C646FD"/>
    <w:rsid w:val="11E06E41"/>
    <w:rsid w:val="11F34DC7"/>
    <w:rsid w:val="120B3EBE"/>
    <w:rsid w:val="12837EF9"/>
    <w:rsid w:val="129739A4"/>
    <w:rsid w:val="12AD1419"/>
    <w:rsid w:val="12F157AA"/>
    <w:rsid w:val="13011698"/>
    <w:rsid w:val="13075AC1"/>
    <w:rsid w:val="134A310C"/>
    <w:rsid w:val="13D12EE6"/>
    <w:rsid w:val="13D84274"/>
    <w:rsid w:val="13E72709"/>
    <w:rsid w:val="14092680"/>
    <w:rsid w:val="141D25CF"/>
    <w:rsid w:val="145558C5"/>
    <w:rsid w:val="146355DB"/>
    <w:rsid w:val="146D0E60"/>
    <w:rsid w:val="14814789"/>
    <w:rsid w:val="149D101A"/>
    <w:rsid w:val="14DE1D5E"/>
    <w:rsid w:val="14EF1875"/>
    <w:rsid w:val="15595889"/>
    <w:rsid w:val="1653052A"/>
    <w:rsid w:val="1686445B"/>
    <w:rsid w:val="169C3321"/>
    <w:rsid w:val="16B0772A"/>
    <w:rsid w:val="16C84A74"/>
    <w:rsid w:val="16F75359"/>
    <w:rsid w:val="16FD49CC"/>
    <w:rsid w:val="174A36DB"/>
    <w:rsid w:val="17C57205"/>
    <w:rsid w:val="17E01949"/>
    <w:rsid w:val="17E72CD8"/>
    <w:rsid w:val="185357A3"/>
    <w:rsid w:val="18893FAB"/>
    <w:rsid w:val="188E3A68"/>
    <w:rsid w:val="188E58CE"/>
    <w:rsid w:val="18950986"/>
    <w:rsid w:val="18A25F8A"/>
    <w:rsid w:val="18A673D2"/>
    <w:rsid w:val="18F2402A"/>
    <w:rsid w:val="191856DA"/>
    <w:rsid w:val="19502AFF"/>
    <w:rsid w:val="19722A75"/>
    <w:rsid w:val="19A414D1"/>
    <w:rsid w:val="19C31523"/>
    <w:rsid w:val="19F53862"/>
    <w:rsid w:val="1A646862"/>
    <w:rsid w:val="1A6E76E0"/>
    <w:rsid w:val="1A9A7C01"/>
    <w:rsid w:val="1AB37EB1"/>
    <w:rsid w:val="1B2B3823"/>
    <w:rsid w:val="1B397CEE"/>
    <w:rsid w:val="1B3B05A3"/>
    <w:rsid w:val="1B6859C8"/>
    <w:rsid w:val="1B6C00C4"/>
    <w:rsid w:val="1B7B362F"/>
    <w:rsid w:val="1BE475D2"/>
    <w:rsid w:val="1BF43C15"/>
    <w:rsid w:val="1BF66B1E"/>
    <w:rsid w:val="1C0A3439"/>
    <w:rsid w:val="1C422BD3"/>
    <w:rsid w:val="1C5B3AC1"/>
    <w:rsid w:val="1C7D00AF"/>
    <w:rsid w:val="1C84014B"/>
    <w:rsid w:val="1C9D605B"/>
    <w:rsid w:val="1CC61A56"/>
    <w:rsid w:val="1CFA525B"/>
    <w:rsid w:val="1D17405F"/>
    <w:rsid w:val="1D210A3A"/>
    <w:rsid w:val="1D305121"/>
    <w:rsid w:val="1DA82F09"/>
    <w:rsid w:val="1DCB4E4A"/>
    <w:rsid w:val="1DD97567"/>
    <w:rsid w:val="1E053135"/>
    <w:rsid w:val="1E340C41"/>
    <w:rsid w:val="1E3B0E9F"/>
    <w:rsid w:val="1E432C32"/>
    <w:rsid w:val="1E650DFA"/>
    <w:rsid w:val="1E863E28"/>
    <w:rsid w:val="1EE560EB"/>
    <w:rsid w:val="1EEC32CA"/>
    <w:rsid w:val="1F0979D8"/>
    <w:rsid w:val="1FB94E96"/>
    <w:rsid w:val="1FF40688"/>
    <w:rsid w:val="20621A95"/>
    <w:rsid w:val="206550E2"/>
    <w:rsid w:val="206A094A"/>
    <w:rsid w:val="209854B7"/>
    <w:rsid w:val="20A025BE"/>
    <w:rsid w:val="20AE4CDA"/>
    <w:rsid w:val="20B6593D"/>
    <w:rsid w:val="20D5619C"/>
    <w:rsid w:val="20D846F0"/>
    <w:rsid w:val="2130749E"/>
    <w:rsid w:val="21731A80"/>
    <w:rsid w:val="21D97A24"/>
    <w:rsid w:val="22544B91"/>
    <w:rsid w:val="22760B92"/>
    <w:rsid w:val="22781C3A"/>
    <w:rsid w:val="22F17100"/>
    <w:rsid w:val="234A1577"/>
    <w:rsid w:val="236D2CDB"/>
    <w:rsid w:val="239A2AEB"/>
    <w:rsid w:val="239C32CE"/>
    <w:rsid w:val="23AB32D1"/>
    <w:rsid w:val="23BA1BE8"/>
    <w:rsid w:val="23FC5D5D"/>
    <w:rsid w:val="243E6375"/>
    <w:rsid w:val="244B2840"/>
    <w:rsid w:val="247B1C8F"/>
    <w:rsid w:val="24A7216D"/>
    <w:rsid w:val="24BE3012"/>
    <w:rsid w:val="24CA19B7"/>
    <w:rsid w:val="24FD1D8D"/>
    <w:rsid w:val="250255F5"/>
    <w:rsid w:val="25081502"/>
    <w:rsid w:val="25257535"/>
    <w:rsid w:val="25D303E8"/>
    <w:rsid w:val="26451C3D"/>
    <w:rsid w:val="266A16A4"/>
    <w:rsid w:val="26FD1AB5"/>
    <w:rsid w:val="27117A20"/>
    <w:rsid w:val="27AB3FDB"/>
    <w:rsid w:val="27AC7A9A"/>
    <w:rsid w:val="27C86424"/>
    <w:rsid w:val="27CB7F20"/>
    <w:rsid w:val="2818512F"/>
    <w:rsid w:val="28485A15"/>
    <w:rsid w:val="28D42E04"/>
    <w:rsid w:val="28D64DCE"/>
    <w:rsid w:val="29115E06"/>
    <w:rsid w:val="295C2DFA"/>
    <w:rsid w:val="29A547A1"/>
    <w:rsid w:val="29B13146"/>
    <w:rsid w:val="2A481416"/>
    <w:rsid w:val="2A4D7312"/>
    <w:rsid w:val="2A976200"/>
    <w:rsid w:val="2B110340"/>
    <w:rsid w:val="2B116592"/>
    <w:rsid w:val="2B2D2CA0"/>
    <w:rsid w:val="2B763693"/>
    <w:rsid w:val="2B7B1C5D"/>
    <w:rsid w:val="2B8112F3"/>
    <w:rsid w:val="2B940F71"/>
    <w:rsid w:val="2BF47D81"/>
    <w:rsid w:val="2C0954BB"/>
    <w:rsid w:val="2C2E3173"/>
    <w:rsid w:val="2C4464F3"/>
    <w:rsid w:val="2C602C01"/>
    <w:rsid w:val="2C6C77F8"/>
    <w:rsid w:val="2C8132A3"/>
    <w:rsid w:val="2CC87124"/>
    <w:rsid w:val="2CF27CFD"/>
    <w:rsid w:val="2D012636"/>
    <w:rsid w:val="2D1C2FCC"/>
    <w:rsid w:val="2D713318"/>
    <w:rsid w:val="2D906CA3"/>
    <w:rsid w:val="2DD613CD"/>
    <w:rsid w:val="2DE03682"/>
    <w:rsid w:val="2DF35764"/>
    <w:rsid w:val="2E617F5B"/>
    <w:rsid w:val="2EBD197B"/>
    <w:rsid w:val="2ED04CEF"/>
    <w:rsid w:val="2ED718A0"/>
    <w:rsid w:val="2F126434"/>
    <w:rsid w:val="2F264BFE"/>
    <w:rsid w:val="2F6649D2"/>
    <w:rsid w:val="2FD4018C"/>
    <w:rsid w:val="2FDE6C5E"/>
    <w:rsid w:val="2FE34275"/>
    <w:rsid w:val="30234671"/>
    <w:rsid w:val="30C145B6"/>
    <w:rsid w:val="30D8545C"/>
    <w:rsid w:val="30F63CDD"/>
    <w:rsid w:val="30F87246"/>
    <w:rsid w:val="313C1E8F"/>
    <w:rsid w:val="31442AF1"/>
    <w:rsid w:val="31750EFD"/>
    <w:rsid w:val="31AD0696"/>
    <w:rsid w:val="3207249C"/>
    <w:rsid w:val="32430FFB"/>
    <w:rsid w:val="326E42CA"/>
    <w:rsid w:val="3276166B"/>
    <w:rsid w:val="32794A1C"/>
    <w:rsid w:val="32881EBD"/>
    <w:rsid w:val="32A777DC"/>
    <w:rsid w:val="32C4038E"/>
    <w:rsid w:val="32D57EA5"/>
    <w:rsid w:val="3317670F"/>
    <w:rsid w:val="333336AA"/>
    <w:rsid w:val="33865643"/>
    <w:rsid w:val="338813BB"/>
    <w:rsid w:val="33C85218"/>
    <w:rsid w:val="33D068BE"/>
    <w:rsid w:val="33E12879"/>
    <w:rsid w:val="34076784"/>
    <w:rsid w:val="34180991"/>
    <w:rsid w:val="34C46FF1"/>
    <w:rsid w:val="34EB6660"/>
    <w:rsid w:val="35044A71"/>
    <w:rsid w:val="354D6418"/>
    <w:rsid w:val="35665BAB"/>
    <w:rsid w:val="35725E7F"/>
    <w:rsid w:val="3575596F"/>
    <w:rsid w:val="359758E5"/>
    <w:rsid w:val="35977890"/>
    <w:rsid w:val="35A56272"/>
    <w:rsid w:val="35CF1523"/>
    <w:rsid w:val="35E054DE"/>
    <w:rsid w:val="35F52453"/>
    <w:rsid w:val="362058DB"/>
    <w:rsid w:val="36873BAC"/>
    <w:rsid w:val="369E0EF6"/>
    <w:rsid w:val="36BB1AA7"/>
    <w:rsid w:val="36D455B4"/>
    <w:rsid w:val="37394EDD"/>
    <w:rsid w:val="37B24C58"/>
    <w:rsid w:val="37B85D23"/>
    <w:rsid w:val="38577CE0"/>
    <w:rsid w:val="38613F89"/>
    <w:rsid w:val="38663D74"/>
    <w:rsid w:val="386C12AB"/>
    <w:rsid w:val="387E4B3B"/>
    <w:rsid w:val="389205E6"/>
    <w:rsid w:val="38C61DEC"/>
    <w:rsid w:val="38EF3C8A"/>
    <w:rsid w:val="39561614"/>
    <w:rsid w:val="399565E0"/>
    <w:rsid w:val="39BB6527"/>
    <w:rsid w:val="39FE4185"/>
    <w:rsid w:val="3A033549"/>
    <w:rsid w:val="3A2B0CF2"/>
    <w:rsid w:val="3AAA1C17"/>
    <w:rsid w:val="3AB17449"/>
    <w:rsid w:val="3ABB3E24"/>
    <w:rsid w:val="3AC53B44"/>
    <w:rsid w:val="3B2319C9"/>
    <w:rsid w:val="3B31058A"/>
    <w:rsid w:val="3B44206B"/>
    <w:rsid w:val="3BB46EA5"/>
    <w:rsid w:val="3BC9079A"/>
    <w:rsid w:val="3BE473AB"/>
    <w:rsid w:val="3C2D67DC"/>
    <w:rsid w:val="3C494E86"/>
    <w:rsid w:val="3C4D31A2"/>
    <w:rsid w:val="3C616C4D"/>
    <w:rsid w:val="3C812E4B"/>
    <w:rsid w:val="3CAD1E92"/>
    <w:rsid w:val="3CF11D7F"/>
    <w:rsid w:val="3D2E4D81"/>
    <w:rsid w:val="3D4E0F7F"/>
    <w:rsid w:val="3DA94408"/>
    <w:rsid w:val="3DC54FBA"/>
    <w:rsid w:val="3DC7495D"/>
    <w:rsid w:val="3DCB25D0"/>
    <w:rsid w:val="3DF8713D"/>
    <w:rsid w:val="3E29379B"/>
    <w:rsid w:val="3E2B306F"/>
    <w:rsid w:val="3E432AAE"/>
    <w:rsid w:val="3E756BB2"/>
    <w:rsid w:val="3F2D72BA"/>
    <w:rsid w:val="3F3044EF"/>
    <w:rsid w:val="3F4343E8"/>
    <w:rsid w:val="3F4C14EF"/>
    <w:rsid w:val="3F790587"/>
    <w:rsid w:val="3FAD3834"/>
    <w:rsid w:val="3FB13A48"/>
    <w:rsid w:val="3FB47094"/>
    <w:rsid w:val="3FC76DC7"/>
    <w:rsid w:val="3FF027C2"/>
    <w:rsid w:val="3FF97AD9"/>
    <w:rsid w:val="40161AFD"/>
    <w:rsid w:val="40826184"/>
    <w:rsid w:val="4090365D"/>
    <w:rsid w:val="40F9106A"/>
    <w:rsid w:val="41320BB8"/>
    <w:rsid w:val="41840C58"/>
    <w:rsid w:val="41DD0B24"/>
    <w:rsid w:val="41FB71FC"/>
    <w:rsid w:val="420C2580"/>
    <w:rsid w:val="4250579A"/>
    <w:rsid w:val="4269060A"/>
    <w:rsid w:val="42BD2703"/>
    <w:rsid w:val="42C45840"/>
    <w:rsid w:val="42C817D4"/>
    <w:rsid w:val="42D812EB"/>
    <w:rsid w:val="42E67EAC"/>
    <w:rsid w:val="430E6611"/>
    <w:rsid w:val="431F6F1A"/>
    <w:rsid w:val="436508A4"/>
    <w:rsid w:val="436C6603"/>
    <w:rsid w:val="438C2802"/>
    <w:rsid w:val="43A062AD"/>
    <w:rsid w:val="43B27D8E"/>
    <w:rsid w:val="43CB40B5"/>
    <w:rsid w:val="43F6411F"/>
    <w:rsid w:val="43F9776B"/>
    <w:rsid w:val="44953276"/>
    <w:rsid w:val="44AE2357"/>
    <w:rsid w:val="44EB17AA"/>
    <w:rsid w:val="44EF49CC"/>
    <w:rsid w:val="44FA19ED"/>
    <w:rsid w:val="451A208F"/>
    <w:rsid w:val="454315E6"/>
    <w:rsid w:val="4645313C"/>
    <w:rsid w:val="46565349"/>
    <w:rsid w:val="469D4D26"/>
    <w:rsid w:val="469F45FA"/>
    <w:rsid w:val="473B0DCB"/>
    <w:rsid w:val="479E26CA"/>
    <w:rsid w:val="47C307BC"/>
    <w:rsid w:val="486024AF"/>
    <w:rsid w:val="48677399"/>
    <w:rsid w:val="486E697A"/>
    <w:rsid w:val="48D76111"/>
    <w:rsid w:val="490177EE"/>
    <w:rsid w:val="492139EC"/>
    <w:rsid w:val="496F29A9"/>
    <w:rsid w:val="49700C84"/>
    <w:rsid w:val="497D499A"/>
    <w:rsid w:val="49891591"/>
    <w:rsid w:val="49AB2384"/>
    <w:rsid w:val="49DB003F"/>
    <w:rsid w:val="49ED38CE"/>
    <w:rsid w:val="49F61757"/>
    <w:rsid w:val="4A4D25BF"/>
    <w:rsid w:val="4B2077D6"/>
    <w:rsid w:val="4B3043BA"/>
    <w:rsid w:val="4B69167A"/>
    <w:rsid w:val="4BDB662F"/>
    <w:rsid w:val="4C417F01"/>
    <w:rsid w:val="4C4874E2"/>
    <w:rsid w:val="4CAC7A71"/>
    <w:rsid w:val="4D7C38E7"/>
    <w:rsid w:val="4DAB7D28"/>
    <w:rsid w:val="4DD0778F"/>
    <w:rsid w:val="4E210B5F"/>
    <w:rsid w:val="4E265601"/>
    <w:rsid w:val="4E50267E"/>
    <w:rsid w:val="4E710F72"/>
    <w:rsid w:val="4E7C3473"/>
    <w:rsid w:val="4E9764FE"/>
    <w:rsid w:val="4EA50C1B"/>
    <w:rsid w:val="4ED65279"/>
    <w:rsid w:val="4EEC23A6"/>
    <w:rsid w:val="4F166D98"/>
    <w:rsid w:val="4F3F2E1E"/>
    <w:rsid w:val="4FBF7B9C"/>
    <w:rsid w:val="502349AD"/>
    <w:rsid w:val="502B49B8"/>
    <w:rsid w:val="503F29AA"/>
    <w:rsid w:val="50A849F3"/>
    <w:rsid w:val="50CA6717"/>
    <w:rsid w:val="50D6330E"/>
    <w:rsid w:val="50DE21C3"/>
    <w:rsid w:val="50FE2865"/>
    <w:rsid w:val="51477D68"/>
    <w:rsid w:val="514A7858"/>
    <w:rsid w:val="51713037"/>
    <w:rsid w:val="517B5C63"/>
    <w:rsid w:val="51B47E26"/>
    <w:rsid w:val="521D6D1B"/>
    <w:rsid w:val="52214A5D"/>
    <w:rsid w:val="52B72CCB"/>
    <w:rsid w:val="52CA751B"/>
    <w:rsid w:val="52EC6E19"/>
    <w:rsid w:val="532760A3"/>
    <w:rsid w:val="5331489C"/>
    <w:rsid w:val="53A05E55"/>
    <w:rsid w:val="53A27940"/>
    <w:rsid w:val="53B13BBE"/>
    <w:rsid w:val="542B1BC3"/>
    <w:rsid w:val="54505185"/>
    <w:rsid w:val="547075D6"/>
    <w:rsid w:val="548B52F7"/>
    <w:rsid w:val="54D44008"/>
    <w:rsid w:val="55006BAB"/>
    <w:rsid w:val="55052414"/>
    <w:rsid w:val="5518310D"/>
    <w:rsid w:val="55A21A11"/>
    <w:rsid w:val="55E71B19"/>
    <w:rsid w:val="55FB7373"/>
    <w:rsid w:val="55FD133D"/>
    <w:rsid w:val="55FE0676"/>
    <w:rsid w:val="560501F2"/>
    <w:rsid w:val="56165D9A"/>
    <w:rsid w:val="56C97471"/>
    <w:rsid w:val="56D35134"/>
    <w:rsid w:val="571C1C97"/>
    <w:rsid w:val="57224A1D"/>
    <w:rsid w:val="57530502"/>
    <w:rsid w:val="5774562F"/>
    <w:rsid w:val="57BD5228"/>
    <w:rsid w:val="57C33EC0"/>
    <w:rsid w:val="57CE2543"/>
    <w:rsid w:val="57D52571"/>
    <w:rsid w:val="57D936E4"/>
    <w:rsid w:val="57E91B79"/>
    <w:rsid w:val="57EB6BE5"/>
    <w:rsid w:val="58093FC9"/>
    <w:rsid w:val="58117322"/>
    <w:rsid w:val="58586CFE"/>
    <w:rsid w:val="587D49B7"/>
    <w:rsid w:val="58847AF3"/>
    <w:rsid w:val="58A22A5F"/>
    <w:rsid w:val="58A261CC"/>
    <w:rsid w:val="58A75590"/>
    <w:rsid w:val="58F05189"/>
    <w:rsid w:val="58F85DEC"/>
    <w:rsid w:val="593434C3"/>
    <w:rsid w:val="598D75DA"/>
    <w:rsid w:val="599E6993"/>
    <w:rsid w:val="59A640FF"/>
    <w:rsid w:val="59CA7788"/>
    <w:rsid w:val="59D93E6F"/>
    <w:rsid w:val="59EE791A"/>
    <w:rsid w:val="59F91E1B"/>
    <w:rsid w:val="5A0175B2"/>
    <w:rsid w:val="5A7122F9"/>
    <w:rsid w:val="5A9D4E9D"/>
    <w:rsid w:val="5B21787C"/>
    <w:rsid w:val="5B392E17"/>
    <w:rsid w:val="5BA81D4B"/>
    <w:rsid w:val="5BCB77E7"/>
    <w:rsid w:val="5BE663CF"/>
    <w:rsid w:val="5BF925A6"/>
    <w:rsid w:val="5C0827EA"/>
    <w:rsid w:val="5C25339C"/>
    <w:rsid w:val="5C2E2250"/>
    <w:rsid w:val="5CB07109"/>
    <w:rsid w:val="5CB32755"/>
    <w:rsid w:val="5D7A3273"/>
    <w:rsid w:val="5D9A3915"/>
    <w:rsid w:val="5D9F0F2C"/>
    <w:rsid w:val="5E176D14"/>
    <w:rsid w:val="5E2B7EEF"/>
    <w:rsid w:val="5E341674"/>
    <w:rsid w:val="5E3D423F"/>
    <w:rsid w:val="5E8343A9"/>
    <w:rsid w:val="5E9B7945"/>
    <w:rsid w:val="5F2C67EF"/>
    <w:rsid w:val="5F50072F"/>
    <w:rsid w:val="5F5F4E16"/>
    <w:rsid w:val="5F677827"/>
    <w:rsid w:val="5F9F5213"/>
    <w:rsid w:val="5FCB124D"/>
    <w:rsid w:val="5FD64512"/>
    <w:rsid w:val="5FE01AB3"/>
    <w:rsid w:val="5FF217E7"/>
    <w:rsid w:val="60025ECE"/>
    <w:rsid w:val="60166DC3"/>
    <w:rsid w:val="60237BF2"/>
    <w:rsid w:val="605D1356"/>
    <w:rsid w:val="6069043F"/>
    <w:rsid w:val="607661DF"/>
    <w:rsid w:val="607C7302"/>
    <w:rsid w:val="60BF7158"/>
    <w:rsid w:val="60E94998"/>
    <w:rsid w:val="610011A7"/>
    <w:rsid w:val="611F620B"/>
    <w:rsid w:val="616816BC"/>
    <w:rsid w:val="616B35FF"/>
    <w:rsid w:val="61AA454F"/>
    <w:rsid w:val="61CB22EF"/>
    <w:rsid w:val="61DE0274"/>
    <w:rsid w:val="61F23D20"/>
    <w:rsid w:val="620A72BB"/>
    <w:rsid w:val="62397BA1"/>
    <w:rsid w:val="62976675"/>
    <w:rsid w:val="629B43B7"/>
    <w:rsid w:val="62FF0CEC"/>
    <w:rsid w:val="633009B6"/>
    <w:rsid w:val="637075F2"/>
    <w:rsid w:val="63BC427C"/>
    <w:rsid w:val="63DC4C88"/>
    <w:rsid w:val="64236413"/>
    <w:rsid w:val="6472739A"/>
    <w:rsid w:val="64CE3539"/>
    <w:rsid w:val="64DD6562"/>
    <w:rsid w:val="64EF7455"/>
    <w:rsid w:val="650F4BE9"/>
    <w:rsid w:val="651A5A67"/>
    <w:rsid w:val="657F3B1C"/>
    <w:rsid w:val="65A972CE"/>
    <w:rsid w:val="65C227B3"/>
    <w:rsid w:val="66100C18"/>
    <w:rsid w:val="664B1C51"/>
    <w:rsid w:val="664F7993"/>
    <w:rsid w:val="66833651"/>
    <w:rsid w:val="66903B07"/>
    <w:rsid w:val="66D32372"/>
    <w:rsid w:val="66EF082E"/>
    <w:rsid w:val="670D6F06"/>
    <w:rsid w:val="67892A30"/>
    <w:rsid w:val="67ED7463"/>
    <w:rsid w:val="680622D3"/>
    <w:rsid w:val="68430893"/>
    <w:rsid w:val="68442DFB"/>
    <w:rsid w:val="687A4A6F"/>
    <w:rsid w:val="68A13DAA"/>
    <w:rsid w:val="690F6F65"/>
    <w:rsid w:val="69124CA8"/>
    <w:rsid w:val="69286279"/>
    <w:rsid w:val="693410C2"/>
    <w:rsid w:val="694035C3"/>
    <w:rsid w:val="69584DB0"/>
    <w:rsid w:val="696F5C56"/>
    <w:rsid w:val="69823BDB"/>
    <w:rsid w:val="699F478D"/>
    <w:rsid w:val="69A51678"/>
    <w:rsid w:val="69AD2286"/>
    <w:rsid w:val="69C75A92"/>
    <w:rsid w:val="6A2133F4"/>
    <w:rsid w:val="6A266C5C"/>
    <w:rsid w:val="6A3C6480"/>
    <w:rsid w:val="6A582B8E"/>
    <w:rsid w:val="6A7259FE"/>
    <w:rsid w:val="6A7E1191"/>
    <w:rsid w:val="6A8219B9"/>
    <w:rsid w:val="6AA06B2D"/>
    <w:rsid w:val="6AAB7BD1"/>
    <w:rsid w:val="6ABE6E95"/>
    <w:rsid w:val="6B4D2C64"/>
    <w:rsid w:val="6B572E46"/>
    <w:rsid w:val="6B5C02ED"/>
    <w:rsid w:val="6B5C045C"/>
    <w:rsid w:val="6BB73C7B"/>
    <w:rsid w:val="6BC24763"/>
    <w:rsid w:val="6BE02E3B"/>
    <w:rsid w:val="6C005EAC"/>
    <w:rsid w:val="6C150D37"/>
    <w:rsid w:val="6C3B11AE"/>
    <w:rsid w:val="6C5D5536"/>
    <w:rsid w:val="6C7812C6"/>
    <w:rsid w:val="6C7D3833"/>
    <w:rsid w:val="6CBA368C"/>
    <w:rsid w:val="6D2901B4"/>
    <w:rsid w:val="6D2D20B0"/>
    <w:rsid w:val="6D415B5B"/>
    <w:rsid w:val="6D6F4477"/>
    <w:rsid w:val="6DA85BDA"/>
    <w:rsid w:val="6DB427D1"/>
    <w:rsid w:val="6DF350A8"/>
    <w:rsid w:val="6E0A23F1"/>
    <w:rsid w:val="6E1312A6"/>
    <w:rsid w:val="6E482032"/>
    <w:rsid w:val="6E8E4DD0"/>
    <w:rsid w:val="6ED36C87"/>
    <w:rsid w:val="6EEB2223"/>
    <w:rsid w:val="6F317BB1"/>
    <w:rsid w:val="6F3C482C"/>
    <w:rsid w:val="6F9603E0"/>
    <w:rsid w:val="6FAA5E36"/>
    <w:rsid w:val="6FEA072C"/>
    <w:rsid w:val="7007308C"/>
    <w:rsid w:val="70251764"/>
    <w:rsid w:val="702E686B"/>
    <w:rsid w:val="70DF5DB7"/>
    <w:rsid w:val="70F25AEA"/>
    <w:rsid w:val="71493231"/>
    <w:rsid w:val="71754026"/>
    <w:rsid w:val="719721EE"/>
    <w:rsid w:val="71AF7537"/>
    <w:rsid w:val="71EF3DD8"/>
    <w:rsid w:val="71F43E08"/>
    <w:rsid w:val="71F80D38"/>
    <w:rsid w:val="720E0702"/>
    <w:rsid w:val="725E4ABA"/>
    <w:rsid w:val="726F6CC7"/>
    <w:rsid w:val="72D54D7C"/>
    <w:rsid w:val="72FD42D3"/>
    <w:rsid w:val="73214465"/>
    <w:rsid w:val="734737A0"/>
    <w:rsid w:val="7349672A"/>
    <w:rsid w:val="735F6D3B"/>
    <w:rsid w:val="73760C83"/>
    <w:rsid w:val="73893DB8"/>
    <w:rsid w:val="73A3131E"/>
    <w:rsid w:val="73AD3F4B"/>
    <w:rsid w:val="73D404E5"/>
    <w:rsid w:val="74561EEC"/>
    <w:rsid w:val="7487654A"/>
    <w:rsid w:val="74BD1F6B"/>
    <w:rsid w:val="74D07EF1"/>
    <w:rsid w:val="75297601"/>
    <w:rsid w:val="753C7DDC"/>
    <w:rsid w:val="758B3E18"/>
    <w:rsid w:val="758D4034"/>
    <w:rsid w:val="759C7DD3"/>
    <w:rsid w:val="759E1D9D"/>
    <w:rsid w:val="75A373B3"/>
    <w:rsid w:val="75B25848"/>
    <w:rsid w:val="75B53837"/>
    <w:rsid w:val="763473FF"/>
    <w:rsid w:val="76515048"/>
    <w:rsid w:val="765C57B4"/>
    <w:rsid w:val="76A2766B"/>
    <w:rsid w:val="76B3090D"/>
    <w:rsid w:val="76C36497"/>
    <w:rsid w:val="76E557A9"/>
    <w:rsid w:val="76E80C25"/>
    <w:rsid w:val="77626DFA"/>
    <w:rsid w:val="77BA1F97"/>
    <w:rsid w:val="77C17FC5"/>
    <w:rsid w:val="77CB15E5"/>
    <w:rsid w:val="77D21B24"/>
    <w:rsid w:val="77F008AA"/>
    <w:rsid w:val="77FB69C9"/>
    <w:rsid w:val="781A5E54"/>
    <w:rsid w:val="78BD078C"/>
    <w:rsid w:val="78E26444"/>
    <w:rsid w:val="79164340"/>
    <w:rsid w:val="792702FB"/>
    <w:rsid w:val="79435FC4"/>
    <w:rsid w:val="798475DC"/>
    <w:rsid w:val="79984D55"/>
    <w:rsid w:val="79993C61"/>
    <w:rsid w:val="7A3507F6"/>
    <w:rsid w:val="7A3C1B84"/>
    <w:rsid w:val="7A9E283F"/>
    <w:rsid w:val="7B087CB8"/>
    <w:rsid w:val="7B545A47"/>
    <w:rsid w:val="7B580C40"/>
    <w:rsid w:val="7B7D4202"/>
    <w:rsid w:val="7BA14395"/>
    <w:rsid w:val="7C06069C"/>
    <w:rsid w:val="7C1510B8"/>
    <w:rsid w:val="7C686C61"/>
    <w:rsid w:val="7C877DDC"/>
    <w:rsid w:val="7D1110A6"/>
    <w:rsid w:val="7D1B0177"/>
    <w:rsid w:val="7D4274B2"/>
    <w:rsid w:val="7D5B0573"/>
    <w:rsid w:val="7DCC321F"/>
    <w:rsid w:val="7DF6029C"/>
    <w:rsid w:val="7E066731"/>
    <w:rsid w:val="7E0879CA"/>
    <w:rsid w:val="7E0F501A"/>
    <w:rsid w:val="7E132BFC"/>
    <w:rsid w:val="7E964054"/>
    <w:rsid w:val="7ECD724F"/>
    <w:rsid w:val="7F016EF9"/>
    <w:rsid w:val="7F211349"/>
    <w:rsid w:val="7F313C82"/>
    <w:rsid w:val="7F5B485B"/>
    <w:rsid w:val="7F65392B"/>
    <w:rsid w:val="7F6C6A68"/>
    <w:rsid w:val="7F8020B8"/>
    <w:rsid w:val="7FB11F09"/>
    <w:rsid w:val="7FB14DC3"/>
    <w:rsid w:val="7FCB5E84"/>
    <w:rsid w:val="7FCB7FF7"/>
    <w:rsid w:val="7FCD1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Calibri" w:eastAsia="宋体" w:cs="Times New Roman"/>
      <w:snapToGrid w:val="0"/>
      <w:kern w:val="21"/>
      <w:sz w:val="21"/>
      <w:szCs w:val="24"/>
      <w:lang w:val="en-US" w:eastAsia="zh-CN"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Cs/>
      <w:kern w:val="44"/>
      <w:sz w:val="32"/>
      <w:szCs w:val="44"/>
    </w:rPr>
  </w:style>
  <w:style w:type="paragraph" w:styleId="3">
    <w:name w:val="heading 2"/>
    <w:basedOn w:val="1"/>
    <w:next w:val="1"/>
    <w:semiHidden/>
    <w:unhideWhenUsed/>
    <w:qFormat/>
    <w:uiPriority w:val="0"/>
    <w:pPr>
      <w:keepNext/>
      <w:keepLines/>
      <w:spacing w:before="260" w:after="260" w:line="416" w:lineRule="auto"/>
      <w:outlineLvl w:val="1"/>
    </w:pPr>
    <w:rPr>
      <w:rFonts w:ascii="Arial" w:hAnsi="Arial" w:cs="Times New Roman" w:eastAsiaTheme="minorEastAsia"/>
      <w:bCs/>
      <w:sz w:val="32"/>
      <w:szCs w:val="32"/>
    </w:rPr>
  </w:style>
  <w:style w:type="paragraph" w:styleId="4">
    <w:name w:val="heading 3"/>
    <w:basedOn w:val="1"/>
    <w:next w:val="1"/>
    <w:qFormat/>
    <w:uiPriority w:val="0"/>
    <w:pPr>
      <w:keepNext/>
      <w:keepLines/>
      <w:spacing w:before="60" w:after="60" w:line="400" w:lineRule="exact"/>
      <w:ind w:firstLine="510"/>
      <w:outlineLvl w:val="2"/>
    </w:pPr>
    <w:rPr>
      <w:rFonts w:hint="eastAsia" w:ascii="黑体" w:hAnsi="宋体" w:eastAsia="黑体"/>
      <w:bCs/>
      <w:snapToGrid/>
      <w:kern w:val="2"/>
      <w:sz w:val="30"/>
      <w:szCs w:val="20"/>
      <w:lang w:val="zh-CN"/>
    </w:rPr>
  </w:style>
  <w:style w:type="paragraph" w:styleId="5">
    <w:name w:val="heading 4"/>
    <w:basedOn w:val="1"/>
    <w:next w:val="1"/>
    <w:qFormat/>
    <w:uiPriority w:val="0"/>
    <w:pPr>
      <w:keepNext/>
      <w:keepLines/>
      <w:spacing w:before="280" w:after="290" w:line="376" w:lineRule="auto"/>
      <w:outlineLvl w:val="3"/>
    </w:pPr>
    <w:rPr>
      <w:rFonts w:ascii="Cambria" w:hAnsi="Cambria"/>
      <w:b/>
      <w:bCs/>
      <w:sz w:val="28"/>
      <w:szCs w:val="28"/>
      <w:lang w:val="zh-CN"/>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99"/>
    <w:pPr>
      <w:ind w:firstLine="420"/>
    </w:pPr>
    <w:rPr>
      <w:rFonts w:ascii="Calibri" w:hAnsi="Calibri" w:eastAsia="宋体" w:cs="Times New Roman"/>
      <w:snapToGrid/>
      <w:kern w:val="2"/>
      <w:szCs w:val="22"/>
    </w:rPr>
  </w:style>
  <w:style w:type="paragraph" w:styleId="7">
    <w:name w:val="Body Text"/>
    <w:basedOn w:val="1"/>
    <w:qFormat/>
    <w:uiPriority w:val="0"/>
    <w:pPr>
      <w:spacing w:after="120"/>
    </w:pPr>
  </w:style>
  <w:style w:type="paragraph" w:styleId="8">
    <w:name w:val="Body Text Indent"/>
    <w:basedOn w:val="1"/>
    <w:next w:val="1"/>
    <w:qFormat/>
    <w:uiPriority w:val="0"/>
    <w:pPr>
      <w:spacing w:line="460" w:lineRule="exact"/>
      <w:ind w:firstLine="510"/>
    </w:pPr>
  </w:style>
  <w:style w:type="paragraph" w:styleId="9">
    <w:name w:val="Plain Text"/>
    <w:basedOn w:val="1"/>
    <w:next w:val="1"/>
    <w:qFormat/>
    <w:uiPriority w:val="0"/>
    <w:rPr>
      <w:rFonts w:hAnsi="Calibri" w:cs="Times New Roman"/>
      <w:snapToGrid/>
      <w:kern w:val="2"/>
      <w:szCs w:val="22"/>
    </w:rPr>
  </w:style>
  <w:style w:type="paragraph" w:styleId="10">
    <w:name w:val="footer"/>
    <w:basedOn w:val="1"/>
    <w:qFormat/>
    <w:uiPriority w:val="99"/>
    <w:pPr>
      <w:tabs>
        <w:tab w:val="center" w:pos="4153"/>
        <w:tab w:val="right" w:pos="8306"/>
      </w:tabs>
      <w:snapToGrid w:val="0"/>
      <w:jc w:val="left"/>
    </w:pPr>
    <w:rPr>
      <w:rFonts w:hAnsi="Calibri"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hAnsi="Calibri" w:cs="Times New Roman"/>
      <w:sz w:val="18"/>
      <w:szCs w:val="18"/>
    </w:rPr>
  </w:style>
  <w:style w:type="paragraph" w:styleId="12">
    <w:name w:val="toc 1"/>
    <w:basedOn w:val="1"/>
    <w:next w:val="1"/>
    <w:qFormat/>
    <w:uiPriority w:val="0"/>
  </w:style>
  <w:style w:type="paragraph" w:styleId="13">
    <w:name w:val="Normal (Web)"/>
    <w:basedOn w:val="1"/>
    <w:qFormat/>
    <w:uiPriority w:val="0"/>
    <w:pPr>
      <w:widowControl/>
      <w:spacing w:before="100" w:beforeAutospacing="1" w:after="100" w:afterAutospacing="1"/>
      <w:jc w:val="left"/>
    </w:pPr>
    <w:rPr>
      <w:rFonts w:hAnsi="宋体"/>
      <w:snapToGrid/>
      <w:kern w:val="0"/>
      <w:sz w:val="24"/>
    </w:rPr>
  </w:style>
  <w:style w:type="paragraph" w:styleId="14">
    <w:name w:val="Body Text First Indent 2"/>
    <w:basedOn w:val="8"/>
    <w:next w:val="1"/>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样式 标题 3 + (中文) 黑体 小四 非加粗 段前: 7.8 磅 段后: 0 磅 行距: 固定值 20 磅"/>
    <w:basedOn w:val="4"/>
    <w:qFormat/>
    <w:uiPriority w:val="0"/>
    <w:pPr>
      <w:spacing w:before="0" w:after="0"/>
      <w:ind w:firstLine="0"/>
    </w:pPr>
    <w:rPr>
      <w:rFonts w:hint="default" w:ascii="Times New Roman" w:hAnsi="Times New Roman" w:cs="宋体"/>
      <w:bCs w:val="0"/>
      <w:sz w:val="24"/>
    </w:rPr>
  </w:style>
  <w:style w:type="paragraph" w:customStyle="1" w:styleId="21">
    <w:name w:val="p15"/>
    <w:basedOn w:val="1"/>
    <w:autoRedefine/>
    <w:qFormat/>
    <w:uiPriority w:val="0"/>
    <w:pPr>
      <w:widowControl/>
      <w:spacing w:before="100" w:after="100"/>
      <w:jc w:val="left"/>
    </w:pPr>
    <w:rPr>
      <w:kern w:val="0"/>
      <w:sz w:val="24"/>
    </w:rPr>
  </w:style>
  <w:style w:type="paragraph" w:customStyle="1" w:styleId="22">
    <w:name w:val="Absatz2AL"/>
    <w:basedOn w:val="7"/>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23">
    <w:name w:val="Normal_1"/>
    <w:qFormat/>
    <w:uiPriority w:val="0"/>
    <w:rPr>
      <w:rFonts w:ascii="Times New Roman" w:hAnsi="Times New Roman" w:eastAsia="Times New Roman" w:cs="Times New Roman"/>
      <w:sz w:val="24"/>
      <w:szCs w:val="24"/>
      <w:lang w:val="en-US" w:eastAsia="zh-CN" w:bidi="ar-SA"/>
    </w:rPr>
  </w:style>
  <w:style w:type="paragraph" w:customStyle="1" w:styleId="24">
    <w:name w:val="Blockquote"/>
    <w:basedOn w:val="1"/>
    <w:qFormat/>
    <w:uiPriority w:val="0"/>
    <w:pPr>
      <w:autoSpaceDE w:val="0"/>
      <w:autoSpaceDN w:val="0"/>
      <w:adjustRightInd w:val="0"/>
      <w:spacing w:before="100" w:after="100"/>
      <w:ind w:left="360" w:right="360"/>
      <w:jc w:val="left"/>
    </w:pPr>
    <w:rPr>
      <w:rFonts w:asciiTheme="minorHAnsi" w:hAnsiTheme="minorHAnsi" w:eastAsiaTheme="minorEastAsia" w:cstheme="minorBidi"/>
      <w:snapToGrid/>
      <w:kern w:val="2"/>
      <w:sz w:val="24"/>
      <w:szCs w:val="22"/>
    </w:rPr>
  </w:style>
  <w:style w:type="paragraph" w:customStyle="1" w:styleId="25">
    <w:name w:val="Table Text"/>
    <w:basedOn w:val="1"/>
    <w:semiHidden/>
    <w:qFormat/>
    <w:uiPriority w:val="0"/>
    <w:rPr>
      <w:rFonts w:ascii="宋体" w:hAnsi="宋体" w:eastAsia="宋体" w:cs="宋体"/>
      <w:sz w:val="24"/>
      <w:szCs w:val="24"/>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8067</Words>
  <Characters>9196</Characters>
  <Lines>0</Lines>
  <Paragraphs>0</Paragraphs>
  <TotalTime>9</TotalTime>
  <ScaleCrop>false</ScaleCrop>
  <LinksUpToDate>false</LinksUpToDate>
  <CharactersWithSpaces>9319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2025-04-16T09:04:00Z</dcterms:created>
  <dc:creator>搁浅</dc:creator>
  <cp:lastModifiedBy>蒋依繁</cp:lastModifiedBy>
  <dcterms:modified xsi:type="dcterms:W3CDTF">2025-09-01T03:22:11Z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3715A34308964A65AE33A207AF8BD7E7_11</vt:lpwstr>
  </property>
  <property fmtid="{D5CDD505-2E9C-101B-9397-08002B2CF9AE}" pid="4" name="KSOTemplateDocerSaveRecord">
    <vt:lpwstr>eyJoZGlkIjoiN2I2M2ZmMDEzNTUyNjU5MDdlMTA0NjdkNmI1ZTBjODYiLCJ1c2VySWQiOiIzMjIwOTQ3OTIifQ==</vt:lpwstr>
  </property>
</Properties>
</file>