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3C641D">
      <w:pPr>
        <w:pStyle w:val="4"/>
        <w:jc w:val="center"/>
        <w:outlineLvl w:val="1"/>
      </w:pPr>
      <w:r>
        <w:rPr>
          <w:rFonts w:ascii="仿宋_GB2312" w:hAnsi="仿宋_GB2312" w:eastAsia="仿宋_GB2312" w:cs="仿宋_GB2312"/>
          <w:b/>
          <w:sz w:val="36"/>
        </w:rPr>
        <w:t>技术、服务及其他要求</w:t>
      </w:r>
    </w:p>
    <w:p w14:paraId="2CBF8DCB">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（注:本章的技术、服务及其他要求中，带“★”的要求为实质性要求。采购人、代理机构应当根据项目实际要求合理设定，并在第四章符合性审查中明确响应要求。）</w:t>
      </w:r>
    </w:p>
    <w:p w14:paraId="7527CD38">
      <w:pPr>
        <w:pStyle w:val="4"/>
        <w:jc w:val="left"/>
        <w:outlineLvl w:val="2"/>
      </w:pPr>
      <w:r>
        <w:rPr>
          <w:rFonts w:ascii="仿宋_GB2312" w:hAnsi="仿宋_GB2312" w:eastAsia="仿宋_GB2312" w:cs="仿宋_GB2312"/>
          <w:b/>
          <w:sz w:val="28"/>
        </w:rPr>
        <w:t>3.1.采购内容</w:t>
      </w:r>
    </w:p>
    <w:p w14:paraId="623EC1F1">
      <w:pPr>
        <w:pStyle w:val="4"/>
        <w:jc w:val="left"/>
      </w:pPr>
      <w:r>
        <w:rPr>
          <w:rFonts w:ascii="仿宋_GB2312" w:hAnsi="仿宋_GB2312" w:eastAsia="仿宋_GB2312" w:cs="仿宋_GB2312"/>
        </w:rPr>
        <w:t>采购包1：</w:t>
      </w:r>
    </w:p>
    <w:p w14:paraId="55613214">
      <w:pPr>
        <w:pStyle w:val="4"/>
        <w:jc w:val="left"/>
      </w:pPr>
      <w:r>
        <w:rPr>
          <w:rFonts w:ascii="仿宋_GB2312" w:hAnsi="仿宋_GB2312" w:eastAsia="仿宋_GB2312" w:cs="仿宋_GB2312"/>
        </w:rPr>
        <w:t>采购包预算金额（元）: 600,000.00</w:t>
      </w:r>
    </w:p>
    <w:p w14:paraId="1DC416E8">
      <w:pPr>
        <w:pStyle w:val="4"/>
        <w:jc w:val="left"/>
      </w:pPr>
      <w:r>
        <w:rPr>
          <w:rFonts w:ascii="仿宋_GB2312" w:hAnsi="仿宋_GB2312" w:eastAsia="仿宋_GB2312" w:cs="仿宋_GB2312"/>
        </w:rPr>
        <w:t>采购包最高限价（元）: 600,000.00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774B9F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9293E86">
            <w:pPr>
              <w:pStyle w:val="4"/>
              <w:jc w:val="center"/>
            </w:pPr>
            <w:r>
              <w:rPr>
                <w:rFonts w:ascii="仿宋_GB2312" w:hAnsi="仿宋_GB2312" w:eastAsia="仿宋_GB2312" w:cs="仿宋_GB2312"/>
              </w:rPr>
              <w:t>序号</w:t>
            </w:r>
          </w:p>
        </w:tc>
        <w:tc>
          <w:tcPr>
            <w:tcW w:w="821" w:type="dxa"/>
          </w:tcPr>
          <w:p w14:paraId="4EADE2E2">
            <w:pPr>
              <w:pStyle w:val="4"/>
              <w:jc w:val="center"/>
            </w:pPr>
            <w:r>
              <w:rPr>
                <w:rFonts w:ascii="仿宋_GB2312" w:hAnsi="仿宋_GB2312" w:eastAsia="仿宋_GB2312" w:cs="仿宋_GB2312"/>
              </w:rPr>
              <w:t>采购品目名称</w:t>
            </w:r>
          </w:p>
        </w:tc>
        <w:tc>
          <w:tcPr>
            <w:tcW w:w="821" w:type="dxa"/>
          </w:tcPr>
          <w:p w14:paraId="48789AD8">
            <w:pPr>
              <w:pStyle w:val="4"/>
              <w:jc w:val="center"/>
            </w:pPr>
            <w:r>
              <w:rPr>
                <w:rFonts w:ascii="仿宋_GB2312" w:hAnsi="仿宋_GB2312" w:eastAsia="仿宋_GB2312" w:cs="仿宋_GB2312"/>
              </w:rPr>
              <w:t>标的名称</w:t>
            </w:r>
          </w:p>
        </w:tc>
        <w:tc>
          <w:tcPr>
            <w:tcW w:w="821" w:type="dxa"/>
          </w:tcPr>
          <w:p w14:paraId="7476B5C9">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00CC2BEA">
            <w:pPr>
              <w:pStyle w:val="4"/>
              <w:jc w:val="center"/>
            </w:pPr>
            <w:r>
              <w:rPr>
                <w:rFonts w:ascii="仿宋_GB2312" w:hAnsi="仿宋_GB2312" w:eastAsia="仿宋_GB2312" w:cs="仿宋_GB2312"/>
              </w:rPr>
              <w:t>标的金额 （元）</w:t>
            </w:r>
          </w:p>
        </w:tc>
        <w:tc>
          <w:tcPr>
            <w:tcW w:w="821" w:type="dxa"/>
          </w:tcPr>
          <w:p w14:paraId="659C4809">
            <w:pPr>
              <w:pStyle w:val="4"/>
              <w:jc w:val="center"/>
            </w:pPr>
            <w:r>
              <w:rPr>
                <w:rFonts w:ascii="仿宋_GB2312" w:hAnsi="仿宋_GB2312" w:eastAsia="仿宋_GB2312" w:cs="仿宋_GB2312"/>
              </w:rPr>
              <w:t>所属行业</w:t>
            </w:r>
          </w:p>
        </w:tc>
        <w:tc>
          <w:tcPr>
            <w:tcW w:w="821" w:type="dxa"/>
          </w:tcPr>
          <w:p w14:paraId="784E9E24">
            <w:pPr>
              <w:pStyle w:val="4"/>
              <w:jc w:val="center"/>
            </w:pPr>
            <w:r>
              <w:rPr>
                <w:rFonts w:ascii="仿宋_GB2312" w:hAnsi="仿宋_GB2312" w:eastAsia="仿宋_GB2312" w:cs="仿宋_GB2312"/>
              </w:rPr>
              <w:t>是否涉及核心产品</w:t>
            </w:r>
          </w:p>
        </w:tc>
        <w:tc>
          <w:tcPr>
            <w:tcW w:w="821" w:type="dxa"/>
          </w:tcPr>
          <w:p w14:paraId="12F1EDB1">
            <w:pPr>
              <w:pStyle w:val="4"/>
              <w:jc w:val="center"/>
            </w:pPr>
            <w:r>
              <w:rPr>
                <w:rFonts w:ascii="仿宋_GB2312" w:hAnsi="仿宋_GB2312" w:eastAsia="仿宋_GB2312" w:cs="仿宋_GB2312"/>
              </w:rPr>
              <w:t>是否涉及采购进口产品</w:t>
            </w:r>
          </w:p>
        </w:tc>
        <w:tc>
          <w:tcPr>
            <w:tcW w:w="821" w:type="dxa"/>
          </w:tcPr>
          <w:p w14:paraId="43CA6790">
            <w:pPr>
              <w:pStyle w:val="4"/>
              <w:jc w:val="center"/>
            </w:pPr>
            <w:r>
              <w:rPr>
                <w:rFonts w:ascii="仿宋_GB2312" w:hAnsi="仿宋_GB2312" w:eastAsia="仿宋_GB2312" w:cs="仿宋_GB2312"/>
              </w:rPr>
              <w:t>是否涉及强制采购节能产品</w:t>
            </w:r>
          </w:p>
        </w:tc>
        <w:tc>
          <w:tcPr>
            <w:tcW w:w="639" w:type="dxa"/>
          </w:tcPr>
          <w:p w14:paraId="4174549F">
            <w:pPr>
              <w:pStyle w:val="4"/>
              <w:jc w:val="center"/>
            </w:pPr>
            <w:r>
              <w:rPr>
                <w:rFonts w:ascii="仿宋_GB2312" w:hAnsi="仿宋_GB2312" w:eastAsia="仿宋_GB2312" w:cs="仿宋_GB2312"/>
              </w:rPr>
              <w:t>是否涉及优先采购节能产品</w:t>
            </w:r>
          </w:p>
        </w:tc>
        <w:tc>
          <w:tcPr>
            <w:tcW w:w="639" w:type="dxa"/>
          </w:tcPr>
          <w:p w14:paraId="34600A11">
            <w:pPr>
              <w:pStyle w:val="4"/>
              <w:jc w:val="center"/>
            </w:pPr>
            <w:r>
              <w:rPr>
                <w:rFonts w:ascii="仿宋_GB2312" w:hAnsi="仿宋_GB2312" w:eastAsia="仿宋_GB2312" w:cs="仿宋_GB2312"/>
              </w:rPr>
              <w:t>是否涉及优先采购环境标志产品</w:t>
            </w:r>
          </w:p>
        </w:tc>
      </w:tr>
      <w:tr w14:paraId="515F06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40D47B2">
            <w:pPr>
              <w:pStyle w:val="4"/>
              <w:jc w:val="left"/>
            </w:pPr>
            <w:r>
              <w:rPr>
                <w:rFonts w:ascii="仿宋_GB2312" w:hAnsi="仿宋_GB2312" w:eastAsia="仿宋_GB2312" w:cs="仿宋_GB2312"/>
              </w:rPr>
              <w:t>1</w:t>
            </w:r>
          </w:p>
        </w:tc>
        <w:tc>
          <w:tcPr>
            <w:tcW w:w="821" w:type="dxa"/>
          </w:tcPr>
          <w:p w14:paraId="2003A581">
            <w:pPr>
              <w:pStyle w:val="4"/>
              <w:jc w:val="left"/>
            </w:pPr>
            <w:r>
              <w:rPr>
                <w:rFonts w:ascii="仿宋_GB2312" w:hAnsi="仿宋_GB2312" w:eastAsia="仿宋_GB2312" w:cs="仿宋_GB2312"/>
              </w:rPr>
              <w:t>A02010499 其他终端设备</w:t>
            </w:r>
          </w:p>
        </w:tc>
        <w:tc>
          <w:tcPr>
            <w:tcW w:w="821" w:type="dxa"/>
          </w:tcPr>
          <w:p w14:paraId="55B0A431">
            <w:pPr>
              <w:pStyle w:val="4"/>
              <w:jc w:val="left"/>
            </w:pPr>
            <w:r>
              <w:rPr>
                <w:rFonts w:ascii="仿宋_GB2312" w:hAnsi="仿宋_GB2312" w:eastAsia="仿宋_GB2312" w:cs="仿宋_GB2312"/>
              </w:rPr>
              <w:t>交互式多媒体教学设备</w:t>
            </w:r>
          </w:p>
        </w:tc>
        <w:tc>
          <w:tcPr>
            <w:tcW w:w="821" w:type="dxa"/>
          </w:tcPr>
          <w:p w14:paraId="39F9338E">
            <w:pPr>
              <w:pStyle w:val="4"/>
              <w:jc w:val="right"/>
            </w:pPr>
            <w:r>
              <w:rPr>
                <w:rFonts w:ascii="仿宋_GB2312" w:hAnsi="仿宋_GB2312" w:eastAsia="仿宋_GB2312" w:cs="仿宋_GB2312"/>
              </w:rPr>
              <w:t>30.00（套）</w:t>
            </w:r>
          </w:p>
        </w:tc>
        <w:tc>
          <w:tcPr>
            <w:tcW w:w="821" w:type="dxa"/>
          </w:tcPr>
          <w:p w14:paraId="23B8F890">
            <w:pPr>
              <w:pStyle w:val="4"/>
              <w:jc w:val="right"/>
            </w:pPr>
            <w:r>
              <w:rPr>
                <w:rFonts w:ascii="仿宋_GB2312" w:hAnsi="仿宋_GB2312" w:eastAsia="仿宋_GB2312" w:cs="仿宋_GB2312"/>
              </w:rPr>
              <w:t>600,000.00</w:t>
            </w:r>
          </w:p>
        </w:tc>
        <w:tc>
          <w:tcPr>
            <w:tcW w:w="821" w:type="dxa"/>
          </w:tcPr>
          <w:p w14:paraId="1A6E55C7">
            <w:pPr>
              <w:pStyle w:val="4"/>
              <w:jc w:val="left"/>
            </w:pPr>
            <w:r>
              <w:rPr>
                <w:rFonts w:ascii="仿宋_GB2312" w:hAnsi="仿宋_GB2312" w:eastAsia="仿宋_GB2312" w:cs="仿宋_GB2312"/>
              </w:rPr>
              <w:t>工业</w:t>
            </w:r>
          </w:p>
        </w:tc>
        <w:tc>
          <w:tcPr>
            <w:tcW w:w="821" w:type="dxa"/>
          </w:tcPr>
          <w:p w14:paraId="03BE39B4">
            <w:pPr>
              <w:pStyle w:val="4"/>
              <w:jc w:val="left"/>
            </w:pPr>
            <w:r>
              <w:rPr>
                <w:rFonts w:ascii="仿宋_GB2312" w:hAnsi="仿宋_GB2312" w:eastAsia="仿宋_GB2312" w:cs="仿宋_GB2312"/>
              </w:rPr>
              <w:t>是</w:t>
            </w:r>
          </w:p>
        </w:tc>
        <w:tc>
          <w:tcPr>
            <w:tcW w:w="821" w:type="dxa"/>
          </w:tcPr>
          <w:p w14:paraId="4FAAD631">
            <w:pPr>
              <w:pStyle w:val="4"/>
              <w:jc w:val="left"/>
            </w:pPr>
            <w:r>
              <w:rPr>
                <w:rFonts w:ascii="仿宋_GB2312" w:hAnsi="仿宋_GB2312" w:eastAsia="仿宋_GB2312" w:cs="仿宋_GB2312"/>
              </w:rPr>
              <w:t>否</w:t>
            </w:r>
          </w:p>
        </w:tc>
        <w:tc>
          <w:tcPr>
            <w:tcW w:w="821" w:type="dxa"/>
          </w:tcPr>
          <w:p w14:paraId="649DCF6D">
            <w:pPr>
              <w:pStyle w:val="4"/>
              <w:jc w:val="left"/>
            </w:pPr>
            <w:r>
              <w:rPr>
                <w:rFonts w:ascii="仿宋_GB2312" w:hAnsi="仿宋_GB2312" w:eastAsia="仿宋_GB2312" w:cs="仿宋_GB2312"/>
              </w:rPr>
              <w:t>是</w:t>
            </w:r>
          </w:p>
        </w:tc>
        <w:tc>
          <w:tcPr>
            <w:tcW w:w="639" w:type="dxa"/>
          </w:tcPr>
          <w:p w14:paraId="70C160D2">
            <w:pPr>
              <w:pStyle w:val="4"/>
              <w:jc w:val="left"/>
            </w:pPr>
            <w:r>
              <w:rPr>
                <w:rFonts w:ascii="仿宋_GB2312" w:hAnsi="仿宋_GB2312" w:eastAsia="仿宋_GB2312" w:cs="仿宋_GB2312"/>
              </w:rPr>
              <w:t>否</w:t>
            </w:r>
          </w:p>
        </w:tc>
        <w:tc>
          <w:tcPr>
            <w:tcW w:w="639" w:type="dxa"/>
          </w:tcPr>
          <w:p w14:paraId="3FE3B3B3">
            <w:pPr>
              <w:pStyle w:val="4"/>
              <w:jc w:val="left"/>
            </w:pPr>
            <w:r>
              <w:rPr>
                <w:rFonts w:ascii="仿宋_GB2312" w:hAnsi="仿宋_GB2312" w:eastAsia="仿宋_GB2312" w:cs="仿宋_GB2312"/>
              </w:rPr>
              <w:t>是</w:t>
            </w:r>
          </w:p>
        </w:tc>
      </w:tr>
    </w:tbl>
    <w:p w14:paraId="76673C26">
      <w:pPr>
        <w:pStyle w:val="4"/>
        <w:jc w:val="left"/>
      </w:pPr>
      <w:r>
        <w:rPr>
          <w:rFonts w:ascii="仿宋_GB2312" w:hAnsi="仿宋_GB2312" w:eastAsia="仿宋_GB2312" w:cs="仿宋_GB2312"/>
        </w:rPr>
        <w:t>是否适用本国产品标准：是</w:t>
      </w:r>
    </w:p>
    <w:p w14:paraId="18F3A571">
      <w:pPr>
        <w:pStyle w:val="4"/>
        <w:jc w:val="left"/>
        <w:outlineLvl w:val="3"/>
      </w:pPr>
      <w:r>
        <w:rPr>
          <w:rFonts w:ascii="仿宋_GB2312" w:hAnsi="仿宋_GB2312" w:eastAsia="仿宋_GB2312" w:cs="仿宋_GB2312"/>
          <w:b/>
          <w:sz w:val="24"/>
        </w:rPr>
        <w:t>报价要求</w:t>
      </w:r>
    </w:p>
    <w:p w14:paraId="2FBCBDF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108B01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A124EB3">
            <w:pPr>
              <w:pStyle w:val="4"/>
              <w:jc w:val="center"/>
            </w:pPr>
            <w:r>
              <w:rPr>
                <w:rFonts w:ascii="仿宋_GB2312" w:hAnsi="仿宋_GB2312" w:eastAsia="仿宋_GB2312" w:cs="仿宋_GB2312"/>
              </w:rPr>
              <w:t>序号</w:t>
            </w:r>
          </w:p>
        </w:tc>
        <w:tc>
          <w:tcPr>
            <w:tcW w:w="1707" w:type="dxa"/>
          </w:tcPr>
          <w:p w14:paraId="3B1955B3">
            <w:pPr>
              <w:pStyle w:val="4"/>
              <w:jc w:val="center"/>
            </w:pPr>
            <w:r>
              <w:rPr>
                <w:rFonts w:ascii="仿宋_GB2312" w:hAnsi="仿宋_GB2312" w:eastAsia="仿宋_GB2312" w:cs="仿宋_GB2312"/>
              </w:rPr>
              <w:t>报价内容</w:t>
            </w:r>
          </w:p>
        </w:tc>
        <w:tc>
          <w:tcPr>
            <w:tcW w:w="1138" w:type="dxa"/>
          </w:tcPr>
          <w:p w14:paraId="0255697F">
            <w:pPr>
              <w:pStyle w:val="4"/>
              <w:jc w:val="center"/>
            </w:pPr>
            <w:r>
              <w:rPr>
                <w:rFonts w:ascii="仿宋_GB2312" w:hAnsi="仿宋_GB2312" w:eastAsia="仿宋_GB2312" w:cs="仿宋_GB2312"/>
              </w:rPr>
              <w:t>数量（计量单位）</w:t>
            </w:r>
          </w:p>
        </w:tc>
        <w:tc>
          <w:tcPr>
            <w:tcW w:w="1365" w:type="dxa"/>
          </w:tcPr>
          <w:p w14:paraId="18281E94">
            <w:pPr>
              <w:pStyle w:val="4"/>
              <w:jc w:val="center"/>
            </w:pPr>
            <w:r>
              <w:rPr>
                <w:rFonts w:ascii="仿宋_GB2312" w:hAnsi="仿宋_GB2312" w:eastAsia="仿宋_GB2312" w:cs="仿宋_GB2312"/>
              </w:rPr>
              <w:t>最高限价</w:t>
            </w:r>
          </w:p>
        </w:tc>
        <w:tc>
          <w:tcPr>
            <w:tcW w:w="1138" w:type="dxa"/>
          </w:tcPr>
          <w:p w14:paraId="0A9CC5F3">
            <w:pPr>
              <w:pStyle w:val="4"/>
              <w:jc w:val="center"/>
            </w:pPr>
            <w:r>
              <w:rPr>
                <w:rFonts w:ascii="仿宋_GB2312" w:hAnsi="仿宋_GB2312" w:eastAsia="仿宋_GB2312" w:cs="仿宋_GB2312"/>
              </w:rPr>
              <w:t>价款形式</w:t>
            </w:r>
          </w:p>
        </w:tc>
        <w:tc>
          <w:tcPr>
            <w:tcW w:w="1934" w:type="dxa"/>
          </w:tcPr>
          <w:p w14:paraId="6A178824">
            <w:pPr>
              <w:pStyle w:val="4"/>
              <w:jc w:val="center"/>
            </w:pPr>
            <w:r>
              <w:rPr>
                <w:rFonts w:ascii="仿宋_GB2312" w:hAnsi="仿宋_GB2312" w:eastAsia="仿宋_GB2312" w:cs="仿宋_GB2312"/>
              </w:rPr>
              <w:t>报价说明</w:t>
            </w:r>
          </w:p>
        </w:tc>
      </w:tr>
      <w:tr w14:paraId="002D99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7AE780C">
            <w:pPr>
              <w:pStyle w:val="4"/>
              <w:jc w:val="center"/>
            </w:pPr>
            <w:r>
              <w:rPr>
                <w:rFonts w:ascii="仿宋_GB2312" w:hAnsi="仿宋_GB2312" w:eastAsia="仿宋_GB2312" w:cs="仿宋_GB2312"/>
              </w:rPr>
              <w:t>1</w:t>
            </w:r>
          </w:p>
        </w:tc>
        <w:tc>
          <w:tcPr>
            <w:tcW w:w="1707" w:type="dxa"/>
          </w:tcPr>
          <w:p w14:paraId="1CE5B186">
            <w:pPr>
              <w:pStyle w:val="4"/>
              <w:jc w:val="center"/>
            </w:pPr>
            <w:r>
              <w:rPr>
                <w:rFonts w:ascii="仿宋_GB2312" w:hAnsi="仿宋_GB2312" w:eastAsia="仿宋_GB2312" w:cs="仿宋_GB2312"/>
              </w:rPr>
              <w:t>交互式多媒体教学设备</w:t>
            </w:r>
          </w:p>
        </w:tc>
        <w:tc>
          <w:tcPr>
            <w:tcW w:w="1138" w:type="dxa"/>
          </w:tcPr>
          <w:p w14:paraId="734769F1">
            <w:pPr>
              <w:pStyle w:val="4"/>
              <w:jc w:val="center"/>
            </w:pPr>
            <w:r>
              <w:rPr>
                <w:rFonts w:ascii="仿宋_GB2312" w:hAnsi="仿宋_GB2312" w:eastAsia="仿宋_GB2312" w:cs="仿宋_GB2312"/>
              </w:rPr>
              <w:t>30.00（套）</w:t>
            </w:r>
          </w:p>
        </w:tc>
        <w:tc>
          <w:tcPr>
            <w:tcW w:w="1365" w:type="dxa"/>
          </w:tcPr>
          <w:p w14:paraId="03BB5359">
            <w:pPr>
              <w:pStyle w:val="4"/>
              <w:jc w:val="center"/>
            </w:pPr>
            <w:r>
              <w:rPr>
                <w:rFonts w:ascii="仿宋_GB2312" w:hAnsi="仿宋_GB2312" w:eastAsia="仿宋_GB2312" w:cs="仿宋_GB2312"/>
              </w:rPr>
              <w:t>600,000.00</w:t>
            </w:r>
          </w:p>
        </w:tc>
        <w:tc>
          <w:tcPr>
            <w:tcW w:w="1138" w:type="dxa"/>
          </w:tcPr>
          <w:p w14:paraId="5196B3DB">
            <w:pPr>
              <w:pStyle w:val="4"/>
              <w:jc w:val="center"/>
            </w:pPr>
            <w:r>
              <w:rPr>
                <w:rFonts w:ascii="仿宋_GB2312" w:hAnsi="仿宋_GB2312" w:eastAsia="仿宋_GB2312" w:cs="仿宋_GB2312"/>
              </w:rPr>
              <w:t>总价</w:t>
            </w:r>
          </w:p>
        </w:tc>
        <w:tc>
          <w:tcPr>
            <w:tcW w:w="1934" w:type="dxa"/>
          </w:tcPr>
          <w:p w14:paraId="5998CEBB">
            <w:pPr>
              <w:pStyle w:val="4"/>
              <w:jc w:val="left"/>
            </w:pPr>
            <w:r>
              <w:rPr>
                <w:rFonts w:ascii="仿宋_GB2312" w:hAnsi="仿宋_GB2312" w:eastAsia="仿宋_GB2312" w:cs="仿宋_GB2312"/>
              </w:rPr>
              <w:t>无</w:t>
            </w:r>
          </w:p>
        </w:tc>
      </w:tr>
    </w:tbl>
    <w:p w14:paraId="29D914D5">
      <w:pPr>
        <w:pStyle w:val="4"/>
        <w:ind w:firstLine="480"/>
        <w:jc w:val="left"/>
      </w:pPr>
      <w:r>
        <w:rPr>
          <w:rFonts w:ascii="仿宋_GB2312" w:hAnsi="仿宋_GB2312" w:eastAsia="仿宋_GB2312" w:cs="仿宋_GB2312"/>
        </w:rPr>
        <w:t>★注：供应商响应产品应当明确品牌和规格型号并指向唯一产品，不能指向唯一产品的，应通过报价表唯一产品说明栏补充说明。</w:t>
      </w:r>
    </w:p>
    <w:p w14:paraId="1D5A6F3E">
      <w:pPr>
        <w:pStyle w:val="4"/>
        <w:jc w:val="left"/>
      </w:pPr>
      <w:r>
        <w:rPr>
          <w:rFonts w:ascii="仿宋_GB2312" w:hAnsi="仿宋_GB2312" w:eastAsia="仿宋_GB2312" w:cs="仿宋_GB2312"/>
          <w:b/>
        </w:rPr>
        <w:t>本项目涉及核心产品：</w:t>
      </w:r>
    </w:p>
    <w:p w14:paraId="2A07C21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0F4E4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504A566">
            <w:pPr>
              <w:pStyle w:val="4"/>
              <w:jc w:val="center"/>
            </w:pPr>
            <w:r>
              <w:rPr>
                <w:rFonts w:ascii="仿宋_GB2312" w:hAnsi="仿宋_GB2312" w:eastAsia="仿宋_GB2312" w:cs="仿宋_GB2312"/>
              </w:rPr>
              <w:t>序号</w:t>
            </w:r>
          </w:p>
        </w:tc>
        <w:tc>
          <w:tcPr>
            <w:tcW w:w="2492" w:type="dxa"/>
          </w:tcPr>
          <w:p w14:paraId="17444471">
            <w:pPr>
              <w:pStyle w:val="4"/>
              <w:jc w:val="center"/>
            </w:pPr>
            <w:r>
              <w:rPr>
                <w:rFonts w:ascii="仿宋_GB2312" w:hAnsi="仿宋_GB2312" w:eastAsia="仿宋_GB2312" w:cs="仿宋_GB2312"/>
              </w:rPr>
              <w:t>采购品目名称</w:t>
            </w:r>
          </w:p>
        </w:tc>
        <w:tc>
          <w:tcPr>
            <w:tcW w:w="2492" w:type="dxa"/>
          </w:tcPr>
          <w:p w14:paraId="7DAF6442">
            <w:pPr>
              <w:pStyle w:val="4"/>
              <w:jc w:val="center"/>
            </w:pPr>
            <w:r>
              <w:rPr>
                <w:rFonts w:ascii="仿宋_GB2312" w:hAnsi="仿宋_GB2312" w:eastAsia="仿宋_GB2312" w:cs="仿宋_GB2312"/>
              </w:rPr>
              <w:t>标的名称</w:t>
            </w:r>
          </w:p>
        </w:tc>
        <w:tc>
          <w:tcPr>
            <w:tcW w:w="2492" w:type="dxa"/>
          </w:tcPr>
          <w:p w14:paraId="1B4A2D0C">
            <w:pPr>
              <w:pStyle w:val="4"/>
              <w:jc w:val="center"/>
            </w:pPr>
            <w:r>
              <w:rPr>
                <w:rFonts w:ascii="仿宋_GB2312" w:hAnsi="仿宋_GB2312" w:eastAsia="仿宋_GB2312" w:cs="仿宋_GB2312"/>
              </w:rPr>
              <w:t>产品名称</w:t>
            </w:r>
          </w:p>
        </w:tc>
      </w:tr>
      <w:tr w14:paraId="587C9B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4C6CDDE">
            <w:pPr>
              <w:pStyle w:val="4"/>
              <w:jc w:val="left"/>
            </w:pPr>
            <w:r>
              <w:rPr>
                <w:rFonts w:ascii="仿宋_GB2312" w:hAnsi="仿宋_GB2312" w:eastAsia="仿宋_GB2312" w:cs="仿宋_GB2312"/>
              </w:rPr>
              <w:t>1</w:t>
            </w:r>
          </w:p>
        </w:tc>
        <w:tc>
          <w:tcPr>
            <w:tcW w:w="2492" w:type="dxa"/>
          </w:tcPr>
          <w:p w14:paraId="2FE00213">
            <w:pPr>
              <w:pStyle w:val="4"/>
              <w:jc w:val="left"/>
            </w:pPr>
            <w:r>
              <w:rPr>
                <w:rFonts w:ascii="仿宋_GB2312" w:hAnsi="仿宋_GB2312" w:eastAsia="仿宋_GB2312" w:cs="仿宋_GB2312"/>
              </w:rPr>
              <w:t>A02010499 其他终端设备</w:t>
            </w:r>
          </w:p>
        </w:tc>
        <w:tc>
          <w:tcPr>
            <w:tcW w:w="2492" w:type="dxa"/>
          </w:tcPr>
          <w:p w14:paraId="3942B157">
            <w:pPr>
              <w:pStyle w:val="4"/>
              <w:jc w:val="left"/>
            </w:pPr>
            <w:r>
              <w:rPr>
                <w:rFonts w:ascii="仿宋_GB2312" w:hAnsi="仿宋_GB2312" w:eastAsia="仿宋_GB2312" w:cs="仿宋_GB2312"/>
              </w:rPr>
              <w:t>交互式多媒体教学设备</w:t>
            </w:r>
          </w:p>
        </w:tc>
        <w:tc>
          <w:tcPr>
            <w:tcW w:w="2492" w:type="dxa"/>
          </w:tcPr>
          <w:p w14:paraId="2AD531FF">
            <w:pPr>
              <w:pStyle w:val="4"/>
              <w:jc w:val="left"/>
            </w:pPr>
            <w:r>
              <w:rPr>
                <w:rFonts w:ascii="仿宋_GB2312" w:hAnsi="仿宋_GB2312" w:eastAsia="仿宋_GB2312" w:cs="仿宋_GB2312"/>
              </w:rPr>
              <w:t>本项目采用询价采购方式，不适用于《政府采购货物和服务招标投标管理办法》（87号令）第31条关于核心产品要求，《政府采购非招标采购方式管理办法》（74号令）未强制要求设置核心产品。本项目未设置核心产品，此文件有要求不一致的依本说明为准。</w:t>
            </w:r>
          </w:p>
        </w:tc>
      </w:tr>
    </w:tbl>
    <w:p w14:paraId="46C2D12E">
      <w:pPr>
        <w:pStyle w:val="4"/>
        <w:ind w:firstLine="480"/>
        <w:jc w:val="left"/>
      </w:pPr>
      <w:r>
        <w:rPr>
          <w:rFonts w:ascii="仿宋_GB2312" w:hAnsi="仿宋_GB2312" w:eastAsia="仿宋_GB2312" w:cs="仿宋_GB2312"/>
        </w:rPr>
        <w:t>注：涉及核心产品的，具体评审规定见第四章。</w:t>
      </w:r>
    </w:p>
    <w:p w14:paraId="35E2C9DB">
      <w:pPr>
        <w:pStyle w:val="4"/>
        <w:jc w:val="left"/>
      </w:pPr>
      <w:r>
        <w:rPr>
          <w:rFonts w:ascii="仿宋_GB2312" w:hAnsi="仿宋_GB2312" w:eastAsia="仿宋_GB2312" w:cs="仿宋_GB2312"/>
          <w:b/>
        </w:rPr>
        <w:t>本项目涉及采购进口产品：</w:t>
      </w:r>
    </w:p>
    <w:p w14:paraId="5E340D3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F8CB9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EE590E7">
            <w:pPr>
              <w:pStyle w:val="4"/>
              <w:jc w:val="center"/>
            </w:pPr>
            <w:r>
              <w:rPr>
                <w:rFonts w:ascii="仿宋_GB2312" w:hAnsi="仿宋_GB2312" w:eastAsia="仿宋_GB2312" w:cs="仿宋_GB2312"/>
              </w:rPr>
              <w:t>序号</w:t>
            </w:r>
          </w:p>
        </w:tc>
        <w:tc>
          <w:tcPr>
            <w:tcW w:w="2492" w:type="dxa"/>
          </w:tcPr>
          <w:p w14:paraId="662F0FCB">
            <w:pPr>
              <w:pStyle w:val="4"/>
              <w:jc w:val="center"/>
            </w:pPr>
            <w:r>
              <w:rPr>
                <w:rFonts w:ascii="仿宋_GB2312" w:hAnsi="仿宋_GB2312" w:eastAsia="仿宋_GB2312" w:cs="仿宋_GB2312"/>
              </w:rPr>
              <w:t>采购品目名称</w:t>
            </w:r>
          </w:p>
        </w:tc>
        <w:tc>
          <w:tcPr>
            <w:tcW w:w="2492" w:type="dxa"/>
          </w:tcPr>
          <w:p w14:paraId="0B9AAD4C">
            <w:pPr>
              <w:pStyle w:val="4"/>
              <w:jc w:val="center"/>
            </w:pPr>
            <w:r>
              <w:rPr>
                <w:rFonts w:ascii="仿宋_GB2312" w:hAnsi="仿宋_GB2312" w:eastAsia="仿宋_GB2312" w:cs="仿宋_GB2312"/>
              </w:rPr>
              <w:t>标的名称</w:t>
            </w:r>
          </w:p>
        </w:tc>
        <w:tc>
          <w:tcPr>
            <w:tcW w:w="2492" w:type="dxa"/>
          </w:tcPr>
          <w:p w14:paraId="4C67DA22">
            <w:pPr>
              <w:pStyle w:val="4"/>
              <w:jc w:val="center"/>
            </w:pPr>
            <w:r>
              <w:rPr>
                <w:rFonts w:ascii="仿宋_GB2312" w:hAnsi="仿宋_GB2312" w:eastAsia="仿宋_GB2312" w:cs="仿宋_GB2312"/>
              </w:rPr>
              <w:t>产品名称</w:t>
            </w:r>
          </w:p>
        </w:tc>
      </w:tr>
      <w:tr w14:paraId="693698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C2252B5">
            <w:pPr>
              <w:pStyle w:val="4"/>
              <w:jc w:val="center"/>
            </w:pPr>
            <w:r>
              <w:rPr>
                <w:rFonts w:ascii="仿宋_GB2312" w:hAnsi="仿宋_GB2312" w:eastAsia="仿宋_GB2312" w:cs="仿宋_GB2312"/>
              </w:rPr>
              <w:t>不涉及</w:t>
            </w:r>
          </w:p>
        </w:tc>
      </w:tr>
    </w:tbl>
    <w:p w14:paraId="5F38BFB4">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45D94D01">
      <w:pPr>
        <w:pStyle w:val="4"/>
        <w:jc w:val="left"/>
      </w:pPr>
      <w:r>
        <w:rPr>
          <w:rFonts w:ascii="仿宋_GB2312" w:hAnsi="仿宋_GB2312" w:eastAsia="仿宋_GB2312" w:cs="仿宋_GB2312"/>
          <w:b/>
        </w:rPr>
        <w:t>本项目涉及强制采购节能产品：</w:t>
      </w:r>
    </w:p>
    <w:p w14:paraId="54264DE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C27AB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A94B58E">
            <w:pPr>
              <w:pStyle w:val="4"/>
              <w:jc w:val="center"/>
            </w:pPr>
            <w:r>
              <w:rPr>
                <w:rFonts w:ascii="仿宋_GB2312" w:hAnsi="仿宋_GB2312" w:eastAsia="仿宋_GB2312" w:cs="仿宋_GB2312"/>
              </w:rPr>
              <w:t>序号</w:t>
            </w:r>
          </w:p>
        </w:tc>
        <w:tc>
          <w:tcPr>
            <w:tcW w:w="2492" w:type="dxa"/>
          </w:tcPr>
          <w:p w14:paraId="656DEF7F">
            <w:pPr>
              <w:pStyle w:val="4"/>
              <w:jc w:val="center"/>
            </w:pPr>
            <w:r>
              <w:rPr>
                <w:rFonts w:ascii="仿宋_GB2312" w:hAnsi="仿宋_GB2312" w:eastAsia="仿宋_GB2312" w:cs="仿宋_GB2312"/>
              </w:rPr>
              <w:t>采购品目名称</w:t>
            </w:r>
          </w:p>
        </w:tc>
        <w:tc>
          <w:tcPr>
            <w:tcW w:w="2492" w:type="dxa"/>
          </w:tcPr>
          <w:p w14:paraId="0DDDAFD4">
            <w:pPr>
              <w:pStyle w:val="4"/>
              <w:jc w:val="center"/>
            </w:pPr>
            <w:r>
              <w:rPr>
                <w:rFonts w:ascii="仿宋_GB2312" w:hAnsi="仿宋_GB2312" w:eastAsia="仿宋_GB2312" w:cs="仿宋_GB2312"/>
              </w:rPr>
              <w:t>标的名称</w:t>
            </w:r>
          </w:p>
        </w:tc>
        <w:tc>
          <w:tcPr>
            <w:tcW w:w="2492" w:type="dxa"/>
          </w:tcPr>
          <w:p w14:paraId="0217D71E">
            <w:pPr>
              <w:pStyle w:val="4"/>
              <w:jc w:val="center"/>
            </w:pPr>
            <w:r>
              <w:rPr>
                <w:rFonts w:ascii="仿宋_GB2312" w:hAnsi="仿宋_GB2312" w:eastAsia="仿宋_GB2312" w:cs="仿宋_GB2312"/>
              </w:rPr>
              <w:t>产品名称</w:t>
            </w:r>
          </w:p>
        </w:tc>
      </w:tr>
      <w:tr w14:paraId="225BE0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867AC77">
            <w:pPr>
              <w:pStyle w:val="4"/>
              <w:jc w:val="left"/>
            </w:pPr>
            <w:r>
              <w:rPr>
                <w:rFonts w:ascii="仿宋_GB2312" w:hAnsi="仿宋_GB2312" w:eastAsia="仿宋_GB2312" w:cs="仿宋_GB2312"/>
              </w:rPr>
              <w:t>1</w:t>
            </w:r>
          </w:p>
        </w:tc>
        <w:tc>
          <w:tcPr>
            <w:tcW w:w="2492" w:type="dxa"/>
          </w:tcPr>
          <w:p w14:paraId="7BFA0E2C">
            <w:pPr>
              <w:pStyle w:val="4"/>
              <w:jc w:val="left"/>
            </w:pPr>
            <w:r>
              <w:rPr>
                <w:rFonts w:ascii="仿宋_GB2312" w:hAnsi="仿宋_GB2312" w:eastAsia="仿宋_GB2312" w:cs="仿宋_GB2312"/>
              </w:rPr>
              <w:t>A02010499 其他终端设备</w:t>
            </w:r>
          </w:p>
        </w:tc>
        <w:tc>
          <w:tcPr>
            <w:tcW w:w="2492" w:type="dxa"/>
          </w:tcPr>
          <w:p w14:paraId="792BDCBD">
            <w:pPr>
              <w:pStyle w:val="4"/>
              <w:jc w:val="left"/>
            </w:pPr>
            <w:r>
              <w:rPr>
                <w:rFonts w:ascii="仿宋_GB2312" w:hAnsi="仿宋_GB2312" w:eastAsia="仿宋_GB2312" w:cs="仿宋_GB2312"/>
              </w:rPr>
              <w:t>交互式多媒体教学设备</w:t>
            </w:r>
          </w:p>
        </w:tc>
        <w:tc>
          <w:tcPr>
            <w:tcW w:w="2492" w:type="dxa"/>
          </w:tcPr>
          <w:p w14:paraId="128A8CFC">
            <w:pPr>
              <w:pStyle w:val="4"/>
              <w:jc w:val="left"/>
            </w:pPr>
            <w:r>
              <w:rPr>
                <w:rFonts w:ascii="仿宋_GB2312" w:hAnsi="仿宋_GB2312" w:eastAsia="仿宋_GB2312" w:cs="仿宋_GB2312"/>
              </w:rPr>
              <w:t>交互式多媒体教学设备</w:t>
            </w:r>
          </w:p>
        </w:tc>
      </w:tr>
    </w:tbl>
    <w:p w14:paraId="4D3740D9">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四章符合性审查表。</w:t>
      </w:r>
    </w:p>
    <w:p w14:paraId="6D0A87B3">
      <w:pPr>
        <w:pStyle w:val="4"/>
        <w:jc w:val="left"/>
      </w:pPr>
      <w:r>
        <w:rPr>
          <w:rFonts w:ascii="仿宋_GB2312" w:hAnsi="仿宋_GB2312" w:eastAsia="仿宋_GB2312" w:cs="仿宋_GB2312"/>
          <w:b/>
        </w:rPr>
        <w:t>本项目涉及优先采购节能产品：</w:t>
      </w:r>
    </w:p>
    <w:p w14:paraId="0BEEB9B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EC27F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F12DF65">
            <w:pPr>
              <w:pStyle w:val="4"/>
              <w:jc w:val="center"/>
            </w:pPr>
            <w:r>
              <w:rPr>
                <w:rFonts w:ascii="仿宋_GB2312" w:hAnsi="仿宋_GB2312" w:eastAsia="仿宋_GB2312" w:cs="仿宋_GB2312"/>
              </w:rPr>
              <w:t>序号</w:t>
            </w:r>
          </w:p>
        </w:tc>
        <w:tc>
          <w:tcPr>
            <w:tcW w:w="2492" w:type="dxa"/>
          </w:tcPr>
          <w:p w14:paraId="21F9D66B">
            <w:pPr>
              <w:pStyle w:val="4"/>
              <w:jc w:val="center"/>
            </w:pPr>
            <w:r>
              <w:rPr>
                <w:rFonts w:ascii="仿宋_GB2312" w:hAnsi="仿宋_GB2312" w:eastAsia="仿宋_GB2312" w:cs="仿宋_GB2312"/>
              </w:rPr>
              <w:t>采购品目名称</w:t>
            </w:r>
          </w:p>
        </w:tc>
        <w:tc>
          <w:tcPr>
            <w:tcW w:w="2492" w:type="dxa"/>
          </w:tcPr>
          <w:p w14:paraId="074919D0">
            <w:pPr>
              <w:pStyle w:val="4"/>
              <w:jc w:val="center"/>
            </w:pPr>
            <w:r>
              <w:rPr>
                <w:rFonts w:ascii="仿宋_GB2312" w:hAnsi="仿宋_GB2312" w:eastAsia="仿宋_GB2312" w:cs="仿宋_GB2312"/>
              </w:rPr>
              <w:t>标的名称</w:t>
            </w:r>
          </w:p>
        </w:tc>
        <w:tc>
          <w:tcPr>
            <w:tcW w:w="2492" w:type="dxa"/>
          </w:tcPr>
          <w:p w14:paraId="3AF02292">
            <w:pPr>
              <w:pStyle w:val="4"/>
              <w:jc w:val="center"/>
            </w:pPr>
            <w:r>
              <w:rPr>
                <w:rFonts w:ascii="仿宋_GB2312" w:hAnsi="仿宋_GB2312" w:eastAsia="仿宋_GB2312" w:cs="仿宋_GB2312"/>
              </w:rPr>
              <w:t>产品名称</w:t>
            </w:r>
          </w:p>
        </w:tc>
      </w:tr>
      <w:tr w14:paraId="1C9C9D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EC77885">
            <w:pPr>
              <w:pStyle w:val="4"/>
              <w:jc w:val="center"/>
            </w:pPr>
            <w:r>
              <w:rPr>
                <w:rFonts w:ascii="仿宋_GB2312" w:hAnsi="仿宋_GB2312" w:eastAsia="仿宋_GB2312" w:cs="仿宋_GB2312"/>
              </w:rPr>
              <w:t>不涉及</w:t>
            </w:r>
          </w:p>
        </w:tc>
      </w:tr>
    </w:tbl>
    <w:p w14:paraId="618D8E7C">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四章规定。</w:t>
      </w:r>
    </w:p>
    <w:p w14:paraId="5F873F05">
      <w:pPr>
        <w:pStyle w:val="4"/>
        <w:jc w:val="left"/>
      </w:pPr>
      <w:r>
        <w:rPr>
          <w:rFonts w:ascii="仿宋_GB2312" w:hAnsi="仿宋_GB2312" w:eastAsia="仿宋_GB2312" w:cs="仿宋_GB2312"/>
          <w:b/>
        </w:rPr>
        <w:t>本项目涉及优先采购环境标志产品：</w:t>
      </w:r>
    </w:p>
    <w:p w14:paraId="2D6311B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DD677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CDAA5B5">
            <w:pPr>
              <w:pStyle w:val="4"/>
              <w:jc w:val="center"/>
            </w:pPr>
            <w:r>
              <w:rPr>
                <w:rFonts w:ascii="仿宋_GB2312" w:hAnsi="仿宋_GB2312" w:eastAsia="仿宋_GB2312" w:cs="仿宋_GB2312"/>
              </w:rPr>
              <w:t>序号</w:t>
            </w:r>
          </w:p>
        </w:tc>
        <w:tc>
          <w:tcPr>
            <w:tcW w:w="2492" w:type="dxa"/>
          </w:tcPr>
          <w:p w14:paraId="7D6AE180">
            <w:pPr>
              <w:pStyle w:val="4"/>
              <w:jc w:val="center"/>
            </w:pPr>
            <w:r>
              <w:rPr>
                <w:rFonts w:ascii="仿宋_GB2312" w:hAnsi="仿宋_GB2312" w:eastAsia="仿宋_GB2312" w:cs="仿宋_GB2312"/>
              </w:rPr>
              <w:t>采购品目名称</w:t>
            </w:r>
          </w:p>
        </w:tc>
        <w:tc>
          <w:tcPr>
            <w:tcW w:w="2492" w:type="dxa"/>
          </w:tcPr>
          <w:p w14:paraId="4FC4CCBE">
            <w:pPr>
              <w:pStyle w:val="4"/>
              <w:jc w:val="center"/>
            </w:pPr>
            <w:r>
              <w:rPr>
                <w:rFonts w:ascii="仿宋_GB2312" w:hAnsi="仿宋_GB2312" w:eastAsia="仿宋_GB2312" w:cs="仿宋_GB2312"/>
              </w:rPr>
              <w:t>标的名称</w:t>
            </w:r>
          </w:p>
        </w:tc>
        <w:tc>
          <w:tcPr>
            <w:tcW w:w="2492" w:type="dxa"/>
          </w:tcPr>
          <w:p w14:paraId="29900BD5">
            <w:pPr>
              <w:pStyle w:val="4"/>
              <w:jc w:val="center"/>
            </w:pPr>
            <w:r>
              <w:rPr>
                <w:rFonts w:ascii="仿宋_GB2312" w:hAnsi="仿宋_GB2312" w:eastAsia="仿宋_GB2312" w:cs="仿宋_GB2312"/>
              </w:rPr>
              <w:t>产品名称</w:t>
            </w:r>
          </w:p>
        </w:tc>
      </w:tr>
      <w:tr w14:paraId="017A5F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2EA3205">
            <w:pPr>
              <w:pStyle w:val="4"/>
              <w:jc w:val="left"/>
            </w:pPr>
            <w:r>
              <w:rPr>
                <w:rFonts w:ascii="仿宋_GB2312" w:hAnsi="仿宋_GB2312" w:eastAsia="仿宋_GB2312" w:cs="仿宋_GB2312"/>
              </w:rPr>
              <w:t>1</w:t>
            </w:r>
          </w:p>
        </w:tc>
        <w:tc>
          <w:tcPr>
            <w:tcW w:w="2492" w:type="dxa"/>
          </w:tcPr>
          <w:p w14:paraId="00B41F82">
            <w:pPr>
              <w:pStyle w:val="4"/>
              <w:jc w:val="left"/>
            </w:pPr>
            <w:r>
              <w:rPr>
                <w:rFonts w:ascii="仿宋_GB2312" w:hAnsi="仿宋_GB2312" w:eastAsia="仿宋_GB2312" w:cs="仿宋_GB2312"/>
              </w:rPr>
              <w:t>A02010499 其他终端设备</w:t>
            </w:r>
          </w:p>
        </w:tc>
        <w:tc>
          <w:tcPr>
            <w:tcW w:w="2492" w:type="dxa"/>
          </w:tcPr>
          <w:p w14:paraId="6ACC1E04">
            <w:pPr>
              <w:pStyle w:val="4"/>
              <w:jc w:val="left"/>
            </w:pPr>
            <w:r>
              <w:rPr>
                <w:rFonts w:ascii="仿宋_GB2312" w:hAnsi="仿宋_GB2312" w:eastAsia="仿宋_GB2312" w:cs="仿宋_GB2312"/>
              </w:rPr>
              <w:t>交互式多媒体教学设备</w:t>
            </w:r>
          </w:p>
        </w:tc>
        <w:tc>
          <w:tcPr>
            <w:tcW w:w="2492" w:type="dxa"/>
          </w:tcPr>
          <w:p w14:paraId="5C5D06BC">
            <w:pPr>
              <w:pStyle w:val="4"/>
              <w:jc w:val="left"/>
            </w:pPr>
            <w:r>
              <w:rPr>
                <w:rFonts w:ascii="仿宋_GB2312" w:hAnsi="仿宋_GB2312" w:eastAsia="仿宋_GB2312" w:cs="仿宋_GB2312"/>
              </w:rPr>
              <w:t>交互式多媒体教学设备</w:t>
            </w:r>
          </w:p>
        </w:tc>
      </w:tr>
    </w:tbl>
    <w:p w14:paraId="25F3B162">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四章规定。</w:t>
      </w:r>
    </w:p>
    <w:p w14:paraId="39C1508F">
      <w:pPr>
        <w:pStyle w:val="4"/>
        <w:jc w:val="left"/>
        <w:outlineLvl w:val="2"/>
      </w:pPr>
      <w:r>
        <w:rPr>
          <w:rFonts w:ascii="仿宋_GB2312" w:hAnsi="仿宋_GB2312" w:eastAsia="仿宋_GB2312" w:cs="仿宋_GB2312"/>
          <w:b/>
          <w:sz w:val="28"/>
        </w:rPr>
        <w:t>3.2.技术要求</w:t>
      </w:r>
    </w:p>
    <w:p w14:paraId="6B56BF9B">
      <w:pPr>
        <w:pStyle w:val="4"/>
        <w:jc w:val="left"/>
      </w:pPr>
      <w:r>
        <w:rPr>
          <w:rFonts w:ascii="仿宋_GB2312" w:hAnsi="仿宋_GB2312" w:eastAsia="仿宋_GB2312" w:cs="仿宋_GB2312"/>
        </w:rPr>
        <w:t>采购包1：</w:t>
      </w:r>
    </w:p>
    <w:p w14:paraId="3FA1514D">
      <w:pPr>
        <w:pStyle w:val="4"/>
        <w:jc w:val="left"/>
      </w:pPr>
      <w:r>
        <w:rPr>
          <w:rFonts w:ascii="仿宋_GB2312" w:hAnsi="仿宋_GB2312" w:eastAsia="仿宋_GB2312" w:cs="仿宋_GB2312"/>
        </w:rPr>
        <w:t>标的名称：交互式多媒体教学设备</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03"/>
        <w:gridCol w:w="404"/>
        <w:gridCol w:w="404"/>
        <w:gridCol w:w="7311"/>
      </w:tblGrid>
      <w:tr w14:paraId="5D6804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1C61543">
            <w:pPr>
              <w:pStyle w:val="4"/>
              <w:jc w:val="center"/>
            </w:pPr>
            <w:r>
              <w:rPr>
                <w:rFonts w:ascii="仿宋_GB2312" w:hAnsi="仿宋_GB2312" w:eastAsia="仿宋_GB2312" w:cs="仿宋_GB2312"/>
              </w:rPr>
              <w:t>序号</w:t>
            </w:r>
          </w:p>
        </w:tc>
        <w:tc>
          <w:tcPr>
            <w:tcW w:w="581" w:type="dxa"/>
          </w:tcPr>
          <w:p w14:paraId="1EC1EE48">
            <w:pPr>
              <w:pStyle w:val="4"/>
              <w:jc w:val="center"/>
            </w:pPr>
            <w:r>
              <w:rPr>
                <w:rFonts w:ascii="仿宋_GB2312" w:hAnsi="仿宋_GB2312" w:eastAsia="仿宋_GB2312" w:cs="仿宋_GB2312"/>
              </w:rPr>
              <w:t>符号标识</w:t>
            </w:r>
          </w:p>
        </w:tc>
        <w:tc>
          <w:tcPr>
            <w:tcW w:w="1495" w:type="dxa"/>
          </w:tcPr>
          <w:p w14:paraId="2CADB55D">
            <w:pPr>
              <w:pStyle w:val="4"/>
              <w:jc w:val="center"/>
            </w:pPr>
            <w:r>
              <w:rPr>
                <w:rFonts w:ascii="仿宋_GB2312" w:hAnsi="仿宋_GB2312" w:eastAsia="仿宋_GB2312" w:cs="仿宋_GB2312"/>
              </w:rPr>
              <w:t>技术要求名称</w:t>
            </w:r>
          </w:p>
        </w:tc>
        <w:tc>
          <w:tcPr>
            <w:tcW w:w="5814" w:type="dxa"/>
          </w:tcPr>
          <w:p w14:paraId="1EBF867E">
            <w:pPr>
              <w:pStyle w:val="4"/>
              <w:jc w:val="center"/>
            </w:pPr>
            <w:r>
              <w:rPr>
                <w:rFonts w:ascii="仿宋_GB2312" w:hAnsi="仿宋_GB2312" w:eastAsia="仿宋_GB2312" w:cs="仿宋_GB2312"/>
              </w:rPr>
              <w:t>技术参数与性能指标</w:t>
            </w:r>
          </w:p>
        </w:tc>
      </w:tr>
      <w:tr w14:paraId="0FA065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056D6DA">
            <w:pPr>
              <w:pStyle w:val="4"/>
              <w:jc w:val="center"/>
            </w:pPr>
            <w:r>
              <w:rPr>
                <w:rFonts w:ascii="仿宋_GB2312" w:hAnsi="仿宋_GB2312" w:eastAsia="仿宋_GB2312" w:cs="仿宋_GB2312"/>
              </w:rPr>
              <w:t>1</w:t>
            </w:r>
          </w:p>
        </w:tc>
        <w:tc>
          <w:tcPr>
            <w:tcW w:w="581" w:type="dxa"/>
          </w:tcPr>
          <w:p w14:paraId="1CE96B10">
            <w:pPr>
              <w:pStyle w:val="4"/>
              <w:jc w:val="center"/>
            </w:pPr>
            <w:r>
              <w:rPr>
                <w:rFonts w:ascii="仿宋_GB2312" w:hAnsi="仿宋_GB2312" w:eastAsia="仿宋_GB2312" w:cs="仿宋_GB2312"/>
              </w:rPr>
              <w:t>★</w:t>
            </w:r>
          </w:p>
        </w:tc>
        <w:tc>
          <w:tcPr>
            <w:tcW w:w="1495" w:type="dxa"/>
          </w:tcPr>
          <w:p w14:paraId="54A086EE">
            <w:pPr>
              <w:pStyle w:val="4"/>
              <w:jc w:val="left"/>
            </w:pPr>
            <w:r>
              <w:rPr>
                <w:rFonts w:ascii="仿宋_GB2312" w:hAnsi="仿宋_GB2312" w:eastAsia="仿宋_GB2312" w:cs="仿宋_GB2312"/>
              </w:rPr>
              <w:t>中心主屏</w:t>
            </w:r>
          </w:p>
        </w:tc>
        <w:tc>
          <w:tcPr>
            <w:tcW w:w="5814" w:type="dxa"/>
          </w:tcPr>
          <w:p w14:paraId="75143AFF">
            <w:pPr>
              <w:pStyle w:val="4"/>
              <w:ind w:firstLine="420"/>
              <w:jc w:val="both"/>
            </w:pPr>
            <w:r>
              <w:rPr>
                <w:rFonts w:ascii="仿宋_GB2312" w:hAnsi="仿宋_GB2312" w:eastAsia="仿宋_GB2312" w:cs="仿宋_GB2312"/>
                <w:b/>
                <w:sz w:val="24"/>
              </w:rPr>
              <w:t>显示性能：</w:t>
            </w:r>
          </w:p>
          <w:p w14:paraId="03C4D292">
            <w:pPr>
              <w:pStyle w:val="4"/>
              <w:jc w:val="both"/>
            </w:pPr>
            <w:r>
              <w:rPr>
                <w:rFonts w:ascii="仿宋_GB2312" w:hAnsi="仿宋_GB2312" w:eastAsia="仿宋_GB2312" w:cs="仿宋_GB2312"/>
                <w:sz w:val="24"/>
              </w:rPr>
              <w:t>1.液晶显示屏尺寸≥86英寸，显示比例16:9，分辨率≥3840×2160，刷新频率≥60Hz</w:t>
            </w:r>
            <w:r>
              <w:rPr>
                <w:rFonts w:ascii="仿宋_GB2312" w:hAnsi="仿宋_GB2312" w:eastAsia="仿宋_GB2312" w:cs="仿宋_GB2312"/>
                <w:b/>
                <w:sz w:val="24"/>
              </w:rPr>
              <w:t>。</w:t>
            </w:r>
          </w:p>
          <w:p w14:paraId="3FA9906E">
            <w:pPr>
              <w:pStyle w:val="4"/>
              <w:jc w:val="both"/>
            </w:pPr>
            <w:r>
              <w:rPr>
                <w:rFonts w:ascii="仿宋_GB2312" w:hAnsi="仿宋_GB2312" w:eastAsia="仿宋_GB2312" w:cs="仿宋_GB2312"/>
                <w:sz w:val="24"/>
              </w:rPr>
              <w:t>2.最大屏幕亮度≥300cd/m²,亮度对比度≥1000:1，亮度均匀性≥70%，蓝光防护要求达到RG0，闪烁≤-30dB（60Hz），亮度可视角水平≥120°,垂直≥60°</w:t>
            </w:r>
            <w:r>
              <w:rPr>
                <w:rFonts w:ascii="仿宋_GB2312" w:hAnsi="仿宋_GB2312" w:eastAsia="仿宋_GB2312" w:cs="仿宋_GB2312"/>
                <w:b/>
                <w:sz w:val="24"/>
              </w:rPr>
              <w:t>（提供国家认可的第三方检测机构出具的检测检验报告并加盖公章，履约验收时一并提供）。</w:t>
            </w:r>
          </w:p>
          <w:p w14:paraId="40AAE093">
            <w:pPr>
              <w:pStyle w:val="4"/>
              <w:jc w:val="both"/>
            </w:pPr>
            <w:r>
              <w:rPr>
                <w:rFonts w:ascii="仿宋_GB2312" w:hAnsi="仿宋_GB2312" w:eastAsia="仿宋_GB2312" w:cs="仿宋_GB2312"/>
                <w:sz w:val="24"/>
              </w:rPr>
              <w:t>3.色域覆盖率≥72%(SJ/T)，静态清晰度（水平≥2160线、垂直≥2160线），防眩（DOI）≤60，镜面反射率≤12%，亮室对比度≥15:1，亮室色域衰减≤30%。支持环境光自适应功能</w:t>
            </w:r>
            <w:r>
              <w:rPr>
                <w:rFonts w:ascii="仿宋_GB2312" w:hAnsi="仿宋_GB2312" w:eastAsia="仿宋_GB2312" w:cs="仿宋_GB2312"/>
                <w:b/>
                <w:sz w:val="24"/>
              </w:rPr>
              <w:t>。</w:t>
            </w:r>
          </w:p>
          <w:p w14:paraId="439E155E">
            <w:pPr>
              <w:pStyle w:val="4"/>
              <w:jc w:val="both"/>
            </w:pPr>
            <w:r>
              <w:rPr>
                <w:rFonts w:ascii="仿宋_GB2312" w:hAnsi="仿宋_GB2312" w:eastAsia="仿宋_GB2312" w:cs="仿宋_GB2312"/>
                <w:sz w:val="24"/>
              </w:rPr>
              <w:t>4.主屏表面硬度≥9H，透光率≥90%，综合可视角度≥178°,灰度等级≥256级</w:t>
            </w:r>
            <w:r>
              <w:rPr>
                <w:rFonts w:ascii="仿宋_GB2312" w:hAnsi="仿宋_GB2312" w:eastAsia="仿宋_GB2312" w:cs="仿宋_GB2312"/>
                <w:b/>
                <w:sz w:val="24"/>
              </w:rPr>
              <w:t>。</w:t>
            </w:r>
          </w:p>
          <w:p w14:paraId="3DFA341C">
            <w:pPr>
              <w:pStyle w:val="4"/>
              <w:jc w:val="both"/>
            </w:pPr>
            <w:r>
              <w:rPr>
                <w:rFonts w:ascii="仿宋_GB2312" w:hAnsi="仿宋_GB2312" w:eastAsia="仿宋_GB2312" w:cs="仿宋_GB2312"/>
                <w:sz w:val="24"/>
              </w:rPr>
              <w:t>5.主屏支持书写护眼、纸质护眼等智能护眼功能，可通过按键进行护眼模式的切换</w:t>
            </w:r>
            <w:r>
              <w:rPr>
                <w:rFonts w:ascii="仿宋_GB2312" w:hAnsi="仿宋_GB2312" w:eastAsia="仿宋_GB2312" w:cs="仿宋_GB2312"/>
                <w:b/>
                <w:sz w:val="24"/>
              </w:rPr>
              <w:t>。</w:t>
            </w:r>
          </w:p>
          <w:p w14:paraId="7BDD3F8D">
            <w:pPr>
              <w:pStyle w:val="4"/>
              <w:jc w:val="both"/>
            </w:pPr>
            <w:r>
              <w:rPr>
                <w:rFonts w:ascii="仿宋_GB2312" w:hAnsi="仿宋_GB2312" w:eastAsia="仿宋_GB2312" w:cs="仿宋_GB2312"/>
                <w:b/>
                <w:sz w:val="24"/>
              </w:rPr>
              <w:t>触控性能：</w:t>
            </w:r>
          </w:p>
          <w:p w14:paraId="73E3AF7F">
            <w:pPr>
              <w:pStyle w:val="4"/>
              <w:jc w:val="both"/>
            </w:pPr>
            <w:r>
              <w:rPr>
                <w:rFonts w:ascii="仿宋_GB2312" w:hAnsi="仿宋_GB2312" w:eastAsia="仿宋_GB2312" w:cs="仿宋_GB2312"/>
                <w:sz w:val="24"/>
              </w:rPr>
              <w:t>1.触摸点数≥40点，首点响应时间≤35ms</w:t>
            </w:r>
            <w:r>
              <w:rPr>
                <w:rFonts w:ascii="仿宋_GB2312" w:hAnsi="仿宋_GB2312" w:eastAsia="仿宋_GB2312" w:cs="仿宋_GB2312"/>
                <w:b/>
                <w:sz w:val="24"/>
              </w:rPr>
              <w:t>。</w:t>
            </w:r>
          </w:p>
          <w:p w14:paraId="234A4A85">
            <w:pPr>
              <w:pStyle w:val="4"/>
              <w:jc w:val="both"/>
            </w:pPr>
            <w:r>
              <w:rPr>
                <w:rFonts w:ascii="仿宋_GB2312" w:hAnsi="仿宋_GB2312" w:eastAsia="仿宋_GB2312" w:cs="仿宋_GB2312"/>
                <w:sz w:val="24"/>
              </w:rPr>
              <w:t>2.最小触摸间距：红外式触控模组≤30mm。抗光干扰≥50000lux，试验过程中触摸屏不能出现触摸无反应，触摸反馈不准确或反馈异常等现象。触摸高度≤3.5mm，最小识别物≤φ3mm。点击精度：非边缘最大偏移≤2.0mm、边缘最大偏移≤3.0mm。线性度：非边缘最大偏移≤2.0mm、边缘最大偏移≤3.0mm。抖动性：非边缘最大偏移≤3.0mm、边缘最大偏移≤4.0mm。触摸延迟≤25ms</w:t>
            </w:r>
            <w:r>
              <w:rPr>
                <w:rFonts w:ascii="仿宋_GB2312" w:hAnsi="仿宋_GB2312" w:eastAsia="仿宋_GB2312" w:cs="仿宋_GB2312"/>
                <w:b/>
                <w:sz w:val="24"/>
              </w:rPr>
              <w:t>。</w:t>
            </w:r>
          </w:p>
          <w:p w14:paraId="0569BA31">
            <w:pPr>
              <w:pStyle w:val="4"/>
              <w:jc w:val="both"/>
            </w:pPr>
            <w:r>
              <w:rPr>
                <w:rFonts w:ascii="仿宋_GB2312" w:hAnsi="仿宋_GB2312" w:eastAsia="仿宋_GB2312" w:cs="仿宋_GB2312"/>
                <w:sz w:val="24"/>
              </w:rPr>
              <w:t>3.触摸屏寿命（点击寿命：点击100万次后屏幕触摸功能正常、书写寿命：书写10万字后屏幕触摸功能正常），单点报点率≥100Hz，十点报点率≥80Hz。支持不同大小掌擦，实际尺寸差异长宽≤30%。</w:t>
            </w:r>
          </w:p>
          <w:p w14:paraId="6F71416C">
            <w:pPr>
              <w:pStyle w:val="4"/>
              <w:jc w:val="both"/>
            </w:pPr>
            <w:r>
              <w:rPr>
                <w:rFonts w:ascii="仿宋_GB2312" w:hAnsi="仿宋_GB2312" w:eastAsia="仿宋_GB2312" w:cs="仿宋_GB2312"/>
                <w:sz w:val="24"/>
              </w:rPr>
              <w:t>4.具备静电防护能力和抗遮挡能力；支持板擦识别，可智能区分书写与擦除操作</w:t>
            </w:r>
            <w:r>
              <w:rPr>
                <w:rFonts w:ascii="仿宋_GB2312" w:hAnsi="仿宋_GB2312" w:eastAsia="仿宋_GB2312" w:cs="仿宋_GB2312"/>
                <w:b/>
                <w:sz w:val="24"/>
              </w:rPr>
              <w:t>。</w:t>
            </w:r>
          </w:p>
          <w:p w14:paraId="2B0FC549">
            <w:pPr>
              <w:pStyle w:val="4"/>
              <w:jc w:val="both"/>
            </w:pPr>
            <w:r>
              <w:rPr>
                <w:rFonts w:ascii="仿宋_GB2312" w:hAnsi="仿宋_GB2312" w:eastAsia="仿宋_GB2312" w:cs="仿宋_GB2312"/>
                <w:sz w:val="24"/>
              </w:rPr>
              <w:t>5.整机需安装嵌入式安卓系统（版本不低于Android14，内存≥4GB，存储空间≥16GB）或鸿蒙系统。</w:t>
            </w:r>
          </w:p>
          <w:p w14:paraId="5B5AA3A5">
            <w:pPr>
              <w:pStyle w:val="4"/>
              <w:jc w:val="both"/>
            </w:pPr>
            <w:r>
              <w:rPr>
                <w:rFonts w:ascii="仿宋_GB2312" w:hAnsi="仿宋_GB2312" w:eastAsia="仿宋_GB2312" w:cs="仿宋_GB2312"/>
                <w:b/>
                <w:sz w:val="24"/>
              </w:rPr>
              <w:t>网络传输：</w:t>
            </w:r>
          </w:p>
          <w:p w14:paraId="081E12AB">
            <w:pPr>
              <w:pStyle w:val="4"/>
              <w:jc w:val="both"/>
            </w:pPr>
            <w:r>
              <w:rPr>
                <w:rFonts w:ascii="仿宋_GB2312" w:hAnsi="仿宋_GB2312" w:eastAsia="仿宋_GB2312" w:cs="仿宋_GB2312"/>
                <w:sz w:val="24"/>
              </w:rPr>
              <w:t>1.支持有线网络接入；支持蓝牙连接；内置Wi-Fi6或以上标准的无线网卡，支持2.4GHz和5GHz双频</w:t>
            </w:r>
            <w:r>
              <w:rPr>
                <w:rFonts w:ascii="仿宋_GB2312" w:hAnsi="仿宋_GB2312" w:eastAsia="仿宋_GB2312" w:cs="仿宋_GB2312"/>
                <w:b/>
                <w:sz w:val="24"/>
              </w:rPr>
              <w:t>。</w:t>
            </w:r>
          </w:p>
          <w:p w14:paraId="0B13BC51">
            <w:pPr>
              <w:pStyle w:val="4"/>
              <w:jc w:val="both"/>
            </w:pPr>
            <w:r>
              <w:rPr>
                <w:rFonts w:ascii="仿宋_GB2312" w:hAnsi="仿宋_GB2312" w:eastAsia="仿宋_GB2312" w:cs="仿宋_GB2312"/>
                <w:sz w:val="24"/>
              </w:rPr>
              <w:t>2.内置系统支持自定义AP无线热点名称和密码，可同时实现wifi无线上网连接和AP无线热点发射</w:t>
            </w:r>
            <w:r>
              <w:rPr>
                <w:rFonts w:ascii="仿宋_GB2312" w:hAnsi="仿宋_GB2312" w:eastAsia="仿宋_GB2312" w:cs="仿宋_GB2312"/>
                <w:b/>
                <w:sz w:val="24"/>
              </w:rPr>
              <w:t>（提供国家认可的第三方检测机构出具的检测检验报告并加盖公章，履约验收时一并提供）。</w:t>
            </w:r>
          </w:p>
          <w:p w14:paraId="10CFC577">
            <w:pPr>
              <w:pStyle w:val="4"/>
              <w:jc w:val="both"/>
            </w:pPr>
            <w:r>
              <w:rPr>
                <w:rFonts w:ascii="仿宋_GB2312" w:hAnsi="仿宋_GB2312" w:eastAsia="仿宋_GB2312" w:cs="仿宋_GB2312"/>
                <w:sz w:val="24"/>
              </w:rPr>
              <w:t>3.具备无线投屏功能</w:t>
            </w:r>
            <w:r>
              <w:rPr>
                <w:rFonts w:ascii="仿宋_GB2312" w:hAnsi="仿宋_GB2312" w:eastAsia="仿宋_GB2312" w:cs="仿宋_GB2312"/>
                <w:b/>
                <w:sz w:val="24"/>
              </w:rPr>
              <w:t>。</w:t>
            </w:r>
          </w:p>
          <w:p w14:paraId="37EDA39A">
            <w:pPr>
              <w:pStyle w:val="4"/>
              <w:jc w:val="both"/>
            </w:pPr>
            <w:r>
              <w:rPr>
                <w:rFonts w:ascii="仿宋_GB2312" w:hAnsi="仿宋_GB2312" w:eastAsia="仿宋_GB2312" w:cs="仿宋_GB2312"/>
                <w:b/>
                <w:sz w:val="24"/>
              </w:rPr>
              <w:t>节能防护：</w:t>
            </w:r>
          </w:p>
          <w:p w14:paraId="7648DA8C">
            <w:pPr>
              <w:pStyle w:val="4"/>
              <w:jc w:val="both"/>
            </w:pPr>
            <w:r>
              <w:rPr>
                <w:rFonts w:ascii="仿宋_GB2312" w:hAnsi="仿宋_GB2312" w:eastAsia="仿宋_GB2312" w:cs="仿宋_GB2312"/>
                <w:sz w:val="24"/>
              </w:rPr>
              <w:t>1.具备高效节能模式，能效不低于2级。主屏采用直流背光源，显示画面无频闪。</w:t>
            </w:r>
          </w:p>
          <w:p w14:paraId="0791C34E">
            <w:pPr>
              <w:pStyle w:val="4"/>
              <w:jc w:val="both"/>
            </w:pPr>
            <w:r>
              <w:rPr>
                <w:rFonts w:ascii="仿宋_GB2312" w:hAnsi="仿宋_GB2312" w:eastAsia="仿宋_GB2312" w:cs="仿宋_GB2312"/>
                <w:sz w:val="24"/>
              </w:rPr>
              <w:t>2.适应教学环境下的清洁与使用需求，防尘不低于5级，防水不低于4级</w:t>
            </w:r>
            <w:r>
              <w:rPr>
                <w:rFonts w:ascii="仿宋_GB2312" w:hAnsi="仿宋_GB2312" w:eastAsia="仿宋_GB2312" w:cs="仿宋_GB2312"/>
                <w:b/>
                <w:sz w:val="24"/>
              </w:rPr>
              <w:t>。</w:t>
            </w:r>
          </w:p>
          <w:p w14:paraId="4FA01EAA">
            <w:pPr>
              <w:pStyle w:val="4"/>
              <w:jc w:val="both"/>
            </w:pPr>
            <w:r>
              <w:rPr>
                <w:rFonts w:ascii="仿宋_GB2312" w:hAnsi="仿宋_GB2312" w:eastAsia="仿宋_GB2312" w:cs="仿宋_GB2312"/>
                <w:b/>
                <w:sz w:val="24"/>
              </w:rPr>
              <w:t>音视频：</w:t>
            </w:r>
          </w:p>
          <w:p w14:paraId="3F767482">
            <w:pPr>
              <w:pStyle w:val="4"/>
              <w:jc w:val="both"/>
            </w:pPr>
            <w:r>
              <w:rPr>
                <w:rFonts w:ascii="仿宋_GB2312" w:hAnsi="仿宋_GB2312" w:eastAsia="仿宋_GB2312" w:cs="仿宋_GB2312"/>
                <w:sz w:val="24"/>
              </w:rPr>
              <w:t>1.内置扬声器≥2个，总功率≥60W，工作噪声声压级≤30dB(A），声压级≥80dB；内置麦克风数量≥4个，最大拾音角度180°,最大拾音距离≥12m，信噪比≥60dB，麦克风频率范围不窄于125Hz～8000Hz。可配置便携式外置麦克风。</w:t>
            </w:r>
          </w:p>
          <w:p w14:paraId="561AAA8E">
            <w:pPr>
              <w:pStyle w:val="4"/>
              <w:jc w:val="both"/>
            </w:pPr>
            <w:r>
              <w:rPr>
                <w:rFonts w:ascii="仿宋_GB2312" w:hAnsi="仿宋_GB2312" w:eastAsia="仿宋_GB2312" w:cs="仿宋_GB2312"/>
                <w:sz w:val="24"/>
              </w:rPr>
              <w:t>2.配置便携式外置麦克风，采用可拆卸模块实现领夹、胸挂、耳戴三种佩戴方式，支持语音唤醒功能，指令执行语音播放反馈，支持语音控制指令编辑、写入功能，无网络状态下实现语音控制主屏开机上课/关机下课、安卓/电脑视频信号通道切换、显示状态切换（时间/音量）、触发秒/分/小时级别显示屏计时、音量0-100百分比调节、教学授课软件打开/关闭、开始/停止录音、课件打开/关闭/切换/黑白屏等，支持触控PPT翻页，搭载语音控制指令发射及扩声功能，具备屏幕显示问候语、音量、电量、对频方式等。</w:t>
            </w:r>
          </w:p>
          <w:p w14:paraId="29860267">
            <w:pPr>
              <w:pStyle w:val="4"/>
              <w:jc w:val="both"/>
            </w:pPr>
            <w:r>
              <w:rPr>
                <w:rFonts w:ascii="仿宋_GB2312" w:hAnsi="仿宋_GB2312" w:eastAsia="仿宋_GB2312" w:cs="仿宋_GB2312"/>
                <w:sz w:val="24"/>
              </w:rPr>
              <w:t>3.内置摄像头拍摄像素数≥1300万，传感器尺寸≥1/3.2英寸，分辨率≥1920×1080；对角线视场角≥120度</w:t>
            </w:r>
            <w:r>
              <w:rPr>
                <w:rFonts w:ascii="仿宋_GB2312" w:hAnsi="仿宋_GB2312" w:eastAsia="仿宋_GB2312" w:cs="仿宋_GB2312"/>
                <w:b/>
                <w:sz w:val="24"/>
              </w:rPr>
              <w:t>。</w:t>
            </w:r>
          </w:p>
          <w:p w14:paraId="6DC310EB">
            <w:pPr>
              <w:pStyle w:val="4"/>
              <w:jc w:val="both"/>
            </w:pPr>
            <w:r>
              <w:rPr>
                <w:rFonts w:ascii="仿宋_GB2312" w:hAnsi="仿宋_GB2312" w:eastAsia="仿宋_GB2312" w:cs="仿宋_GB2312"/>
                <w:b/>
                <w:sz w:val="24"/>
              </w:rPr>
              <w:t>其他：</w:t>
            </w:r>
          </w:p>
          <w:p w14:paraId="57A6B344">
            <w:pPr>
              <w:pStyle w:val="4"/>
              <w:jc w:val="both"/>
            </w:pPr>
            <w:r>
              <w:rPr>
                <w:rFonts w:ascii="仿宋_GB2312" w:hAnsi="仿宋_GB2312" w:eastAsia="仿宋_GB2312" w:cs="仿宋_GB2312"/>
                <w:sz w:val="24"/>
              </w:rPr>
              <w:t>1.整机具备前置按键（含触摸键），至少具备开关机、息屏、唤醒等操作功能</w:t>
            </w:r>
            <w:r>
              <w:rPr>
                <w:rFonts w:ascii="仿宋_GB2312" w:hAnsi="仿宋_GB2312" w:eastAsia="仿宋_GB2312" w:cs="仿宋_GB2312"/>
                <w:b/>
                <w:sz w:val="24"/>
              </w:rPr>
              <w:t>。</w:t>
            </w:r>
          </w:p>
          <w:p w14:paraId="5571E4F2">
            <w:pPr>
              <w:pStyle w:val="4"/>
              <w:jc w:val="both"/>
            </w:pPr>
            <w:r>
              <w:rPr>
                <w:rFonts w:ascii="仿宋_GB2312" w:hAnsi="仿宋_GB2312" w:eastAsia="仿宋_GB2312" w:cs="仿宋_GB2312"/>
                <w:sz w:val="24"/>
              </w:rPr>
              <w:t>2.前置不少于3路USB输入接口（至少包含1路Type-C接口、2路USB3.0接口），不少于1路HDMI功能或前置Type-C接口具备音视频传输功能</w:t>
            </w:r>
            <w:r>
              <w:rPr>
                <w:rFonts w:ascii="仿宋_GB2312" w:hAnsi="仿宋_GB2312" w:eastAsia="仿宋_GB2312" w:cs="仿宋_GB2312"/>
                <w:b/>
                <w:sz w:val="24"/>
              </w:rPr>
              <w:t>。</w:t>
            </w:r>
          </w:p>
          <w:p w14:paraId="7158F85A">
            <w:pPr>
              <w:pStyle w:val="4"/>
              <w:jc w:val="both"/>
            </w:pPr>
            <w:r>
              <w:rPr>
                <w:rFonts w:ascii="仿宋_GB2312" w:hAnsi="仿宋_GB2312" w:eastAsia="仿宋_GB2312" w:cs="仿宋_GB2312"/>
                <w:sz w:val="24"/>
              </w:rPr>
              <w:t>3.整机支持通过手势及触摸快捷按键等方式快捷调用半屏模式，具备降屏功能</w:t>
            </w:r>
            <w:r>
              <w:rPr>
                <w:rFonts w:ascii="仿宋_GB2312" w:hAnsi="仿宋_GB2312" w:eastAsia="仿宋_GB2312" w:cs="仿宋_GB2312"/>
                <w:b/>
                <w:sz w:val="24"/>
              </w:rPr>
              <w:t>。</w:t>
            </w:r>
          </w:p>
          <w:p w14:paraId="5470658C">
            <w:pPr>
              <w:pStyle w:val="4"/>
              <w:jc w:val="both"/>
            </w:pPr>
            <w:r>
              <w:rPr>
                <w:rFonts w:ascii="仿宋_GB2312" w:hAnsi="仿宋_GB2312" w:eastAsia="仿宋_GB2312" w:cs="仿宋_GB2312"/>
                <w:sz w:val="24"/>
              </w:rPr>
              <w:t>4.适配特殊自然条件，在高海拔、低气压、高低温及温差剧变等复合环境下，整机显示画面、触控响应、滑动操作、无尘清洁模式及主机各项功能均需保持稳定运行</w:t>
            </w:r>
            <w:r>
              <w:rPr>
                <w:rFonts w:ascii="仿宋_GB2312" w:hAnsi="仿宋_GB2312" w:eastAsia="仿宋_GB2312" w:cs="仿宋_GB2312"/>
                <w:b/>
                <w:sz w:val="24"/>
              </w:rPr>
              <w:t>。</w:t>
            </w:r>
          </w:p>
          <w:p w14:paraId="3A81C8C3">
            <w:pPr>
              <w:pStyle w:val="4"/>
              <w:ind w:firstLine="482"/>
              <w:jc w:val="both"/>
            </w:pPr>
          </w:p>
        </w:tc>
      </w:tr>
      <w:tr w14:paraId="5EECC5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D0272D9">
            <w:pPr>
              <w:pStyle w:val="4"/>
              <w:jc w:val="center"/>
            </w:pPr>
            <w:r>
              <w:rPr>
                <w:rFonts w:ascii="仿宋_GB2312" w:hAnsi="仿宋_GB2312" w:eastAsia="仿宋_GB2312" w:cs="仿宋_GB2312"/>
              </w:rPr>
              <w:t>2</w:t>
            </w:r>
          </w:p>
        </w:tc>
        <w:tc>
          <w:tcPr>
            <w:tcW w:w="581" w:type="dxa"/>
          </w:tcPr>
          <w:p w14:paraId="4E77A415">
            <w:pPr>
              <w:pStyle w:val="4"/>
              <w:jc w:val="center"/>
            </w:pPr>
            <w:r>
              <w:rPr>
                <w:rFonts w:ascii="仿宋_GB2312" w:hAnsi="仿宋_GB2312" w:eastAsia="仿宋_GB2312" w:cs="仿宋_GB2312"/>
              </w:rPr>
              <w:t>★</w:t>
            </w:r>
          </w:p>
        </w:tc>
        <w:tc>
          <w:tcPr>
            <w:tcW w:w="1495" w:type="dxa"/>
          </w:tcPr>
          <w:p w14:paraId="16CCBB6D">
            <w:pPr>
              <w:pStyle w:val="4"/>
              <w:jc w:val="left"/>
            </w:pPr>
            <w:r>
              <w:rPr>
                <w:rFonts w:ascii="仿宋_GB2312" w:hAnsi="仿宋_GB2312" w:eastAsia="仿宋_GB2312" w:cs="仿宋_GB2312"/>
              </w:rPr>
              <w:t>副板</w:t>
            </w:r>
          </w:p>
        </w:tc>
        <w:tc>
          <w:tcPr>
            <w:tcW w:w="5814" w:type="dxa"/>
          </w:tcPr>
          <w:p w14:paraId="41544621">
            <w:pPr>
              <w:pStyle w:val="4"/>
              <w:jc w:val="both"/>
            </w:pPr>
            <w:r>
              <w:rPr>
                <w:rFonts w:ascii="仿宋_GB2312" w:hAnsi="仿宋_GB2312" w:eastAsia="仿宋_GB2312" w:cs="仿宋_GB2312"/>
                <w:color w:val="000000"/>
                <w:sz w:val="24"/>
              </w:rPr>
              <w:t>1.与中心主屏搭配组成五段式一体化结构，内置静音金属材质缓冲垫，隐形安装于黑板滑道内侧，缓冲止动安全防护功能。上下采用独立滑轨，确保推拉侧板时滑动稳固与顺滑，双排下滑轮。</w:t>
            </w:r>
          </w:p>
          <w:p w14:paraId="2277660D">
            <w:pPr>
              <w:pStyle w:val="4"/>
              <w:jc w:val="both"/>
            </w:pPr>
            <w:r>
              <w:rPr>
                <w:rFonts w:ascii="仿宋_GB2312" w:hAnsi="仿宋_GB2312" w:eastAsia="仿宋_GB2312" w:cs="仿宋_GB2312"/>
                <w:color w:val="000000"/>
                <w:sz w:val="24"/>
              </w:rPr>
              <w:t>2.副板板面光泽度不高于8光泽度以免产生眩光。</w:t>
            </w:r>
          </w:p>
          <w:p w14:paraId="5A4C50FB">
            <w:pPr>
              <w:pStyle w:val="4"/>
              <w:jc w:val="both"/>
            </w:pPr>
            <w:r>
              <w:rPr>
                <w:rFonts w:ascii="仿宋_GB2312" w:hAnsi="仿宋_GB2312" w:eastAsia="仿宋_GB2312" w:cs="仿宋_GB2312"/>
                <w:color w:val="000000"/>
                <w:sz w:val="24"/>
              </w:rPr>
              <w:t>3.副板板面甲醛释放量0mg/L。</w:t>
            </w:r>
          </w:p>
          <w:p w14:paraId="58EF3FA5">
            <w:pPr>
              <w:pStyle w:val="4"/>
              <w:jc w:val="both"/>
            </w:pPr>
            <w:r>
              <w:rPr>
                <w:rFonts w:ascii="仿宋_GB2312" w:hAnsi="仿宋_GB2312" w:eastAsia="仿宋_GB2312" w:cs="仿宋_GB2312"/>
                <w:color w:val="000000"/>
                <w:sz w:val="24"/>
              </w:rPr>
              <w:t>4.副板支持普通粉笔、液体粉笔、水溶性粉笔等直接书写，支持磁吸。</w:t>
            </w:r>
          </w:p>
          <w:p w14:paraId="3ED04BF2">
            <w:pPr>
              <w:pStyle w:val="4"/>
              <w:jc w:val="both"/>
            </w:pPr>
            <w:r>
              <w:rPr>
                <w:rFonts w:ascii="仿宋_GB2312" w:hAnsi="仿宋_GB2312" w:eastAsia="仿宋_GB2312" w:cs="仿宋_GB2312"/>
                <w:color w:val="000000"/>
                <w:sz w:val="24"/>
              </w:rPr>
              <w:t>5.背板采用镀锌钢板材质。</w:t>
            </w:r>
          </w:p>
        </w:tc>
      </w:tr>
      <w:tr w14:paraId="00A438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760798E">
            <w:pPr>
              <w:pStyle w:val="4"/>
              <w:jc w:val="center"/>
            </w:pPr>
            <w:r>
              <w:rPr>
                <w:rFonts w:ascii="仿宋_GB2312" w:hAnsi="仿宋_GB2312" w:eastAsia="仿宋_GB2312" w:cs="仿宋_GB2312"/>
              </w:rPr>
              <w:t>3</w:t>
            </w:r>
          </w:p>
        </w:tc>
        <w:tc>
          <w:tcPr>
            <w:tcW w:w="581" w:type="dxa"/>
          </w:tcPr>
          <w:p w14:paraId="1B7026C3">
            <w:pPr>
              <w:pStyle w:val="4"/>
              <w:jc w:val="center"/>
            </w:pPr>
            <w:r>
              <w:rPr>
                <w:rFonts w:ascii="仿宋_GB2312" w:hAnsi="仿宋_GB2312" w:eastAsia="仿宋_GB2312" w:cs="仿宋_GB2312"/>
              </w:rPr>
              <w:t>★</w:t>
            </w:r>
          </w:p>
        </w:tc>
        <w:tc>
          <w:tcPr>
            <w:tcW w:w="1495" w:type="dxa"/>
          </w:tcPr>
          <w:p w14:paraId="28DD703E">
            <w:pPr>
              <w:pStyle w:val="4"/>
              <w:jc w:val="left"/>
            </w:pPr>
            <w:r>
              <w:rPr>
                <w:rFonts w:ascii="仿宋_GB2312" w:hAnsi="仿宋_GB2312" w:eastAsia="仿宋_GB2312" w:cs="仿宋_GB2312"/>
              </w:rPr>
              <w:t>控制主机</w:t>
            </w:r>
          </w:p>
        </w:tc>
        <w:tc>
          <w:tcPr>
            <w:tcW w:w="5814" w:type="dxa"/>
          </w:tcPr>
          <w:p w14:paraId="64D7E30F">
            <w:pPr>
              <w:pStyle w:val="4"/>
              <w:jc w:val="both"/>
            </w:pPr>
            <w:r>
              <w:rPr>
                <w:rFonts w:ascii="仿宋_GB2312" w:hAnsi="仿宋_GB2312" w:eastAsia="仿宋_GB2312" w:cs="仿宋_GB2312"/>
                <w:color w:val="000000"/>
                <w:sz w:val="24"/>
              </w:rPr>
              <w:t>采用 OPS 方式，OPS 与大屏无单独接线，采用卡扣或螺丝固定，OPS 与整机复用接口；自主安全的 CPU 处理器，核心数≥8 核，线程数≥12，内存≥16GB DDR4，存储空间≥512GB 固态硬盘</w:t>
            </w:r>
            <w:r>
              <w:rPr>
                <w:rFonts w:ascii="仿宋_GB2312" w:hAnsi="仿宋_GB2312" w:eastAsia="仿宋_GB2312" w:cs="仿宋_GB2312"/>
                <w:b/>
                <w:color w:val="000000"/>
                <w:sz w:val="24"/>
              </w:rPr>
              <w:t>（提供产品彩页、产品说明书、官网参数页截图或权威机构检测报告复印件等证明材料，履约验收时一并提供）</w:t>
            </w:r>
            <w:r>
              <w:rPr>
                <w:rFonts w:ascii="仿宋_GB2312" w:hAnsi="仿宋_GB2312" w:eastAsia="仿宋_GB2312" w:cs="仿宋_GB2312"/>
                <w:color w:val="000000"/>
                <w:sz w:val="24"/>
              </w:rPr>
              <w:t>。预装正版桌面操作系统，操作系统满足《桌面操作系统政府采购需求标准(2023 年版)》相关要求。</w:t>
            </w:r>
            <w:r>
              <w:rPr>
                <w:rFonts w:ascii="仿宋_GB2312" w:hAnsi="仿宋_GB2312" w:eastAsia="仿宋_GB2312" w:cs="仿宋_GB2312"/>
                <w:b/>
                <w:color w:val="000000"/>
                <w:sz w:val="24"/>
              </w:rPr>
              <w:t>（含授权）</w:t>
            </w:r>
            <w:r>
              <w:rPr>
                <w:rFonts w:ascii="仿宋_GB2312" w:hAnsi="仿宋_GB2312" w:eastAsia="仿宋_GB2312" w:cs="仿宋_GB2312"/>
                <w:color w:val="000000"/>
                <w:sz w:val="24"/>
              </w:rPr>
              <w:t>。</w:t>
            </w:r>
          </w:p>
        </w:tc>
      </w:tr>
      <w:tr w14:paraId="65C634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2AAF2A">
            <w:pPr>
              <w:pStyle w:val="4"/>
              <w:jc w:val="center"/>
            </w:pPr>
            <w:r>
              <w:rPr>
                <w:rFonts w:ascii="仿宋_GB2312" w:hAnsi="仿宋_GB2312" w:eastAsia="仿宋_GB2312" w:cs="仿宋_GB2312"/>
              </w:rPr>
              <w:t>4</w:t>
            </w:r>
          </w:p>
        </w:tc>
        <w:tc>
          <w:tcPr>
            <w:tcW w:w="581" w:type="dxa"/>
          </w:tcPr>
          <w:p w14:paraId="1737F05D">
            <w:pPr>
              <w:pStyle w:val="4"/>
              <w:jc w:val="center"/>
            </w:pPr>
            <w:r>
              <w:rPr>
                <w:rFonts w:ascii="仿宋_GB2312" w:hAnsi="仿宋_GB2312" w:eastAsia="仿宋_GB2312" w:cs="仿宋_GB2312"/>
              </w:rPr>
              <w:t>★</w:t>
            </w:r>
          </w:p>
        </w:tc>
        <w:tc>
          <w:tcPr>
            <w:tcW w:w="1495" w:type="dxa"/>
          </w:tcPr>
          <w:p w14:paraId="7F0E7AD9">
            <w:pPr>
              <w:pStyle w:val="4"/>
              <w:jc w:val="left"/>
            </w:pPr>
            <w:r>
              <w:rPr>
                <w:rFonts w:ascii="仿宋_GB2312" w:hAnsi="仿宋_GB2312" w:eastAsia="仿宋_GB2312" w:cs="仿宋_GB2312"/>
              </w:rPr>
              <w:t>壁挂式展台</w:t>
            </w:r>
          </w:p>
        </w:tc>
        <w:tc>
          <w:tcPr>
            <w:tcW w:w="5814" w:type="dxa"/>
          </w:tcPr>
          <w:p w14:paraId="06A420F0">
            <w:pPr>
              <w:pStyle w:val="4"/>
              <w:jc w:val="both"/>
            </w:pPr>
            <w:r>
              <w:rPr>
                <w:rFonts w:ascii="仿宋_GB2312" w:hAnsi="仿宋_GB2312" w:eastAsia="仿宋_GB2312" w:cs="仿宋_GB2312"/>
                <w:sz w:val="24"/>
              </w:rPr>
              <w:t>1.摄像头像素≥800万，传感器尺寸≥1/3.2英寸，分辨率≥1920×1080，支持自动对焦；展示区域应不小于210mm×297mm，视频预览帧率≥30帧/秒；具备LED补光灯，托板可收起</w:t>
            </w:r>
            <w:r>
              <w:rPr>
                <w:rFonts w:ascii="仿宋_GB2312" w:hAnsi="仿宋_GB2312" w:eastAsia="仿宋_GB2312" w:cs="仿宋_GB2312"/>
                <w:b/>
                <w:sz w:val="24"/>
              </w:rPr>
              <w:t>）。</w:t>
            </w:r>
          </w:p>
          <w:p w14:paraId="4D892825">
            <w:pPr>
              <w:pStyle w:val="4"/>
              <w:jc w:val="both"/>
            </w:pPr>
            <w:r>
              <w:rPr>
                <w:rFonts w:ascii="仿宋_GB2312" w:hAnsi="仿宋_GB2312" w:eastAsia="仿宋_GB2312" w:cs="仿宋_GB2312"/>
                <w:sz w:val="24"/>
              </w:rPr>
              <w:t>2.支持视频展台软件对画面进行放大、缩小、旋转、满屏、截屏（能复制到PPT、白板等界面使用）操作。支持对比教学，可二分屏和四分屏及以上多屏对比，并可在对比屏幕上直接进行批注。支持展台画面实时批注。</w:t>
            </w:r>
          </w:p>
        </w:tc>
      </w:tr>
      <w:tr w14:paraId="649DC9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CCE4F2B">
            <w:pPr>
              <w:pStyle w:val="4"/>
              <w:jc w:val="center"/>
            </w:pPr>
            <w:r>
              <w:rPr>
                <w:rFonts w:ascii="仿宋_GB2312" w:hAnsi="仿宋_GB2312" w:eastAsia="仿宋_GB2312" w:cs="仿宋_GB2312"/>
              </w:rPr>
              <w:t>5</w:t>
            </w:r>
          </w:p>
        </w:tc>
        <w:tc>
          <w:tcPr>
            <w:tcW w:w="581" w:type="dxa"/>
          </w:tcPr>
          <w:p w14:paraId="570949A1">
            <w:pPr>
              <w:pStyle w:val="4"/>
              <w:jc w:val="center"/>
            </w:pPr>
            <w:r>
              <w:rPr>
                <w:rFonts w:ascii="仿宋_GB2312" w:hAnsi="仿宋_GB2312" w:eastAsia="仿宋_GB2312" w:cs="仿宋_GB2312"/>
              </w:rPr>
              <w:t>★</w:t>
            </w:r>
          </w:p>
        </w:tc>
        <w:tc>
          <w:tcPr>
            <w:tcW w:w="1495" w:type="dxa"/>
          </w:tcPr>
          <w:p w14:paraId="42FDB47A">
            <w:pPr>
              <w:pStyle w:val="4"/>
              <w:jc w:val="left"/>
            </w:pPr>
            <w:r>
              <w:rPr>
                <w:rFonts w:ascii="仿宋_GB2312" w:hAnsi="仿宋_GB2312" w:eastAsia="仿宋_GB2312" w:cs="仿宋_GB2312"/>
              </w:rPr>
              <w:t>配套软件</w:t>
            </w:r>
          </w:p>
        </w:tc>
        <w:tc>
          <w:tcPr>
            <w:tcW w:w="5814" w:type="dxa"/>
          </w:tcPr>
          <w:p w14:paraId="7A751068">
            <w:pPr>
              <w:pStyle w:val="4"/>
              <w:jc w:val="both"/>
            </w:pPr>
            <w:r>
              <w:rPr>
                <w:rFonts w:ascii="仿宋_GB2312" w:hAnsi="仿宋_GB2312" w:eastAsia="仿宋_GB2312" w:cs="仿宋_GB2312"/>
                <w:b/>
                <w:sz w:val="24"/>
              </w:rPr>
              <w:t>办公软件：</w:t>
            </w:r>
          </w:p>
          <w:p w14:paraId="574E5E70">
            <w:pPr>
              <w:pStyle w:val="4"/>
              <w:jc w:val="both"/>
            </w:pPr>
            <w:r>
              <w:rPr>
                <w:rFonts w:ascii="仿宋_GB2312" w:hAnsi="仿宋_GB2312" w:eastAsia="仿宋_GB2312" w:cs="仿宋_GB2312"/>
                <w:sz w:val="24"/>
              </w:rPr>
              <w:t>1.提供运行在国产操作系统上的办公软件产品（授权服务期≥1年）。</w:t>
            </w:r>
          </w:p>
          <w:p w14:paraId="21F3E0E0">
            <w:pPr>
              <w:pStyle w:val="4"/>
              <w:jc w:val="both"/>
            </w:pPr>
            <w:r>
              <w:rPr>
                <w:rFonts w:ascii="仿宋_GB2312" w:hAnsi="仿宋_GB2312" w:eastAsia="仿宋_GB2312" w:cs="仿宋_GB2312"/>
                <w:sz w:val="24"/>
              </w:rPr>
              <w:t>2.所投办公软件能生成和编辑.doc/.docx/.dot/.wps/.xls/.xlsx/.xlt/.et/.ppt/.pptx/.pps/.dps等文件格式。</w:t>
            </w:r>
          </w:p>
          <w:p w14:paraId="6BDE4803">
            <w:pPr>
              <w:pStyle w:val="4"/>
              <w:jc w:val="both"/>
            </w:pPr>
            <w:r>
              <w:rPr>
                <w:rFonts w:ascii="仿宋_GB2312" w:hAnsi="仿宋_GB2312" w:eastAsia="仿宋_GB2312" w:cs="仿宋_GB2312"/>
                <w:sz w:val="24"/>
              </w:rPr>
              <w:t>3.文字模块支持智能目录导航，支持自动识别文档结构和实时调整文档目录；支持标题格式无需调整样式，即可自动生成目录。</w:t>
            </w:r>
          </w:p>
          <w:p w14:paraId="4DFC49BC">
            <w:pPr>
              <w:pStyle w:val="4"/>
              <w:jc w:val="both"/>
            </w:pPr>
            <w:r>
              <w:rPr>
                <w:rFonts w:ascii="仿宋_GB2312" w:hAnsi="仿宋_GB2312" w:eastAsia="仿宋_GB2312" w:cs="仿宋_GB2312"/>
                <w:sz w:val="24"/>
              </w:rPr>
              <w:t>4.表格模块支持表格的快速合并，支持一键选择合并居中、合并单元格、合并相同单元格、合并内容、取消合并单元格、拆分并填充内容。</w:t>
            </w:r>
          </w:p>
          <w:p w14:paraId="1A983470">
            <w:pPr>
              <w:pStyle w:val="4"/>
              <w:jc w:val="both"/>
            </w:pPr>
            <w:r>
              <w:rPr>
                <w:rFonts w:ascii="仿宋_GB2312" w:hAnsi="仿宋_GB2312" w:eastAsia="仿宋_GB2312" w:cs="仿宋_GB2312"/>
                <w:sz w:val="24"/>
              </w:rPr>
              <w:t>5.幻灯片演示模块支持智能图形，至少包含多种图示类型，如层次结构、列表、循环、流程等图形类型。</w:t>
            </w:r>
          </w:p>
          <w:p w14:paraId="2A694CB5">
            <w:pPr>
              <w:pStyle w:val="4"/>
              <w:jc w:val="both"/>
            </w:pPr>
            <w:r>
              <w:rPr>
                <w:rFonts w:ascii="仿宋_GB2312" w:hAnsi="仿宋_GB2312" w:eastAsia="仿宋_GB2312" w:cs="仿宋_GB2312"/>
                <w:sz w:val="24"/>
              </w:rPr>
              <w:t>6.办公软件具备后台管理功能，公网云存储空间。可通过账号登录使用；云文档支持外链分享、文档多终端漫游，支持历史版本、全文检索等功能；支持文档实时跟踪与备份恢复。</w:t>
            </w:r>
          </w:p>
          <w:p w14:paraId="55560675">
            <w:pPr>
              <w:pStyle w:val="4"/>
              <w:jc w:val="both"/>
            </w:pPr>
            <w:r>
              <w:rPr>
                <w:rFonts w:ascii="仿宋_GB2312" w:hAnsi="仿宋_GB2312" w:eastAsia="仿宋_GB2312" w:cs="仿宋_GB2312"/>
                <w:sz w:val="24"/>
              </w:rPr>
              <w:t>7.云文档空间具备≧300GB/台的存储容量，办公软件管理员可根据用户使用情况进行分配。</w:t>
            </w:r>
          </w:p>
          <w:p w14:paraId="4798DD3B">
            <w:pPr>
              <w:pStyle w:val="4"/>
              <w:jc w:val="both"/>
            </w:pPr>
            <w:r>
              <w:rPr>
                <w:rFonts w:ascii="仿宋_GB2312" w:hAnsi="仿宋_GB2312" w:eastAsia="仿宋_GB2312" w:cs="仿宋_GB2312"/>
                <w:sz w:val="24"/>
              </w:rPr>
              <w:t>8.支持实时通讯能力，支持一对一单聊会话和创建群聊会话；会话支持设置消息免打扰、聊天列表置顶等功能。</w:t>
            </w:r>
          </w:p>
          <w:p w14:paraId="6D7DA5CE">
            <w:pPr>
              <w:pStyle w:val="4"/>
              <w:jc w:val="both"/>
            </w:pPr>
            <w:r>
              <w:rPr>
                <w:rFonts w:ascii="仿宋_GB2312" w:hAnsi="仿宋_GB2312" w:eastAsia="仿宋_GB2312" w:cs="仿宋_GB2312"/>
                <w:sz w:val="24"/>
              </w:rPr>
              <w:t>9.支持对文字、表格、演示等文档格式文件的内容进行检索，通过高精度全文检索能力帮助用户快速定位目标文件；支持基于关键词的全文搜索。</w:t>
            </w:r>
          </w:p>
          <w:p w14:paraId="6EA94774">
            <w:pPr>
              <w:pStyle w:val="4"/>
              <w:jc w:val="both"/>
            </w:pPr>
            <w:r>
              <w:rPr>
                <w:rFonts w:ascii="仿宋_GB2312" w:hAnsi="仿宋_GB2312" w:eastAsia="仿宋_GB2312" w:cs="仿宋_GB2312"/>
                <w:sz w:val="24"/>
              </w:rPr>
              <w:t>10支持会议功能，可基于文档发起会议功能，并邀请其他成员参与；支持单独创建会议，通过会议ID或者链接可进行在线会议，可提供云文档共享、屏幕共享等多种内容共享方式</w:t>
            </w:r>
            <w:r>
              <w:rPr>
                <w:rFonts w:ascii="仿宋_GB2312" w:hAnsi="仿宋_GB2312" w:eastAsia="仿宋_GB2312" w:cs="仿宋_GB2312"/>
                <w:b/>
                <w:sz w:val="24"/>
              </w:rPr>
              <w:t>。</w:t>
            </w:r>
          </w:p>
          <w:p w14:paraId="77AAF93B">
            <w:pPr>
              <w:pStyle w:val="4"/>
              <w:jc w:val="both"/>
            </w:pPr>
            <w:r>
              <w:rPr>
                <w:rFonts w:ascii="仿宋_GB2312" w:hAnsi="仿宋_GB2312" w:eastAsia="仿宋_GB2312" w:cs="仿宋_GB2312"/>
                <w:b/>
                <w:sz w:val="24"/>
              </w:rPr>
              <w:t>杀毒软件：</w:t>
            </w:r>
          </w:p>
          <w:p w14:paraId="0E291F3E">
            <w:pPr>
              <w:pStyle w:val="4"/>
              <w:jc w:val="both"/>
            </w:pPr>
            <w:r>
              <w:rPr>
                <w:rFonts w:ascii="仿宋_GB2312" w:hAnsi="仿宋_GB2312" w:eastAsia="仿宋_GB2312" w:cs="仿宋_GB2312"/>
                <w:sz w:val="24"/>
              </w:rPr>
              <w:t>1.产品可以纯软件交付，包含管理控制中心软件及终端客户端软件，其中管理控制中心可云化部署，同时也支持硬件管理平台交付。（授权服务期≥1年）</w:t>
            </w:r>
          </w:p>
          <w:p w14:paraId="0496D0C6">
            <w:pPr>
              <w:pStyle w:val="4"/>
              <w:jc w:val="both"/>
            </w:pPr>
            <w:r>
              <w:rPr>
                <w:rFonts w:ascii="仿宋_GB2312" w:hAnsi="仿宋_GB2312" w:eastAsia="仿宋_GB2312" w:cs="仿宋_GB2312"/>
                <w:sz w:val="24"/>
              </w:rPr>
              <w:t>2.采用B/S架构的管理控制中心，具备终端安全可视，终端统一管理，统一威胁处置，统一漏洞修复，威胁响应处置，日志记录与查询等功能。</w:t>
            </w:r>
          </w:p>
          <w:p w14:paraId="53AD5494">
            <w:pPr>
              <w:pStyle w:val="4"/>
              <w:jc w:val="both"/>
            </w:pPr>
            <w:r>
              <w:rPr>
                <w:rFonts w:ascii="仿宋_GB2312" w:hAnsi="仿宋_GB2312" w:eastAsia="仿宋_GB2312" w:cs="仿宋_GB2312"/>
                <w:sz w:val="24"/>
              </w:rPr>
              <w:t>3.支持全网风险展示，包括但不限于未处理的勒索事件数量、高级威胁、Web入侵、待处置漏洞、钓鱼攻击及其各自影响的终端数量。</w:t>
            </w:r>
          </w:p>
          <w:p w14:paraId="16B5654A">
            <w:pPr>
              <w:pStyle w:val="4"/>
              <w:jc w:val="both"/>
            </w:pPr>
            <w:r>
              <w:rPr>
                <w:rFonts w:ascii="仿宋_GB2312" w:hAnsi="仿宋_GB2312" w:eastAsia="仿宋_GB2312" w:cs="仿宋_GB2312"/>
                <w:sz w:val="24"/>
              </w:rPr>
              <w:t>4.提供勒索病毒整体防护体系入口，直观展示最近七天勒索病毒防护效果，包括已处置的恶意文件数量、已拦截可疑行为次数、已阻止的未知进程操作次数、已阻止的暴力破解攻击次数。</w:t>
            </w:r>
          </w:p>
          <w:p w14:paraId="4A68AEBB">
            <w:pPr>
              <w:pStyle w:val="4"/>
              <w:jc w:val="both"/>
            </w:pPr>
            <w:r>
              <w:rPr>
                <w:rFonts w:ascii="仿宋_GB2312" w:hAnsi="仿宋_GB2312" w:eastAsia="仿宋_GB2312" w:cs="仿宋_GB2312"/>
                <w:sz w:val="24"/>
              </w:rPr>
              <w:t>5.支持跳转链接至云端威胁情报中心，针对已发生的威胁提供详细的分析结果，包含威胁分析、网络行为、静态分析、分析环境和影响分析。</w:t>
            </w:r>
          </w:p>
          <w:p w14:paraId="7715202E">
            <w:pPr>
              <w:pStyle w:val="4"/>
              <w:jc w:val="both"/>
            </w:pPr>
            <w:r>
              <w:rPr>
                <w:rFonts w:ascii="仿宋_GB2312" w:hAnsi="仿宋_GB2312" w:eastAsia="仿宋_GB2312" w:cs="仿宋_GB2312"/>
                <w:sz w:val="24"/>
              </w:rPr>
              <w:t>6.支持按照扫描网段、扫描方式、扫描协议、扫描端口对终端进行扫描，及时发现尚未纳入管控的终端。</w:t>
            </w:r>
          </w:p>
          <w:p w14:paraId="2B3DA897">
            <w:pPr>
              <w:pStyle w:val="4"/>
              <w:jc w:val="both"/>
            </w:pPr>
            <w:r>
              <w:rPr>
                <w:rFonts w:ascii="仿宋_GB2312" w:hAnsi="仿宋_GB2312" w:eastAsia="仿宋_GB2312" w:cs="仿宋_GB2312"/>
                <w:sz w:val="24"/>
              </w:rPr>
              <w:t>7.支持安全策略一体化配置，通过单一策略即可实现不同安全功能的配置，包括：终端病毒查杀的文件扫描配置、文件实时监控的参数配置、WebShell检测和威胁处置方式、暴力破解的威胁处置方式和Windows白名单信任目录。</w:t>
            </w:r>
          </w:p>
          <w:p w14:paraId="16BD2C3A">
            <w:pPr>
              <w:pStyle w:val="4"/>
              <w:jc w:val="both"/>
            </w:pPr>
            <w:r>
              <w:rPr>
                <w:rFonts w:ascii="仿宋_GB2312" w:hAnsi="仿宋_GB2312" w:eastAsia="仿宋_GB2312" w:cs="仿宋_GB2312"/>
                <w:sz w:val="24"/>
              </w:rPr>
              <w:t>8.支持对系统账号信息进行梳理，了解账号权限分布概况以及风险账号分布情况，可按照隐藏账号、弱密码账号、可疑root权限账号、长期未使用账号、夜间登录、多IP登录进行账号分类查看，支持统计最近一年未修改密码的账户。</w:t>
            </w:r>
          </w:p>
          <w:p w14:paraId="60CF1212">
            <w:pPr>
              <w:pStyle w:val="4"/>
              <w:jc w:val="both"/>
            </w:pPr>
            <w:r>
              <w:rPr>
                <w:rFonts w:ascii="仿宋_GB2312" w:hAnsi="仿宋_GB2312" w:eastAsia="仿宋_GB2312" w:cs="仿宋_GB2312"/>
                <w:sz w:val="24"/>
              </w:rPr>
              <w:t>9.具备云端下发通道，支持在管理端批量下发专杀工具到内网各终端快速响应终端威胁。</w:t>
            </w:r>
          </w:p>
          <w:p w14:paraId="56C055D1">
            <w:pPr>
              <w:pStyle w:val="4"/>
              <w:jc w:val="both"/>
            </w:pPr>
            <w:r>
              <w:rPr>
                <w:rFonts w:ascii="仿宋_GB2312" w:hAnsi="仿宋_GB2312" w:eastAsia="仿宋_GB2312" w:cs="仿宋_GB2312"/>
                <w:sz w:val="24"/>
              </w:rPr>
              <w:t>10.支持月度安全运营报告自动化导出，报告内容包括整体安全运营概览（威胁概况、风险终端）以及风险趋势，挖矿、木马远控、僵尸网络、黑客工具、恶意URL等类型的威胁拦截数；新型威胁最新动态及最新威胁情报TOP30；重点事件运营，包括TOP10威胁事件和TOP风险终端，展示全网具体的值得关注的风险事件。</w:t>
            </w:r>
          </w:p>
          <w:p w14:paraId="1D211E5F">
            <w:pPr>
              <w:pStyle w:val="4"/>
              <w:jc w:val="both"/>
            </w:pPr>
            <w:r>
              <w:rPr>
                <w:rFonts w:ascii="仿宋_GB2312" w:hAnsi="仿宋_GB2312" w:eastAsia="仿宋_GB2312" w:cs="仿宋_GB2312"/>
                <w:sz w:val="24"/>
              </w:rPr>
              <w:t>11.具备全量威胁情报能力，POP点威胁情报至少千万+级别，文件MD5威胁情报数十亿级别，URL威胁情报千万+级别；支持DNS、IP、URL流量的实时检测与拦截，可有效应对挖矿、C2和恶意软件的威胁。</w:t>
            </w:r>
          </w:p>
          <w:p w14:paraId="4A5BD75B">
            <w:pPr>
              <w:pStyle w:val="4"/>
              <w:jc w:val="both"/>
            </w:pPr>
            <w:r>
              <w:rPr>
                <w:rFonts w:ascii="仿宋_GB2312" w:hAnsi="仿宋_GB2312" w:eastAsia="仿宋_GB2312" w:cs="仿宋_GB2312"/>
                <w:sz w:val="24"/>
              </w:rPr>
              <w:t>12.提供应用自定义能力，可基于进程名称、应用签名、图标SHA256等参数进行应用自定义，可管控自定义应用的文件外发行为，不影响其他功能的正常使用。可基于应用资源的风险点而配置一系列准入防护策略，对用户访问应用过程全生命周期进行实时检测，当触发策略条件时，执行对应的防护动作。包括：选择策略适用的用户及应用、配置策略判定条件、自定义用户提示、配置策略基本信息，便于管理员管理、配置策略状态，启用或禁用。</w:t>
            </w:r>
          </w:p>
        </w:tc>
      </w:tr>
    </w:tbl>
    <w:p w14:paraId="423E6EB2">
      <w:pPr>
        <w:pStyle w:val="4"/>
        <w:jc w:val="left"/>
        <w:outlineLvl w:val="2"/>
      </w:pPr>
      <w:r>
        <w:rPr>
          <w:rFonts w:ascii="仿宋_GB2312" w:hAnsi="仿宋_GB2312" w:eastAsia="仿宋_GB2312" w:cs="仿宋_GB2312"/>
          <w:b/>
          <w:sz w:val="28"/>
        </w:rPr>
        <w:t>3.3.服务要求</w:t>
      </w:r>
    </w:p>
    <w:p w14:paraId="6B8089F8">
      <w:pPr>
        <w:pStyle w:val="4"/>
        <w:jc w:val="left"/>
        <w:outlineLvl w:val="3"/>
      </w:pPr>
      <w:r>
        <w:rPr>
          <w:rFonts w:ascii="仿宋_GB2312" w:hAnsi="仿宋_GB2312" w:eastAsia="仿宋_GB2312" w:cs="仿宋_GB2312"/>
          <w:b/>
          <w:sz w:val="24"/>
        </w:rPr>
        <w:t>3.3.1.服务内容要求</w:t>
      </w:r>
    </w:p>
    <w:p w14:paraId="369DCF9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71DAB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B2C3CDB">
            <w:pPr>
              <w:pStyle w:val="4"/>
              <w:jc w:val="center"/>
            </w:pPr>
            <w:r>
              <w:rPr>
                <w:rFonts w:ascii="仿宋_GB2312" w:hAnsi="仿宋_GB2312" w:eastAsia="仿宋_GB2312" w:cs="仿宋_GB2312"/>
              </w:rPr>
              <w:t xml:space="preserve"> 序号</w:t>
            </w:r>
          </w:p>
        </w:tc>
        <w:tc>
          <w:tcPr>
            <w:tcW w:w="581" w:type="dxa"/>
          </w:tcPr>
          <w:p w14:paraId="1CC85A44">
            <w:pPr>
              <w:pStyle w:val="4"/>
              <w:jc w:val="center"/>
            </w:pPr>
            <w:r>
              <w:rPr>
                <w:rFonts w:ascii="仿宋_GB2312" w:hAnsi="仿宋_GB2312" w:eastAsia="仿宋_GB2312" w:cs="仿宋_GB2312"/>
              </w:rPr>
              <w:t xml:space="preserve"> 符号标识</w:t>
            </w:r>
          </w:p>
        </w:tc>
        <w:tc>
          <w:tcPr>
            <w:tcW w:w="1495" w:type="dxa"/>
          </w:tcPr>
          <w:p w14:paraId="76BF172D">
            <w:pPr>
              <w:pStyle w:val="4"/>
              <w:jc w:val="center"/>
            </w:pPr>
            <w:r>
              <w:rPr>
                <w:rFonts w:ascii="仿宋_GB2312" w:hAnsi="仿宋_GB2312" w:eastAsia="仿宋_GB2312" w:cs="仿宋_GB2312"/>
              </w:rPr>
              <w:t xml:space="preserve"> 服务要求名称</w:t>
            </w:r>
          </w:p>
        </w:tc>
        <w:tc>
          <w:tcPr>
            <w:tcW w:w="5814" w:type="dxa"/>
          </w:tcPr>
          <w:p w14:paraId="3C769D1A">
            <w:pPr>
              <w:pStyle w:val="4"/>
              <w:jc w:val="center"/>
            </w:pPr>
            <w:r>
              <w:rPr>
                <w:rFonts w:ascii="仿宋_GB2312" w:hAnsi="仿宋_GB2312" w:eastAsia="仿宋_GB2312" w:cs="仿宋_GB2312"/>
              </w:rPr>
              <w:t xml:space="preserve"> 服务要求内容</w:t>
            </w:r>
          </w:p>
        </w:tc>
      </w:tr>
      <w:tr w14:paraId="3DF9EE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4AA1C801">
            <w:pPr>
              <w:pStyle w:val="4"/>
              <w:jc w:val="center"/>
            </w:pPr>
            <w:r>
              <w:rPr>
                <w:rFonts w:ascii="仿宋_GB2312" w:hAnsi="仿宋_GB2312" w:eastAsia="仿宋_GB2312" w:cs="仿宋_GB2312"/>
              </w:rPr>
              <w:t>无</w:t>
            </w:r>
          </w:p>
        </w:tc>
      </w:tr>
    </w:tbl>
    <w:p w14:paraId="1DDF4EE8">
      <w:pPr>
        <w:pStyle w:val="4"/>
        <w:jc w:val="left"/>
        <w:outlineLvl w:val="3"/>
      </w:pPr>
      <w:r>
        <w:rPr>
          <w:rFonts w:ascii="仿宋_GB2312" w:hAnsi="仿宋_GB2312" w:eastAsia="仿宋_GB2312" w:cs="仿宋_GB2312"/>
          <w:b/>
          <w:sz w:val="24"/>
        </w:rPr>
        <w:t>3.3.2.商务要求</w:t>
      </w:r>
    </w:p>
    <w:p w14:paraId="18074F7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79271B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9A12811">
            <w:pPr>
              <w:pStyle w:val="4"/>
              <w:jc w:val="left"/>
            </w:pPr>
            <w:r>
              <w:rPr>
                <w:rFonts w:ascii="仿宋_GB2312" w:hAnsi="仿宋_GB2312" w:eastAsia="仿宋_GB2312" w:cs="仿宋_GB2312"/>
              </w:rPr>
              <w:t>序号</w:t>
            </w:r>
          </w:p>
        </w:tc>
        <w:tc>
          <w:tcPr>
            <w:tcW w:w="2076" w:type="dxa"/>
          </w:tcPr>
          <w:p w14:paraId="5FE2D130">
            <w:pPr>
              <w:pStyle w:val="4"/>
              <w:jc w:val="left"/>
            </w:pPr>
            <w:r>
              <w:rPr>
                <w:rFonts w:ascii="仿宋_GB2312" w:hAnsi="仿宋_GB2312" w:eastAsia="仿宋_GB2312" w:cs="仿宋_GB2312"/>
              </w:rPr>
              <w:t>符号标识</w:t>
            </w:r>
          </w:p>
        </w:tc>
        <w:tc>
          <w:tcPr>
            <w:tcW w:w="2076" w:type="dxa"/>
          </w:tcPr>
          <w:p w14:paraId="5214B410">
            <w:pPr>
              <w:pStyle w:val="4"/>
              <w:jc w:val="left"/>
            </w:pPr>
            <w:r>
              <w:rPr>
                <w:rFonts w:ascii="仿宋_GB2312" w:hAnsi="仿宋_GB2312" w:eastAsia="仿宋_GB2312" w:cs="仿宋_GB2312"/>
              </w:rPr>
              <w:t>商务要求名称</w:t>
            </w:r>
          </w:p>
        </w:tc>
        <w:tc>
          <w:tcPr>
            <w:tcW w:w="2076" w:type="dxa"/>
          </w:tcPr>
          <w:p w14:paraId="22EB6CFD">
            <w:pPr>
              <w:pStyle w:val="4"/>
              <w:jc w:val="left"/>
            </w:pPr>
            <w:r>
              <w:rPr>
                <w:rFonts w:ascii="仿宋_GB2312" w:hAnsi="仿宋_GB2312" w:eastAsia="仿宋_GB2312" w:cs="仿宋_GB2312"/>
              </w:rPr>
              <w:t>商务要求内容</w:t>
            </w:r>
          </w:p>
        </w:tc>
      </w:tr>
      <w:tr w14:paraId="146186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0F965AF">
            <w:pPr>
              <w:pStyle w:val="4"/>
              <w:jc w:val="left"/>
            </w:pPr>
            <w:r>
              <w:rPr>
                <w:rFonts w:ascii="仿宋_GB2312" w:hAnsi="仿宋_GB2312" w:eastAsia="仿宋_GB2312" w:cs="仿宋_GB2312"/>
              </w:rPr>
              <w:t>1</w:t>
            </w:r>
          </w:p>
        </w:tc>
        <w:tc>
          <w:tcPr>
            <w:tcW w:w="2076" w:type="dxa"/>
          </w:tcPr>
          <w:p w14:paraId="227D818A">
            <w:pPr>
              <w:pStyle w:val="4"/>
              <w:jc w:val="left"/>
            </w:pPr>
            <w:r>
              <w:rPr>
                <w:rFonts w:ascii="仿宋_GB2312" w:hAnsi="仿宋_GB2312" w:eastAsia="仿宋_GB2312" w:cs="仿宋_GB2312"/>
              </w:rPr>
              <w:t>★</w:t>
            </w:r>
          </w:p>
        </w:tc>
        <w:tc>
          <w:tcPr>
            <w:tcW w:w="2076" w:type="dxa"/>
          </w:tcPr>
          <w:p w14:paraId="1BB7A0A6">
            <w:pPr>
              <w:pStyle w:val="4"/>
              <w:jc w:val="left"/>
            </w:pPr>
            <w:r>
              <w:rPr>
                <w:rFonts w:ascii="仿宋_GB2312" w:hAnsi="仿宋_GB2312" w:eastAsia="仿宋_GB2312" w:cs="仿宋_GB2312"/>
              </w:rPr>
              <w:t>交货时间</w:t>
            </w:r>
          </w:p>
        </w:tc>
        <w:tc>
          <w:tcPr>
            <w:tcW w:w="2076" w:type="dxa"/>
          </w:tcPr>
          <w:p w14:paraId="13EFB3D5">
            <w:pPr>
              <w:pStyle w:val="4"/>
              <w:jc w:val="left"/>
            </w:pPr>
            <w:r>
              <w:rPr>
                <w:rFonts w:ascii="仿宋_GB2312" w:hAnsi="仿宋_GB2312" w:eastAsia="仿宋_GB2312" w:cs="仿宋_GB2312"/>
              </w:rPr>
              <w:t>自合同签订之日起30个日历天</w:t>
            </w:r>
          </w:p>
        </w:tc>
      </w:tr>
      <w:tr w14:paraId="584C01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50DC32A">
            <w:pPr>
              <w:pStyle w:val="4"/>
              <w:jc w:val="left"/>
            </w:pPr>
            <w:r>
              <w:rPr>
                <w:rFonts w:ascii="仿宋_GB2312" w:hAnsi="仿宋_GB2312" w:eastAsia="仿宋_GB2312" w:cs="仿宋_GB2312"/>
              </w:rPr>
              <w:t>2</w:t>
            </w:r>
          </w:p>
        </w:tc>
        <w:tc>
          <w:tcPr>
            <w:tcW w:w="2076" w:type="dxa"/>
          </w:tcPr>
          <w:p w14:paraId="2942F395">
            <w:pPr>
              <w:pStyle w:val="4"/>
              <w:jc w:val="left"/>
            </w:pPr>
            <w:r>
              <w:rPr>
                <w:rFonts w:ascii="仿宋_GB2312" w:hAnsi="仿宋_GB2312" w:eastAsia="仿宋_GB2312" w:cs="仿宋_GB2312"/>
              </w:rPr>
              <w:t>★</w:t>
            </w:r>
          </w:p>
        </w:tc>
        <w:tc>
          <w:tcPr>
            <w:tcW w:w="2076" w:type="dxa"/>
          </w:tcPr>
          <w:p w14:paraId="2BF15170">
            <w:pPr>
              <w:pStyle w:val="4"/>
              <w:jc w:val="left"/>
            </w:pPr>
            <w:r>
              <w:rPr>
                <w:rFonts w:ascii="仿宋_GB2312" w:hAnsi="仿宋_GB2312" w:eastAsia="仿宋_GB2312" w:cs="仿宋_GB2312"/>
              </w:rPr>
              <w:t>交货地点</w:t>
            </w:r>
          </w:p>
        </w:tc>
        <w:tc>
          <w:tcPr>
            <w:tcW w:w="2076" w:type="dxa"/>
          </w:tcPr>
          <w:p w14:paraId="738744EA">
            <w:pPr>
              <w:pStyle w:val="4"/>
              <w:jc w:val="left"/>
            </w:pPr>
            <w:r>
              <w:rPr>
                <w:rFonts w:ascii="仿宋_GB2312" w:hAnsi="仿宋_GB2312" w:eastAsia="仿宋_GB2312" w:cs="仿宋_GB2312"/>
              </w:rPr>
              <w:t>巴中市教育局</w:t>
            </w:r>
          </w:p>
        </w:tc>
      </w:tr>
      <w:tr w14:paraId="37224D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47F5097">
            <w:pPr>
              <w:pStyle w:val="4"/>
              <w:jc w:val="left"/>
            </w:pPr>
            <w:r>
              <w:rPr>
                <w:rFonts w:ascii="仿宋_GB2312" w:hAnsi="仿宋_GB2312" w:eastAsia="仿宋_GB2312" w:cs="仿宋_GB2312"/>
              </w:rPr>
              <w:t>3</w:t>
            </w:r>
          </w:p>
        </w:tc>
        <w:tc>
          <w:tcPr>
            <w:tcW w:w="2076" w:type="dxa"/>
          </w:tcPr>
          <w:p w14:paraId="6919C8C2">
            <w:pPr>
              <w:pStyle w:val="4"/>
              <w:jc w:val="left"/>
            </w:pPr>
            <w:r>
              <w:rPr>
                <w:rFonts w:ascii="仿宋_GB2312" w:hAnsi="仿宋_GB2312" w:eastAsia="仿宋_GB2312" w:cs="仿宋_GB2312"/>
              </w:rPr>
              <w:t>★</w:t>
            </w:r>
          </w:p>
        </w:tc>
        <w:tc>
          <w:tcPr>
            <w:tcW w:w="2076" w:type="dxa"/>
          </w:tcPr>
          <w:p w14:paraId="06E4959A">
            <w:pPr>
              <w:pStyle w:val="4"/>
              <w:jc w:val="left"/>
            </w:pPr>
            <w:r>
              <w:rPr>
                <w:rFonts w:ascii="仿宋_GB2312" w:hAnsi="仿宋_GB2312" w:eastAsia="仿宋_GB2312" w:cs="仿宋_GB2312"/>
              </w:rPr>
              <w:t>支付方式</w:t>
            </w:r>
          </w:p>
        </w:tc>
        <w:tc>
          <w:tcPr>
            <w:tcW w:w="2076" w:type="dxa"/>
          </w:tcPr>
          <w:p w14:paraId="5E70B44E">
            <w:pPr>
              <w:pStyle w:val="4"/>
              <w:jc w:val="left"/>
            </w:pPr>
            <w:r>
              <w:rPr>
                <w:rFonts w:ascii="仿宋_GB2312" w:hAnsi="仿宋_GB2312" w:eastAsia="仿宋_GB2312" w:cs="仿宋_GB2312"/>
              </w:rPr>
              <w:t>分期付款</w:t>
            </w:r>
          </w:p>
        </w:tc>
      </w:tr>
      <w:tr w14:paraId="25F695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F333358">
            <w:pPr>
              <w:pStyle w:val="4"/>
              <w:jc w:val="left"/>
            </w:pPr>
            <w:r>
              <w:rPr>
                <w:rFonts w:ascii="仿宋_GB2312" w:hAnsi="仿宋_GB2312" w:eastAsia="仿宋_GB2312" w:cs="仿宋_GB2312"/>
              </w:rPr>
              <w:t>4</w:t>
            </w:r>
          </w:p>
        </w:tc>
        <w:tc>
          <w:tcPr>
            <w:tcW w:w="2076" w:type="dxa"/>
          </w:tcPr>
          <w:p w14:paraId="17EECEBA">
            <w:pPr>
              <w:pStyle w:val="4"/>
              <w:jc w:val="left"/>
            </w:pPr>
            <w:r>
              <w:rPr>
                <w:rFonts w:ascii="仿宋_GB2312" w:hAnsi="仿宋_GB2312" w:eastAsia="仿宋_GB2312" w:cs="仿宋_GB2312"/>
              </w:rPr>
              <w:t>★</w:t>
            </w:r>
          </w:p>
        </w:tc>
        <w:tc>
          <w:tcPr>
            <w:tcW w:w="2076" w:type="dxa"/>
          </w:tcPr>
          <w:p w14:paraId="0D7A3463">
            <w:pPr>
              <w:pStyle w:val="4"/>
              <w:jc w:val="left"/>
            </w:pPr>
            <w:r>
              <w:rPr>
                <w:rFonts w:ascii="仿宋_GB2312" w:hAnsi="仿宋_GB2312" w:eastAsia="仿宋_GB2312" w:cs="仿宋_GB2312"/>
              </w:rPr>
              <w:t>付款进度安排</w:t>
            </w:r>
          </w:p>
        </w:tc>
        <w:tc>
          <w:tcPr>
            <w:tcW w:w="2076" w:type="dxa"/>
          </w:tcPr>
          <w:p w14:paraId="72EF8358">
            <w:pPr>
              <w:pStyle w:val="4"/>
              <w:jc w:val="left"/>
            </w:pPr>
            <w:r>
              <w:rPr>
                <w:rFonts w:ascii="仿宋_GB2312" w:hAnsi="仿宋_GB2312" w:eastAsia="仿宋_GB2312" w:cs="仿宋_GB2312"/>
              </w:rPr>
              <w:t>1、预付款付款条件：合同签订后。达到该付款条件起5个工作日内，支付合同总金额的40.0%</w:t>
            </w:r>
            <w:r>
              <w:br w:type="textWrapping"/>
            </w:r>
            <w:r>
              <w:rPr>
                <w:rFonts w:ascii="仿宋_GB2312" w:hAnsi="仿宋_GB2312" w:eastAsia="仿宋_GB2312" w:cs="仿宋_GB2312"/>
              </w:rPr>
              <w:t>2、尾款付款条件：项目验收合格后。达到该付款条件起5个工作日内，支付合同总金额的60.0%</w:t>
            </w:r>
            <w:r>
              <w:br w:type="textWrapping"/>
            </w:r>
          </w:p>
        </w:tc>
      </w:tr>
      <w:tr w14:paraId="340D1C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CE2A721">
            <w:pPr>
              <w:pStyle w:val="4"/>
              <w:jc w:val="left"/>
            </w:pPr>
            <w:r>
              <w:rPr>
                <w:rFonts w:ascii="仿宋_GB2312" w:hAnsi="仿宋_GB2312" w:eastAsia="仿宋_GB2312" w:cs="仿宋_GB2312"/>
              </w:rPr>
              <w:t>5</w:t>
            </w:r>
          </w:p>
        </w:tc>
        <w:tc>
          <w:tcPr>
            <w:tcW w:w="2076" w:type="dxa"/>
          </w:tcPr>
          <w:p w14:paraId="7A9D714F">
            <w:pPr>
              <w:pStyle w:val="4"/>
              <w:jc w:val="left"/>
            </w:pPr>
            <w:r>
              <w:rPr>
                <w:rFonts w:ascii="仿宋_GB2312" w:hAnsi="仿宋_GB2312" w:eastAsia="仿宋_GB2312" w:cs="仿宋_GB2312"/>
              </w:rPr>
              <w:t>★</w:t>
            </w:r>
          </w:p>
        </w:tc>
        <w:tc>
          <w:tcPr>
            <w:tcW w:w="2076" w:type="dxa"/>
          </w:tcPr>
          <w:p w14:paraId="6BA9BF39">
            <w:pPr>
              <w:pStyle w:val="4"/>
              <w:jc w:val="left"/>
            </w:pPr>
            <w:r>
              <w:rPr>
                <w:rFonts w:ascii="仿宋_GB2312" w:hAnsi="仿宋_GB2312" w:eastAsia="仿宋_GB2312" w:cs="仿宋_GB2312"/>
              </w:rPr>
              <w:t>验收、交付标准和方法</w:t>
            </w:r>
          </w:p>
        </w:tc>
        <w:tc>
          <w:tcPr>
            <w:tcW w:w="2076" w:type="dxa"/>
          </w:tcPr>
          <w:p w14:paraId="0952C11A">
            <w:pPr>
              <w:pStyle w:val="4"/>
              <w:jc w:val="left"/>
            </w:pPr>
            <w:r>
              <w:rPr>
                <w:rFonts w:ascii="仿宋_GB2312" w:hAnsi="仿宋_GB2312" w:eastAsia="仿宋_GB2312" w:cs="仿宋_GB2312"/>
              </w:rPr>
              <w:t>验收小组现场清点数量、仔细查看要求的各类指标参数，严格按照招标文件中技术参数进行验收。 合格后，验收小组成员现场签字。（1）货物在供应商通知安装调试完毕后5日内初步验收。初步验收合格后,进入10天试用期,试用期间发生一般性质量问题，修复后试用期相应顺延；试用期结束后5日内完成最终验收,如质量验收合格,双方签署《质量验收合格报告)。 （2）严格按照《财政部关于进一步加强政府采购需求和履约验收管理的指导意见》（财库〔2016〕205号）、《财政部关于印发&lt;政府需求管理办法&gt;的通知》（财库〔2021〕22号）、《巴中市财政局关于进一步加强政府采购项目合同履约验收管理工作的通知》(巴财采〔2021〕21号)的规定，采购文件的要求和响应文件及合同承诺的内容进行验收。</w:t>
            </w:r>
          </w:p>
        </w:tc>
      </w:tr>
      <w:tr w14:paraId="276D2C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7DDA002">
            <w:pPr>
              <w:pStyle w:val="4"/>
              <w:jc w:val="left"/>
            </w:pPr>
            <w:r>
              <w:rPr>
                <w:rFonts w:ascii="仿宋_GB2312" w:hAnsi="仿宋_GB2312" w:eastAsia="仿宋_GB2312" w:cs="仿宋_GB2312"/>
              </w:rPr>
              <w:t>6</w:t>
            </w:r>
          </w:p>
        </w:tc>
        <w:tc>
          <w:tcPr>
            <w:tcW w:w="2076" w:type="dxa"/>
          </w:tcPr>
          <w:p w14:paraId="7FBC9372">
            <w:pPr>
              <w:pStyle w:val="4"/>
              <w:jc w:val="left"/>
            </w:pPr>
            <w:r>
              <w:rPr>
                <w:rFonts w:ascii="仿宋_GB2312" w:hAnsi="仿宋_GB2312" w:eastAsia="仿宋_GB2312" w:cs="仿宋_GB2312"/>
              </w:rPr>
              <w:t>★</w:t>
            </w:r>
          </w:p>
        </w:tc>
        <w:tc>
          <w:tcPr>
            <w:tcW w:w="2076" w:type="dxa"/>
          </w:tcPr>
          <w:p w14:paraId="55F882DF">
            <w:pPr>
              <w:pStyle w:val="4"/>
              <w:jc w:val="left"/>
            </w:pPr>
            <w:r>
              <w:rPr>
                <w:rFonts w:ascii="仿宋_GB2312" w:hAnsi="仿宋_GB2312" w:eastAsia="仿宋_GB2312" w:cs="仿宋_GB2312"/>
              </w:rPr>
              <w:t>包装方式及运输</w:t>
            </w:r>
          </w:p>
        </w:tc>
        <w:tc>
          <w:tcPr>
            <w:tcW w:w="2076" w:type="dxa"/>
          </w:tcPr>
          <w:p w14:paraId="4AF330FE">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1317EE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34F8E09">
            <w:pPr>
              <w:pStyle w:val="4"/>
              <w:jc w:val="left"/>
            </w:pPr>
            <w:r>
              <w:rPr>
                <w:rFonts w:ascii="仿宋_GB2312" w:hAnsi="仿宋_GB2312" w:eastAsia="仿宋_GB2312" w:cs="仿宋_GB2312"/>
              </w:rPr>
              <w:t>7</w:t>
            </w:r>
          </w:p>
        </w:tc>
        <w:tc>
          <w:tcPr>
            <w:tcW w:w="2076" w:type="dxa"/>
          </w:tcPr>
          <w:p w14:paraId="395CE383">
            <w:pPr>
              <w:pStyle w:val="4"/>
              <w:jc w:val="left"/>
            </w:pPr>
            <w:r>
              <w:rPr>
                <w:rFonts w:ascii="仿宋_GB2312" w:hAnsi="仿宋_GB2312" w:eastAsia="仿宋_GB2312" w:cs="仿宋_GB2312"/>
              </w:rPr>
              <w:t>★</w:t>
            </w:r>
          </w:p>
        </w:tc>
        <w:tc>
          <w:tcPr>
            <w:tcW w:w="2076" w:type="dxa"/>
          </w:tcPr>
          <w:p w14:paraId="780ECCF9">
            <w:pPr>
              <w:pStyle w:val="4"/>
              <w:jc w:val="left"/>
            </w:pPr>
            <w:r>
              <w:rPr>
                <w:rFonts w:ascii="仿宋_GB2312" w:hAnsi="仿宋_GB2312" w:eastAsia="仿宋_GB2312" w:cs="仿宋_GB2312"/>
              </w:rPr>
              <w:t>质量保修范围和保修期</w:t>
            </w:r>
          </w:p>
        </w:tc>
        <w:tc>
          <w:tcPr>
            <w:tcW w:w="2076" w:type="dxa"/>
          </w:tcPr>
          <w:p w14:paraId="0E3EF246">
            <w:pPr>
              <w:pStyle w:val="4"/>
              <w:jc w:val="left"/>
            </w:pPr>
            <w:r>
              <w:rPr>
                <w:rFonts w:ascii="仿宋_GB2312" w:hAnsi="仿宋_GB2312" w:eastAsia="仿宋_GB2312" w:cs="仿宋_GB2312"/>
              </w:rPr>
              <w:t>1、质保范围：合同约定的所有货物。 2、质保期：原厂免费（含上门）服务周期（含换件和维修）不小于3年。</w:t>
            </w:r>
          </w:p>
        </w:tc>
      </w:tr>
      <w:tr w14:paraId="4F4E39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7A9C931">
            <w:pPr>
              <w:pStyle w:val="4"/>
              <w:jc w:val="left"/>
            </w:pPr>
            <w:r>
              <w:rPr>
                <w:rFonts w:ascii="仿宋_GB2312" w:hAnsi="仿宋_GB2312" w:eastAsia="仿宋_GB2312" w:cs="仿宋_GB2312"/>
              </w:rPr>
              <w:t>8</w:t>
            </w:r>
          </w:p>
        </w:tc>
        <w:tc>
          <w:tcPr>
            <w:tcW w:w="2076" w:type="dxa"/>
          </w:tcPr>
          <w:p w14:paraId="4C0A7C97">
            <w:pPr>
              <w:pStyle w:val="4"/>
              <w:jc w:val="left"/>
            </w:pPr>
            <w:r>
              <w:rPr>
                <w:rFonts w:ascii="仿宋_GB2312" w:hAnsi="仿宋_GB2312" w:eastAsia="仿宋_GB2312" w:cs="仿宋_GB2312"/>
              </w:rPr>
              <w:t>★</w:t>
            </w:r>
          </w:p>
        </w:tc>
        <w:tc>
          <w:tcPr>
            <w:tcW w:w="2076" w:type="dxa"/>
          </w:tcPr>
          <w:p w14:paraId="0A4C480F">
            <w:pPr>
              <w:pStyle w:val="4"/>
              <w:jc w:val="left"/>
            </w:pPr>
            <w:r>
              <w:rPr>
                <w:rFonts w:ascii="仿宋_GB2312" w:hAnsi="仿宋_GB2312" w:eastAsia="仿宋_GB2312" w:cs="仿宋_GB2312"/>
              </w:rPr>
              <w:t>违约责任与解决争议的方法</w:t>
            </w:r>
          </w:p>
        </w:tc>
        <w:tc>
          <w:tcPr>
            <w:tcW w:w="2076" w:type="dxa"/>
          </w:tcPr>
          <w:p w14:paraId="6D596FF9">
            <w:pPr>
              <w:pStyle w:val="4"/>
              <w:jc w:val="left"/>
            </w:pPr>
            <w:r>
              <w:rPr>
                <w:rFonts w:ascii="仿宋_GB2312" w:hAnsi="仿宋_GB2312" w:eastAsia="仿宋_GB2312" w:cs="仿宋_GB2312"/>
              </w:rPr>
              <w:t>经采购人与成交供应商友好协商，协商达不成一致意见，到采购人所在地人民法院诉讼解决。</w:t>
            </w:r>
          </w:p>
        </w:tc>
      </w:tr>
    </w:tbl>
    <w:p w14:paraId="5EAE23EB">
      <w:pPr>
        <w:pStyle w:val="4"/>
        <w:jc w:val="left"/>
        <w:outlineLvl w:val="2"/>
      </w:pPr>
      <w:r>
        <w:rPr>
          <w:rFonts w:ascii="仿宋_GB2312" w:hAnsi="仿宋_GB2312" w:eastAsia="仿宋_GB2312" w:cs="仿宋_GB2312"/>
          <w:b/>
          <w:sz w:val="28"/>
        </w:rPr>
        <w:t>3.4.其他要求</w:t>
      </w:r>
    </w:p>
    <w:p w14:paraId="7CA4EDF6">
      <w:pPr>
        <w:pStyle w:val="4"/>
        <w:ind w:firstLine="480"/>
        <w:jc w:val="left"/>
      </w:pPr>
      <w:r>
        <w:rPr>
          <w:rFonts w:ascii="仿宋_GB2312" w:hAnsi="仿宋_GB2312" w:eastAsia="仿宋_GB2312" w:cs="仿宋_GB2312"/>
        </w:rPr>
        <w:t>采购包1：</w:t>
      </w:r>
    </w:p>
    <w:p w14:paraId="1D2AFD76">
      <w:pPr>
        <w:pStyle w:val="4"/>
        <w:jc w:val="left"/>
      </w:pPr>
      <w:r>
        <w:rPr>
          <w:rFonts w:ascii="仿宋_GB2312" w:hAnsi="仿宋_GB2312" w:eastAsia="仿宋_GB2312" w:cs="仿宋_GB2312"/>
        </w:rPr>
        <w:t>无</w:t>
      </w:r>
    </w:p>
    <w:p w14:paraId="29A34018">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296FC57">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B354F4"/>
    <w:rsid w:val="16B354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2026-10-27T01:35:00Z</dcterms:created>
  <dc:creator>yyc</dc:creator>
  <cp:lastModifiedBy>yyc</cp:lastModifiedBy>
  <dcterms:modified xsi:type="dcterms:W3CDTF">2026-10-27T01:37:04Z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2171C6F65EBB4E6F81100F5EC6F055F1_11</vt:lpwstr>
  </property>
  <property fmtid="{D5CDD505-2E9C-101B-9397-08002B2CF9AE}" pid="4" name="KSOTemplateDocerSaveRecord">
    <vt:lpwstr>eyJoZGlkIjoiNDg2YzIxMzFjMTQxNDMwYjQ4NDQzNjQzZDhhMDNlYmUiLCJ1c2VySWQiOiIxNDMzMDg1NzQyIn0=</vt:lpwstr>
  </property>
</Properties>
</file>