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B47EC">
      <w:pPr>
        <w:spacing w:line="360" w:lineRule="auto"/>
        <w:jc w:val="left"/>
        <w:rPr>
          <w:rFonts w:hint="eastAsia" w:asciiTheme="minorEastAsia" w:hAnsiTheme="minorEastAsia" w:eastAsiaTheme="minorEastAsia"/>
          <w:color w:val="auto"/>
          <w:sz w:val="44"/>
          <w:highlight w:val="none"/>
          <w:lang w:eastAsia="zh-CN"/>
        </w:rPr>
      </w:pPr>
      <w:bookmarkStart w:id="0" w:name="_Toc152042286"/>
      <w:bookmarkStart w:id="1" w:name="_Toc144974478"/>
      <w:r>
        <w:rPr>
          <w:rFonts w:hint="eastAsia" w:cs="宋体" w:asciiTheme="minorEastAsia" w:hAnsiTheme="minorEastAsia" w:eastAsiaTheme="minorEastAsia"/>
          <w:b/>
          <w:bCs/>
          <w:color w:val="auto"/>
          <w:sz w:val="40"/>
          <w:szCs w:val="40"/>
          <w:highlight w:val="none"/>
          <w:lang w:eastAsia="zh-CN"/>
        </w:rPr>
        <w:t>2026年度东川区高标准农田建设项目设计服务</w:t>
      </w:r>
    </w:p>
    <w:p w14:paraId="6C430678">
      <w:pPr>
        <w:pStyle w:val="28"/>
        <w:spacing w:line="360" w:lineRule="auto"/>
        <w:rPr>
          <w:color w:val="auto"/>
          <w:highlight w:val="none"/>
        </w:rPr>
      </w:pPr>
    </w:p>
    <w:p w14:paraId="625C0C59">
      <w:pPr>
        <w:rPr>
          <w:color w:val="auto"/>
          <w:highlight w:val="none"/>
        </w:rPr>
      </w:pPr>
    </w:p>
    <w:p w14:paraId="00529BC3">
      <w:pPr>
        <w:pStyle w:val="28"/>
        <w:rPr>
          <w:color w:val="auto"/>
          <w:highlight w:val="none"/>
        </w:rPr>
      </w:pPr>
    </w:p>
    <w:p w14:paraId="7C2E2AC1">
      <w:pPr>
        <w:rPr>
          <w:color w:val="auto"/>
          <w:highlight w:val="none"/>
        </w:rPr>
      </w:pPr>
    </w:p>
    <w:p w14:paraId="122B20AF">
      <w:pPr>
        <w:pStyle w:val="28"/>
        <w:rPr>
          <w:color w:val="auto"/>
          <w:highlight w:val="none"/>
        </w:rPr>
      </w:pPr>
    </w:p>
    <w:p w14:paraId="1B919119">
      <w:pPr>
        <w:rPr>
          <w:color w:val="auto"/>
          <w:highlight w:val="none"/>
        </w:rPr>
      </w:pPr>
    </w:p>
    <w:p w14:paraId="3A783669">
      <w:pPr>
        <w:spacing w:line="360" w:lineRule="auto"/>
        <w:jc w:val="center"/>
        <w:rPr>
          <w:rFonts w:hint="eastAsia" w:ascii="黑体" w:hAnsi="黑体" w:eastAsia="黑体"/>
          <w:color w:val="auto"/>
          <w:sz w:val="44"/>
          <w:highlight w:val="none"/>
        </w:rPr>
      </w:pPr>
    </w:p>
    <w:p w14:paraId="30CC3B2E">
      <w:pPr>
        <w:spacing w:line="360" w:lineRule="auto"/>
        <w:jc w:val="center"/>
        <w:rPr>
          <w:rFonts w:hint="eastAsia" w:ascii="黑体" w:hAnsi="黑体" w:eastAsia="黑体"/>
          <w:color w:val="auto"/>
          <w:sz w:val="44"/>
          <w:highlight w:val="none"/>
        </w:rPr>
      </w:pPr>
    </w:p>
    <w:p w14:paraId="26070FCE">
      <w:pPr>
        <w:spacing w:line="360" w:lineRule="auto"/>
        <w:jc w:val="left"/>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竞争性磋商文件</w:t>
      </w:r>
    </w:p>
    <w:p w14:paraId="77F61F3C">
      <w:pPr>
        <w:spacing w:line="360" w:lineRule="auto"/>
        <w:rPr>
          <w:rFonts w:hint="eastAsia" w:ascii="黑体" w:hAnsi="黑体" w:eastAsia="黑体"/>
          <w:color w:val="auto"/>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100965</wp:posOffset>
                </wp:positionV>
                <wp:extent cx="5257800" cy="0"/>
                <wp:effectExtent l="0" t="28575" r="635" b="2921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57150" cmpd="thinThick">
                          <a:solidFill>
                            <a:srgbClr val="000000"/>
                          </a:solidFill>
                          <a:round/>
                        </a:ln>
                        <a:effectLst/>
                      </wps:spPr>
                      <wps:bodyPr/>
                    </wps:wsp>
                  </a:graphicData>
                </a:graphic>
              </wp:anchor>
            </w:drawing>
          </mc:Choice>
          <mc:Fallback>
            <w:pict>
              <v:line id="_x0000_s1026" o:spid="_x0000_s1026" o:spt="20" style="position:absolute;left:0pt;margin-left:0pt;margin-top:7.95pt;height:0pt;width:414pt;z-index:251659264;mso-width-relative:page;mso-height-relative:page;" filled="f" stroked="t" coordsize="21600,21600" o:gfxdata="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32bIrVAAAABgEAAA8AAAAAAAAAAQAgAAAAIgAAAGRycy9kb3ducmV2LnhtbFBLAQIUABQA&#10;AAAIAIdO4kCiZIPO8wEAAMoDAAAOAAAAAAAAAAEAIAAAACQBAABkcnMvZTJvRG9jLnhtbFBLBQYA&#10;AAAABgAGAFkBAACJBQAAAAA=&#10;">
                <v:fill on="f" focussize="0,0"/>
                <v:stroke weight="4.5pt" color="#000000" linestyle="thinThick" joinstyle="round"/>
                <v:imagedata o:title=""/>
                <o:lock v:ext="edit" aspectratio="f"/>
              </v:line>
            </w:pict>
          </mc:Fallback>
        </mc:AlternateContent>
      </w:r>
    </w:p>
    <w:p w14:paraId="381932FD">
      <w:pPr>
        <w:spacing w:line="360" w:lineRule="auto"/>
        <w:rPr>
          <w:rFonts w:hint="eastAsia" w:ascii="黑体" w:hAnsi="黑体" w:eastAsia="黑体"/>
          <w:color w:val="auto"/>
          <w:highlight w:val="none"/>
        </w:rPr>
      </w:pPr>
    </w:p>
    <w:p w14:paraId="39C5E6DB">
      <w:pPr>
        <w:spacing w:line="360" w:lineRule="auto"/>
        <w:rPr>
          <w:rFonts w:hint="eastAsia" w:ascii="黑体" w:hAnsi="黑体" w:eastAsia="黑体"/>
          <w:color w:val="auto"/>
          <w:highlight w:val="none"/>
        </w:rPr>
      </w:pPr>
    </w:p>
    <w:p w14:paraId="78363C51">
      <w:pPr>
        <w:spacing w:line="360" w:lineRule="auto"/>
        <w:rPr>
          <w:rFonts w:hint="eastAsia" w:ascii="黑体" w:hAnsi="黑体" w:eastAsia="黑体"/>
          <w:color w:val="auto"/>
          <w:highlight w:val="none"/>
        </w:rPr>
      </w:pPr>
    </w:p>
    <w:p w14:paraId="23C9225F">
      <w:pPr>
        <w:pStyle w:val="28"/>
        <w:spacing w:line="360" w:lineRule="auto"/>
        <w:rPr>
          <w:color w:val="auto"/>
          <w:highlight w:val="none"/>
        </w:rPr>
      </w:pPr>
    </w:p>
    <w:p w14:paraId="76386E40">
      <w:pPr>
        <w:spacing w:line="360" w:lineRule="auto"/>
        <w:rPr>
          <w:rFonts w:hint="eastAsia" w:ascii="黑体" w:hAnsi="黑体" w:eastAsia="黑体"/>
          <w:color w:val="auto"/>
          <w:sz w:val="28"/>
          <w:highlight w:val="none"/>
        </w:rPr>
      </w:pPr>
    </w:p>
    <w:p w14:paraId="4AD045A8">
      <w:pPr>
        <w:spacing w:after="240" w:line="360" w:lineRule="auto"/>
        <w:ind w:left="1606" w:hanging="1606" w:hangingChars="500"/>
        <w:rPr>
          <w:rFonts w:hint="eastAsia" w:ascii="宋体" w:hAnsi="宋体" w:cs="宋体"/>
          <w:b/>
          <w:bCs/>
          <w:color w:val="auto"/>
          <w:sz w:val="32"/>
          <w:highlight w:val="none"/>
        </w:rPr>
      </w:pPr>
    </w:p>
    <w:p w14:paraId="0765EACA">
      <w:pPr>
        <w:spacing w:after="240" w:line="360" w:lineRule="auto"/>
        <w:ind w:left="1606" w:hanging="1606" w:hangingChars="500"/>
        <w:rPr>
          <w:rFonts w:hint="eastAsia" w:ascii="宋体" w:hAnsi="宋体" w:cs="宋体"/>
          <w:b/>
          <w:bCs/>
          <w:color w:val="auto"/>
          <w:sz w:val="32"/>
          <w:highlight w:val="none"/>
        </w:rPr>
      </w:pPr>
    </w:p>
    <w:p w14:paraId="28DACCFD">
      <w:pPr>
        <w:spacing w:after="240" w:line="360" w:lineRule="auto"/>
        <w:rPr>
          <w:rFonts w:hint="eastAsia" w:ascii="宋体" w:hAnsi="宋体" w:cs="宋体"/>
          <w:b/>
          <w:bCs/>
          <w:color w:val="auto"/>
          <w:sz w:val="32"/>
          <w:highlight w:val="none"/>
        </w:rPr>
      </w:pPr>
    </w:p>
    <w:p w14:paraId="6DEA81FC">
      <w:pPr>
        <w:spacing w:after="240" w:line="360" w:lineRule="auto"/>
        <w:rPr>
          <w:rFonts w:hint="eastAsia" w:ascii="宋体" w:hAnsi="宋体" w:eastAsia="宋体" w:cs="宋体"/>
          <w:b/>
          <w:bCs/>
          <w:color w:val="auto"/>
          <w:sz w:val="32"/>
          <w:szCs w:val="24"/>
          <w:highlight w:val="none"/>
          <w:lang w:eastAsia="zh-CN"/>
        </w:rPr>
      </w:pPr>
      <w:r>
        <w:rPr>
          <w:rFonts w:hint="eastAsia" w:ascii="宋体" w:hAnsi="宋体" w:cs="宋体"/>
          <w:b/>
          <w:bCs/>
          <w:color w:val="auto"/>
          <w:sz w:val="32"/>
          <w:szCs w:val="24"/>
          <w:highlight w:val="none"/>
        </w:rPr>
        <w:t>采 购 人：</w:t>
      </w:r>
      <w:r>
        <w:rPr>
          <w:rFonts w:hint="eastAsia" w:ascii="宋体" w:hAnsi="宋体"/>
          <w:b/>
          <w:bCs/>
          <w:color w:val="auto"/>
          <w:sz w:val="32"/>
          <w:szCs w:val="24"/>
          <w:highlight w:val="none"/>
          <w:lang w:eastAsia="zh-CN"/>
        </w:rPr>
        <w:t>昆明市东川区农业农村局</w:t>
      </w:r>
    </w:p>
    <w:p w14:paraId="5889A0BF">
      <w:pPr>
        <w:spacing w:after="240" w:line="360" w:lineRule="auto"/>
        <w:rPr>
          <w:rFonts w:hint="eastAsia" w:ascii="宋体" w:hAnsi="宋体" w:eastAsia="宋体" w:cs="宋体"/>
          <w:b/>
          <w:bCs/>
          <w:color w:val="auto"/>
          <w:sz w:val="32"/>
          <w:szCs w:val="24"/>
          <w:highlight w:val="none"/>
          <w:lang w:eastAsia="zh-CN"/>
        </w:rPr>
      </w:pPr>
      <w:r>
        <w:rPr>
          <w:rFonts w:hint="eastAsia" w:ascii="宋体" w:hAnsi="宋体" w:cs="宋体"/>
          <w:b/>
          <w:bCs/>
          <w:color w:val="auto"/>
          <w:sz w:val="32"/>
          <w:szCs w:val="24"/>
          <w:highlight w:val="none"/>
        </w:rPr>
        <w:t>代理机构：</w:t>
      </w:r>
      <w:r>
        <w:rPr>
          <w:rFonts w:hint="eastAsia" w:ascii="宋体" w:hAnsi="宋体"/>
          <w:b/>
          <w:bCs/>
          <w:color w:val="auto"/>
          <w:sz w:val="32"/>
          <w:szCs w:val="24"/>
          <w:highlight w:val="none"/>
          <w:lang w:eastAsia="zh-CN"/>
        </w:rPr>
        <w:t>屿投咨询（云南）股份有限公司</w:t>
      </w:r>
    </w:p>
    <w:p w14:paraId="52029234">
      <w:pPr>
        <w:spacing w:after="240" w:line="360" w:lineRule="auto"/>
        <w:rPr>
          <w:rFonts w:hint="eastAsia" w:ascii="宋体" w:hAnsi="宋体" w:cs="宋体"/>
          <w:b/>
          <w:bCs/>
          <w:color w:val="auto"/>
          <w:sz w:val="28"/>
          <w:highlight w:val="none"/>
        </w:rPr>
        <w:sectPr>
          <w:headerReference r:id="rId3" w:type="default"/>
          <w:footerReference r:id="rId4" w:type="default"/>
          <w:footerReference r:id="rId5" w:type="even"/>
          <w:pgSz w:w="11906" w:h="16838"/>
          <w:pgMar w:top="1440" w:right="1800" w:bottom="1440" w:left="1800" w:header="709" w:footer="992" w:gutter="0"/>
          <w:pgNumType w:start="0"/>
          <w:cols w:space="720" w:num="1"/>
          <w:titlePg/>
          <w:docGrid w:type="lines" w:linePitch="312" w:charSpace="0"/>
        </w:sectPr>
      </w:pPr>
      <w:r>
        <w:rPr>
          <w:rFonts w:hint="eastAsia" w:ascii="宋体" w:hAnsi="宋体" w:cs="宋体"/>
          <w:b/>
          <w:bCs/>
          <w:color w:val="auto"/>
          <w:sz w:val="32"/>
          <w:szCs w:val="24"/>
          <w:highlight w:val="none"/>
        </w:rPr>
        <w:t>日    期：202</w:t>
      </w:r>
      <w:r>
        <w:rPr>
          <w:rFonts w:hint="eastAsia" w:ascii="宋体" w:hAnsi="宋体" w:cs="宋体"/>
          <w:b/>
          <w:bCs/>
          <w:color w:val="auto"/>
          <w:sz w:val="32"/>
          <w:szCs w:val="24"/>
          <w:highlight w:val="none"/>
          <w:lang w:val="en-US" w:eastAsia="zh-CN"/>
        </w:rPr>
        <w:t>6</w:t>
      </w:r>
      <w:r>
        <w:rPr>
          <w:rFonts w:hint="eastAsia" w:ascii="宋体" w:hAnsi="宋体" w:cs="宋体"/>
          <w:b/>
          <w:bCs/>
          <w:color w:val="auto"/>
          <w:sz w:val="32"/>
          <w:szCs w:val="24"/>
          <w:highlight w:val="none"/>
        </w:rPr>
        <w:t>年</w:t>
      </w:r>
      <w:r>
        <w:rPr>
          <w:rFonts w:hint="eastAsia" w:ascii="宋体" w:hAnsi="宋体" w:cs="宋体"/>
          <w:b/>
          <w:bCs/>
          <w:color w:val="auto"/>
          <w:sz w:val="32"/>
          <w:szCs w:val="24"/>
          <w:highlight w:val="none"/>
          <w:lang w:val="en-US" w:eastAsia="zh-CN"/>
        </w:rPr>
        <w:t>8</w:t>
      </w:r>
      <w:r>
        <w:rPr>
          <w:rFonts w:hint="eastAsia" w:ascii="宋体" w:hAnsi="宋体" w:cs="宋体"/>
          <w:b/>
          <w:bCs/>
          <w:color w:val="auto"/>
          <w:sz w:val="32"/>
          <w:szCs w:val="24"/>
          <w:highlight w:val="none"/>
        </w:rPr>
        <w:t>月</w:t>
      </w:r>
    </w:p>
    <w:p w14:paraId="24D4637F">
      <w:pPr>
        <w:spacing w:line="360" w:lineRule="auto"/>
        <w:jc w:val="center"/>
        <w:rPr>
          <w:rFonts w:hint="eastAsia" w:ascii="宋体" w:hAnsi="宋体" w:cs="宋体"/>
          <w:b/>
          <w:color w:val="auto"/>
          <w:szCs w:val="21"/>
          <w:highlight w:val="none"/>
        </w:rPr>
      </w:pPr>
      <w:r>
        <w:rPr>
          <w:rFonts w:hint="eastAsia" w:ascii="宋体" w:hAnsi="宋体" w:cs="宋体"/>
          <w:b/>
          <w:bCs/>
          <w:color w:val="auto"/>
          <w:sz w:val="30"/>
          <w:szCs w:val="30"/>
          <w:highlight w:val="none"/>
        </w:rPr>
        <w:t>目  录</w:t>
      </w:r>
      <w:bookmarkEnd w:id="0"/>
      <w:bookmarkEnd w:id="1"/>
    </w:p>
    <w:p w14:paraId="02F9C93F">
      <w:pPr>
        <w:jc w:val="center"/>
        <w:rPr>
          <w:color w:val="auto"/>
          <w:highlight w:val="none"/>
        </w:rPr>
      </w:pPr>
    </w:p>
    <w:p w14:paraId="43AA1BA7">
      <w:pPr>
        <w:pStyle w:val="35"/>
        <w:tabs>
          <w:tab w:val="right" w:leader="dot" w:pos="8548"/>
        </w:tabs>
        <w:spacing w:line="360" w:lineRule="auto"/>
        <w:ind w:left="0" w:leftChars="0" w:right="0" w:rightChars="0" w:firstLine="0" w:firstLineChars="0"/>
        <w:jc w:val="distribute"/>
        <w:rPr>
          <w:rFonts w:hint="eastAsia" w:ascii="宋体" w:hAnsi="宋体" w:eastAsia="宋体" w:cs="宋体"/>
          <w:b/>
          <w:bCs/>
          <w:color w:val="auto"/>
          <w:sz w:val="21"/>
          <w:szCs w:val="21"/>
          <w:highlight w:val="none"/>
        </w:rPr>
      </w:pPr>
      <w:r>
        <w:rPr>
          <w:rFonts w:hint="eastAsia" w:ascii="宋体" w:hAnsi="宋体" w:cs="宋体"/>
          <w:b/>
          <w:bCs/>
          <w:color w:val="auto"/>
          <w:sz w:val="24"/>
          <w:highlight w:val="none"/>
        </w:rPr>
        <w:fldChar w:fldCharType="begin"/>
      </w:r>
      <w:r>
        <w:rPr>
          <w:rFonts w:hint="eastAsia" w:ascii="宋体" w:hAnsi="宋体" w:cs="宋体"/>
          <w:b/>
          <w:bCs/>
          <w:color w:val="auto"/>
          <w:sz w:val="24"/>
          <w:highlight w:val="none"/>
        </w:rPr>
        <w:instrText xml:space="preserve">TOC \o "1-1" \h \u </w:instrText>
      </w:r>
      <w:r>
        <w:rPr>
          <w:rFonts w:hint="eastAsia" w:ascii="宋体" w:hAnsi="宋体" w:cs="宋体"/>
          <w:b/>
          <w:bCs/>
          <w:color w:val="auto"/>
          <w:sz w:val="24"/>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"_Toc3750"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第一章 竞争性磋商公告</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fldChar w:fldCharType="end"/>
      </w:r>
    </w:p>
    <w:p w14:paraId="6FF39E20">
      <w:pPr>
        <w:pStyle w:val="35"/>
        <w:tabs>
          <w:tab w:val="right" w:leader="dot" w:pos="8548"/>
        </w:tabs>
        <w:spacing w:line="360" w:lineRule="auto"/>
        <w:ind w:left="0" w:leftChars="0" w:right="0" w:rightChars="0" w:firstLine="0" w:firstLineChars="0"/>
        <w:jc w:val="distribute"/>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"_Toc2344"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第二章 供应商须知</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PAGEREF _Toc2344 \h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8</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fldChar w:fldCharType="end"/>
      </w:r>
    </w:p>
    <w:p w14:paraId="700614E7">
      <w:pPr>
        <w:pStyle w:val="35"/>
        <w:tabs>
          <w:tab w:val="right" w:leader="dot" w:pos="8548"/>
        </w:tabs>
        <w:spacing w:line="360" w:lineRule="auto"/>
        <w:ind w:left="0" w:leftChars="0" w:right="0" w:rightChars="0" w:firstLine="0" w:firstLineChars="0"/>
        <w:jc w:val="distribute"/>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"_Toc1349"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第三章 评审办法</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PAGEREF _Toc1349 \h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22</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fldChar w:fldCharType="end"/>
      </w:r>
    </w:p>
    <w:p w14:paraId="345CD5AF">
      <w:pPr>
        <w:pStyle w:val="35"/>
        <w:tabs>
          <w:tab w:val="right" w:leader="dot" w:pos="8548"/>
        </w:tabs>
        <w:spacing w:line="360" w:lineRule="auto"/>
        <w:ind w:left="0" w:leftChars="0" w:right="0" w:rightChars="0" w:firstLine="0" w:firstLineChars="0"/>
        <w:jc w:val="distribute"/>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"_Toc13362"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第四章 合同条款及格式</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PAGEREF _Toc13362 \h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31</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fldChar w:fldCharType="end"/>
      </w:r>
    </w:p>
    <w:p w14:paraId="687E6679">
      <w:pPr>
        <w:pStyle w:val="35"/>
        <w:tabs>
          <w:tab w:val="right" w:leader="dot" w:pos="8548"/>
        </w:tabs>
        <w:spacing w:line="360" w:lineRule="auto"/>
        <w:ind w:left="0" w:leftChars="0" w:right="0" w:rightChars="0" w:firstLine="0" w:firstLineChars="0"/>
        <w:jc w:val="distribute"/>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"_Toc19215"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第五章 采购需求</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PAGEREF _Toc19215 \h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64</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fldChar w:fldCharType="end"/>
      </w:r>
    </w:p>
    <w:p w14:paraId="542E303C">
      <w:pPr>
        <w:pStyle w:val="35"/>
        <w:tabs>
          <w:tab w:val="right" w:leader="dot" w:pos="8548"/>
        </w:tabs>
        <w:spacing w:line="360" w:lineRule="auto"/>
        <w:ind w:left="0" w:leftChars="0" w:right="0" w:rightChars="0" w:firstLine="0" w:firstLineChars="0"/>
        <w:jc w:val="distribute"/>
        <w:rPr>
          <w:b/>
          <w:bCs/>
          <w:color w:val="auto"/>
          <w:sz w:val="24"/>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"_Toc13120"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
          <w:bCs/>
          <w:color w:val="auto"/>
          <w:sz w:val="21"/>
          <w:szCs w:val="21"/>
          <w:highlight w:val="none"/>
        </w:rPr>
        <w:t>第六章 响应文件部分格式</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 PAGEREF _Toc13120 \h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
          <w:bCs/>
          <w:color w:val="auto"/>
          <w:sz w:val="21"/>
          <w:szCs w:val="21"/>
          <w:highlight w:val="none"/>
        </w:rPr>
        <w:t>66</w:t>
      </w:r>
      <w:r>
        <w:rPr>
          <w:rFonts w:hint="eastAsia" w:ascii="宋体" w:hAnsi="宋体" w:eastAsia="宋体" w:cs="宋体"/>
          <w:b/>
          <w:bCs/>
          <w:color w:val="auto"/>
          <w:sz w:val="21"/>
          <w:szCs w:val="21"/>
          <w:highlight w:val="none"/>
        </w:rPr>
        <w:fldChar w:fldCharType="end"/>
      </w:r>
      <w:r>
        <w:rPr>
          <w:rFonts w:hint="eastAsia" w:ascii="宋体" w:hAnsi="宋体" w:eastAsia="宋体" w:cs="宋体"/>
          <w:b/>
          <w:bCs/>
          <w:color w:val="auto"/>
          <w:sz w:val="21"/>
          <w:szCs w:val="21"/>
          <w:highlight w:val="none"/>
        </w:rPr>
        <w:fldChar w:fldCharType="end"/>
      </w:r>
    </w:p>
    <w:p w14:paraId="0AFD4671">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fldChar w:fldCharType="end"/>
      </w:r>
    </w:p>
    <w:p w14:paraId="4DC87C4F">
      <w:pPr>
        <w:pStyle w:val="346"/>
        <w:tabs>
          <w:tab w:val="right" w:leader="dot" w:pos="8296"/>
        </w:tabs>
        <w:spacing w:line="360" w:lineRule="auto"/>
        <w:ind w:firstLine="201"/>
        <w:rPr>
          <w:rFonts w:hint="eastAsia" w:ascii="宋体" w:hAnsi="宋体"/>
          <w:b/>
          <w:bCs/>
          <w:color w:val="auto"/>
          <w:highlight w:val="none"/>
        </w:rPr>
        <w:sectPr>
          <w:footerReference r:id="rId6" w:type="default"/>
          <w:pgSz w:w="11906" w:h="16838"/>
          <w:pgMar w:top="1251" w:right="1558" w:bottom="1440" w:left="1800" w:header="709" w:footer="992" w:gutter="0"/>
          <w:pgNumType w:start="1"/>
          <w:cols w:space="720" w:num="1"/>
          <w:docGrid w:type="lines" w:linePitch="312" w:charSpace="0"/>
        </w:sectPr>
      </w:pPr>
    </w:p>
    <w:p w14:paraId="5A6F931C">
      <w:pPr>
        <w:widowControl w:val="0"/>
        <w:spacing w:after="120" w:line="360" w:lineRule="auto"/>
        <w:ind w:firstLine="0" w:firstLineChars="0"/>
        <w:jc w:val="center"/>
        <w:outlineLvl w:val="9"/>
        <w:rPr>
          <w:rFonts w:hint="eastAsia" w:ascii="宋体" w:hAnsi="宋体" w:eastAsia="宋体" w:cs="宋体"/>
          <w:bCs/>
          <w:color w:val="auto"/>
          <w:kern w:val="0"/>
          <w:sz w:val="28"/>
          <w:szCs w:val="28"/>
          <w:highlight w:val="none"/>
          <w:lang w:val="en-US" w:eastAsia="zh-CN" w:bidi="ar-SA"/>
        </w:rPr>
      </w:pPr>
      <w:bookmarkStart w:id="2" w:name="_Toc28359011"/>
      <w:bookmarkStart w:id="3" w:name="_Toc24612"/>
      <w:bookmarkStart w:id="4" w:name="_Toc3750"/>
      <w:bookmarkStart w:id="5" w:name="_Toc35393797"/>
      <w:bookmarkStart w:id="6" w:name="_Toc144974494"/>
      <w:bookmarkStart w:id="7" w:name="_Toc152045526"/>
      <w:bookmarkStart w:id="8" w:name="_Toc27754"/>
      <w:bookmarkStart w:id="9" w:name="_Toc152042302"/>
      <w:bookmarkStart w:id="10" w:name="_Toc152045527"/>
      <w:bookmarkStart w:id="11" w:name="_Toc152042303"/>
      <w:bookmarkStart w:id="12" w:name="_Toc144974495"/>
      <w:r>
        <w:rPr>
          <w:rFonts w:hint="eastAsia" w:ascii="宋体" w:hAnsi="宋体" w:eastAsia="宋体" w:cs="宋体"/>
          <w:bCs/>
          <w:color w:val="auto"/>
          <w:kern w:val="0"/>
          <w:sz w:val="28"/>
          <w:szCs w:val="28"/>
          <w:highlight w:val="none"/>
          <w:lang w:val="en-US" w:eastAsia="zh-CN" w:bidi="ar-SA"/>
        </w:rPr>
        <w:t>电子投标须知</w:t>
      </w:r>
    </w:p>
    <w:p w14:paraId="63495AC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文件提交方式：本项目为昆明市全流程电子化项目，通过“政采云”平台（http：//www.zcygov.cn）实行在线电子响应，投标人应先安装“政采云电子交易客户端”（请自行前往“政采云”平台进行下载），并按照本项目采购文件和“政采云”平台的要求编制、加密后在投标截止时间前通过网络上传至昆明市“政采云”平台，投标人在“政采云”平台提交电子版投标文件时，请填写参加远程采购活动经办人联系方式，电子投标文件具体操作流程详见“政采云”平台中《云南电子招投标（公开招标）_供应商》。</w:t>
      </w:r>
    </w:p>
    <w:p w14:paraId="1E73EF0E">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2、未进行网上注册并办理云南CA数字证书（CA认证）的投标人将无法参与本项目政府采购活动，潜在投标人应当在投标截止时间前，在云南CA在线数字证书办理网（</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HYPERLINK "https://cap.yunnanca.net/login）进行注册以及"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https://cap.yunnanca.net/login）进行注册以及</w:t>
      </w:r>
      <w:r>
        <w:rPr>
          <w:rFonts w:hint="eastAsia" w:ascii="宋体" w:hAnsi="宋体" w:cs="宋体"/>
          <w:color w:val="auto"/>
          <w:szCs w:val="21"/>
          <w:highlight w:val="none"/>
        </w:rPr>
        <w:fldChar w:fldCharType="end"/>
      </w:r>
      <w:r>
        <w:rPr>
          <w:rFonts w:hint="eastAsia" w:ascii="宋体" w:hAnsi="宋体" w:cs="宋体"/>
          <w:color w:val="auto"/>
          <w:szCs w:val="21"/>
          <w:highlight w:val="none"/>
        </w:rPr>
        <w:t>企业数字证书（CA）的办理，并进入政府采购云平台，绑定企业数字证书（CA）后在网上获取采购文件及其它采购资料，数字证书（CA）办理流程详见云南CA在线数字证书办理网（https://cap.yunnanca.net/login），如果投标人之前已经在云南CA在线数字证书办理网进行过注册并办理过企业数字证书（CA），直接绑定即可，无需重复办理。</w:t>
      </w:r>
    </w:p>
    <w:p w14:paraId="3CEECCC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3、为确保网上操作合法、有效和安全，请投标人确保在电子响应过程中能够对相关数据电文进行加密和使用电子签章，妥善保管CA数字证书并使用有效的CA数字证书参与整个采购活动。</w:t>
      </w:r>
    </w:p>
    <w:p w14:paraId="31E2701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投标人应当在首次投标文件提交截止时间前完成电子投标文件的上传、递交，投标文件提交截止时间前可以补充、修改或者撤回投标文件。补充或者修改投标文件的，应当先行撤回原文件，补充、修改后重新上传、递交。投标文件提交截止时间前未完成上传、递交的，视为撤回投标文件。投标文件提交截止时间以后上传递交的投标文件，“政采云”平台将予以拒收。</w:t>
      </w:r>
    </w:p>
    <w:p w14:paraId="5D5890AF">
      <w:pPr>
        <w:spacing w:line="360" w:lineRule="auto"/>
        <w:ind w:firstLine="420" w:firstLineChars="200"/>
        <w:rPr>
          <w:rFonts w:hint="eastAsia" w:ascii="宋体" w:hAnsi="宋体" w:cs="宋体"/>
          <w:color w:val="auto"/>
          <w:szCs w:val="21"/>
          <w:highlight w:val="none"/>
        </w:rPr>
        <w:sectPr>
          <w:footerReference r:id="rId7" w:type="default"/>
          <w:pgSz w:w="11906" w:h="16838"/>
          <w:pgMar w:top="1440" w:right="1800" w:bottom="1118" w:left="1800" w:header="720" w:footer="991" w:gutter="0"/>
          <w:cols w:space="720" w:num="1"/>
        </w:sectPr>
      </w:pPr>
      <w:r>
        <w:rPr>
          <w:rFonts w:hint="eastAsia" w:ascii="宋体" w:hAnsi="宋体" w:cs="宋体"/>
          <w:color w:val="auto"/>
          <w:szCs w:val="21"/>
          <w:highlight w:val="none"/>
        </w:rPr>
        <w:t>4、CA证书在线解密：首次投标文件开启时，需要投标人使用制作投标文件时用来加密的有效数字证书（CA认证）在具备有摄像头及语音功能且互联网网络状况良好的电脑登录“政采云”平台远程开标大厅按规定时间对加密的投标文件进行解密，由于投标人自身原因或误操作导致投标文件无法解密或开启的均视为撤回投标文件。</w:t>
      </w:r>
    </w:p>
    <w:p w14:paraId="31CB849B">
      <w:pPr>
        <w:pStyle w:val="3"/>
        <w:tabs>
          <w:tab w:val="left" w:pos="0"/>
        </w:tabs>
        <w:autoSpaceDE w:val="0"/>
        <w:autoSpaceDN w:val="0"/>
        <w:adjustRightInd w:val="0"/>
        <w:spacing w:before="0" w:after="0" w:line="360" w:lineRule="auto"/>
        <w:jc w:val="center"/>
        <w:rPr>
          <w:rFonts w:hint="eastAsia" w:ascii="华文中宋" w:hAnsi="华文中宋" w:eastAsia="华文中宋"/>
          <w:color w:val="auto"/>
          <w:highlight w:val="none"/>
        </w:rPr>
      </w:pPr>
      <w:r>
        <w:rPr>
          <w:rFonts w:hint="eastAsia" w:ascii="宋体" w:hAnsi="宋体" w:cs="宋体"/>
          <w:color w:val="auto"/>
          <w:sz w:val="32"/>
          <w:szCs w:val="32"/>
          <w:highlight w:val="none"/>
        </w:rPr>
        <w:t>第一章 竞争性磋商公告</w:t>
      </w:r>
      <w:bookmarkEnd w:id="2"/>
      <w:bookmarkEnd w:id="3"/>
      <w:bookmarkEnd w:id="4"/>
      <w:bookmarkEnd w:id="5"/>
    </w:p>
    <w:p w14:paraId="67AAF68A">
      <w:pPr>
        <w:rPr>
          <w:color w:val="auto"/>
          <w:highlight w:val="none"/>
        </w:rPr>
      </w:pPr>
    </w:p>
    <w:p w14:paraId="24C0E9DF">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项目概况</w:t>
      </w:r>
    </w:p>
    <w:p w14:paraId="17D8CC68">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lang w:eastAsia="zh-CN"/>
        </w:rPr>
        <w:t>2026年度东川区高标准农田建设项目设计服务</w:t>
      </w:r>
      <w:r>
        <w:rPr>
          <w:rFonts w:hint="eastAsia" w:ascii="宋体" w:hAnsi="宋体" w:cs="宋体"/>
          <w:color w:val="auto"/>
          <w:szCs w:val="21"/>
          <w:highlight w:val="none"/>
        </w:rPr>
        <w:t>的潜在供应商应在云南省政府采购电子交易平台（政采云https://www.zcygov.cn/）获取采购文件，并于2026年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（北京时间）前提交响应文件。</w:t>
      </w:r>
    </w:p>
    <w:p w14:paraId="732674B0">
      <w:pPr>
        <w:pStyle w:val="4"/>
        <w:spacing w:line="360" w:lineRule="auto"/>
        <w:rPr>
          <w:rFonts w:hint="eastAsia" w:ascii="宋体" w:hAnsi="宋体" w:eastAsia="宋体" w:cs="宋体"/>
          <w:b/>
          <w:bCs w:val="0"/>
          <w:color w:val="auto"/>
          <w:sz w:val="24"/>
          <w:szCs w:val="24"/>
          <w:highlight w:val="none"/>
        </w:rPr>
      </w:pPr>
      <w:bookmarkStart w:id="13" w:name="_Toc35393798"/>
      <w:bookmarkStart w:id="14" w:name="_Toc35393629"/>
      <w:bookmarkStart w:id="15" w:name="_Toc28359012"/>
      <w:bookmarkStart w:id="16" w:name="_Toc11292"/>
      <w:bookmarkStart w:id="17" w:name="_Toc28359089"/>
      <w:r>
        <w:rPr>
          <w:rFonts w:hint="eastAsia" w:ascii="宋体" w:hAnsi="宋体" w:eastAsia="宋体" w:cs="宋体"/>
          <w:b/>
          <w:bCs w:val="0"/>
          <w:color w:val="auto"/>
          <w:sz w:val="24"/>
          <w:szCs w:val="24"/>
          <w:highlight w:val="none"/>
        </w:rPr>
        <w:t>一、项目基本情况</w:t>
      </w:r>
      <w:bookmarkEnd w:id="13"/>
      <w:bookmarkEnd w:id="14"/>
      <w:bookmarkEnd w:id="15"/>
      <w:bookmarkEnd w:id="16"/>
      <w:bookmarkEnd w:id="17"/>
    </w:p>
    <w:p w14:paraId="25578C0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1.项目编号：KMZC2026-C3-02165-YTZX-0026</w:t>
      </w:r>
      <w:bookmarkStart w:id="1090" w:name="_GoBack"/>
      <w:bookmarkEnd w:id="1090"/>
      <w:r>
        <w:rPr>
          <w:rFonts w:hint="eastAsia" w:ascii="宋体" w:hAnsi="宋体" w:cs="宋体"/>
          <w:color w:val="auto"/>
          <w:szCs w:val="21"/>
          <w:highlight w:val="none"/>
        </w:rPr>
        <w:t>。</w:t>
      </w:r>
    </w:p>
    <w:p w14:paraId="2AA2FD2C">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2.项目名称：</w:t>
      </w:r>
      <w:r>
        <w:rPr>
          <w:rFonts w:hint="eastAsia" w:ascii="宋体" w:hAnsi="宋体" w:cs="宋体"/>
          <w:color w:val="auto"/>
          <w:szCs w:val="21"/>
          <w:highlight w:val="none"/>
          <w:lang w:eastAsia="zh-CN"/>
        </w:rPr>
        <w:t>2026年度东川区高标准农田建设项目设计服务</w:t>
      </w:r>
      <w:r>
        <w:rPr>
          <w:rFonts w:hint="eastAsia" w:ascii="宋体" w:hAnsi="宋体" w:cs="宋体"/>
          <w:color w:val="auto"/>
          <w:szCs w:val="21"/>
          <w:highlight w:val="none"/>
        </w:rPr>
        <w:t>。</w:t>
      </w:r>
    </w:p>
    <w:p w14:paraId="49D74FA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3.采购方式：竞争性磋商。</w:t>
      </w:r>
    </w:p>
    <w:p w14:paraId="6417D59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4.预算金额：</w:t>
      </w:r>
      <w:r>
        <w:rPr>
          <w:rFonts w:hint="eastAsia" w:ascii="宋体" w:hAnsi="宋体" w:cs="宋体"/>
          <w:color w:val="auto"/>
          <w:szCs w:val="21"/>
          <w:highlight w:val="none"/>
          <w:lang w:val="en-US" w:eastAsia="zh-CN"/>
        </w:rPr>
        <w:t>262350.00元</w:t>
      </w:r>
      <w:r>
        <w:rPr>
          <w:rFonts w:hint="eastAsia" w:ascii="宋体" w:hAnsi="宋体" w:cs="宋体"/>
          <w:color w:val="auto"/>
          <w:szCs w:val="21"/>
          <w:highlight w:val="none"/>
        </w:rPr>
        <w:t>。</w:t>
      </w:r>
    </w:p>
    <w:p w14:paraId="016A01D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5.最高限价：</w:t>
      </w:r>
      <w:r>
        <w:rPr>
          <w:rFonts w:hint="eastAsia" w:ascii="宋体" w:hAnsi="宋体" w:cs="宋体"/>
          <w:color w:val="auto"/>
          <w:szCs w:val="21"/>
          <w:highlight w:val="none"/>
          <w:lang w:val="en-US" w:eastAsia="zh-CN"/>
        </w:rPr>
        <w:t>262350.00元</w:t>
      </w:r>
      <w:r>
        <w:rPr>
          <w:rFonts w:hint="eastAsia" w:ascii="宋体" w:hAnsi="宋体" w:cs="宋体"/>
          <w:color w:val="auto"/>
          <w:szCs w:val="21"/>
          <w:highlight w:val="none"/>
        </w:rPr>
        <w:t>。</w:t>
      </w:r>
    </w:p>
    <w:p w14:paraId="1ABFC3F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6.采购需求：</w:t>
      </w:r>
    </w:p>
    <w:p w14:paraId="47A1CE1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标项名称：</w:t>
      </w:r>
      <w:r>
        <w:rPr>
          <w:rFonts w:hint="eastAsia" w:ascii="宋体" w:hAnsi="宋体" w:cs="宋体"/>
          <w:color w:val="auto"/>
          <w:szCs w:val="21"/>
          <w:highlight w:val="none"/>
          <w:lang w:eastAsia="zh-CN"/>
        </w:rPr>
        <w:t>2026年度东川区高标准农田建设项目设计服务</w:t>
      </w:r>
      <w:r>
        <w:rPr>
          <w:rFonts w:hint="eastAsia" w:ascii="宋体" w:hAnsi="宋体" w:cs="宋体"/>
          <w:color w:val="auto"/>
          <w:szCs w:val="21"/>
          <w:highlight w:val="none"/>
        </w:rPr>
        <w:t xml:space="preserve"> </w:t>
      </w:r>
    </w:p>
    <w:p w14:paraId="5BB83C37">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数量：1</w:t>
      </w:r>
    </w:p>
    <w:p w14:paraId="70976723">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预算金额（元）：262350.00</w:t>
      </w:r>
    </w:p>
    <w:p w14:paraId="242DC8EE">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单位：项</w:t>
      </w:r>
    </w:p>
    <w:p w14:paraId="5AD52B8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简要规格描述：完成2026年度东川区高标准农田建设项目设计服务，包括但不限于完成本项目初步设计及初步设计概算编制工作、施工图设计工作，配合采购人取得初步设计批复或主管部门审核意见；施工图满足施工需要，成果资料须经采购人认可并通过专家评审，</w:t>
      </w:r>
      <w:r>
        <w:rPr>
          <w:rFonts w:hint="eastAsia" w:ascii="宋体" w:hAnsi="宋体" w:cs="宋体"/>
          <w:color w:val="auto"/>
          <w:szCs w:val="21"/>
          <w:highlight w:val="none"/>
          <w:lang w:val="en-US" w:eastAsia="zh-CN"/>
        </w:rPr>
        <w:t>完成</w:t>
      </w:r>
      <w:r>
        <w:rPr>
          <w:rFonts w:hint="eastAsia" w:ascii="宋体" w:hAnsi="宋体" w:cs="宋体"/>
          <w:color w:val="auto"/>
          <w:szCs w:val="21"/>
          <w:highlight w:val="none"/>
        </w:rPr>
        <w:t>高标准农田上图入库服务</w:t>
      </w:r>
      <w:r>
        <w:rPr>
          <w:rFonts w:hint="eastAsia" w:ascii="宋体" w:hAnsi="宋体" w:cs="宋体"/>
          <w:color w:val="auto"/>
          <w:szCs w:val="21"/>
          <w:highlight w:val="none"/>
          <w:lang w:eastAsia="zh-CN"/>
        </w:rPr>
        <w:t>，</w:t>
      </w:r>
      <w:r>
        <w:rPr>
          <w:rFonts w:hint="eastAsia" w:ascii="宋体" w:hAnsi="宋体" w:cs="宋体"/>
          <w:color w:val="auto"/>
          <w:szCs w:val="21"/>
          <w:highlight w:val="none"/>
        </w:rPr>
        <w:t>同时提供相关后续服务</w:t>
      </w:r>
      <w:r>
        <w:rPr>
          <w:rFonts w:hint="eastAsia" w:ascii="宋体" w:hAnsi="宋体" w:cs="宋体"/>
          <w:color w:val="auto"/>
          <w:szCs w:val="21"/>
          <w:highlight w:val="none"/>
          <w:lang w:val="en-US" w:eastAsia="zh-CN"/>
        </w:rPr>
        <w:t>。最终以采购人实际委托为准。</w:t>
      </w:r>
    </w:p>
    <w:p w14:paraId="3EF2FFFB">
      <w:pPr>
        <w:numPr>
          <w:ilvl w:val="255"/>
          <w:numId w:val="0"/>
        </w:numPr>
        <w:spacing w:line="360" w:lineRule="auto"/>
        <w:ind w:firstLine="420" w:firstLineChars="20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7.合</w:t>
      </w:r>
      <w:r>
        <w:rPr>
          <w:rFonts w:hint="eastAsia"/>
          <w:color w:val="auto"/>
          <w:highlight w:val="none"/>
        </w:rPr>
        <w:t>同履</w:t>
      </w:r>
      <w:r>
        <w:rPr>
          <w:rFonts w:hint="eastAsia"/>
          <w:color w:val="auto"/>
          <w:highlight w:val="none"/>
          <w:lang w:val="en-US" w:eastAsia="zh-CN"/>
        </w:rPr>
        <w:t>约</w:t>
      </w:r>
      <w:r>
        <w:rPr>
          <w:rFonts w:hint="eastAsia"/>
          <w:color w:val="auto"/>
          <w:highlight w:val="none"/>
        </w:rPr>
        <w:t>期限：标段（包）1，自合同签订之日起</w:t>
      </w:r>
      <w:r>
        <w:rPr>
          <w:rFonts w:hint="eastAsia"/>
          <w:color w:val="auto"/>
          <w:highlight w:val="none"/>
          <w:lang w:val="en-US" w:eastAsia="zh-CN"/>
        </w:rPr>
        <w:t>至全部委托内容完成为止，具体</w:t>
      </w:r>
      <w:r>
        <w:rPr>
          <w:rFonts w:hint="eastAsia"/>
          <w:color w:val="auto"/>
          <w:highlight w:val="none"/>
        </w:rPr>
        <w:t>以采购人下达的通知为准</w:t>
      </w:r>
      <w:r>
        <w:rPr>
          <w:rFonts w:hint="eastAsia"/>
          <w:color w:val="auto"/>
          <w:highlight w:val="none"/>
          <w:lang w:eastAsia="zh-CN"/>
        </w:rPr>
        <w:t>，</w:t>
      </w:r>
      <w:r>
        <w:rPr>
          <w:rFonts w:hint="eastAsia"/>
          <w:color w:val="auto"/>
          <w:highlight w:val="none"/>
          <w:lang w:val="en-US" w:eastAsia="zh-CN"/>
        </w:rPr>
        <w:t>并</w:t>
      </w:r>
      <w:r>
        <w:rPr>
          <w:rFonts w:hint="eastAsia"/>
          <w:color w:val="auto"/>
          <w:highlight w:val="none"/>
        </w:rPr>
        <w:t>在采购人规定期限内完成本项目涉及的所有工作。</w:t>
      </w:r>
    </w:p>
    <w:p w14:paraId="2310F5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8.本项目</w:t>
      </w:r>
      <w:r>
        <w:rPr>
          <w:rFonts w:hint="eastAsia" w:ascii="宋体" w:hAnsi="宋体" w:cs="宋体"/>
          <w:color w:val="auto"/>
          <w:szCs w:val="21"/>
          <w:highlight w:val="none"/>
          <w:lang w:val="en-US" w:eastAsia="zh-CN"/>
        </w:rPr>
        <w:t>（否）</w:t>
      </w:r>
      <w:r>
        <w:rPr>
          <w:rFonts w:hint="eastAsia" w:ascii="宋体" w:hAnsi="宋体" w:cs="宋体"/>
          <w:color w:val="auto"/>
          <w:szCs w:val="21"/>
          <w:highlight w:val="none"/>
        </w:rPr>
        <w:t>接受联合体</w:t>
      </w:r>
      <w:r>
        <w:rPr>
          <w:rFonts w:hint="eastAsia" w:ascii="宋体" w:hAnsi="宋体" w:cs="宋体"/>
          <w:color w:val="auto"/>
          <w:szCs w:val="21"/>
          <w:highlight w:val="none"/>
          <w:lang w:val="en-US" w:eastAsia="zh-CN"/>
        </w:rPr>
        <w:t>投标</w:t>
      </w:r>
      <w:r>
        <w:rPr>
          <w:rFonts w:hint="eastAsia" w:ascii="宋体" w:hAnsi="宋体" w:cs="宋体"/>
          <w:color w:val="auto"/>
          <w:szCs w:val="21"/>
          <w:highlight w:val="none"/>
        </w:rPr>
        <w:t>。</w:t>
      </w:r>
    </w:p>
    <w:p w14:paraId="0DE94C0E">
      <w:pPr>
        <w:pStyle w:val="4"/>
        <w:spacing w:line="360" w:lineRule="auto"/>
        <w:rPr>
          <w:rFonts w:hint="eastAsia" w:ascii="宋体" w:hAnsi="宋体" w:eastAsia="宋体" w:cs="宋体"/>
          <w:b/>
          <w:bCs w:val="0"/>
          <w:color w:val="auto"/>
          <w:sz w:val="24"/>
          <w:szCs w:val="24"/>
          <w:highlight w:val="none"/>
        </w:rPr>
      </w:pPr>
      <w:bookmarkStart w:id="18" w:name="_Toc35393630"/>
      <w:bookmarkStart w:id="19" w:name="_Toc28359090"/>
      <w:bookmarkStart w:id="20" w:name="_Toc20362"/>
      <w:bookmarkStart w:id="21" w:name="_Toc35393799"/>
      <w:bookmarkStart w:id="22" w:name="_Toc28359013"/>
      <w:r>
        <w:rPr>
          <w:rFonts w:hint="eastAsia" w:ascii="宋体" w:hAnsi="宋体" w:eastAsia="宋体" w:cs="宋体"/>
          <w:b/>
          <w:bCs w:val="0"/>
          <w:color w:val="auto"/>
          <w:sz w:val="24"/>
          <w:szCs w:val="24"/>
          <w:highlight w:val="none"/>
        </w:rPr>
        <w:t>二、申请人的资格要求：</w:t>
      </w:r>
      <w:bookmarkEnd w:id="18"/>
      <w:bookmarkEnd w:id="19"/>
      <w:bookmarkEnd w:id="20"/>
      <w:bookmarkEnd w:id="21"/>
      <w:bookmarkEnd w:id="22"/>
    </w:p>
    <w:p w14:paraId="4A17617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1.满足《中华人民共和国政府采购法》第二十二条规定；符合《中华人民共和国政府采购法实施条例》第十八条规定；</w:t>
      </w:r>
    </w:p>
    <w:p w14:paraId="7E021A44">
      <w:pPr>
        <w:spacing w:line="360" w:lineRule="auto"/>
        <w:ind w:firstLine="420" w:firstLineChars="200"/>
        <w:rPr>
          <w:color w:val="auto"/>
          <w:highlight w:val="none"/>
        </w:rPr>
      </w:pPr>
      <w:bookmarkStart w:id="23" w:name="_Toc28359091"/>
      <w:bookmarkStart w:id="24" w:name="_Toc28359014"/>
      <w:r>
        <w:rPr>
          <w:rFonts w:hint="eastAsia" w:ascii="宋体" w:hAnsi="宋体" w:cs="宋体"/>
          <w:color w:val="auto"/>
          <w:szCs w:val="21"/>
          <w:highlight w:val="none"/>
        </w:rPr>
        <w:t>2.落实政府采购政策需满足的资格要求：标段（包）1：本项目专门面向中小企业采购，为落实《关于进一步加大政府采购支持中小企业力度的通知》（财库〔2022〕19号）、《政府采购促进中小企业发展管理办法》的通知财库〔2020〕46号；《关于政府采购支持监狱企业发展有关问题的通知》(财库[2014]68号)；《关于促进残疾人就业政府采购政策的通知》(财库[2017]141号)，参与采购项目的监狱、残疾人企业视同为小微企业。供应商应提供中小企业声明函或残疾人福利性单位声明函或监狱企业证明。</w:t>
      </w:r>
    </w:p>
    <w:p w14:paraId="2A48216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3.本项目的特定资格要求：</w:t>
      </w:r>
    </w:p>
    <w:p w14:paraId="48FEB2E9">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①供应商须具备主管部门核发的工程设计综合甲级资质，或水利行业设计丙级以上（含丙级）资质，或水利行业（灌溉排涝）专业设计丙级以上（含丙级）资质，或农林行业（农业工程）设计乙级以上（含乙级）资质，或农林行业（农业综合开发生态工程）专业设计乙级以上（含乙级）资质。</w:t>
      </w:r>
    </w:p>
    <w:p w14:paraId="03A15AE7">
      <w:pPr>
        <w:spacing w:line="360" w:lineRule="auto"/>
        <w:ind w:firstLine="420" w:firstLineChars="200"/>
        <w:rPr>
          <w:rFonts w:hint="default"/>
          <w:color w:val="auto"/>
          <w:highlight w:val="none"/>
          <w:lang w:val="en-US" w:eastAsia="zh-CN"/>
        </w:rPr>
      </w:pPr>
      <w:r>
        <w:rPr>
          <w:rFonts w:hint="eastAsia" w:ascii="宋体" w:hAnsi="宋体" w:cs="宋体"/>
          <w:color w:val="auto"/>
          <w:szCs w:val="21"/>
          <w:highlight w:val="none"/>
          <w:lang w:val="en-US" w:eastAsia="zh-CN"/>
        </w:rPr>
        <w:t>②项目负责人：具备工程师或以上技术职称，拟派项目负责人应为供应商本单位人员，提供供应商为其购买的有效的社保证明或养老保险缴纳证明（退休人员除外）。</w:t>
      </w:r>
    </w:p>
    <w:p w14:paraId="6CD86FF2">
      <w:pPr>
        <w:pStyle w:val="4"/>
        <w:spacing w:line="360" w:lineRule="auto"/>
        <w:rPr>
          <w:rFonts w:hint="eastAsia" w:ascii="宋体" w:hAnsi="宋体" w:eastAsia="宋体" w:cs="宋体"/>
          <w:b/>
          <w:bCs w:val="0"/>
          <w:color w:val="auto"/>
          <w:sz w:val="24"/>
          <w:szCs w:val="24"/>
          <w:highlight w:val="none"/>
        </w:rPr>
      </w:pPr>
      <w:bookmarkStart w:id="25" w:name="_Toc35393631"/>
      <w:bookmarkStart w:id="26" w:name="_Toc35393800"/>
      <w:bookmarkStart w:id="27" w:name="_Toc4016"/>
      <w:r>
        <w:rPr>
          <w:rFonts w:hint="eastAsia" w:ascii="宋体" w:hAnsi="宋体" w:eastAsia="宋体" w:cs="宋体"/>
          <w:b/>
          <w:bCs w:val="0"/>
          <w:color w:val="auto"/>
          <w:sz w:val="24"/>
          <w:szCs w:val="24"/>
          <w:highlight w:val="none"/>
        </w:rPr>
        <w:t>三、获取</w:t>
      </w:r>
      <w:r>
        <w:rPr>
          <w:rFonts w:hint="eastAsia" w:ascii="宋体" w:hAnsi="宋体" w:eastAsia="宋体" w:cs="宋体"/>
          <w:b/>
          <w:bCs w:val="0"/>
          <w:color w:val="auto"/>
          <w:sz w:val="24"/>
          <w:szCs w:val="24"/>
          <w:highlight w:val="none"/>
          <w:lang w:val="en-US" w:eastAsia="zh-CN"/>
        </w:rPr>
        <w:t>采购</w:t>
      </w:r>
      <w:r>
        <w:rPr>
          <w:rFonts w:hint="eastAsia" w:ascii="宋体" w:hAnsi="宋体" w:eastAsia="宋体" w:cs="宋体"/>
          <w:b/>
          <w:bCs w:val="0"/>
          <w:color w:val="auto"/>
          <w:sz w:val="24"/>
          <w:szCs w:val="24"/>
          <w:highlight w:val="none"/>
        </w:rPr>
        <w:t>文件</w:t>
      </w:r>
      <w:bookmarkEnd w:id="23"/>
      <w:bookmarkEnd w:id="24"/>
      <w:bookmarkEnd w:id="25"/>
      <w:bookmarkEnd w:id="26"/>
      <w:bookmarkEnd w:id="27"/>
    </w:p>
    <w:p w14:paraId="464B81F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时间：</w:t>
      </w:r>
      <w:r>
        <w:rPr>
          <w:rFonts w:hint="eastAsia" w:ascii="宋体" w:hAnsi="宋体" w:cs="宋体"/>
          <w:color w:val="auto"/>
          <w:szCs w:val="21"/>
          <w:highlight w:val="none"/>
          <w:lang w:val="en-US" w:eastAsia="zh-CN"/>
        </w:rPr>
        <w:t>2026年8月22日至2026年8月28日，每天上午06:00至12:00，下午12:00至23:59（北京时间，法定节假日除外）</w:t>
      </w:r>
      <w:r>
        <w:rPr>
          <w:rFonts w:hint="eastAsia" w:ascii="宋体" w:hAnsi="宋体" w:cs="宋体"/>
          <w:color w:val="auto"/>
          <w:szCs w:val="21"/>
          <w:highlight w:val="none"/>
        </w:rPr>
        <w:t>。</w:t>
      </w:r>
    </w:p>
    <w:p w14:paraId="59C6901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地点：云南省政府采购电子交易平台（政采云https://www.zcygov.cn/）</w:t>
      </w:r>
    </w:p>
    <w:p w14:paraId="5D195C4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方式：</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凡有意参加投标者，须持与云南省政府采购电子交易平台（政采云）兼容的数字证书（CA），在平台绑定后，线上获取采购文件及其它采购资料。CA申领链接：https://middle.zcygov.cn/ca/apply/list?_app_=zcy.sys</w:t>
      </w:r>
    </w:p>
    <w:p w14:paraId="079CC43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按上述要求获取文件的供应商视为合法获取了本项目采购文件，具备本项目的投标资格。</w:t>
      </w:r>
    </w:p>
    <w:p w14:paraId="31939422">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售价（元）：0</w:t>
      </w:r>
    </w:p>
    <w:p w14:paraId="05A6AFE7">
      <w:pPr>
        <w:pStyle w:val="4"/>
        <w:spacing w:line="360" w:lineRule="auto"/>
        <w:rPr>
          <w:rFonts w:hint="eastAsia" w:ascii="宋体" w:hAnsi="宋体" w:eastAsia="宋体" w:cs="宋体"/>
          <w:b/>
          <w:bCs w:val="0"/>
          <w:color w:val="auto"/>
          <w:sz w:val="24"/>
          <w:szCs w:val="24"/>
          <w:highlight w:val="none"/>
        </w:rPr>
      </w:pPr>
      <w:bookmarkStart w:id="28" w:name="_Toc28359015"/>
      <w:bookmarkStart w:id="29" w:name="_Toc35393801"/>
      <w:bookmarkStart w:id="30" w:name="_Toc20127"/>
      <w:bookmarkStart w:id="31" w:name="_Toc35393632"/>
      <w:bookmarkStart w:id="32" w:name="_Toc28359092"/>
      <w:r>
        <w:rPr>
          <w:rFonts w:hint="eastAsia" w:ascii="宋体" w:hAnsi="宋体" w:eastAsia="宋体" w:cs="宋体"/>
          <w:b/>
          <w:bCs w:val="0"/>
          <w:color w:val="auto"/>
          <w:sz w:val="24"/>
          <w:szCs w:val="24"/>
          <w:highlight w:val="none"/>
        </w:rPr>
        <w:t>四、响应文件提交</w:t>
      </w:r>
      <w:bookmarkEnd w:id="28"/>
      <w:bookmarkEnd w:id="29"/>
      <w:bookmarkEnd w:id="30"/>
      <w:bookmarkEnd w:id="31"/>
      <w:bookmarkEnd w:id="32"/>
    </w:p>
    <w:p w14:paraId="52A36DD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截止时间：2026年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 xml:space="preserve">日 </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30</w:t>
      </w:r>
      <w:r>
        <w:rPr>
          <w:rFonts w:hint="eastAsia" w:ascii="宋体" w:hAnsi="宋体" w:cs="宋体"/>
          <w:color w:val="auto"/>
          <w:szCs w:val="21"/>
          <w:highlight w:val="none"/>
        </w:rPr>
        <w:t>（北京时间）</w:t>
      </w:r>
    </w:p>
    <w:p w14:paraId="133180E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地点：请登录云南省政府采购电子交易平台（政采云）投标客户端投标</w:t>
      </w:r>
    </w:p>
    <w:p w14:paraId="6D2A4A38">
      <w:pPr>
        <w:pStyle w:val="4"/>
        <w:spacing w:line="360" w:lineRule="auto"/>
        <w:rPr>
          <w:rFonts w:hint="eastAsia" w:ascii="宋体" w:hAnsi="宋体" w:eastAsia="宋体" w:cs="宋体"/>
          <w:b/>
          <w:bCs w:val="0"/>
          <w:color w:val="auto"/>
          <w:sz w:val="24"/>
          <w:szCs w:val="24"/>
          <w:highlight w:val="none"/>
        </w:rPr>
      </w:pPr>
      <w:bookmarkStart w:id="33" w:name="_Toc28359093"/>
      <w:bookmarkStart w:id="34" w:name="_Toc28359016"/>
      <w:bookmarkStart w:id="35" w:name="_Toc22431"/>
      <w:bookmarkStart w:id="36" w:name="_Toc35393802"/>
      <w:bookmarkStart w:id="37" w:name="_Toc35393633"/>
      <w:r>
        <w:rPr>
          <w:rFonts w:hint="eastAsia" w:ascii="宋体" w:hAnsi="宋体" w:eastAsia="宋体" w:cs="宋体"/>
          <w:b/>
          <w:bCs w:val="0"/>
          <w:color w:val="auto"/>
          <w:sz w:val="24"/>
          <w:szCs w:val="24"/>
          <w:highlight w:val="none"/>
        </w:rPr>
        <w:t>五、</w:t>
      </w:r>
      <w:r>
        <w:rPr>
          <w:rFonts w:hint="eastAsia" w:ascii="宋体" w:hAnsi="宋体" w:eastAsia="宋体" w:cs="宋体"/>
          <w:b/>
          <w:bCs w:val="0"/>
          <w:color w:val="auto"/>
          <w:sz w:val="24"/>
          <w:szCs w:val="24"/>
          <w:highlight w:val="none"/>
          <w:lang w:val="en-US" w:eastAsia="zh-CN"/>
        </w:rPr>
        <w:t>响应文件</w:t>
      </w:r>
      <w:r>
        <w:rPr>
          <w:rFonts w:hint="eastAsia" w:ascii="宋体" w:hAnsi="宋体" w:eastAsia="宋体" w:cs="宋体"/>
          <w:b/>
          <w:bCs w:val="0"/>
          <w:color w:val="auto"/>
          <w:sz w:val="24"/>
          <w:szCs w:val="24"/>
          <w:highlight w:val="none"/>
        </w:rPr>
        <w:t>开启</w:t>
      </w:r>
      <w:bookmarkEnd w:id="33"/>
      <w:bookmarkEnd w:id="34"/>
      <w:bookmarkEnd w:id="35"/>
      <w:bookmarkEnd w:id="36"/>
      <w:bookmarkEnd w:id="37"/>
    </w:p>
    <w:p w14:paraId="5F22C4C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开启时间：2026年</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 xml:space="preserve">日 </w:t>
      </w:r>
      <w:r>
        <w:rPr>
          <w:rFonts w:hint="eastAsia" w:ascii="宋体" w:hAnsi="宋体" w:cs="宋体"/>
          <w:color w:val="auto"/>
          <w:szCs w:val="21"/>
          <w:highlight w:val="none"/>
          <w:lang w:val="en-US" w:eastAsia="zh-CN"/>
        </w:rPr>
        <w:t>09:30</w:t>
      </w:r>
      <w:r>
        <w:rPr>
          <w:rFonts w:hint="eastAsia" w:ascii="宋体" w:hAnsi="宋体" w:cs="宋体"/>
          <w:color w:val="auto"/>
          <w:szCs w:val="21"/>
          <w:highlight w:val="none"/>
        </w:rPr>
        <w:t>（北京时间）</w:t>
      </w:r>
    </w:p>
    <w:p w14:paraId="4433539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地点：云南省昆明市西山区云南省昆明市西山区日新中路润城第一大道D栋6楼开评标室</w:t>
      </w:r>
    </w:p>
    <w:p w14:paraId="0019CC87">
      <w:pPr>
        <w:pStyle w:val="4"/>
        <w:spacing w:line="360" w:lineRule="auto"/>
        <w:rPr>
          <w:rFonts w:hint="eastAsia" w:ascii="宋体" w:hAnsi="宋体" w:eastAsia="宋体" w:cs="宋体"/>
          <w:b/>
          <w:bCs w:val="0"/>
          <w:color w:val="auto"/>
          <w:sz w:val="24"/>
          <w:szCs w:val="24"/>
          <w:highlight w:val="none"/>
        </w:rPr>
      </w:pPr>
      <w:bookmarkStart w:id="38" w:name="_Toc35393634"/>
      <w:bookmarkStart w:id="39" w:name="_Toc28359094"/>
      <w:bookmarkStart w:id="40" w:name="_Toc35393803"/>
      <w:bookmarkStart w:id="41" w:name="_Toc24417"/>
      <w:bookmarkStart w:id="42" w:name="_Toc28359017"/>
      <w:r>
        <w:rPr>
          <w:rFonts w:hint="eastAsia" w:ascii="宋体" w:hAnsi="宋体" w:eastAsia="宋体" w:cs="宋体"/>
          <w:b/>
          <w:bCs w:val="0"/>
          <w:color w:val="auto"/>
          <w:sz w:val="24"/>
          <w:szCs w:val="24"/>
          <w:highlight w:val="none"/>
        </w:rPr>
        <w:t>六、</w:t>
      </w:r>
      <w:bookmarkEnd w:id="38"/>
      <w:bookmarkEnd w:id="39"/>
      <w:bookmarkEnd w:id="40"/>
      <w:bookmarkEnd w:id="41"/>
      <w:bookmarkEnd w:id="42"/>
      <w:r>
        <w:rPr>
          <w:rFonts w:hint="eastAsia" w:ascii="宋体" w:hAnsi="宋体" w:eastAsia="宋体" w:cs="宋体"/>
          <w:b/>
          <w:bCs w:val="0"/>
          <w:color w:val="auto"/>
          <w:sz w:val="24"/>
          <w:szCs w:val="24"/>
          <w:highlight w:val="none"/>
        </w:rPr>
        <w:t>投标保证金信息</w:t>
      </w:r>
    </w:p>
    <w:p w14:paraId="5A52EBE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是否需要缴纳磋商保证金：否</w:t>
      </w:r>
    </w:p>
    <w:p w14:paraId="185DBA15">
      <w:pPr>
        <w:pStyle w:val="4"/>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rPr>
        <w:t>、公告期限</w:t>
      </w:r>
    </w:p>
    <w:p w14:paraId="78C80B44">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个工作日</w:t>
      </w:r>
      <w:r>
        <w:rPr>
          <w:rFonts w:hint="eastAsia" w:ascii="宋体" w:hAnsi="宋体" w:cs="宋体"/>
          <w:color w:val="auto"/>
          <w:szCs w:val="21"/>
          <w:highlight w:val="none"/>
          <w:lang w:eastAsia="zh-CN"/>
        </w:rPr>
        <w:t>。</w:t>
      </w:r>
    </w:p>
    <w:p w14:paraId="2D6520B3">
      <w:pPr>
        <w:pStyle w:val="4"/>
        <w:spacing w:line="360" w:lineRule="auto"/>
        <w:rPr>
          <w:rFonts w:hint="eastAsia" w:ascii="宋体" w:hAnsi="宋体" w:eastAsia="宋体" w:cs="宋体"/>
          <w:b/>
          <w:bCs w:val="0"/>
          <w:color w:val="auto"/>
          <w:sz w:val="24"/>
          <w:szCs w:val="24"/>
          <w:highlight w:val="none"/>
        </w:rPr>
      </w:pPr>
      <w:bookmarkStart w:id="43" w:name="_Toc35393804"/>
      <w:bookmarkStart w:id="44" w:name="_Toc35393635"/>
      <w:bookmarkStart w:id="45" w:name="_Toc17222"/>
      <w:r>
        <w:rPr>
          <w:rFonts w:hint="eastAsia" w:ascii="宋体" w:hAnsi="宋体" w:eastAsia="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rPr>
        <w:t>、其他补充事宜</w:t>
      </w:r>
      <w:bookmarkEnd w:id="43"/>
      <w:bookmarkEnd w:id="44"/>
      <w:bookmarkEnd w:id="45"/>
    </w:p>
    <w:p w14:paraId="1BA430FF">
      <w:pPr>
        <w:wordWrap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1、公告发布的媒介：本项目竞争性磋商公告在云南省政府采购网（www.yngp.com）上发布。</w:t>
      </w:r>
    </w:p>
    <w:p w14:paraId="04F8626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2、开标方式：在线开标。</w:t>
      </w:r>
    </w:p>
    <w:p w14:paraId="47E4ED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3、是否需要缴纳磋商保证金：否。</w:t>
      </w:r>
    </w:p>
    <w:p w14:paraId="4B0259D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地点：（1）响应文件提交方式：本项目为昆明市全流程电子化项目，通过“政采云”平台（http：//www.zcygov.cn）实行在线电子响应，供应商应先安装“政采云电子交易客户端”（请自行前往“政采云”平台进行下载），并按照本项目竞争性磋商文件和“政采云”平台的要求编制、加密后在投标截止时间前通过网络上传至昆明市“政采云”平台，供应商在“政采云”平台提交电子版响应文件时，请填写参加远程采购活动经办人联系方式，电子响应文件具体操作流程详见“政采云”平台中《政府采购项目电子交易管理操作指南-供应商》。</w:t>
      </w:r>
    </w:p>
    <w:p w14:paraId="3CE400B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未进行网上注册并办理云南CA数字证书（CA认证）的供应商将无法参与本项目政府采购活动，潜在供应商应当在投标截止时间前，在云南CA在线数字证书办理网（https://cap.yunnanca.net/login）进行注册以及企业数字证书（CA）的办理，并进入政府采购云平台，绑定企业数字证书（CA）后在网上获取采购文件及其它采购资料，数字证书（CA）办理流程详见云南CA在线数字证书办理网（https://cap.yunnanca.net/login），如果供应商之前已经在云南CA在线数字证书办理网进行过注册并办理过企业数字证书（CA），直接绑定即可，无需重复办理。</w:t>
      </w:r>
    </w:p>
    <w:p w14:paraId="0B4788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供应商应当在首次响应文件提交截止时间前完成电子响应文件的上传、递交，响应文件提交截止时间前可以补充、修改或者撤回响应文件。补充或者修改响应文件的，应当先行撤回原文件，补充、修改后重新上传、递交。响应文件提交截止时间前未完成上传、递交的，视为撤回响应文件。响应文件提交截止时间以后上传递交的响应文件的，“政采云”平台将予以拒收。</w:t>
      </w:r>
    </w:p>
    <w:p w14:paraId="34E8C11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CA证书在线解密：首次响应文件开启时，需要供应商使用制作响应文件时用来加密的有效数字证书（CA认证）在具备有摄像头及语音功能且互联网网络状况良好的电脑登录“政采云”平台远程开标大厅按规定时间对加密的响应文件进行解密，由于供应商自身原因或误操作导致响应文件无法解密或开启的均视为撤回响应文件。</w:t>
      </w:r>
    </w:p>
    <w:p w14:paraId="3485A08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6、供应商须满足《中华人民共和国政府采购法》第二十二条规定：</w:t>
      </w:r>
    </w:p>
    <w:p w14:paraId="056B6CA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（1）具有独立承担民事责任的能力：供应商须具备法人或者其他组织的营业执照等证明文件；若为自然人的，须提供自然人的身份证明。</w:t>
      </w:r>
    </w:p>
    <w:p w14:paraId="0534ED5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（2）具有良好的商业信誉和具有健全的财务会计制度：</w:t>
      </w:r>
    </w:p>
    <w:p w14:paraId="5A81B0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①具有良好的商业信誉：提供承诺书或声明函并加盖电子签章。</w:t>
      </w:r>
    </w:p>
    <w:p w14:paraId="3C5BB63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②具有健全的财务会计制度</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2024年或2025年经审计的财务报告及报表[包括资产负债表、现金流量表、利润表及财务报表附注（或财务状况说明书）]扫描件【注：供应商若为事业单位的则不需提供利润表，审计报告须经“注册会计师行业统一监管平台（http://acc.mof.gov.cn）”备案赋码，未完成备案赋码的，视为无效文件】，或银行出具的资信证明，或财政部门认可的政府采购专业担保机构针对本项目出具的投标担保函。</w:t>
      </w:r>
    </w:p>
    <w:p w14:paraId="256A7F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（3）具有履行合同所必需的设备和专业技术能力：提供证明材料或声明函（声明函需加盖电子签章）。 </w:t>
      </w:r>
    </w:p>
    <w:p w14:paraId="01A08C3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（4）有依法缴纳税收和社会保障资金的良好记录：供应商须提供</w:t>
      </w:r>
      <w:r>
        <w:rPr>
          <w:rFonts w:hint="eastAsia" w:ascii="宋体" w:hAnsi="宋体" w:cs="宋体"/>
          <w:color w:val="auto"/>
          <w:szCs w:val="21"/>
          <w:highlight w:val="none"/>
          <w:lang w:val="en-US" w:eastAsia="zh-CN"/>
        </w:rPr>
        <w:t>2025年6月至</w:t>
      </w:r>
      <w:r>
        <w:rPr>
          <w:rFonts w:hint="eastAsia" w:ascii="宋体" w:hAnsi="宋体" w:cs="宋体"/>
          <w:color w:val="auto"/>
          <w:szCs w:val="21"/>
          <w:highlight w:val="none"/>
        </w:rPr>
        <w:t>本项目</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文件递交截止时间前任意时间段的纳税证明材料和社会保障资金证明材料；若依法免税或不需要缴纳社保资金的，应提供相应证明文件</w:t>
      </w:r>
      <w:r>
        <w:rPr>
          <w:rFonts w:hint="eastAsia" w:ascii="宋体" w:hAnsi="宋体" w:cs="宋体"/>
          <w:color w:val="auto"/>
          <w:szCs w:val="21"/>
          <w:highlight w:val="none"/>
          <w:lang w:val="en-US" w:eastAsia="zh-CN"/>
        </w:rPr>
        <w:t>证明</w:t>
      </w:r>
      <w:r>
        <w:rPr>
          <w:rFonts w:hint="eastAsia" w:ascii="宋体" w:hAnsi="宋体" w:cs="宋体"/>
          <w:color w:val="auto"/>
          <w:szCs w:val="21"/>
          <w:highlight w:val="none"/>
        </w:rPr>
        <w:t>其依法免税或不需要缴纳社会保障资金。</w:t>
      </w:r>
    </w:p>
    <w:p w14:paraId="0730359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提供供应商参与本次竞争性磋商活动的前三年内（以响应文件递交截止时间为准），在经营活动中没有重大违法记录的书面声明并加盖电子签章，否则其磋商按无效标处理。</w:t>
      </w:r>
    </w:p>
    <w:p w14:paraId="5F855F6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（6）法律、行政法规规定的其他条件：</w:t>
      </w:r>
    </w:p>
    <w:p w14:paraId="7652448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按照《财政部关于在政府采购活动中查询及使用信用记录有关问题的通知》(财库[2016]125号)的相关要求，采购人或采购代理机构在响应文件递交的截止时间后将对供应商的信用信息在“信用中国”网站（www.creditchina.gov.cn）及中国政府采购网（www.ccgp.gov.cn）上进行查询，并以截图方式存档，评标时由相关工作人员统一提供给项目磋商小组。信用信息使用规则：供应商如被列入“信用中国”网站（www.creditchina.gov.cn）失信被执行人（或失信惩戒人）或重大税收违法案件当事人名单的，或被列入中国政府采购网（www.ccgp.gov.cn）政府采购严重违法失信行为信息记录（被禁止在一定期限内参加政府采购活动，但期限届满的除外）名单的，不得参与本次竞争性磋商活动。</w:t>
      </w:r>
    </w:p>
    <w:p w14:paraId="27DEDC9B">
      <w:pPr>
        <w:spacing w:line="360" w:lineRule="auto"/>
        <w:ind w:firstLine="420" w:firstLineChars="20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7、供应商须满足《中华人民共和国政府采购法实施条例》第十八条规定：单位负责人为同一人或者存在直接控股、管理关系的不同供应商，不得参加同一项目包的政府采购活动。除单一来源采购项目外，为采购项目提供整体设计、规范编制或者项目管理、监理、检测等服务的供应商，不得再参加该采购项目的其他采购活动。（提供承诺书或者证明材料）。</w:t>
      </w:r>
    </w:p>
    <w:p w14:paraId="10235CEB">
      <w:pPr>
        <w:spacing w:line="360" w:lineRule="auto"/>
        <w:ind w:firstLine="420" w:firstLineChars="200"/>
        <w:rPr>
          <w:rFonts w:hint="eastAsia" w:ascii="宋体" w:hAnsi="宋体"/>
          <w:color w:val="auto"/>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、质量要求：符合国家、地方现行行业</w:t>
      </w:r>
      <w:r>
        <w:rPr>
          <w:rFonts w:hint="eastAsia" w:ascii="宋体" w:hAnsi="宋体" w:cs="宋体"/>
          <w:color w:val="auto"/>
          <w:szCs w:val="21"/>
          <w:highlight w:val="none"/>
          <w:lang w:val="en-US" w:eastAsia="zh-CN"/>
        </w:rPr>
        <w:t>相关</w:t>
      </w:r>
      <w:r>
        <w:rPr>
          <w:rFonts w:hint="eastAsia" w:ascii="宋体" w:hAnsi="宋体" w:cs="宋体"/>
          <w:color w:val="auto"/>
          <w:szCs w:val="21"/>
          <w:highlight w:val="none"/>
        </w:rPr>
        <w:t>规范要求，确保成果资料完整、真实准确、清晰有据，满足采购人要求，对成果资料质量终身负责。</w:t>
      </w:r>
    </w:p>
    <w:p w14:paraId="37B06F46">
      <w:pPr>
        <w:spacing w:line="360" w:lineRule="auto"/>
        <w:ind w:firstLine="420" w:firstLineChars="200"/>
        <w:rPr>
          <w:rFonts w:hint="default" w:ascii="宋体" w:hAnsi="宋体" w:cs="宋体"/>
          <w:color w:val="auto"/>
          <w:szCs w:val="21"/>
          <w:highlight w:val="none"/>
          <w:lang w:val="en-US"/>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包件</w:t>
      </w:r>
      <w:r>
        <w:rPr>
          <w:rFonts w:hint="eastAsia" w:ascii="宋体" w:hAnsi="宋体" w:cs="宋体"/>
          <w:color w:val="auto"/>
          <w:szCs w:val="21"/>
          <w:highlight w:val="none"/>
        </w:rPr>
        <w:t>划分：本项目</w:t>
      </w:r>
      <w:r>
        <w:rPr>
          <w:rFonts w:hint="eastAsia" w:ascii="宋体" w:hAnsi="宋体" w:cs="宋体"/>
          <w:color w:val="auto"/>
          <w:szCs w:val="21"/>
          <w:highlight w:val="none"/>
          <w:lang w:val="en-US" w:eastAsia="zh-CN"/>
        </w:rPr>
        <w:t>不划分包件</w:t>
      </w:r>
      <w:r>
        <w:rPr>
          <w:rFonts w:hint="eastAsia" w:ascii="宋体" w:hAnsi="宋体" w:cs="宋体"/>
          <w:color w:val="auto"/>
          <w:szCs w:val="21"/>
          <w:highlight w:val="none"/>
        </w:rPr>
        <w:t>。</w:t>
      </w:r>
    </w:p>
    <w:p w14:paraId="06A9AA5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w:t>
      </w:r>
      <w:r>
        <w:rPr>
          <w:rFonts w:hint="eastAsia" w:ascii="宋体" w:hAnsi="宋体"/>
          <w:color w:val="auto"/>
          <w:szCs w:val="21"/>
          <w:highlight w:val="none"/>
        </w:rPr>
        <w:t>服务地点：</w:t>
      </w:r>
      <w:r>
        <w:rPr>
          <w:rFonts w:hint="eastAsia" w:ascii="宋体" w:hAnsi="宋体"/>
          <w:color w:val="auto"/>
          <w:szCs w:val="21"/>
          <w:highlight w:val="none"/>
          <w:lang w:val="en-US" w:eastAsia="zh-CN"/>
        </w:rPr>
        <w:t>云南省昆明市东川区</w:t>
      </w:r>
      <w:r>
        <w:rPr>
          <w:rFonts w:hint="eastAsia" w:ascii="宋体" w:hAnsi="宋体" w:cs="宋体"/>
          <w:color w:val="auto"/>
          <w:szCs w:val="21"/>
          <w:highlight w:val="none"/>
        </w:rPr>
        <w:t>。</w:t>
      </w:r>
    </w:p>
    <w:p w14:paraId="35F8CA9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、本项目属性为服务。</w:t>
      </w:r>
    </w:p>
    <w:p w14:paraId="248197F1">
      <w:pPr>
        <w:pStyle w:val="4"/>
        <w:spacing w:line="360" w:lineRule="auto"/>
        <w:rPr>
          <w:rFonts w:hint="eastAsia" w:ascii="宋体" w:hAnsi="宋体" w:eastAsia="宋体" w:cs="宋体"/>
          <w:b/>
          <w:bCs w:val="0"/>
          <w:color w:val="auto"/>
          <w:sz w:val="24"/>
          <w:szCs w:val="24"/>
          <w:highlight w:val="none"/>
        </w:rPr>
      </w:pPr>
      <w:bookmarkStart w:id="46" w:name="_Toc35393636"/>
      <w:bookmarkStart w:id="47" w:name="_Toc28359095"/>
      <w:bookmarkStart w:id="48" w:name="_Toc28359018"/>
      <w:bookmarkStart w:id="49" w:name="_Toc35393805"/>
      <w:bookmarkStart w:id="50" w:name="_Toc15306"/>
      <w:r>
        <w:rPr>
          <w:rFonts w:hint="eastAsia" w:ascii="宋体" w:hAnsi="宋体" w:eastAsia="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rPr>
        <w:t>、凡对本次采购提出询问，请按以下方式联系</w:t>
      </w:r>
      <w:bookmarkEnd w:id="46"/>
      <w:bookmarkEnd w:id="47"/>
      <w:bookmarkEnd w:id="48"/>
      <w:bookmarkEnd w:id="49"/>
      <w:bookmarkEnd w:id="50"/>
    </w:p>
    <w:p w14:paraId="4A40148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1.采购人信息</w:t>
      </w:r>
    </w:p>
    <w:p w14:paraId="752A0E3E">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名    称</w:t>
      </w:r>
      <w:r>
        <w:rPr>
          <w:rFonts w:hint="eastAsia" w:ascii="宋体" w:hAnsi="宋体" w:cs="宋体"/>
          <w:color w:val="auto"/>
          <w:szCs w:val="21"/>
          <w:highlight w:val="none"/>
        </w:rPr>
        <w:t>：</w:t>
      </w:r>
      <w:r>
        <w:rPr>
          <w:rFonts w:hint="eastAsia" w:ascii="宋体" w:hAnsi="宋体"/>
          <w:color w:val="auto"/>
          <w:szCs w:val="21"/>
          <w:highlight w:val="none"/>
          <w:lang w:eastAsia="zh-CN"/>
        </w:rPr>
        <w:t>昆明市东川区农业农村局</w:t>
      </w:r>
    </w:p>
    <w:p w14:paraId="725698B9">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    址：</w:t>
      </w:r>
      <w:r>
        <w:rPr>
          <w:rFonts w:hint="eastAsia" w:ascii="宋体" w:hAnsi="宋体" w:cs="宋体"/>
          <w:color w:val="auto"/>
          <w:szCs w:val="21"/>
          <w:highlight w:val="none"/>
          <w:lang w:eastAsia="zh-CN"/>
        </w:rPr>
        <w:t>昆明市东川区白云街1号</w:t>
      </w:r>
    </w:p>
    <w:p w14:paraId="625FD694">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 系 人：</w:t>
      </w:r>
      <w:r>
        <w:rPr>
          <w:rFonts w:hint="eastAsia" w:ascii="宋体" w:hAnsi="宋体" w:cs="宋体"/>
          <w:color w:val="auto"/>
          <w:szCs w:val="21"/>
          <w:highlight w:val="none"/>
          <w:lang w:val="en-US" w:eastAsia="zh-CN"/>
        </w:rPr>
        <w:t>陈老师</w:t>
      </w:r>
    </w:p>
    <w:p w14:paraId="4CC44BEA">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电    话：</w:t>
      </w:r>
      <w:r>
        <w:rPr>
          <w:rFonts w:hint="eastAsia" w:ascii="宋体" w:hAnsi="宋体" w:cs="宋体"/>
          <w:color w:val="auto"/>
          <w:szCs w:val="21"/>
          <w:highlight w:val="none"/>
          <w:lang w:eastAsia="zh-CN"/>
        </w:rPr>
        <w:t>0871-621</w:t>
      </w:r>
      <w:r>
        <w:rPr>
          <w:rFonts w:hint="eastAsia" w:ascii="宋体" w:hAnsi="宋体" w:cs="宋体"/>
          <w:color w:val="auto"/>
          <w:szCs w:val="21"/>
          <w:highlight w:val="none"/>
          <w:lang w:val="en-US" w:eastAsia="zh-CN"/>
        </w:rPr>
        <w:t>25444</w:t>
      </w:r>
    </w:p>
    <w:p w14:paraId="3CBEE0CB">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 </w:t>
      </w:r>
    </w:p>
    <w:p w14:paraId="5E10B5D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2.采购代理机构信息</w:t>
      </w:r>
    </w:p>
    <w:p w14:paraId="74FF55C7">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lang w:eastAsia="zh-CN"/>
        </w:rPr>
        <w:t>屿投咨询（云南）股份有限公司</w:t>
      </w:r>
    </w:p>
    <w:p w14:paraId="3ED151A5">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昆明市西山区日新中路润城第一大道D栋6层</w:t>
      </w:r>
    </w:p>
    <w:p w14:paraId="03F9CC4F">
      <w:pPr>
        <w:spacing w:line="360" w:lineRule="auto"/>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rPr>
        <w:t>项目联系人：</w:t>
      </w:r>
      <w:r>
        <w:rPr>
          <w:rFonts w:hint="eastAsia" w:ascii="宋体" w:hAnsi="宋体"/>
          <w:color w:val="auto"/>
          <w:szCs w:val="21"/>
          <w:highlight w:val="none"/>
          <w:lang w:val="en-US" w:eastAsia="zh-CN"/>
        </w:rPr>
        <w:t>喻江贤、黄博、陈静、钱岩、李竹俊、李明祥、孔娇、钱宇</w:t>
      </w:r>
    </w:p>
    <w:p w14:paraId="5BB834C4">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lang w:eastAsia="zh-CN"/>
        </w:rPr>
        <w:t>13698776748（座机）</w:t>
      </w:r>
    </w:p>
    <w:p w14:paraId="421724A0">
      <w:pPr>
        <w:spacing w:line="360" w:lineRule="auto"/>
        <w:ind w:firstLine="420" w:firstLineChars="200"/>
        <w:rPr>
          <w:rFonts w:hint="eastAsia" w:ascii="宋体" w:hAnsi="宋体" w:cs="宋体"/>
          <w:color w:val="auto"/>
          <w:szCs w:val="21"/>
          <w:highlight w:val="none"/>
        </w:rPr>
      </w:pPr>
    </w:p>
    <w:p w14:paraId="0F83743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3.项目联系方式</w:t>
      </w:r>
    </w:p>
    <w:p w14:paraId="41D2E1C1">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项目联系人：</w:t>
      </w:r>
      <w:r>
        <w:rPr>
          <w:rFonts w:hint="eastAsia" w:ascii="宋体" w:hAnsi="宋体"/>
          <w:color w:val="auto"/>
          <w:szCs w:val="21"/>
          <w:highlight w:val="none"/>
          <w:lang w:val="en-US" w:eastAsia="zh-CN"/>
        </w:rPr>
        <w:t xml:space="preserve">喻江贤、黄博、邓鑫、陈静、钱岩、李竹俊、李明祥、孔娇、钱宇 </w:t>
      </w:r>
    </w:p>
    <w:p w14:paraId="19AA7924">
      <w:pPr>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olor w:val="auto"/>
          <w:szCs w:val="21"/>
          <w:highlight w:val="none"/>
        </w:rPr>
        <w:t>电</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话：</w:t>
      </w:r>
      <w:r>
        <w:rPr>
          <w:rFonts w:hint="eastAsia" w:ascii="宋体" w:hAnsi="宋体" w:cs="宋体"/>
          <w:color w:val="auto"/>
          <w:szCs w:val="21"/>
          <w:highlight w:val="none"/>
          <w:lang w:eastAsia="zh-CN"/>
        </w:rPr>
        <w:t>13698776748（座机）</w:t>
      </w:r>
      <w:r>
        <w:rPr>
          <w:rFonts w:hint="eastAsia" w:ascii="宋体" w:hAnsi="宋体" w:cs="宋体"/>
          <w:color w:val="auto"/>
          <w:szCs w:val="21"/>
          <w:highlight w:val="none"/>
          <w:lang w:val="en-US" w:eastAsia="zh-CN"/>
        </w:rPr>
        <w:t xml:space="preserve">  </w:t>
      </w:r>
    </w:p>
    <w:bookmarkEnd w:id="6"/>
    <w:bookmarkEnd w:id="7"/>
    <w:bookmarkEnd w:id="8"/>
    <w:bookmarkEnd w:id="9"/>
    <w:p w14:paraId="31D9AF83">
      <w:pPr>
        <w:spacing w:line="360" w:lineRule="auto"/>
        <w:ind w:firstLine="420" w:firstLineChars="200"/>
        <w:rPr>
          <w:rFonts w:hint="eastAsia" w:ascii="宋体" w:hAnsi="宋体" w:cs="宋体"/>
          <w:color w:val="auto"/>
          <w:szCs w:val="21"/>
          <w:highlight w:val="none"/>
        </w:rPr>
      </w:pPr>
      <w:bookmarkStart w:id="51" w:name="_Toc27597"/>
    </w:p>
    <w:p w14:paraId="072F0A16">
      <w:pPr>
        <w:rPr>
          <w:rFonts w:hint="eastAsia" w:ascii="宋体" w:hAnsi="宋体" w:cs="宋体"/>
          <w:color w:val="auto"/>
          <w:sz w:val="32"/>
          <w:szCs w:val="32"/>
          <w:highlight w:val="none"/>
        </w:rPr>
      </w:pPr>
      <w:bookmarkStart w:id="52" w:name="_Toc25750"/>
      <w:r>
        <w:rPr>
          <w:rFonts w:hint="eastAsia" w:ascii="宋体" w:hAnsi="宋体" w:cs="宋体"/>
          <w:color w:val="auto"/>
          <w:sz w:val="32"/>
          <w:szCs w:val="32"/>
          <w:highlight w:val="none"/>
        </w:rPr>
        <w:br w:type="page"/>
      </w:r>
    </w:p>
    <w:p w14:paraId="32A2AB23">
      <w:pPr>
        <w:pStyle w:val="3"/>
        <w:tabs>
          <w:tab w:val="left" w:pos="0"/>
        </w:tabs>
        <w:autoSpaceDE w:val="0"/>
        <w:autoSpaceDN w:val="0"/>
        <w:adjustRightInd w:val="0"/>
        <w:spacing w:before="0" w:after="0" w:line="360" w:lineRule="auto"/>
        <w:jc w:val="center"/>
        <w:rPr>
          <w:rFonts w:hint="eastAsia" w:ascii="宋体" w:hAnsi="宋体" w:cs="宋体"/>
          <w:color w:val="auto"/>
          <w:sz w:val="32"/>
          <w:szCs w:val="32"/>
          <w:highlight w:val="none"/>
        </w:rPr>
      </w:pPr>
      <w:bookmarkStart w:id="53" w:name="_Toc2344"/>
      <w:r>
        <w:rPr>
          <w:rFonts w:hint="eastAsia" w:ascii="宋体" w:hAnsi="宋体" w:cs="宋体"/>
          <w:color w:val="auto"/>
          <w:sz w:val="32"/>
          <w:szCs w:val="32"/>
          <w:highlight w:val="none"/>
        </w:rPr>
        <w:t>第二章 供应商须知</w:t>
      </w:r>
      <w:bookmarkEnd w:id="10"/>
      <w:bookmarkEnd w:id="11"/>
      <w:bookmarkEnd w:id="12"/>
      <w:bookmarkEnd w:id="51"/>
      <w:bookmarkEnd w:id="52"/>
      <w:bookmarkEnd w:id="53"/>
    </w:p>
    <w:p w14:paraId="258C1996">
      <w:pPr>
        <w:pStyle w:val="528"/>
        <w:spacing w:line="360" w:lineRule="auto"/>
        <w:jc w:val="center"/>
        <w:rPr>
          <w:rFonts w:hint="eastAsia" w:ascii="宋体" w:hAnsi="宋体" w:eastAsia="宋体"/>
          <w:b/>
          <w:color w:val="auto"/>
          <w:highlight w:val="none"/>
        </w:rPr>
      </w:pPr>
      <w:bookmarkStart w:id="54" w:name="_Toc30117"/>
      <w:bookmarkStart w:id="55" w:name="_Toc30301"/>
      <w:r>
        <w:rPr>
          <w:rFonts w:hint="eastAsia" w:ascii="宋体" w:hAnsi="宋体" w:eastAsia="宋体"/>
          <w:b/>
          <w:color w:val="auto"/>
          <w:highlight w:val="none"/>
        </w:rPr>
        <w:t>供应商须知前附表</w:t>
      </w:r>
      <w:bookmarkEnd w:id="54"/>
      <w:bookmarkEnd w:id="55"/>
    </w:p>
    <w:tbl>
      <w:tblPr>
        <w:tblStyle w:val="50"/>
        <w:tblW w:w="9956" w:type="dxa"/>
        <w:jc w:val="center"/>
        <w:tblLayout w:type="fixed"/>
        <w:tblCellMar>
          <w:top w:w="0" w:type="dxa"/>
          <w:left w:w="108" w:type="dxa"/>
          <w:bottom w:w="0" w:type="dxa"/>
          <w:right w:w="108" w:type="dxa"/>
        </w:tblCellMar>
      </w:tblPr>
      <w:tblGrid>
        <w:gridCol w:w="899"/>
        <w:gridCol w:w="2645"/>
        <w:gridCol w:w="6412"/>
      </w:tblGrid>
      <w:tr w14:paraId="5F974807">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ABE47F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bookmarkStart w:id="56" w:name="_Toc465778780"/>
            <w:bookmarkStart w:id="57" w:name="_Toc509841289"/>
            <w:bookmarkStart w:id="58" w:name="_Toc466623376"/>
            <w:bookmarkStart w:id="59" w:name="_Toc462068077"/>
            <w:bookmarkStart w:id="60" w:name="_Toc144974496"/>
            <w:bookmarkStart w:id="61" w:name="_Toc152045528"/>
            <w:bookmarkStart w:id="62" w:name="_Toc152042304"/>
            <w:bookmarkStart w:id="63" w:name="_Toc462068361"/>
            <w:bookmarkStart w:id="64" w:name="_Toc8419"/>
            <w:r>
              <w:rPr>
                <w:rFonts w:hint="default" w:ascii="宋体" w:hAnsi="宋体"/>
                <w:b/>
                <w:color w:val="auto"/>
                <w:szCs w:val="21"/>
                <w:highlight w:val="none"/>
              </w:rPr>
              <w:t>条款号</w:t>
            </w:r>
          </w:p>
        </w:tc>
        <w:tc>
          <w:tcPr>
            <w:tcW w:w="2645" w:type="dxa"/>
            <w:tcBorders>
              <w:top w:val="single" w:color="auto" w:sz="4" w:space="0"/>
              <w:left w:val="single" w:color="auto" w:sz="4" w:space="0"/>
              <w:bottom w:val="single" w:color="auto" w:sz="4" w:space="0"/>
              <w:right w:val="single" w:color="auto" w:sz="4" w:space="0"/>
            </w:tcBorders>
            <w:vAlign w:val="center"/>
          </w:tcPr>
          <w:p w14:paraId="40DC8D1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条  款  名  称</w:t>
            </w:r>
          </w:p>
        </w:tc>
        <w:tc>
          <w:tcPr>
            <w:tcW w:w="6412" w:type="dxa"/>
            <w:tcBorders>
              <w:top w:val="single" w:color="auto" w:sz="4" w:space="0"/>
              <w:left w:val="single" w:color="auto" w:sz="4" w:space="0"/>
              <w:bottom w:val="single" w:color="auto" w:sz="4" w:space="0"/>
              <w:right w:val="single" w:color="auto" w:sz="4" w:space="0"/>
            </w:tcBorders>
            <w:vAlign w:val="center"/>
          </w:tcPr>
          <w:p w14:paraId="681DF04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编  列  内  容</w:t>
            </w:r>
          </w:p>
        </w:tc>
      </w:tr>
      <w:tr w14:paraId="1A34DFDC">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49B320E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1.1.2</w:t>
            </w:r>
          </w:p>
        </w:tc>
        <w:tc>
          <w:tcPr>
            <w:tcW w:w="2645" w:type="dxa"/>
            <w:tcBorders>
              <w:top w:val="single" w:color="auto" w:sz="4" w:space="0"/>
              <w:left w:val="single" w:color="auto" w:sz="4" w:space="0"/>
              <w:bottom w:val="single" w:color="auto" w:sz="4" w:space="0"/>
              <w:right w:val="single" w:color="auto" w:sz="4" w:space="0"/>
            </w:tcBorders>
            <w:vAlign w:val="center"/>
          </w:tcPr>
          <w:p w14:paraId="7801975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采购人</w:t>
            </w:r>
          </w:p>
        </w:tc>
        <w:tc>
          <w:tcPr>
            <w:tcW w:w="6412" w:type="dxa"/>
            <w:tcBorders>
              <w:top w:val="single" w:color="auto" w:sz="4" w:space="0"/>
              <w:left w:val="single" w:color="auto" w:sz="4" w:space="0"/>
              <w:bottom w:val="single" w:color="auto" w:sz="4" w:space="0"/>
              <w:right w:val="single" w:color="auto" w:sz="4" w:space="0"/>
            </w:tcBorders>
            <w:vAlign w:val="center"/>
          </w:tcPr>
          <w:p w14:paraId="70175CCF">
            <w:pPr>
              <w:keepNext w:val="0"/>
              <w:keepLines w:val="0"/>
              <w:suppressLineNumbers w:val="0"/>
              <w:spacing w:before="0" w:beforeAutospacing="0" w:after="0" w:afterAutospacing="0" w:line="360" w:lineRule="auto"/>
              <w:ind w:left="0" w:right="0"/>
              <w:rPr>
                <w:rFonts w:hint="eastAsia" w:ascii="宋体" w:hAnsi="宋体" w:eastAsia="宋体"/>
                <w:color w:val="auto"/>
                <w:szCs w:val="21"/>
                <w:highlight w:val="none"/>
                <w:lang w:eastAsia="zh-CN"/>
              </w:rPr>
            </w:pPr>
            <w:r>
              <w:rPr>
                <w:rFonts w:hint="eastAsia" w:ascii="宋体" w:hAnsi="宋体"/>
                <w:color w:val="auto"/>
                <w:szCs w:val="21"/>
                <w:highlight w:val="none"/>
              </w:rPr>
              <w:t>采 购 人：</w:t>
            </w:r>
            <w:r>
              <w:rPr>
                <w:rFonts w:hint="eastAsia" w:ascii="宋体" w:hAnsi="宋体"/>
                <w:color w:val="auto"/>
                <w:szCs w:val="21"/>
                <w:highlight w:val="none"/>
                <w:lang w:eastAsia="zh-CN"/>
              </w:rPr>
              <w:t>昆明市东川区农业农村局</w:t>
            </w:r>
          </w:p>
          <w:p w14:paraId="37821CD1">
            <w:pPr>
              <w:keepNext w:val="0"/>
              <w:keepLines w:val="0"/>
              <w:suppressLineNumbers w:val="0"/>
              <w:spacing w:before="0" w:beforeAutospacing="0" w:after="0" w:afterAutospacing="0" w:line="360" w:lineRule="auto"/>
              <w:ind w:left="0" w:right="0"/>
              <w:rPr>
                <w:rFonts w:hint="eastAsia" w:ascii="宋体" w:hAnsi="宋体" w:eastAsia="宋体"/>
                <w:color w:val="auto"/>
                <w:szCs w:val="21"/>
                <w:highlight w:val="none"/>
                <w:lang w:eastAsia="zh-CN"/>
              </w:rPr>
            </w:pPr>
            <w:r>
              <w:rPr>
                <w:rFonts w:hint="eastAsia" w:ascii="宋体" w:hAnsi="宋体"/>
                <w:color w:val="auto"/>
                <w:szCs w:val="21"/>
                <w:highlight w:val="none"/>
              </w:rPr>
              <w:t>地    址：</w:t>
            </w:r>
            <w:r>
              <w:rPr>
                <w:rFonts w:hint="eastAsia" w:ascii="宋体" w:hAnsi="宋体"/>
                <w:color w:val="auto"/>
                <w:szCs w:val="21"/>
                <w:highlight w:val="none"/>
                <w:lang w:eastAsia="zh-CN"/>
              </w:rPr>
              <w:t>昆明市东川区白云街1号</w:t>
            </w:r>
          </w:p>
          <w:p w14:paraId="19F9AB7F">
            <w:pPr>
              <w:keepNext w:val="0"/>
              <w:keepLines w:val="0"/>
              <w:suppressLineNumbers w:val="0"/>
              <w:spacing w:before="0" w:beforeAutospacing="0" w:after="0" w:afterAutospacing="0" w:line="360" w:lineRule="auto"/>
              <w:ind w:left="0" w:right="0"/>
              <w:rPr>
                <w:rFonts w:hint="eastAsia" w:ascii="宋体" w:hAnsi="宋体" w:eastAsia="宋体"/>
                <w:color w:val="auto"/>
                <w:szCs w:val="21"/>
                <w:highlight w:val="none"/>
                <w:lang w:eastAsia="zh-CN"/>
              </w:rPr>
            </w:pPr>
            <w:r>
              <w:rPr>
                <w:rFonts w:hint="eastAsia" w:ascii="宋体" w:hAnsi="宋体"/>
                <w:color w:val="auto"/>
                <w:szCs w:val="21"/>
                <w:highlight w:val="none"/>
              </w:rPr>
              <w:t>电    话：</w:t>
            </w:r>
            <w:r>
              <w:rPr>
                <w:rFonts w:hint="eastAsia" w:ascii="宋体" w:hAnsi="宋体" w:cs="宋体"/>
                <w:color w:val="auto"/>
                <w:szCs w:val="21"/>
                <w:highlight w:val="none"/>
                <w:lang w:eastAsia="zh-CN"/>
              </w:rPr>
              <w:t>0871-621</w:t>
            </w:r>
            <w:r>
              <w:rPr>
                <w:rFonts w:hint="eastAsia" w:ascii="宋体" w:hAnsi="宋体" w:cs="宋体"/>
                <w:color w:val="auto"/>
                <w:szCs w:val="21"/>
                <w:highlight w:val="none"/>
                <w:lang w:val="en-US" w:eastAsia="zh-CN"/>
              </w:rPr>
              <w:t>25444</w:t>
            </w:r>
          </w:p>
          <w:p w14:paraId="63BB79EF">
            <w:pPr>
              <w:keepNext w:val="0"/>
              <w:keepLines w:val="0"/>
              <w:suppressLineNumbers w:val="0"/>
              <w:spacing w:before="0" w:beforeAutospacing="0" w:after="0" w:afterAutospacing="0" w:line="360" w:lineRule="auto"/>
              <w:ind w:left="0" w:right="0"/>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t>联 系 人：</w:t>
            </w:r>
            <w:r>
              <w:rPr>
                <w:rFonts w:hint="eastAsia" w:ascii="宋体" w:hAnsi="宋体"/>
                <w:color w:val="auto"/>
                <w:szCs w:val="21"/>
                <w:highlight w:val="none"/>
                <w:lang w:val="en-US" w:eastAsia="zh-CN"/>
              </w:rPr>
              <w:t>陈老师</w:t>
            </w:r>
          </w:p>
        </w:tc>
      </w:tr>
      <w:tr w14:paraId="50298F24">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797CC1A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1.1.3</w:t>
            </w:r>
          </w:p>
        </w:tc>
        <w:tc>
          <w:tcPr>
            <w:tcW w:w="2645" w:type="dxa"/>
            <w:tcBorders>
              <w:top w:val="single" w:color="auto" w:sz="4" w:space="0"/>
              <w:left w:val="single" w:color="auto" w:sz="4" w:space="0"/>
              <w:bottom w:val="single" w:color="auto" w:sz="4" w:space="0"/>
              <w:right w:val="single" w:color="auto" w:sz="4" w:space="0"/>
            </w:tcBorders>
            <w:vAlign w:val="center"/>
          </w:tcPr>
          <w:p w14:paraId="421E0F7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代理机构</w:t>
            </w:r>
          </w:p>
        </w:tc>
        <w:tc>
          <w:tcPr>
            <w:tcW w:w="6412" w:type="dxa"/>
            <w:tcBorders>
              <w:top w:val="single" w:color="auto" w:sz="4" w:space="0"/>
              <w:left w:val="single" w:color="auto" w:sz="4" w:space="0"/>
              <w:bottom w:val="single" w:color="auto" w:sz="4" w:space="0"/>
              <w:right w:val="single" w:color="auto" w:sz="4" w:space="0"/>
            </w:tcBorders>
            <w:vAlign w:val="center"/>
          </w:tcPr>
          <w:p w14:paraId="164516F0">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代理机构：</w:t>
            </w:r>
            <w:r>
              <w:rPr>
                <w:rFonts w:hint="eastAsia" w:ascii="宋体" w:hAnsi="宋体"/>
                <w:color w:val="auto"/>
                <w:szCs w:val="21"/>
                <w:highlight w:val="none"/>
                <w:lang w:eastAsia="zh-CN"/>
              </w:rPr>
              <w:t>屿投咨询（云南）股份有限公司</w:t>
            </w:r>
          </w:p>
          <w:p w14:paraId="738DB79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地    址：昆明市西山区日新中路润城第一大道D栋6层</w:t>
            </w:r>
          </w:p>
          <w:p w14:paraId="1EC859B2">
            <w:pPr>
              <w:keepNext w:val="0"/>
              <w:keepLines w:val="0"/>
              <w:suppressLineNumbers w:val="0"/>
              <w:spacing w:before="0" w:beforeAutospacing="0" w:after="0" w:afterAutospacing="0" w:line="360" w:lineRule="auto"/>
              <w:ind w:left="0" w:right="0"/>
              <w:rPr>
                <w:rFonts w:hint="eastAsia" w:ascii="宋体" w:hAnsi="宋体" w:cs="宋体"/>
                <w:color w:val="auto"/>
                <w:highlight w:val="none"/>
              </w:rPr>
            </w:pPr>
            <w:r>
              <w:rPr>
                <w:rFonts w:hint="eastAsia" w:ascii="宋体" w:hAnsi="宋体" w:cs="宋体"/>
                <w:color w:val="auto"/>
                <w:szCs w:val="21"/>
                <w:highlight w:val="none"/>
              </w:rPr>
              <w:t>电    话：13698776748（座机）</w:t>
            </w:r>
          </w:p>
          <w:p w14:paraId="0725CCAC">
            <w:pPr>
              <w:keepNext w:val="0"/>
              <w:keepLines w:val="0"/>
              <w:suppressLineNumbers w:val="0"/>
              <w:spacing w:before="0" w:beforeAutospacing="0" w:after="0" w:afterAutospacing="0" w:line="360" w:lineRule="auto"/>
              <w:ind w:left="0" w:right="0"/>
              <w:rPr>
                <w:rFonts w:hint="default"/>
                <w:bCs/>
                <w:color w:val="auto"/>
                <w:szCs w:val="21"/>
                <w:highlight w:val="none"/>
              </w:rPr>
            </w:pPr>
            <w:r>
              <w:rPr>
                <w:rFonts w:hint="eastAsia" w:ascii="宋体" w:hAnsi="宋体" w:cs="宋体"/>
                <w:color w:val="auto"/>
                <w:szCs w:val="21"/>
                <w:highlight w:val="none"/>
              </w:rPr>
              <w:t>联 系 人</w:t>
            </w:r>
            <w:bookmarkStart w:id="65" w:name="OLE_LINK1"/>
            <w:r>
              <w:rPr>
                <w:rFonts w:hint="eastAsia" w:ascii="宋体" w:hAnsi="宋体" w:cs="宋体"/>
                <w:color w:val="auto"/>
                <w:szCs w:val="21"/>
                <w:highlight w:val="none"/>
              </w:rPr>
              <w:t>：</w:t>
            </w:r>
            <w:bookmarkEnd w:id="65"/>
            <w:r>
              <w:rPr>
                <w:rFonts w:hint="eastAsia" w:ascii="宋体" w:hAnsi="宋体"/>
                <w:color w:val="auto"/>
                <w:szCs w:val="21"/>
                <w:highlight w:val="none"/>
                <w:lang w:val="en-US" w:eastAsia="zh-CN"/>
              </w:rPr>
              <w:t>喻江贤、黄博、邓鑫、陈静、钱岩、李竹俊、李明祥、孔娇、钱宇</w:t>
            </w:r>
          </w:p>
        </w:tc>
      </w:tr>
      <w:tr w14:paraId="3C312808">
        <w:tblPrEx>
          <w:tblCellMar>
            <w:top w:w="0" w:type="dxa"/>
            <w:left w:w="108" w:type="dxa"/>
            <w:bottom w:w="0" w:type="dxa"/>
            <w:right w:w="108" w:type="dxa"/>
          </w:tblCellMar>
        </w:tblPrEx>
        <w:trPr>
          <w:trHeight w:val="495"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65653BC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1.1.</w:t>
            </w:r>
            <w:r>
              <w:rPr>
                <w:rFonts w:hint="eastAsia" w:ascii="宋体" w:hAnsi="宋体"/>
                <w:color w:val="auto"/>
                <w:szCs w:val="21"/>
                <w:highlight w:val="none"/>
              </w:rPr>
              <w:t>4</w:t>
            </w:r>
          </w:p>
        </w:tc>
        <w:tc>
          <w:tcPr>
            <w:tcW w:w="2645" w:type="dxa"/>
            <w:tcBorders>
              <w:top w:val="single" w:color="auto" w:sz="4" w:space="0"/>
              <w:left w:val="single" w:color="auto" w:sz="4" w:space="0"/>
              <w:bottom w:val="single" w:color="auto" w:sz="4" w:space="0"/>
              <w:right w:val="single" w:color="auto" w:sz="4" w:space="0"/>
            </w:tcBorders>
            <w:vAlign w:val="center"/>
          </w:tcPr>
          <w:p w14:paraId="77B444F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项目名称</w:t>
            </w:r>
          </w:p>
        </w:tc>
        <w:tc>
          <w:tcPr>
            <w:tcW w:w="6412" w:type="dxa"/>
            <w:tcBorders>
              <w:top w:val="single" w:color="auto" w:sz="4" w:space="0"/>
              <w:left w:val="single" w:color="auto" w:sz="4" w:space="0"/>
              <w:bottom w:val="single" w:color="auto" w:sz="4" w:space="0"/>
              <w:right w:val="single" w:color="auto" w:sz="4" w:space="0"/>
            </w:tcBorders>
            <w:vAlign w:val="center"/>
          </w:tcPr>
          <w:p w14:paraId="59C6D6F4">
            <w:pPr>
              <w:keepNext w:val="0"/>
              <w:keepLines w:val="0"/>
              <w:suppressLineNumbers w:val="0"/>
              <w:adjustRightInd w:val="0"/>
              <w:spacing w:before="0" w:beforeAutospacing="0" w:after="0" w:afterAutospacing="0" w:line="360" w:lineRule="auto"/>
              <w:ind w:left="0" w:right="0"/>
              <w:textAlignment w:val="baseline"/>
              <w:rPr>
                <w:rFonts w:hint="eastAsia" w:eastAsia="宋体"/>
                <w:bCs/>
                <w:color w:val="auto"/>
                <w:szCs w:val="21"/>
                <w:highlight w:val="none"/>
                <w:lang w:eastAsia="zh-CN"/>
              </w:rPr>
            </w:pPr>
            <w:r>
              <w:rPr>
                <w:rFonts w:hint="eastAsia" w:ascii="宋体" w:hAnsi="宋体" w:cs="宋体"/>
                <w:bCs/>
                <w:color w:val="auto"/>
                <w:szCs w:val="21"/>
                <w:highlight w:val="none"/>
                <w:lang w:eastAsia="zh-CN"/>
              </w:rPr>
              <w:t>2026年度东川区高标准农田建设项目设计服务</w:t>
            </w:r>
          </w:p>
        </w:tc>
      </w:tr>
      <w:tr w14:paraId="38DACBE7">
        <w:tblPrEx>
          <w:tblCellMar>
            <w:top w:w="0" w:type="dxa"/>
            <w:left w:w="108" w:type="dxa"/>
            <w:bottom w:w="0" w:type="dxa"/>
            <w:right w:w="108" w:type="dxa"/>
          </w:tblCellMar>
        </w:tblPrEx>
        <w:trPr>
          <w:trHeight w:val="303"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44D9892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1.1.</w:t>
            </w:r>
            <w:r>
              <w:rPr>
                <w:rFonts w:hint="eastAsia" w:ascii="宋体" w:hAnsi="宋体"/>
                <w:color w:val="auto"/>
                <w:szCs w:val="21"/>
                <w:highlight w:val="none"/>
              </w:rPr>
              <w:t>5</w:t>
            </w:r>
          </w:p>
        </w:tc>
        <w:tc>
          <w:tcPr>
            <w:tcW w:w="2645" w:type="dxa"/>
            <w:tcBorders>
              <w:top w:val="single" w:color="auto" w:sz="4" w:space="0"/>
              <w:left w:val="single" w:color="auto" w:sz="4" w:space="0"/>
              <w:bottom w:val="single" w:color="auto" w:sz="4" w:space="0"/>
              <w:right w:val="single" w:color="auto" w:sz="4" w:space="0"/>
            </w:tcBorders>
            <w:vAlign w:val="center"/>
          </w:tcPr>
          <w:p w14:paraId="686EA91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服务地点</w:t>
            </w:r>
          </w:p>
        </w:tc>
        <w:tc>
          <w:tcPr>
            <w:tcW w:w="6412" w:type="dxa"/>
            <w:tcBorders>
              <w:top w:val="single" w:color="auto" w:sz="4" w:space="0"/>
              <w:left w:val="single" w:color="auto" w:sz="4" w:space="0"/>
              <w:bottom w:val="single" w:color="auto" w:sz="4" w:space="0"/>
              <w:right w:val="single" w:color="auto" w:sz="4" w:space="0"/>
            </w:tcBorders>
            <w:vAlign w:val="center"/>
          </w:tcPr>
          <w:p w14:paraId="785A3CC8">
            <w:pPr>
              <w:keepNext w:val="0"/>
              <w:keepLines w:val="0"/>
              <w:suppressLineNumbers w:val="0"/>
              <w:adjustRightInd w:val="0"/>
              <w:spacing w:before="0" w:beforeAutospacing="0" w:after="0" w:afterAutospacing="0" w:line="360" w:lineRule="auto"/>
              <w:ind w:left="0" w:right="0"/>
              <w:textAlignment w:val="baseline"/>
              <w:rPr>
                <w:rFonts w:hint="default" w:eastAsia="等线"/>
                <w:color w:val="auto"/>
                <w:highlight w:val="none"/>
                <w:lang w:val="en-US"/>
              </w:rPr>
            </w:pPr>
            <w:r>
              <w:rPr>
                <w:rFonts w:hint="eastAsia" w:ascii="宋体" w:hAnsi="宋体" w:cs="宋体"/>
                <w:color w:val="auto"/>
                <w:szCs w:val="21"/>
                <w:highlight w:val="none"/>
                <w:lang w:val="en-US" w:eastAsia="zh-CN"/>
              </w:rPr>
              <w:t>云南省昆明市东川区</w:t>
            </w:r>
          </w:p>
        </w:tc>
      </w:tr>
      <w:tr w14:paraId="2BFEEF32">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3CCD318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1.1.6</w:t>
            </w:r>
          </w:p>
        </w:tc>
        <w:tc>
          <w:tcPr>
            <w:tcW w:w="2645" w:type="dxa"/>
            <w:tcBorders>
              <w:top w:val="single" w:color="auto" w:sz="4" w:space="0"/>
              <w:left w:val="single" w:color="auto" w:sz="4" w:space="0"/>
              <w:bottom w:val="single" w:color="auto" w:sz="4" w:space="0"/>
              <w:right w:val="single" w:color="auto" w:sz="4" w:space="0"/>
            </w:tcBorders>
            <w:vAlign w:val="center"/>
          </w:tcPr>
          <w:p w14:paraId="26F14B34">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hAnsi="宋体"/>
                <w:color w:val="auto"/>
                <w:highlight w:val="none"/>
                <w:lang w:val="en-US" w:eastAsia="zh-CN"/>
              </w:rPr>
              <w:t>包件</w:t>
            </w:r>
            <w:r>
              <w:rPr>
                <w:rFonts w:hint="eastAsia" w:hAnsi="宋体"/>
                <w:color w:val="auto"/>
                <w:highlight w:val="none"/>
              </w:rPr>
              <w:t>划分</w:t>
            </w:r>
          </w:p>
        </w:tc>
        <w:tc>
          <w:tcPr>
            <w:tcW w:w="6412" w:type="dxa"/>
            <w:tcBorders>
              <w:top w:val="single" w:color="auto" w:sz="4" w:space="0"/>
              <w:left w:val="single" w:color="auto" w:sz="4" w:space="0"/>
              <w:bottom w:val="single" w:color="auto" w:sz="4" w:space="0"/>
              <w:right w:val="single" w:color="auto" w:sz="4" w:space="0"/>
            </w:tcBorders>
            <w:vAlign w:val="center"/>
          </w:tcPr>
          <w:p w14:paraId="11DED0DA">
            <w:pPr>
              <w:keepNext w:val="0"/>
              <w:keepLines w:val="0"/>
              <w:suppressLineNumbers w:val="0"/>
              <w:spacing w:before="0" w:beforeAutospacing="0" w:after="0" w:afterAutospacing="0" w:line="360" w:lineRule="auto"/>
              <w:ind w:left="0" w:right="0"/>
              <w:rPr>
                <w:rFonts w:hint="default" w:hAnsi="宋体" w:eastAsia="宋体"/>
                <w:color w:val="auto"/>
                <w:highlight w:val="none"/>
                <w:lang w:val="en-US" w:eastAsia="zh-CN"/>
              </w:rPr>
            </w:pPr>
            <w:r>
              <w:rPr>
                <w:rFonts w:hint="eastAsia" w:ascii="宋体" w:hAnsi="宋体" w:cs="宋体"/>
                <w:color w:val="auto"/>
                <w:szCs w:val="21"/>
                <w:highlight w:val="none"/>
                <w:lang w:val="en-US" w:eastAsia="zh-CN"/>
              </w:rPr>
              <w:t>本项目不划分包件</w:t>
            </w:r>
          </w:p>
        </w:tc>
      </w:tr>
      <w:tr w14:paraId="176240B5">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6E2B2D4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1.2.1</w:t>
            </w:r>
          </w:p>
        </w:tc>
        <w:tc>
          <w:tcPr>
            <w:tcW w:w="2645" w:type="dxa"/>
            <w:tcBorders>
              <w:top w:val="single" w:color="auto" w:sz="4" w:space="0"/>
              <w:left w:val="single" w:color="auto" w:sz="4" w:space="0"/>
              <w:bottom w:val="single" w:color="auto" w:sz="4" w:space="0"/>
              <w:right w:val="single" w:color="auto" w:sz="4" w:space="0"/>
            </w:tcBorders>
            <w:vAlign w:val="center"/>
          </w:tcPr>
          <w:p w14:paraId="0973D32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资金来源</w:t>
            </w:r>
          </w:p>
        </w:tc>
        <w:tc>
          <w:tcPr>
            <w:tcW w:w="6412" w:type="dxa"/>
            <w:tcBorders>
              <w:top w:val="single" w:color="auto" w:sz="4" w:space="0"/>
              <w:left w:val="single" w:color="auto" w:sz="4" w:space="0"/>
              <w:bottom w:val="single" w:color="auto" w:sz="4" w:space="0"/>
              <w:right w:val="single" w:color="auto" w:sz="4" w:space="0"/>
            </w:tcBorders>
            <w:vAlign w:val="center"/>
          </w:tcPr>
          <w:p w14:paraId="3B787661">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财政资金</w:t>
            </w:r>
          </w:p>
        </w:tc>
      </w:tr>
      <w:tr w14:paraId="2B16472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2F590E9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1.2.2</w:t>
            </w:r>
          </w:p>
        </w:tc>
        <w:tc>
          <w:tcPr>
            <w:tcW w:w="2645" w:type="dxa"/>
            <w:tcBorders>
              <w:top w:val="single" w:color="auto" w:sz="4" w:space="0"/>
              <w:left w:val="single" w:color="auto" w:sz="4" w:space="0"/>
              <w:bottom w:val="single" w:color="auto" w:sz="4" w:space="0"/>
              <w:right w:val="single" w:color="auto" w:sz="4" w:space="0"/>
            </w:tcBorders>
            <w:vAlign w:val="center"/>
          </w:tcPr>
          <w:p w14:paraId="0691582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出资比例</w:t>
            </w:r>
          </w:p>
        </w:tc>
        <w:tc>
          <w:tcPr>
            <w:tcW w:w="6412" w:type="dxa"/>
            <w:tcBorders>
              <w:top w:val="single" w:color="auto" w:sz="4" w:space="0"/>
              <w:left w:val="single" w:color="auto" w:sz="4" w:space="0"/>
              <w:bottom w:val="single" w:color="auto" w:sz="4" w:space="0"/>
              <w:right w:val="single" w:color="auto" w:sz="4" w:space="0"/>
            </w:tcBorders>
            <w:vAlign w:val="center"/>
          </w:tcPr>
          <w:p w14:paraId="10EE8FFB">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 xml:space="preserve">100% </w:t>
            </w:r>
          </w:p>
        </w:tc>
      </w:tr>
      <w:tr w14:paraId="1BE21504">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10B595F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1.2.</w:t>
            </w:r>
            <w:r>
              <w:rPr>
                <w:rFonts w:hint="eastAsia" w:ascii="宋体" w:hAnsi="宋体"/>
                <w:color w:val="auto"/>
                <w:szCs w:val="21"/>
                <w:highlight w:val="none"/>
              </w:rPr>
              <w:t>3</w:t>
            </w:r>
          </w:p>
        </w:tc>
        <w:tc>
          <w:tcPr>
            <w:tcW w:w="2645" w:type="dxa"/>
            <w:tcBorders>
              <w:top w:val="single" w:color="auto" w:sz="4" w:space="0"/>
              <w:left w:val="single" w:color="auto" w:sz="4" w:space="0"/>
              <w:bottom w:val="single" w:color="auto" w:sz="4" w:space="0"/>
              <w:right w:val="single" w:color="auto" w:sz="4" w:space="0"/>
            </w:tcBorders>
            <w:vAlign w:val="center"/>
          </w:tcPr>
          <w:p w14:paraId="2147E26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资格审查方式</w:t>
            </w:r>
          </w:p>
        </w:tc>
        <w:tc>
          <w:tcPr>
            <w:tcW w:w="6412" w:type="dxa"/>
            <w:tcBorders>
              <w:top w:val="single" w:color="auto" w:sz="4" w:space="0"/>
              <w:left w:val="single" w:color="auto" w:sz="4" w:space="0"/>
              <w:bottom w:val="single" w:color="auto" w:sz="4" w:space="0"/>
              <w:right w:val="single" w:color="auto" w:sz="4" w:space="0"/>
            </w:tcBorders>
            <w:vAlign w:val="center"/>
          </w:tcPr>
          <w:p w14:paraId="5DC64F6E">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资格后审</w:t>
            </w:r>
          </w:p>
        </w:tc>
      </w:tr>
      <w:tr w14:paraId="45F11A35">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4B4CFD1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w:t>
            </w:r>
            <w:r>
              <w:rPr>
                <w:rFonts w:hint="eastAsia" w:ascii="宋体" w:hAnsi="宋体"/>
                <w:color w:val="auto"/>
                <w:szCs w:val="21"/>
                <w:highlight w:val="none"/>
              </w:rPr>
              <w:t>3</w:t>
            </w:r>
            <w:r>
              <w:rPr>
                <w:rFonts w:hint="default" w:ascii="宋体" w:hAnsi="宋体"/>
                <w:color w:val="auto"/>
                <w:szCs w:val="21"/>
                <w:highlight w:val="none"/>
              </w:rPr>
              <w:t>.1</w:t>
            </w:r>
          </w:p>
        </w:tc>
        <w:tc>
          <w:tcPr>
            <w:tcW w:w="2645" w:type="dxa"/>
            <w:tcBorders>
              <w:top w:val="single" w:color="auto" w:sz="4" w:space="0"/>
              <w:left w:val="single" w:color="auto" w:sz="4" w:space="0"/>
              <w:bottom w:val="single" w:color="auto" w:sz="4" w:space="0"/>
              <w:right w:val="single" w:color="auto" w:sz="4" w:space="0"/>
            </w:tcBorders>
            <w:vAlign w:val="center"/>
          </w:tcPr>
          <w:p w14:paraId="63953B02">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竞争性磋商范围</w:t>
            </w:r>
          </w:p>
        </w:tc>
        <w:tc>
          <w:tcPr>
            <w:tcW w:w="6412" w:type="dxa"/>
            <w:tcBorders>
              <w:top w:val="single" w:color="auto" w:sz="4" w:space="0"/>
              <w:left w:val="single" w:color="auto" w:sz="4" w:space="0"/>
              <w:bottom w:val="single" w:color="auto" w:sz="4" w:space="0"/>
              <w:right w:val="single" w:color="auto" w:sz="4" w:space="0"/>
            </w:tcBorders>
            <w:vAlign w:val="center"/>
          </w:tcPr>
          <w:p w14:paraId="6F05A0A7">
            <w:pPr>
              <w:keepNext w:val="0"/>
              <w:keepLines w:val="0"/>
              <w:suppressLineNumbers w:val="0"/>
              <w:spacing w:before="0" w:beforeAutospacing="0" w:after="0" w:afterAutospacing="0" w:line="360" w:lineRule="auto"/>
              <w:ind w:left="0" w:right="0"/>
              <w:rPr>
                <w:rFonts w:hint="default"/>
                <w:color w:val="auto"/>
                <w:szCs w:val="21"/>
                <w:highlight w:val="none"/>
              </w:rPr>
            </w:pPr>
            <w:r>
              <w:rPr>
                <w:rFonts w:hint="eastAsia" w:ascii="宋体" w:hAnsi="宋体" w:cs="宋体"/>
                <w:color w:val="auto"/>
                <w:szCs w:val="21"/>
                <w:highlight w:val="none"/>
              </w:rPr>
              <w:t>完成2026年度东川区高标准农田建设项目设计服务，包括但不限于完成本项目初步设计及初步设计概算编制工作、施工图设计工作，配合采购人取得初步设计批复或主管部门审核意见；施工图满足施工需要，成果资料须经采购人认可并通过专家评审，</w:t>
            </w:r>
            <w:r>
              <w:rPr>
                <w:rFonts w:hint="eastAsia" w:ascii="宋体" w:hAnsi="宋体" w:cs="宋体"/>
                <w:color w:val="auto"/>
                <w:szCs w:val="21"/>
                <w:highlight w:val="none"/>
                <w:lang w:val="en-US" w:eastAsia="zh-CN"/>
              </w:rPr>
              <w:t>完成</w:t>
            </w:r>
            <w:r>
              <w:rPr>
                <w:rFonts w:hint="eastAsia" w:ascii="宋体" w:hAnsi="宋体" w:cs="宋体"/>
                <w:color w:val="auto"/>
                <w:szCs w:val="21"/>
                <w:highlight w:val="none"/>
              </w:rPr>
              <w:t>高标准农田上图入库服务</w:t>
            </w:r>
            <w:r>
              <w:rPr>
                <w:rFonts w:hint="eastAsia" w:ascii="宋体" w:hAnsi="宋体" w:cs="宋体"/>
                <w:color w:val="auto"/>
                <w:szCs w:val="21"/>
                <w:highlight w:val="none"/>
                <w:lang w:eastAsia="zh-CN"/>
              </w:rPr>
              <w:t>，</w:t>
            </w:r>
            <w:r>
              <w:rPr>
                <w:rFonts w:hint="eastAsia" w:ascii="宋体" w:hAnsi="宋体" w:cs="宋体"/>
                <w:color w:val="auto"/>
                <w:szCs w:val="21"/>
                <w:highlight w:val="none"/>
              </w:rPr>
              <w:t>同时提供相关后续服务。最终以采购人实际委托为准。</w:t>
            </w:r>
          </w:p>
        </w:tc>
      </w:tr>
      <w:tr w14:paraId="1AA336CE">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4D8740B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1.3.2</w:t>
            </w:r>
          </w:p>
        </w:tc>
        <w:tc>
          <w:tcPr>
            <w:tcW w:w="2645" w:type="dxa"/>
            <w:tcBorders>
              <w:top w:val="single" w:color="auto" w:sz="4" w:space="0"/>
              <w:left w:val="single" w:color="auto" w:sz="4" w:space="0"/>
              <w:bottom w:val="single" w:color="auto" w:sz="4" w:space="0"/>
              <w:right w:val="single" w:color="auto" w:sz="4" w:space="0"/>
            </w:tcBorders>
            <w:vAlign w:val="center"/>
          </w:tcPr>
          <w:p w14:paraId="58C98D2F">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宋体" w:hAnsi="宋体"/>
                <w:color w:val="auto"/>
                <w:szCs w:val="21"/>
                <w:highlight w:val="none"/>
              </w:rPr>
              <w:t>合同履行期限</w:t>
            </w:r>
          </w:p>
        </w:tc>
        <w:tc>
          <w:tcPr>
            <w:tcW w:w="6412" w:type="dxa"/>
            <w:tcBorders>
              <w:top w:val="single" w:color="auto" w:sz="4" w:space="0"/>
              <w:left w:val="single" w:color="auto" w:sz="4" w:space="0"/>
              <w:bottom w:val="single" w:color="auto" w:sz="4" w:space="0"/>
              <w:right w:val="single" w:color="auto" w:sz="4" w:space="0"/>
            </w:tcBorders>
            <w:vAlign w:val="center"/>
          </w:tcPr>
          <w:p w14:paraId="473A1778">
            <w:pPr>
              <w:keepNext w:val="0"/>
              <w:keepLines w:val="0"/>
              <w:suppressLineNumbers w:val="0"/>
              <w:spacing w:before="0" w:beforeAutospacing="0" w:after="0" w:afterAutospacing="0" w:line="360" w:lineRule="auto"/>
              <w:ind w:left="0" w:right="0"/>
              <w:rPr>
                <w:rFonts w:hint="default"/>
                <w:color w:val="auto"/>
                <w:szCs w:val="21"/>
                <w:highlight w:val="none"/>
              </w:rPr>
            </w:pPr>
            <w:r>
              <w:rPr>
                <w:rFonts w:hint="eastAsia" w:ascii="宋体" w:hAnsi="宋体" w:eastAsia="宋体" w:cs="宋体"/>
                <w:color w:val="auto"/>
                <w:highlight w:val="none"/>
              </w:rPr>
              <w:t>自合同签订之日起至全部委托内容完成为止，具体以采购人下达的通知为准，并在采购人规定期限内完成本项目涉及的所有工作。</w:t>
            </w:r>
          </w:p>
        </w:tc>
      </w:tr>
      <w:tr w14:paraId="68D31BA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27A390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1.3.3</w:t>
            </w:r>
          </w:p>
        </w:tc>
        <w:tc>
          <w:tcPr>
            <w:tcW w:w="2645" w:type="dxa"/>
            <w:tcBorders>
              <w:top w:val="single" w:color="auto" w:sz="4" w:space="0"/>
              <w:left w:val="single" w:color="auto" w:sz="4" w:space="0"/>
              <w:bottom w:val="single" w:color="auto" w:sz="4" w:space="0"/>
              <w:right w:val="single" w:color="auto" w:sz="4" w:space="0"/>
            </w:tcBorders>
            <w:vAlign w:val="center"/>
          </w:tcPr>
          <w:p w14:paraId="25E9AFBC">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质量要求</w:t>
            </w:r>
          </w:p>
        </w:tc>
        <w:tc>
          <w:tcPr>
            <w:tcW w:w="6412" w:type="dxa"/>
            <w:tcBorders>
              <w:top w:val="single" w:color="auto" w:sz="4" w:space="0"/>
              <w:left w:val="single" w:color="auto" w:sz="4" w:space="0"/>
              <w:bottom w:val="single" w:color="auto" w:sz="4" w:space="0"/>
              <w:right w:val="single" w:color="auto" w:sz="4" w:space="0"/>
            </w:tcBorders>
            <w:vAlign w:val="center"/>
          </w:tcPr>
          <w:p w14:paraId="11078702">
            <w:pPr>
              <w:keepNext w:val="0"/>
              <w:keepLines w:val="0"/>
              <w:suppressLineNumbers w:val="0"/>
              <w:spacing w:before="0" w:beforeAutospacing="0" w:after="0" w:afterAutospacing="0" w:line="360" w:lineRule="auto"/>
              <w:ind w:left="0" w:right="0"/>
              <w:rPr>
                <w:rFonts w:hint="default"/>
                <w:color w:val="auto"/>
                <w:szCs w:val="21"/>
                <w:highlight w:val="none"/>
              </w:rPr>
            </w:pPr>
            <w:r>
              <w:rPr>
                <w:rFonts w:hint="eastAsia" w:ascii="宋体" w:hAnsi="宋体" w:cs="宋体"/>
                <w:color w:val="auto"/>
                <w:szCs w:val="21"/>
                <w:highlight w:val="none"/>
              </w:rPr>
              <w:t>符合国家、地方现行行业相关规范要求，确保成果资料完整、真实准确、清晰有据，满足采购人要求，对成果资料质量终身负责。</w:t>
            </w:r>
          </w:p>
        </w:tc>
      </w:tr>
      <w:tr w14:paraId="1DC0BB7B">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5D9FF1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1.4.1</w:t>
            </w:r>
          </w:p>
        </w:tc>
        <w:tc>
          <w:tcPr>
            <w:tcW w:w="2645" w:type="dxa"/>
            <w:tcBorders>
              <w:top w:val="single" w:color="auto" w:sz="4" w:space="0"/>
              <w:left w:val="single" w:color="auto" w:sz="4" w:space="0"/>
              <w:bottom w:val="single" w:color="auto" w:sz="4" w:space="0"/>
              <w:right w:val="single" w:color="auto" w:sz="4" w:space="0"/>
            </w:tcBorders>
            <w:vAlign w:val="center"/>
          </w:tcPr>
          <w:p w14:paraId="171CBCA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供应商资质条件、能力和信誉</w:t>
            </w:r>
          </w:p>
        </w:tc>
        <w:tc>
          <w:tcPr>
            <w:tcW w:w="6412" w:type="dxa"/>
            <w:tcBorders>
              <w:top w:val="single" w:color="auto" w:sz="4" w:space="0"/>
              <w:left w:val="single" w:color="auto" w:sz="4" w:space="0"/>
              <w:bottom w:val="single" w:color="auto" w:sz="4" w:space="0"/>
              <w:right w:val="single" w:color="auto" w:sz="4" w:space="0"/>
            </w:tcBorders>
            <w:vAlign w:val="center"/>
          </w:tcPr>
          <w:p w14:paraId="447E0039">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1、符合《中华人民共和国政府采购法》第二十二条规定的条件：</w:t>
            </w:r>
          </w:p>
          <w:p w14:paraId="30DB7555">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（1）具有独立承担民事责任的能力：供应商须具备法人或者其他组织的营业执照等证明文件；若为自然人的，须提供自然人的身份证明。</w:t>
            </w:r>
          </w:p>
          <w:p w14:paraId="6E31038F">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（2）具有良好的商业信誉和具有健全的财务会计制度：</w:t>
            </w:r>
          </w:p>
          <w:p w14:paraId="6962824D">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①具有良好的商业信誉：提供承诺书或声明函并加盖电子签章。</w:t>
            </w:r>
          </w:p>
          <w:p w14:paraId="032DBFD5">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②具有健全的财务会计制度</w:t>
            </w:r>
            <w:r>
              <w:rPr>
                <w:rFonts w:hint="eastAsia" w:ascii="宋体" w:hAnsi="宋体" w:cs="宋体"/>
                <w:color w:val="auto"/>
                <w:szCs w:val="21"/>
                <w:highlight w:val="none"/>
                <w:lang w:eastAsia="zh-CN"/>
              </w:rPr>
              <w:t>：</w:t>
            </w:r>
            <w:r>
              <w:rPr>
                <w:rFonts w:hint="eastAsia" w:ascii="宋体" w:hAnsi="宋体" w:cs="宋体"/>
                <w:color w:val="auto"/>
                <w:szCs w:val="21"/>
                <w:highlight w:val="none"/>
              </w:rPr>
              <w:t>提供2024年或2025年经审计的财务报告及报表[包括资产负债表、现金流量表、利润表及财务报表附注（或财务状况说明书）]扫描件【注：供应商若为事业单位的则不需提供利润表，审计报告须经“注册会计师行业统一监管平台（http://acc.mof.gov.cn）”备案赋码，未完成备案赋码的，视为无效文件】，或银行出具的资信证明，或财政部门认可的政府采购专业担保机构针对本项目出具的投标担保函。</w:t>
            </w:r>
          </w:p>
          <w:p w14:paraId="0D250B86">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（3）具有履行合同所必需的设备和专业技术能力：提供证明材料或声明函（声明函需加盖电子签章）。 </w:t>
            </w:r>
          </w:p>
          <w:p w14:paraId="6137CF8C">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（4）有依法缴纳税收和社会保障资金的良好记录：供应商须提供</w:t>
            </w:r>
            <w:r>
              <w:rPr>
                <w:rFonts w:hint="eastAsia" w:ascii="宋体" w:hAnsi="宋体" w:cs="宋体"/>
                <w:color w:val="auto"/>
                <w:szCs w:val="21"/>
                <w:highlight w:val="none"/>
                <w:lang w:val="en-US" w:eastAsia="zh-CN"/>
              </w:rPr>
              <w:t>2025年6月至</w:t>
            </w:r>
            <w:r>
              <w:rPr>
                <w:rFonts w:hint="eastAsia" w:ascii="宋体" w:hAnsi="宋体" w:cs="宋体"/>
                <w:color w:val="auto"/>
                <w:szCs w:val="21"/>
                <w:highlight w:val="none"/>
              </w:rPr>
              <w:t>本项目</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文件递交截止时间前任意时间段的纳税证明材料和社会保障资金证明材料；若依法免税或不需要缴纳社保资金的，应提供相应证明文件</w:t>
            </w:r>
            <w:r>
              <w:rPr>
                <w:rFonts w:hint="eastAsia" w:ascii="宋体" w:hAnsi="宋体" w:cs="宋体"/>
                <w:color w:val="auto"/>
                <w:szCs w:val="21"/>
                <w:highlight w:val="none"/>
                <w:lang w:val="en-US" w:eastAsia="zh-CN"/>
              </w:rPr>
              <w:t>证明</w:t>
            </w:r>
            <w:r>
              <w:rPr>
                <w:rFonts w:hint="eastAsia" w:ascii="宋体" w:hAnsi="宋体" w:cs="宋体"/>
                <w:color w:val="auto"/>
                <w:szCs w:val="21"/>
                <w:highlight w:val="none"/>
              </w:rPr>
              <w:t>其依法免税或不需要缴纳社会保障资金。</w:t>
            </w:r>
          </w:p>
          <w:p w14:paraId="352223B7">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5）参加政府采购活动前三年内，在经营活动中没有重大违法记录：提供供应商参与本次竞争性磋商活动的前三年内（以响应文件递交截止时间为准），在经营活动中没有重大违法记录的书面声明并加盖电子签章，否则其磋商按无效标处理。</w:t>
            </w:r>
          </w:p>
          <w:p w14:paraId="79C0E351">
            <w:pPr>
              <w:keepNext w:val="0"/>
              <w:keepLines w:val="0"/>
              <w:suppressLineNumbers w:val="0"/>
              <w:adjustRightInd w:val="0"/>
              <w:snapToGrid w:val="0"/>
              <w:spacing w:before="0" w:beforeAutospacing="0" w:after="0" w:afterAutospacing="0" w:line="360" w:lineRule="auto"/>
              <w:ind w:left="0" w:right="0"/>
              <w:rPr>
                <w:rFonts w:hint="eastAsia" w:ascii="宋体" w:hAnsi="宋体" w:cs="宋体"/>
                <w:color w:val="auto"/>
                <w:szCs w:val="21"/>
                <w:highlight w:val="none"/>
              </w:rPr>
            </w:pPr>
            <w:r>
              <w:rPr>
                <w:rFonts w:hint="eastAsia" w:hAnsi="宋体" w:cs="宋体"/>
                <w:color w:val="auto"/>
                <w:highlight w:val="none"/>
              </w:rPr>
              <w:t>（</w:t>
            </w:r>
            <w:r>
              <w:rPr>
                <w:rFonts w:hint="eastAsia" w:ascii="宋体" w:hAnsi="宋体" w:cs="宋体"/>
                <w:color w:val="auto"/>
                <w:szCs w:val="21"/>
                <w:highlight w:val="none"/>
              </w:rPr>
              <w:t>6）法律、行政法规规定的其他条件：</w:t>
            </w:r>
          </w:p>
          <w:p w14:paraId="77DD9155">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按照《财政部关于在政府采购活动中查询及使用信用记录有关问题的通知》(财库[2016]125号)的相关要求，采购人或采购代理机构在响应文件递交的截止时间后将对供应商的信用信息在“信用中国”网站（www.creditchina.gov.cn）及中国政府采购网（www.ccgp.gov.cn）上进行查询，并以截图方式存档，评标时由相关工作人员统一提供给项目磋商小组。信用信息使用规则：供应商如被列入“信用中国”网站（www.creditchina.gov.cn）失信被执行人（或失信惩戒人）或重大税收违法案件当事人名单的，或被列入中国政府采购网（www.ccgp.gov.cn）政府采购严重违法失信行为信息记录（被禁止在一定期限内参加政府采购活动，但期限届满的除外）名单的，不得参与本次竞争性磋商活动。</w:t>
            </w:r>
          </w:p>
          <w:p w14:paraId="388B5042">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rPr>
              <w:t>2、供应商须满足《中华人民共和国政府采购法实施条例》第十八条规定：单位负责人为同一人或者存在直接控股、管理关系的不同供应商，不得参加同一项目包的政府采购活动。除单一来源采购项目外，为采购项目提供整体设计、规范编制或者项目管理、监理、检测等服务的供应商，不得再参加该采购项目的其他采购活动。（提供承诺书或者证明材料）。</w:t>
            </w:r>
          </w:p>
          <w:p w14:paraId="0A1D7446">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落实政府采购政策需满足的资格要求：本项目专门面向中小企业采购，为落实《关于进一步加大政府采购支持中小企业力度的通知》（财库〔2022〕19号）、《政府采购促进中小企业发展管理办法》的通知财库〔2020〕46号；《关于政府采购支持监狱企业发展有关问题的通知》(财库[2014]68号)；《关于促进残疾人就业政府采购政策的通知》(财库[2017]141号)，参与采购项目的监狱、残疾人企业视同为小微企业。</w:t>
            </w:r>
            <w:r>
              <w:rPr>
                <w:rFonts w:hint="eastAsia" w:ascii="宋体" w:hAnsi="宋体" w:cs="宋体"/>
                <w:color w:val="auto"/>
                <w:szCs w:val="21"/>
                <w:highlight w:val="none"/>
                <w:lang w:eastAsia="zh-CN"/>
              </w:rPr>
              <w:t>供应商应提供中小企业声明函或残疾人福利性单位声明函或监狱企业证明。</w:t>
            </w:r>
          </w:p>
          <w:p w14:paraId="0C1CEE8E">
            <w:pPr>
              <w:keepNext w:val="0"/>
              <w:keepLines w:val="0"/>
              <w:suppressLineNumbers w:val="0"/>
              <w:spacing w:before="0" w:beforeAutospacing="0" w:after="0" w:afterAutospacing="0" w:line="360" w:lineRule="auto"/>
              <w:ind w:left="0" w:right="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、本项目的特定资格要求：</w:t>
            </w:r>
            <w:r>
              <w:rPr>
                <w:rFonts w:hint="eastAsia" w:ascii="宋体" w:hAnsi="宋体" w:cs="宋体"/>
                <w:color w:val="auto"/>
                <w:szCs w:val="21"/>
                <w:highlight w:val="none"/>
                <w:lang w:val="en-US" w:eastAsia="zh-CN"/>
              </w:rPr>
              <w:t>①供应商须具备主管部门核发的工程设计综合甲级资质，或水利行业设计丙级以上（含丙级）资质，或水利行业（灌溉排涝）专业设计丙级以上（含丙级）资质，或农林行业（农业工程）设计乙级以上（含乙级）资质，或农林行业（农业综合开发生态工程）专业设计乙级以上（含乙级）资质。</w:t>
            </w:r>
          </w:p>
          <w:p w14:paraId="369F69CC">
            <w:pPr>
              <w:keepNext w:val="0"/>
              <w:keepLines w:val="0"/>
              <w:suppressLineNumbers w:val="0"/>
              <w:spacing w:before="0" w:beforeAutospacing="0" w:after="0" w:afterAutospacing="0" w:line="360" w:lineRule="auto"/>
              <w:ind w:left="0" w:right="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②项目负责人：具备工程师或以上技术职称，拟派项目负责人应为供应商本单位人员，提供供应商为其购买的有效的社保证明或养老保险缴纳证明（退休人员除外）。</w:t>
            </w:r>
          </w:p>
        </w:tc>
      </w:tr>
      <w:tr w14:paraId="44C2F50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5E5173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1.4.2</w:t>
            </w:r>
          </w:p>
        </w:tc>
        <w:tc>
          <w:tcPr>
            <w:tcW w:w="2645" w:type="dxa"/>
            <w:tcBorders>
              <w:top w:val="single" w:color="auto" w:sz="4" w:space="0"/>
              <w:left w:val="single" w:color="auto" w:sz="4" w:space="0"/>
              <w:bottom w:val="single" w:color="auto" w:sz="4" w:space="0"/>
              <w:right w:val="single" w:color="auto" w:sz="4" w:space="0"/>
            </w:tcBorders>
            <w:vAlign w:val="center"/>
          </w:tcPr>
          <w:p w14:paraId="40B8F91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是否接受联合体</w:t>
            </w:r>
            <w:r>
              <w:rPr>
                <w:rFonts w:hint="eastAsia" w:ascii="宋体" w:hAnsi="宋体"/>
                <w:color w:val="auto"/>
                <w:szCs w:val="21"/>
                <w:highlight w:val="none"/>
              </w:rPr>
              <w:t>磋商</w:t>
            </w:r>
          </w:p>
        </w:tc>
        <w:tc>
          <w:tcPr>
            <w:tcW w:w="6412" w:type="dxa"/>
            <w:tcBorders>
              <w:top w:val="single" w:color="auto" w:sz="4" w:space="0"/>
              <w:left w:val="single" w:color="auto" w:sz="4" w:space="0"/>
              <w:bottom w:val="single" w:color="auto" w:sz="4" w:space="0"/>
              <w:right w:val="single" w:color="auto" w:sz="4" w:space="0"/>
            </w:tcBorders>
            <w:vAlign w:val="center"/>
          </w:tcPr>
          <w:p w14:paraId="6CB4DD89">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highlight w:val="none"/>
                <w:lang w:eastAsia="zh-CN"/>
              </w:rPr>
            </w:pPr>
            <w:r>
              <w:rPr>
                <w:rFonts w:hint="eastAsia" w:ascii="宋体" w:hAnsi="宋体"/>
                <w:color w:val="auto"/>
                <w:highlight w:val="none"/>
                <w:lang w:eastAsia="zh-CN"/>
              </w:rPr>
              <w:t>☑不接受</w:t>
            </w:r>
          </w:p>
          <w:p w14:paraId="0C8A9F83">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highlight w:val="none"/>
                <w:lang w:eastAsia="zh-CN"/>
              </w:rPr>
            </w:pPr>
            <w:r>
              <w:rPr>
                <w:rFonts w:hint="eastAsia" w:ascii="宋体" w:hAnsi="宋体"/>
                <w:color w:val="auto"/>
                <w:highlight w:val="none"/>
                <w:lang w:eastAsia="zh-CN"/>
              </w:rPr>
              <w:t>□接受，应满足下列要求：</w:t>
            </w:r>
          </w:p>
        </w:tc>
      </w:tr>
      <w:tr w14:paraId="2636C035">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6401F6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w:t>
            </w:r>
            <w:r>
              <w:rPr>
                <w:rFonts w:hint="eastAsia" w:ascii="宋体" w:hAnsi="宋体"/>
                <w:color w:val="auto"/>
                <w:szCs w:val="21"/>
                <w:highlight w:val="none"/>
              </w:rPr>
              <w:t>9</w:t>
            </w:r>
            <w:r>
              <w:rPr>
                <w:rFonts w:hint="default" w:ascii="宋体" w:hAnsi="宋体"/>
                <w:color w:val="auto"/>
                <w:szCs w:val="21"/>
                <w:highlight w:val="none"/>
              </w:rPr>
              <w:t>.1</w:t>
            </w:r>
          </w:p>
        </w:tc>
        <w:tc>
          <w:tcPr>
            <w:tcW w:w="2645" w:type="dxa"/>
            <w:tcBorders>
              <w:top w:val="single" w:color="auto" w:sz="4" w:space="0"/>
              <w:left w:val="single" w:color="auto" w:sz="4" w:space="0"/>
              <w:bottom w:val="single" w:color="auto" w:sz="4" w:space="0"/>
              <w:right w:val="single" w:color="auto" w:sz="4" w:space="0"/>
            </w:tcBorders>
            <w:vAlign w:val="center"/>
          </w:tcPr>
          <w:p w14:paraId="6500D1C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踏勘</w:t>
            </w:r>
            <w:r>
              <w:rPr>
                <w:rFonts w:hint="eastAsia" w:ascii="宋体" w:hAnsi="宋体"/>
                <w:color w:val="auto"/>
                <w:szCs w:val="21"/>
                <w:highlight w:val="none"/>
              </w:rPr>
              <w:t>现场</w:t>
            </w:r>
          </w:p>
        </w:tc>
        <w:tc>
          <w:tcPr>
            <w:tcW w:w="6412" w:type="dxa"/>
            <w:tcBorders>
              <w:top w:val="single" w:color="auto" w:sz="4" w:space="0"/>
              <w:left w:val="single" w:color="auto" w:sz="4" w:space="0"/>
              <w:bottom w:val="single" w:color="auto" w:sz="4" w:space="0"/>
              <w:right w:val="single" w:color="auto" w:sz="4" w:space="0"/>
            </w:tcBorders>
            <w:vAlign w:val="center"/>
          </w:tcPr>
          <w:p w14:paraId="6B7BF38A">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☑不组织</w:t>
            </w:r>
          </w:p>
          <w:p w14:paraId="0D3ADCD6">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default" w:ascii="宋体" w:hAnsi="宋体"/>
                <w:color w:val="auto"/>
                <w:szCs w:val="21"/>
                <w:highlight w:val="none"/>
              </w:rPr>
              <w:sym w:font="Wingdings 2" w:char="00A3"/>
            </w:r>
            <w:r>
              <w:rPr>
                <w:rFonts w:hint="eastAsia" w:ascii="宋体" w:hAnsi="宋体"/>
                <w:color w:val="auto"/>
                <w:szCs w:val="21"/>
                <w:highlight w:val="none"/>
              </w:rPr>
              <w:t>组织</w:t>
            </w:r>
          </w:p>
        </w:tc>
      </w:tr>
      <w:tr w14:paraId="24176B23">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1D78692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1.10.1</w:t>
            </w:r>
          </w:p>
        </w:tc>
        <w:tc>
          <w:tcPr>
            <w:tcW w:w="2645" w:type="dxa"/>
            <w:tcBorders>
              <w:top w:val="single" w:color="auto" w:sz="4" w:space="0"/>
              <w:left w:val="single" w:color="auto" w:sz="4" w:space="0"/>
              <w:bottom w:val="single" w:color="auto" w:sz="4" w:space="0"/>
              <w:right w:val="single" w:color="auto" w:sz="4" w:space="0"/>
            </w:tcBorders>
            <w:vAlign w:val="center"/>
          </w:tcPr>
          <w:p w14:paraId="2F66C3F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磋商预备会</w:t>
            </w:r>
          </w:p>
        </w:tc>
        <w:tc>
          <w:tcPr>
            <w:tcW w:w="6412" w:type="dxa"/>
            <w:tcBorders>
              <w:top w:val="single" w:color="auto" w:sz="4" w:space="0"/>
              <w:left w:val="single" w:color="auto" w:sz="4" w:space="0"/>
              <w:bottom w:val="single" w:color="auto" w:sz="4" w:space="0"/>
              <w:right w:val="single" w:color="auto" w:sz="4" w:space="0"/>
            </w:tcBorders>
            <w:vAlign w:val="center"/>
          </w:tcPr>
          <w:p w14:paraId="14791A40">
            <w:pPr>
              <w:keepNext w:val="0"/>
              <w:keepLines w:val="0"/>
              <w:suppressLineNumbers w:val="0"/>
              <w:spacing w:before="0" w:beforeAutospacing="0" w:after="0" w:afterAutospacing="0" w:line="360" w:lineRule="auto"/>
              <w:ind w:left="0" w:right="0"/>
              <w:rPr>
                <w:rFonts w:hint="eastAsia" w:hAnsi="宋体"/>
                <w:color w:val="auto"/>
                <w:szCs w:val="21"/>
                <w:highlight w:val="none"/>
              </w:rPr>
            </w:pPr>
            <w:r>
              <w:rPr>
                <w:rFonts w:hint="eastAsia" w:hAnsi="宋体"/>
                <w:color w:val="auto"/>
                <w:szCs w:val="21"/>
                <w:highlight w:val="none"/>
              </w:rPr>
              <w:t>☑不</w:t>
            </w:r>
            <w:r>
              <w:rPr>
                <w:rFonts w:hint="default" w:hAnsi="宋体"/>
                <w:color w:val="auto"/>
                <w:szCs w:val="21"/>
                <w:highlight w:val="none"/>
              </w:rPr>
              <w:t>召开</w:t>
            </w:r>
          </w:p>
          <w:p w14:paraId="04F0C738">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default" w:ascii="宋体" w:hAnsi="宋体"/>
                <w:color w:val="auto"/>
                <w:szCs w:val="21"/>
                <w:highlight w:val="none"/>
              </w:rPr>
              <w:t>□召开</w:t>
            </w:r>
          </w:p>
        </w:tc>
      </w:tr>
      <w:tr w14:paraId="275850D7">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4DA982A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1.1</w:t>
            </w:r>
            <w:r>
              <w:rPr>
                <w:rFonts w:hint="eastAsia" w:ascii="宋体" w:hAnsi="宋体"/>
                <w:color w:val="auto"/>
                <w:szCs w:val="21"/>
                <w:highlight w:val="none"/>
              </w:rPr>
              <w:t>1</w:t>
            </w:r>
          </w:p>
        </w:tc>
        <w:tc>
          <w:tcPr>
            <w:tcW w:w="2645" w:type="dxa"/>
            <w:tcBorders>
              <w:top w:val="single" w:color="auto" w:sz="4" w:space="0"/>
              <w:left w:val="single" w:color="auto" w:sz="4" w:space="0"/>
              <w:bottom w:val="single" w:color="auto" w:sz="4" w:space="0"/>
              <w:right w:val="single" w:color="auto" w:sz="4" w:space="0"/>
            </w:tcBorders>
            <w:vAlign w:val="center"/>
          </w:tcPr>
          <w:p w14:paraId="7B050F4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分包</w:t>
            </w:r>
          </w:p>
        </w:tc>
        <w:tc>
          <w:tcPr>
            <w:tcW w:w="6412" w:type="dxa"/>
            <w:tcBorders>
              <w:top w:val="single" w:color="auto" w:sz="4" w:space="0"/>
              <w:left w:val="single" w:color="auto" w:sz="4" w:space="0"/>
              <w:bottom w:val="single" w:color="auto" w:sz="4" w:space="0"/>
              <w:right w:val="single" w:color="auto" w:sz="4" w:space="0"/>
            </w:tcBorders>
            <w:vAlign w:val="center"/>
          </w:tcPr>
          <w:p w14:paraId="0C294C14">
            <w:pPr>
              <w:keepNext w:val="0"/>
              <w:keepLines w:val="0"/>
              <w:suppressLineNumbers w:val="0"/>
              <w:spacing w:before="0" w:beforeAutospacing="0" w:after="0" w:afterAutospacing="0" w:line="360" w:lineRule="auto"/>
              <w:ind w:left="0" w:right="0"/>
              <w:rPr>
                <w:rFonts w:hint="eastAsia" w:hAnsi="宋体"/>
                <w:color w:val="auto"/>
                <w:szCs w:val="21"/>
                <w:highlight w:val="none"/>
              </w:rPr>
            </w:pPr>
            <w:r>
              <w:rPr>
                <w:rFonts w:hint="eastAsia" w:ascii="宋体" w:hAnsi="宋体"/>
                <w:color w:val="auto"/>
                <w:szCs w:val="21"/>
                <w:highlight w:val="none"/>
              </w:rPr>
              <w:t>不允许分包</w:t>
            </w:r>
            <w:r>
              <w:rPr>
                <w:rFonts w:hint="default" w:ascii="宋体" w:hAnsi="宋体"/>
                <w:color w:val="auto"/>
                <w:szCs w:val="21"/>
                <w:highlight w:val="none"/>
              </w:rPr>
              <w:t>。</w:t>
            </w:r>
          </w:p>
        </w:tc>
      </w:tr>
      <w:tr w14:paraId="0772AF3B">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2221D1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1.12</w:t>
            </w:r>
          </w:p>
        </w:tc>
        <w:tc>
          <w:tcPr>
            <w:tcW w:w="2645" w:type="dxa"/>
            <w:tcBorders>
              <w:top w:val="single" w:color="auto" w:sz="4" w:space="0"/>
              <w:left w:val="single" w:color="auto" w:sz="4" w:space="0"/>
              <w:bottom w:val="single" w:color="auto" w:sz="4" w:space="0"/>
              <w:right w:val="single" w:color="auto" w:sz="4" w:space="0"/>
            </w:tcBorders>
            <w:vAlign w:val="center"/>
          </w:tcPr>
          <w:p w14:paraId="71C23AF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偏离</w:t>
            </w:r>
          </w:p>
        </w:tc>
        <w:tc>
          <w:tcPr>
            <w:tcW w:w="6412" w:type="dxa"/>
            <w:tcBorders>
              <w:top w:val="single" w:color="auto" w:sz="4" w:space="0"/>
              <w:left w:val="single" w:color="auto" w:sz="4" w:space="0"/>
              <w:bottom w:val="single" w:color="auto" w:sz="4" w:space="0"/>
              <w:right w:val="single" w:color="auto" w:sz="4" w:space="0"/>
            </w:tcBorders>
            <w:vAlign w:val="center"/>
          </w:tcPr>
          <w:p w14:paraId="435DFAFE">
            <w:pPr>
              <w:keepNext w:val="0"/>
              <w:keepLines w:val="0"/>
              <w:suppressLineNumbers w:val="0"/>
              <w:spacing w:before="0" w:beforeAutospacing="0" w:after="0" w:afterAutospacing="0" w:line="360" w:lineRule="auto"/>
              <w:ind w:left="0" w:right="0"/>
              <w:rPr>
                <w:rFonts w:hint="eastAsia" w:hAnsi="宋体"/>
                <w:color w:val="auto"/>
                <w:szCs w:val="21"/>
                <w:highlight w:val="none"/>
              </w:rPr>
            </w:pPr>
            <w:r>
              <w:rPr>
                <w:rFonts w:hint="eastAsia" w:ascii="宋体" w:hAnsi="宋体"/>
                <w:color w:val="auto"/>
                <w:szCs w:val="21"/>
                <w:highlight w:val="none"/>
              </w:rPr>
              <w:t>不允许偏离</w:t>
            </w:r>
            <w:r>
              <w:rPr>
                <w:rFonts w:hint="eastAsia" w:hAnsi="宋体"/>
                <w:color w:val="auto"/>
                <w:szCs w:val="21"/>
                <w:highlight w:val="none"/>
              </w:rPr>
              <w:t>。</w:t>
            </w:r>
          </w:p>
        </w:tc>
      </w:tr>
      <w:tr w14:paraId="34BED9E8">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55B90C7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2.1</w:t>
            </w:r>
          </w:p>
        </w:tc>
        <w:tc>
          <w:tcPr>
            <w:tcW w:w="2645" w:type="dxa"/>
            <w:tcBorders>
              <w:top w:val="single" w:color="auto" w:sz="4" w:space="0"/>
              <w:left w:val="single" w:color="auto" w:sz="4" w:space="0"/>
              <w:bottom w:val="single" w:color="auto" w:sz="4" w:space="0"/>
              <w:right w:val="single" w:color="auto" w:sz="4" w:space="0"/>
            </w:tcBorders>
            <w:vAlign w:val="center"/>
          </w:tcPr>
          <w:p w14:paraId="371F837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构成竞争性磋商文件的其他材料</w:t>
            </w:r>
          </w:p>
        </w:tc>
        <w:tc>
          <w:tcPr>
            <w:tcW w:w="6412" w:type="dxa"/>
            <w:tcBorders>
              <w:top w:val="single" w:color="auto" w:sz="4" w:space="0"/>
              <w:left w:val="single" w:color="auto" w:sz="4" w:space="0"/>
              <w:bottom w:val="single" w:color="auto" w:sz="4" w:space="0"/>
              <w:right w:val="single" w:color="auto" w:sz="4" w:space="0"/>
            </w:tcBorders>
            <w:vAlign w:val="center"/>
          </w:tcPr>
          <w:p w14:paraId="4F02AD4A">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详见须知2.1</w:t>
            </w:r>
          </w:p>
        </w:tc>
      </w:tr>
      <w:tr w14:paraId="077E51C2">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79270510">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eastAsia" w:ascii="宋体" w:hAnsi="宋体"/>
                <w:color w:val="auto"/>
                <w:szCs w:val="21"/>
                <w:highlight w:val="none"/>
              </w:rPr>
            </w:pPr>
            <w:r>
              <w:rPr>
                <w:rFonts w:hint="default" w:ascii="宋体" w:hAnsi="宋体" w:eastAsia="宋体"/>
                <w:color w:val="auto"/>
                <w:sz w:val="21"/>
                <w:szCs w:val="21"/>
                <w:highlight w:val="none"/>
              </w:rPr>
              <w:t>2.2.1</w:t>
            </w:r>
          </w:p>
        </w:tc>
        <w:tc>
          <w:tcPr>
            <w:tcW w:w="2645" w:type="dxa"/>
            <w:tcBorders>
              <w:top w:val="single" w:color="auto" w:sz="4" w:space="0"/>
              <w:left w:val="single" w:color="auto" w:sz="4" w:space="0"/>
              <w:bottom w:val="single" w:color="auto" w:sz="4" w:space="0"/>
              <w:right w:val="single" w:color="auto" w:sz="4" w:space="0"/>
            </w:tcBorders>
            <w:vAlign w:val="center"/>
          </w:tcPr>
          <w:p w14:paraId="68FA2CD3">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eastAsia" w:ascii="宋体" w:hAnsi="宋体"/>
                <w:color w:val="auto"/>
                <w:szCs w:val="21"/>
                <w:highlight w:val="none"/>
              </w:rPr>
            </w:pPr>
            <w:r>
              <w:rPr>
                <w:rFonts w:hint="default" w:ascii="宋体" w:hAnsi="宋体" w:eastAsia="宋体"/>
                <w:color w:val="auto"/>
                <w:sz w:val="21"/>
                <w:szCs w:val="21"/>
                <w:highlight w:val="none"/>
              </w:rPr>
              <w:t>供应商提出询问的方法</w:t>
            </w:r>
          </w:p>
        </w:tc>
        <w:tc>
          <w:tcPr>
            <w:tcW w:w="6412" w:type="dxa"/>
            <w:tcBorders>
              <w:top w:val="single" w:color="auto" w:sz="4" w:space="0"/>
              <w:left w:val="single" w:color="auto" w:sz="4" w:space="0"/>
              <w:bottom w:val="single" w:color="auto" w:sz="4" w:space="0"/>
              <w:right w:val="single" w:color="auto" w:sz="4" w:space="0"/>
            </w:tcBorders>
            <w:vAlign w:val="center"/>
          </w:tcPr>
          <w:p w14:paraId="609677C9">
            <w:pPr>
              <w:pStyle w:val="28"/>
              <w:keepNext w:val="0"/>
              <w:keepLines w:val="0"/>
              <w:suppressLineNumbers w:val="0"/>
              <w:spacing w:before="0" w:beforeLines="0" w:beforeAutospacing="0" w:after="0" w:afterLines="0" w:afterAutospacing="0" w:line="360" w:lineRule="auto"/>
              <w:ind w:left="0" w:right="0"/>
              <w:rPr>
                <w:rFonts w:hint="eastAsia" w:ascii="宋体" w:hAnsi="宋体"/>
                <w:color w:val="auto"/>
                <w:szCs w:val="21"/>
                <w:highlight w:val="none"/>
              </w:rPr>
            </w:pPr>
            <w:r>
              <w:rPr>
                <w:rFonts w:hint="default" w:hAnsi="Times New Roman"/>
                <w:color w:val="auto"/>
                <w:kern w:val="2"/>
                <w:sz w:val="21"/>
                <w:szCs w:val="24"/>
                <w:highlight w:val="none"/>
              </w:rPr>
              <w:t>供应商对政府采购活动事项有疑问的，可向采购人提出询问，所有获取了招标文件的潜在供应商登录“政采云”平台（http：//www.zcygov.cn），通过网络在线方式进行提问。采购人或采购代理机构在3个工作日内对潜在供应商依法提出的询问作出答复。</w:t>
            </w:r>
          </w:p>
        </w:tc>
      </w:tr>
      <w:tr w14:paraId="598FD3FB">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52C2A26C">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default" w:ascii="宋体" w:hAnsi="宋体"/>
                <w:color w:val="auto"/>
                <w:szCs w:val="21"/>
                <w:highlight w:val="none"/>
              </w:rPr>
            </w:pPr>
            <w:r>
              <w:rPr>
                <w:rFonts w:hint="default" w:ascii="宋体" w:hAnsi="宋体" w:eastAsia="宋体"/>
                <w:color w:val="auto"/>
                <w:sz w:val="21"/>
                <w:szCs w:val="24"/>
                <w:highlight w:val="none"/>
              </w:rPr>
              <w:t>2.2.2</w:t>
            </w:r>
          </w:p>
        </w:tc>
        <w:tc>
          <w:tcPr>
            <w:tcW w:w="2645" w:type="dxa"/>
            <w:tcBorders>
              <w:top w:val="single" w:color="auto" w:sz="4" w:space="0"/>
              <w:left w:val="single" w:color="auto" w:sz="4" w:space="0"/>
              <w:bottom w:val="single" w:color="auto" w:sz="4" w:space="0"/>
              <w:right w:val="single" w:color="auto" w:sz="4" w:space="0"/>
            </w:tcBorders>
            <w:vAlign w:val="center"/>
          </w:tcPr>
          <w:p w14:paraId="451334AE">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eastAsia" w:ascii="宋体" w:hAnsi="宋体"/>
                <w:color w:val="auto"/>
                <w:szCs w:val="21"/>
                <w:highlight w:val="none"/>
                <w:lang w:val="en-US" w:eastAsia="zh-CN"/>
              </w:rPr>
            </w:pPr>
            <w:r>
              <w:rPr>
                <w:rFonts w:hint="default" w:ascii="宋体" w:hAnsi="宋体" w:eastAsia="宋体" w:cs="宋体"/>
                <w:color w:val="auto"/>
                <w:sz w:val="21"/>
                <w:szCs w:val="21"/>
                <w:highlight w:val="none"/>
              </w:rPr>
              <w:t>澄清或修改的时间和方法</w:t>
            </w:r>
          </w:p>
        </w:tc>
        <w:tc>
          <w:tcPr>
            <w:tcW w:w="6412" w:type="dxa"/>
            <w:tcBorders>
              <w:top w:val="single" w:color="auto" w:sz="4" w:space="0"/>
              <w:left w:val="single" w:color="auto" w:sz="4" w:space="0"/>
              <w:bottom w:val="single" w:color="auto" w:sz="4" w:space="0"/>
              <w:right w:val="single" w:color="auto" w:sz="4" w:space="0"/>
            </w:tcBorders>
            <w:vAlign w:val="center"/>
          </w:tcPr>
          <w:p w14:paraId="245229E9">
            <w:pPr>
              <w:pStyle w:val="28"/>
              <w:keepNext w:val="0"/>
              <w:keepLines w:val="0"/>
              <w:suppressLineNumbers w:val="0"/>
              <w:spacing w:before="0" w:beforeLines="0" w:beforeAutospacing="0" w:after="0" w:afterLines="0" w:afterAutospacing="0" w:line="360" w:lineRule="auto"/>
              <w:ind w:left="0" w:right="0"/>
              <w:rPr>
                <w:rFonts w:hint="eastAsia" w:ascii="宋体" w:hAnsi="宋体"/>
                <w:color w:val="auto"/>
                <w:szCs w:val="21"/>
                <w:highlight w:val="none"/>
                <w:lang w:val="en-US" w:eastAsia="zh-CN"/>
              </w:rPr>
            </w:pPr>
            <w:r>
              <w:rPr>
                <w:rFonts w:hint="default" w:hAnsi="宋体" w:cs="宋体"/>
                <w:color w:val="auto"/>
                <w:kern w:val="2"/>
                <w:sz w:val="21"/>
                <w:szCs w:val="24"/>
                <w:highlight w:val="none"/>
              </w:rPr>
              <w:t>提交首次响应文件截止之日前，采购人、采购代理机构或者磋商小组可以对已发出的竞争性磋商文件进行必要的澄清或者修改，澄清或者修改的内容作为竞争性磋商文件的组成部分。澄清或者修改的内容可能影响响应文件编制的，采购人、采购代理机构在提交首次响应文件截止时间至少5日前，以书面形式通知所有获取竞争性磋商文件的供应商；不足5日的，采购人、采购代理机构应当顺延提交首次响应文件截止时间。</w:t>
            </w:r>
          </w:p>
        </w:tc>
      </w:tr>
      <w:tr w14:paraId="19B54305">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6CA8C147">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default" w:ascii="宋体" w:hAnsi="宋体"/>
                <w:color w:val="auto"/>
                <w:szCs w:val="21"/>
                <w:highlight w:val="none"/>
              </w:rPr>
            </w:pPr>
            <w:r>
              <w:rPr>
                <w:rFonts w:hint="default" w:ascii="宋体" w:hAnsi="宋体" w:eastAsia="宋体"/>
                <w:color w:val="auto"/>
                <w:sz w:val="21"/>
                <w:szCs w:val="24"/>
                <w:highlight w:val="none"/>
              </w:rPr>
              <w:t>2.2.3</w:t>
            </w:r>
          </w:p>
        </w:tc>
        <w:tc>
          <w:tcPr>
            <w:tcW w:w="2645" w:type="dxa"/>
            <w:tcBorders>
              <w:top w:val="single" w:color="auto" w:sz="4" w:space="0"/>
              <w:left w:val="single" w:color="auto" w:sz="4" w:space="0"/>
              <w:bottom w:val="single" w:color="auto" w:sz="4" w:space="0"/>
              <w:right w:val="single" w:color="auto" w:sz="4" w:space="0"/>
            </w:tcBorders>
            <w:vAlign w:val="center"/>
          </w:tcPr>
          <w:p w14:paraId="457D7118">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eastAsia" w:ascii="宋体" w:hAnsi="宋体"/>
                <w:color w:val="auto"/>
                <w:szCs w:val="21"/>
                <w:highlight w:val="none"/>
                <w:lang w:val="en-US" w:eastAsia="zh-CN"/>
              </w:rPr>
            </w:pPr>
            <w:r>
              <w:rPr>
                <w:rFonts w:hint="default" w:ascii="宋体" w:hAnsi="宋体" w:eastAsia="宋体" w:cs="宋体"/>
                <w:color w:val="auto"/>
                <w:sz w:val="21"/>
                <w:szCs w:val="21"/>
                <w:highlight w:val="none"/>
              </w:rPr>
              <w:t>澄清或修改的发布媒介</w:t>
            </w:r>
          </w:p>
        </w:tc>
        <w:tc>
          <w:tcPr>
            <w:tcW w:w="6412" w:type="dxa"/>
            <w:tcBorders>
              <w:top w:val="single" w:color="auto" w:sz="4" w:space="0"/>
              <w:left w:val="single" w:color="auto" w:sz="4" w:space="0"/>
              <w:bottom w:val="single" w:color="auto" w:sz="4" w:space="0"/>
              <w:right w:val="single" w:color="auto" w:sz="4" w:space="0"/>
            </w:tcBorders>
            <w:vAlign w:val="center"/>
          </w:tcPr>
          <w:p w14:paraId="36F22965">
            <w:pPr>
              <w:pStyle w:val="28"/>
              <w:keepNext w:val="0"/>
              <w:keepLines w:val="0"/>
              <w:suppressLineNumbers w:val="0"/>
              <w:spacing w:before="0" w:beforeLines="0" w:beforeAutospacing="0" w:after="0" w:afterLines="0" w:afterAutospacing="0" w:line="360" w:lineRule="auto"/>
              <w:ind w:left="0" w:right="0"/>
              <w:rPr>
                <w:rFonts w:hint="eastAsia" w:ascii="宋体" w:hAnsi="宋体"/>
                <w:color w:val="auto"/>
                <w:szCs w:val="21"/>
                <w:highlight w:val="none"/>
                <w:lang w:val="en-US" w:eastAsia="zh-CN"/>
              </w:rPr>
            </w:pPr>
            <w:r>
              <w:rPr>
                <w:rFonts w:hint="default" w:hAnsi="Times New Roman"/>
                <w:color w:val="auto"/>
                <w:kern w:val="2"/>
                <w:sz w:val="21"/>
                <w:szCs w:val="24"/>
                <w:highlight w:val="none"/>
              </w:rPr>
              <w:t>在云南省政府采购网（www.yngp.com）上发布。</w:t>
            </w:r>
          </w:p>
        </w:tc>
      </w:tr>
      <w:tr w14:paraId="1C8D4DC9">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3600970E">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default" w:ascii="宋体" w:hAnsi="宋体"/>
                <w:color w:val="auto"/>
                <w:szCs w:val="21"/>
                <w:highlight w:val="none"/>
              </w:rPr>
            </w:pPr>
            <w:r>
              <w:rPr>
                <w:rFonts w:hint="default" w:ascii="宋体" w:hAnsi="宋体" w:eastAsia="宋体"/>
                <w:color w:val="auto"/>
                <w:sz w:val="21"/>
                <w:szCs w:val="24"/>
                <w:highlight w:val="none"/>
              </w:rPr>
              <w:t>2.2.4</w:t>
            </w:r>
          </w:p>
        </w:tc>
        <w:tc>
          <w:tcPr>
            <w:tcW w:w="2645" w:type="dxa"/>
            <w:tcBorders>
              <w:top w:val="single" w:color="auto" w:sz="4" w:space="0"/>
              <w:left w:val="single" w:color="auto" w:sz="4" w:space="0"/>
              <w:bottom w:val="single" w:color="auto" w:sz="4" w:space="0"/>
              <w:right w:val="single" w:color="auto" w:sz="4" w:space="0"/>
            </w:tcBorders>
            <w:vAlign w:val="center"/>
          </w:tcPr>
          <w:p w14:paraId="7FEC4E66">
            <w:pPr>
              <w:keepNext w:val="0"/>
              <w:keepLines w:val="0"/>
              <w:suppressLineNumbers w:val="0"/>
              <w:adjustRightInd w:val="0"/>
              <w:spacing w:before="0" w:beforeLines="0" w:beforeAutospacing="0" w:after="0" w:afterLines="0" w:afterAutospacing="0" w:line="360" w:lineRule="auto"/>
              <w:ind w:left="0" w:right="0"/>
              <w:jc w:val="center"/>
              <w:textAlignment w:val="baseline"/>
              <w:rPr>
                <w:rFonts w:hint="eastAsia" w:ascii="宋体" w:hAnsi="宋体"/>
                <w:color w:val="auto"/>
                <w:szCs w:val="21"/>
                <w:highlight w:val="none"/>
                <w:lang w:val="en-US" w:eastAsia="zh-CN"/>
              </w:rPr>
            </w:pPr>
            <w:r>
              <w:rPr>
                <w:rFonts w:hint="default" w:ascii="宋体" w:hAnsi="宋体" w:eastAsia="宋体"/>
                <w:color w:val="auto"/>
                <w:sz w:val="21"/>
                <w:szCs w:val="21"/>
                <w:highlight w:val="none"/>
              </w:rPr>
              <w:t>供应商确认收到竞争性磋商文件澄清</w:t>
            </w:r>
            <w:r>
              <w:rPr>
                <w:rFonts w:hint="default" w:ascii="宋体" w:hAnsi="宋体" w:eastAsia="宋体"/>
                <w:color w:val="auto"/>
                <w:sz w:val="21"/>
                <w:szCs w:val="24"/>
                <w:highlight w:val="none"/>
              </w:rPr>
              <w:t>或修改</w:t>
            </w:r>
            <w:r>
              <w:rPr>
                <w:rFonts w:hint="default" w:ascii="宋体" w:hAnsi="宋体" w:eastAsia="宋体"/>
                <w:color w:val="auto"/>
                <w:sz w:val="21"/>
                <w:szCs w:val="21"/>
                <w:highlight w:val="none"/>
              </w:rPr>
              <w:t>的方式</w:t>
            </w:r>
          </w:p>
        </w:tc>
        <w:tc>
          <w:tcPr>
            <w:tcW w:w="6412" w:type="dxa"/>
            <w:tcBorders>
              <w:top w:val="single" w:color="auto" w:sz="4" w:space="0"/>
              <w:left w:val="single" w:color="auto" w:sz="4" w:space="0"/>
              <w:bottom w:val="single" w:color="auto" w:sz="4" w:space="0"/>
              <w:right w:val="single" w:color="auto" w:sz="4" w:space="0"/>
            </w:tcBorders>
            <w:vAlign w:val="center"/>
          </w:tcPr>
          <w:p w14:paraId="268C0109">
            <w:pPr>
              <w:keepNext w:val="0"/>
              <w:keepLines w:val="0"/>
              <w:suppressLineNumbers w:val="0"/>
              <w:adjustRightInd w:val="0"/>
              <w:spacing w:before="0" w:beforeLines="0" w:beforeAutospacing="0" w:after="0" w:afterLines="0" w:afterAutospacing="0" w:line="360" w:lineRule="auto"/>
              <w:ind w:left="0" w:right="0"/>
              <w:textAlignment w:val="baseline"/>
              <w:rPr>
                <w:rFonts w:hint="eastAsia" w:ascii="宋体" w:hAnsi="宋体"/>
                <w:color w:val="auto"/>
                <w:szCs w:val="21"/>
                <w:highlight w:val="none"/>
                <w:lang w:val="en-US" w:eastAsia="zh-CN"/>
              </w:rPr>
            </w:pPr>
            <w:r>
              <w:rPr>
                <w:rFonts w:hint="default" w:ascii="宋体" w:hAnsi="宋体" w:eastAsia="宋体"/>
                <w:color w:val="auto"/>
                <w:sz w:val="21"/>
                <w:szCs w:val="21"/>
                <w:highlight w:val="none"/>
              </w:rPr>
              <w:t>供应商自行登录原公告发布媒体上下载和查看，供应商无须回函确认。</w:t>
            </w:r>
          </w:p>
        </w:tc>
      </w:tr>
      <w:tr w14:paraId="62481D85">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10B9D6C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3.1</w:t>
            </w:r>
            <w:r>
              <w:rPr>
                <w:rFonts w:hint="eastAsia" w:ascii="宋体" w:hAnsi="宋体"/>
                <w:color w:val="auto"/>
                <w:szCs w:val="21"/>
                <w:highlight w:val="none"/>
              </w:rPr>
              <w:t>.1</w:t>
            </w:r>
          </w:p>
        </w:tc>
        <w:tc>
          <w:tcPr>
            <w:tcW w:w="2645" w:type="dxa"/>
            <w:tcBorders>
              <w:top w:val="single" w:color="auto" w:sz="4" w:space="0"/>
              <w:left w:val="single" w:color="auto" w:sz="4" w:space="0"/>
              <w:bottom w:val="single" w:color="auto" w:sz="4" w:space="0"/>
              <w:right w:val="single" w:color="auto" w:sz="4" w:space="0"/>
            </w:tcBorders>
            <w:vAlign w:val="center"/>
          </w:tcPr>
          <w:p w14:paraId="44712B1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构成响应文件的其他材料</w:t>
            </w:r>
          </w:p>
        </w:tc>
        <w:tc>
          <w:tcPr>
            <w:tcW w:w="6412" w:type="dxa"/>
            <w:tcBorders>
              <w:top w:val="single" w:color="auto" w:sz="4" w:space="0"/>
              <w:left w:val="single" w:color="auto" w:sz="4" w:space="0"/>
              <w:bottom w:val="single" w:color="auto" w:sz="4" w:space="0"/>
              <w:right w:val="single" w:color="auto" w:sz="4" w:space="0"/>
            </w:tcBorders>
            <w:vAlign w:val="center"/>
          </w:tcPr>
          <w:p w14:paraId="448FF8C9">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详见须知3.1</w:t>
            </w:r>
          </w:p>
        </w:tc>
      </w:tr>
      <w:tr w14:paraId="637F4BDD">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3A163BE">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color w:val="auto"/>
                <w:szCs w:val="21"/>
                <w:highlight w:val="none"/>
              </w:rPr>
            </w:pPr>
            <w:r>
              <w:rPr>
                <w:rFonts w:hint="default" w:ascii="宋体" w:hAnsi="宋体" w:cs="宋体"/>
                <w:color w:val="auto"/>
                <w:kern w:val="0"/>
                <w:szCs w:val="21"/>
                <w:highlight w:val="none"/>
              </w:rPr>
              <w:t>3.1.2</w:t>
            </w:r>
          </w:p>
        </w:tc>
        <w:tc>
          <w:tcPr>
            <w:tcW w:w="2645" w:type="dxa"/>
            <w:tcBorders>
              <w:top w:val="single" w:color="auto" w:sz="4" w:space="0"/>
              <w:left w:val="single" w:color="auto" w:sz="4" w:space="0"/>
              <w:bottom w:val="single" w:color="auto" w:sz="4" w:space="0"/>
              <w:right w:val="single" w:color="auto" w:sz="4" w:space="0"/>
            </w:tcBorders>
            <w:vAlign w:val="center"/>
          </w:tcPr>
          <w:p w14:paraId="617C1D21">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olor w:val="auto"/>
                <w:szCs w:val="21"/>
                <w:highlight w:val="none"/>
              </w:rPr>
            </w:pPr>
            <w:r>
              <w:rPr>
                <w:rFonts w:hint="eastAsia" w:ascii="宋体" w:hAnsi="宋体" w:cs="宋体"/>
                <w:color w:val="auto"/>
                <w:kern w:val="0"/>
                <w:szCs w:val="21"/>
                <w:highlight w:val="none"/>
              </w:rPr>
              <w:t>响应文件格式</w:t>
            </w:r>
          </w:p>
        </w:tc>
        <w:tc>
          <w:tcPr>
            <w:tcW w:w="6412" w:type="dxa"/>
            <w:tcBorders>
              <w:top w:val="single" w:color="auto" w:sz="4" w:space="0"/>
              <w:left w:val="single" w:color="auto" w:sz="4" w:space="0"/>
              <w:bottom w:val="single" w:color="auto" w:sz="4" w:space="0"/>
              <w:right w:val="single" w:color="auto" w:sz="4" w:space="0"/>
            </w:tcBorders>
          </w:tcPr>
          <w:p w14:paraId="71766229">
            <w:pPr>
              <w:keepNext w:val="0"/>
              <w:keepLines w:val="0"/>
              <w:suppressLineNumbers w:val="0"/>
              <w:autoSpaceDE w:val="0"/>
              <w:autoSpaceDN w:val="0"/>
              <w:adjustRightInd w:val="0"/>
              <w:spacing w:before="0" w:beforeAutospacing="0" w:after="0" w:afterAutospacing="0" w:line="360" w:lineRule="auto"/>
              <w:ind w:left="0" w:right="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1.响应文件电子版要求：按照本采购文件“第六章 响应文件部分格式”编写（第六章未附格式的，由供应商自行拟定），不可涂改并在规定加盖公章处加盖电子公章，否则响应文件按无效响应处理。</w:t>
            </w:r>
          </w:p>
          <w:p w14:paraId="65A0C3AA">
            <w:pPr>
              <w:keepNext w:val="0"/>
              <w:keepLines w:val="0"/>
              <w:suppressLineNumbers w:val="0"/>
              <w:autoSpaceDE w:val="0"/>
              <w:autoSpaceDN w:val="0"/>
              <w:adjustRightInd w:val="0"/>
              <w:spacing w:before="0" w:beforeAutospacing="0" w:after="0" w:afterAutospacing="0" w:line="360" w:lineRule="auto"/>
              <w:ind w:left="0" w:right="0"/>
              <w:jc w:val="left"/>
              <w:rPr>
                <w:rFonts w:hint="eastAsia" w:ascii="宋体" w:hAnsi="宋体"/>
                <w:color w:val="auto"/>
                <w:szCs w:val="21"/>
                <w:highlight w:val="none"/>
              </w:rPr>
            </w:pPr>
            <w:r>
              <w:rPr>
                <w:rFonts w:hint="eastAsia" w:ascii="宋体" w:hAnsi="宋体" w:cs="宋体"/>
                <w:color w:val="auto"/>
                <w:kern w:val="0"/>
                <w:szCs w:val="21"/>
                <w:highlight w:val="none"/>
              </w:rPr>
              <w:t>2.响应文件电子版密封方式：电子响应文件通过平台有效CA加密后在“政采云”平台投送。（操作方式见“政采云”平台中《政府采购项目电子交易管理操作指南-供应商》 ）</w:t>
            </w:r>
          </w:p>
        </w:tc>
      </w:tr>
      <w:tr w14:paraId="3B54C5EB">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258E47D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3.2.1</w:t>
            </w:r>
          </w:p>
        </w:tc>
        <w:tc>
          <w:tcPr>
            <w:tcW w:w="2645" w:type="dxa"/>
            <w:tcBorders>
              <w:top w:val="single" w:color="auto" w:sz="4" w:space="0"/>
              <w:left w:val="single" w:color="auto" w:sz="4" w:space="0"/>
              <w:bottom w:val="single" w:color="auto" w:sz="4" w:space="0"/>
              <w:right w:val="single" w:color="auto" w:sz="4" w:space="0"/>
            </w:tcBorders>
            <w:vAlign w:val="center"/>
          </w:tcPr>
          <w:p w14:paraId="5E669B7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磋商报价</w:t>
            </w:r>
          </w:p>
        </w:tc>
        <w:tc>
          <w:tcPr>
            <w:tcW w:w="6412" w:type="dxa"/>
            <w:tcBorders>
              <w:top w:val="single" w:color="auto" w:sz="4" w:space="0"/>
              <w:left w:val="single" w:color="auto" w:sz="4" w:space="0"/>
              <w:bottom w:val="single" w:color="auto" w:sz="4" w:space="0"/>
              <w:right w:val="single" w:color="auto" w:sz="4" w:space="0"/>
            </w:tcBorders>
            <w:vAlign w:val="center"/>
          </w:tcPr>
          <w:p w14:paraId="46DB720C">
            <w:pPr>
              <w:keepNext w:val="0"/>
              <w:keepLines w:val="0"/>
              <w:suppressLineNumbers w:val="0"/>
              <w:spacing w:before="0" w:beforeAutospacing="0" w:after="0" w:afterAutospacing="0" w:line="360" w:lineRule="auto"/>
              <w:ind w:left="0" w:right="0"/>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1、本项目采用含税包干价形式进行报价，供应商根据采购范围及采购需求，并依据市场竞争原则自行考虑完成本项目的所有费用。</w:t>
            </w:r>
          </w:p>
          <w:p w14:paraId="32CF7CB4">
            <w:pPr>
              <w:keepNext w:val="0"/>
              <w:keepLines w:val="0"/>
              <w:suppressLineNumbers w:val="0"/>
              <w:spacing w:before="0" w:beforeAutospacing="0" w:after="0" w:afterAutospacing="0" w:line="360" w:lineRule="auto"/>
              <w:ind w:left="0" w:right="0"/>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2、最高限价：含税包干总价最高限价为</w:t>
            </w:r>
            <w:r>
              <w:rPr>
                <w:rFonts w:hint="eastAsia" w:ascii="宋体" w:hAnsi="宋体" w:cs="宋体"/>
                <w:b/>
                <w:color w:val="auto"/>
                <w:kern w:val="0"/>
                <w:sz w:val="21"/>
                <w:szCs w:val="21"/>
                <w:highlight w:val="none"/>
                <w:lang w:val="en-US" w:eastAsia="zh-CN" w:bidi="ar-SA"/>
              </w:rPr>
              <w:t>262350</w:t>
            </w:r>
            <w:r>
              <w:rPr>
                <w:rFonts w:hint="eastAsia" w:ascii="宋体" w:hAnsi="宋体" w:eastAsia="宋体" w:cs="宋体"/>
                <w:b/>
                <w:color w:val="auto"/>
                <w:kern w:val="0"/>
                <w:sz w:val="21"/>
                <w:szCs w:val="21"/>
                <w:highlight w:val="none"/>
                <w:lang w:val="en-US" w:eastAsia="zh-CN" w:bidi="ar-SA"/>
              </w:rPr>
              <w:t>元，供应商报价不得超过此限价，否则为无效标。</w:t>
            </w:r>
          </w:p>
          <w:p w14:paraId="5E3F000C">
            <w:pPr>
              <w:keepNext w:val="0"/>
              <w:keepLines w:val="0"/>
              <w:numPr>
                <w:ilvl w:val="0"/>
                <w:numId w:val="0"/>
              </w:numPr>
              <w:suppressLineNumbers w:val="0"/>
              <w:spacing w:before="0" w:beforeAutospacing="0" w:after="0" w:afterAutospacing="0" w:line="360" w:lineRule="auto"/>
              <w:ind w:left="0" w:right="0" w:rightChars="0"/>
              <w:rPr>
                <w:rFonts w:hint="eastAsia" w:ascii="宋体" w:hAnsi="宋体" w:eastAsia="宋体" w:cs="宋体"/>
                <w:b/>
                <w:color w:val="auto"/>
                <w:kern w:val="0"/>
                <w:sz w:val="21"/>
                <w:szCs w:val="21"/>
                <w:highlight w:val="none"/>
                <w:lang w:val="en-US" w:eastAsia="zh-CN" w:bidi="ar-SA"/>
              </w:rPr>
            </w:pPr>
            <w:r>
              <w:rPr>
                <w:rFonts w:hint="eastAsia" w:ascii="宋体" w:hAnsi="宋体" w:cs="宋体"/>
                <w:b/>
                <w:color w:val="auto"/>
                <w:kern w:val="0"/>
                <w:sz w:val="21"/>
                <w:szCs w:val="21"/>
                <w:highlight w:val="none"/>
                <w:lang w:val="en-US" w:eastAsia="zh-CN" w:bidi="ar-SA"/>
              </w:rPr>
              <w:t>3、</w:t>
            </w:r>
            <w:r>
              <w:rPr>
                <w:rFonts w:hint="eastAsia" w:ascii="宋体" w:hAnsi="宋体" w:cs="宋体"/>
                <w:b/>
                <w:bCs/>
                <w:color w:val="auto"/>
                <w:kern w:val="0"/>
                <w:szCs w:val="21"/>
                <w:highlight w:val="none"/>
              </w:rPr>
              <w:t>本次磋商首次报价为响应文件中的报价，经过首次磋商后，供应商在规定的时间内进行磋商并提交最后报价。最后报价为成交价，成交价在合同履行期不得调整。</w:t>
            </w:r>
          </w:p>
          <w:p w14:paraId="3BB8CB1C">
            <w:pPr>
              <w:keepNext w:val="0"/>
              <w:keepLines w:val="0"/>
              <w:suppressLineNumbers w:val="0"/>
              <w:spacing w:before="0" w:beforeAutospacing="0" w:after="0" w:afterAutospacing="0" w:line="360" w:lineRule="auto"/>
              <w:ind w:left="0" w:right="0"/>
              <w:rPr>
                <w:rFonts w:hint="default" w:eastAsia="等线"/>
                <w:color w:val="auto"/>
                <w:highlight w:val="none"/>
              </w:rPr>
            </w:pPr>
            <w:r>
              <w:rPr>
                <w:rFonts w:hint="eastAsia" w:ascii="宋体" w:hAnsi="宋体" w:cs="宋体"/>
                <w:b/>
                <w:color w:val="auto"/>
                <w:kern w:val="0"/>
                <w:sz w:val="21"/>
                <w:szCs w:val="21"/>
                <w:highlight w:val="none"/>
                <w:lang w:val="en-US" w:eastAsia="zh-CN" w:bidi="ar-SA"/>
              </w:rPr>
              <w:t>4</w:t>
            </w:r>
            <w:r>
              <w:rPr>
                <w:rFonts w:hint="eastAsia" w:ascii="宋体" w:hAnsi="宋体" w:eastAsia="宋体" w:cs="宋体"/>
                <w:b/>
                <w:color w:val="auto"/>
                <w:kern w:val="0"/>
                <w:sz w:val="21"/>
                <w:szCs w:val="21"/>
                <w:highlight w:val="none"/>
                <w:lang w:val="en-US" w:eastAsia="zh-CN" w:bidi="ar-SA"/>
              </w:rPr>
              <w:t>、</w:t>
            </w:r>
            <w:r>
              <w:rPr>
                <w:rFonts w:hint="eastAsia" w:ascii="宋体" w:hAnsi="宋体" w:cs="宋体"/>
                <w:b/>
                <w:color w:val="auto"/>
                <w:kern w:val="0"/>
                <w:sz w:val="21"/>
                <w:szCs w:val="21"/>
                <w:highlight w:val="none"/>
                <w:lang w:val="en-US" w:eastAsia="zh-CN" w:bidi="ar-SA"/>
              </w:rPr>
              <w:t>磋商</w:t>
            </w:r>
            <w:r>
              <w:rPr>
                <w:rFonts w:hint="eastAsia" w:ascii="宋体" w:hAnsi="宋体" w:eastAsia="宋体" w:cs="宋体"/>
                <w:b/>
                <w:color w:val="auto"/>
                <w:kern w:val="0"/>
                <w:sz w:val="21"/>
                <w:szCs w:val="21"/>
                <w:highlight w:val="none"/>
                <w:lang w:val="en-US" w:eastAsia="zh-CN" w:bidi="ar-SA"/>
              </w:rPr>
              <w:t>报价须</w:t>
            </w:r>
            <w:r>
              <w:rPr>
                <w:rFonts w:hint="eastAsia" w:ascii="宋体" w:hAnsi="宋体" w:cs="宋体"/>
                <w:b/>
                <w:color w:val="auto"/>
                <w:kern w:val="0"/>
                <w:sz w:val="21"/>
                <w:szCs w:val="21"/>
                <w:highlight w:val="none"/>
                <w:lang w:val="en-US" w:eastAsia="zh-CN" w:bidi="ar-SA"/>
              </w:rPr>
              <w:t>包含</w:t>
            </w:r>
            <w:r>
              <w:rPr>
                <w:rFonts w:hint="eastAsia" w:ascii="宋体" w:hAnsi="宋体" w:eastAsia="宋体" w:cs="宋体"/>
                <w:b/>
                <w:color w:val="auto"/>
                <w:kern w:val="0"/>
                <w:sz w:val="21"/>
                <w:szCs w:val="21"/>
                <w:highlight w:val="none"/>
                <w:lang w:val="en-US" w:eastAsia="zh-CN" w:bidi="ar-SA"/>
              </w:rPr>
              <w:t>完成本项目所有工作内容</w:t>
            </w:r>
            <w:r>
              <w:rPr>
                <w:rFonts w:hint="eastAsia" w:ascii="宋体" w:hAnsi="宋体" w:cs="宋体"/>
                <w:b/>
                <w:color w:val="auto"/>
                <w:kern w:val="0"/>
                <w:sz w:val="21"/>
                <w:szCs w:val="21"/>
                <w:highlight w:val="none"/>
                <w:lang w:val="en-US" w:eastAsia="zh-CN" w:bidi="ar-SA"/>
              </w:rPr>
              <w:t>所需</w:t>
            </w:r>
            <w:r>
              <w:rPr>
                <w:rFonts w:hint="eastAsia" w:ascii="宋体" w:hAnsi="宋体" w:eastAsia="宋体" w:cs="宋体"/>
                <w:b/>
                <w:color w:val="auto"/>
                <w:kern w:val="0"/>
                <w:sz w:val="21"/>
                <w:szCs w:val="21"/>
                <w:highlight w:val="none"/>
                <w:lang w:val="en-US" w:eastAsia="zh-CN" w:bidi="ar-SA"/>
              </w:rPr>
              <w:t>的费用</w:t>
            </w:r>
            <w:r>
              <w:rPr>
                <w:rFonts w:hint="eastAsia" w:ascii="宋体" w:hAnsi="宋体" w:cs="宋体"/>
                <w:b/>
                <w:color w:val="auto"/>
                <w:kern w:val="0"/>
                <w:sz w:val="21"/>
                <w:szCs w:val="21"/>
                <w:highlight w:val="none"/>
                <w:lang w:val="en-US" w:eastAsia="zh-CN" w:bidi="ar-SA"/>
              </w:rPr>
              <w:t>，</w:t>
            </w:r>
            <w:r>
              <w:rPr>
                <w:rFonts w:hint="eastAsia" w:ascii="宋体" w:hAnsi="宋体" w:eastAsia="宋体" w:cs="宋体"/>
                <w:b/>
                <w:color w:val="auto"/>
                <w:kern w:val="0"/>
                <w:sz w:val="21"/>
                <w:szCs w:val="21"/>
                <w:highlight w:val="none"/>
                <w:lang w:val="en-US" w:eastAsia="zh-CN" w:bidi="ar-SA"/>
              </w:rPr>
              <w:t>包括但不限于：调研费、编制费、资料费</w:t>
            </w:r>
            <w:r>
              <w:rPr>
                <w:rFonts w:hint="eastAsia" w:ascii="宋体" w:hAnsi="宋体" w:cs="宋体"/>
                <w:b/>
                <w:color w:val="auto"/>
                <w:kern w:val="0"/>
                <w:sz w:val="21"/>
                <w:szCs w:val="21"/>
                <w:highlight w:val="none"/>
                <w:lang w:val="en-US" w:eastAsia="zh-CN" w:bidi="ar-SA"/>
              </w:rPr>
              <w:t>、专家评审费、</w:t>
            </w:r>
            <w:r>
              <w:rPr>
                <w:rFonts w:hint="eastAsia" w:ascii="宋体" w:hAnsi="宋体" w:eastAsia="宋体" w:cs="宋体"/>
                <w:b/>
                <w:color w:val="auto"/>
                <w:kern w:val="0"/>
                <w:sz w:val="21"/>
                <w:szCs w:val="21"/>
                <w:highlight w:val="none"/>
                <w:lang w:val="en-US" w:eastAsia="zh-CN" w:bidi="ar-SA"/>
              </w:rPr>
              <w:t>人员工资、差旅费、</w:t>
            </w:r>
            <w:r>
              <w:rPr>
                <w:rFonts w:hint="eastAsia" w:ascii="宋体" w:hAnsi="宋体" w:cs="宋体"/>
                <w:b/>
                <w:color w:val="auto"/>
                <w:kern w:val="0"/>
                <w:sz w:val="21"/>
                <w:szCs w:val="21"/>
                <w:highlight w:val="none"/>
                <w:lang w:val="en-US" w:eastAsia="zh-CN" w:bidi="ar-SA"/>
              </w:rPr>
              <w:t>印刷费、</w:t>
            </w:r>
            <w:r>
              <w:rPr>
                <w:rFonts w:hint="eastAsia" w:ascii="宋体" w:hAnsi="宋体" w:eastAsia="宋体" w:cs="宋体"/>
                <w:b/>
                <w:color w:val="auto"/>
                <w:kern w:val="0"/>
                <w:sz w:val="21"/>
                <w:szCs w:val="21"/>
                <w:highlight w:val="none"/>
                <w:lang w:val="en-US" w:eastAsia="zh-CN" w:bidi="ar-SA"/>
              </w:rPr>
              <w:t>食宿费、保险费、利润、税费等，以及合同文件明示或未明示的完成本合同的所有责任、义务和风险</w:t>
            </w:r>
            <w:r>
              <w:rPr>
                <w:rFonts w:hint="eastAsia" w:ascii="宋体" w:hAnsi="宋体" w:cs="宋体"/>
                <w:b/>
                <w:color w:val="auto"/>
                <w:kern w:val="0"/>
                <w:sz w:val="21"/>
                <w:szCs w:val="21"/>
                <w:highlight w:val="none"/>
                <w:lang w:val="en-US" w:eastAsia="zh-CN" w:bidi="ar-SA"/>
              </w:rPr>
              <w:t>，</w:t>
            </w:r>
            <w:r>
              <w:rPr>
                <w:rFonts w:hint="eastAsia" w:ascii="宋体" w:hAnsi="宋体" w:eastAsia="宋体" w:cs="宋体"/>
                <w:b/>
                <w:color w:val="auto"/>
                <w:kern w:val="0"/>
                <w:sz w:val="21"/>
                <w:szCs w:val="21"/>
                <w:highlight w:val="none"/>
                <w:lang w:val="en-US" w:eastAsia="zh-CN" w:bidi="ar-SA"/>
              </w:rPr>
              <w:t>超出部分，</w:t>
            </w:r>
            <w:r>
              <w:rPr>
                <w:rFonts w:hint="eastAsia" w:ascii="宋体" w:hAnsi="宋体" w:cs="宋体"/>
                <w:b/>
                <w:color w:val="auto"/>
                <w:kern w:val="0"/>
                <w:sz w:val="21"/>
                <w:szCs w:val="21"/>
                <w:highlight w:val="none"/>
                <w:lang w:val="en-US" w:eastAsia="zh-CN" w:bidi="ar-SA"/>
              </w:rPr>
              <w:t>采购人</w:t>
            </w:r>
            <w:r>
              <w:rPr>
                <w:rFonts w:hint="eastAsia" w:ascii="宋体" w:hAnsi="宋体" w:eastAsia="宋体" w:cs="宋体"/>
                <w:b/>
                <w:color w:val="auto"/>
                <w:kern w:val="0"/>
                <w:sz w:val="21"/>
                <w:szCs w:val="21"/>
                <w:highlight w:val="none"/>
                <w:lang w:val="en-US" w:eastAsia="zh-CN" w:bidi="ar-SA"/>
              </w:rPr>
              <w:t>不再支付。</w:t>
            </w:r>
          </w:p>
        </w:tc>
      </w:tr>
      <w:tr w14:paraId="15630C0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3E398C8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3.3</w:t>
            </w:r>
            <w:r>
              <w:rPr>
                <w:rFonts w:hint="eastAsia" w:ascii="宋体" w:hAnsi="宋体"/>
                <w:color w:val="auto"/>
                <w:szCs w:val="21"/>
                <w:highlight w:val="none"/>
              </w:rPr>
              <w:t>.1</w:t>
            </w:r>
          </w:p>
        </w:tc>
        <w:tc>
          <w:tcPr>
            <w:tcW w:w="2645" w:type="dxa"/>
            <w:tcBorders>
              <w:top w:val="single" w:color="auto" w:sz="4" w:space="0"/>
              <w:left w:val="single" w:color="auto" w:sz="4" w:space="0"/>
              <w:bottom w:val="single" w:color="auto" w:sz="4" w:space="0"/>
              <w:right w:val="single" w:color="auto" w:sz="4" w:space="0"/>
            </w:tcBorders>
            <w:vAlign w:val="center"/>
          </w:tcPr>
          <w:p w14:paraId="40D208A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磋商有效期</w:t>
            </w:r>
          </w:p>
        </w:tc>
        <w:tc>
          <w:tcPr>
            <w:tcW w:w="6412" w:type="dxa"/>
            <w:tcBorders>
              <w:top w:val="single" w:color="auto" w:sz="4" w:space="0"/>
              <w:left w:val="single" w:color="auto" w:sz="4" w:space="0"/>
              <w:bottom w:val="single" w:color="auto" w:sz="4" w:space="0"/>
              <w:right w:val="single" w:color="auto" w:sz="4" w:space="0"/>
            </w:tcBorders>
            <w:vAlign w:val="center"/>
          </w:tcPr>
          <w:p w14:paraId="54A33CDF">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color w:val="auto"/>
                <w:highlight w:val="none"/>
              </w:rPr>
              <w:t>磋商截止之日起60日历天。</w:t>
            </w:r>
          </w:p>
        </w:tc>
      </w:tr>
      <w:tr w14:paraId="4206EF0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13D2552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3.4</w:t>
            </w:r>
          </w:p>
        </w:tc>
        <w:tc>
          <w:tcPr>
            <w:tcW w:w="2645" w:type="dxa"/>
            <w:tcBorders>
              <w:top w:val="single" w:color="auto" w:sz="4" w:space="0"/>
              <w:left w:val="single" w:color="auto" w:sz="4" w:space="0"/>
              <w:bottom w:val="single" w:color="auto" w:sz="4" w:space="0"/>
              <w:right w:val="single" w:color="auto" w:sz="4" w:space="0"/>
            </w:tcBorders>
            <w:vAlign w:val="center"/>
          </w:tcPr>
          <w:p w14:paraId="0719410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磋商保证金</w:t>
            </w:r>
          </w:p>
        </w:tc>
        <w:tc>
          <w:tcPr>
            <w:tcW w:w="6412" w:type="dxa"/>
            <w:tcBorders>
              <w:top w:val="single" w:color="auto" w:sz="4" w:space="0"/>
              <w:left w:val="single" w:color="auto" w:sz="4" w:space="0"/>
              <w:bottom w:val="single" w:color="auto" w:sz="4" w:space="0"/>
              <w:right w:val="single" w:color="auto" w:sz="4" w:space="0"/>
            </w:tcBorders>
            <w:vAlign w:val="center"/>
          </w:tcPr>
          <w:p w14:paraId="6EE0D2E1">
            <w:pPr>
              <w:keepNext w:val="0"/>
              <w:keepLines w:val="0"/>
              <w:suppressLineNumbers w:val="0"/>
              <w:spacing w:before="0" w:beforeAutospacing="0" w:after="0" w:afterAutospacing="0" w:line="360" w:lineRule="auto"/>
              <w:ind w:left="0" w:right="0"/>
              <w:rPr>
                <w:rFonts w:hint="default"/>
                <w:color w:val="auto"/>
                <w:highlight w:val="none"/>
              </w:rPr>
            </w:pPr>
            <w:r>
              <w:rPr>
                <w:rFonts w:hint="eastAsia" w:ascii="宋体" w:hAnsi="宋体"/>
                <w:b/>
                <w:bCs/>
                <w:color w:val="auto"/>
                <w:szCs w:val="21"/>
                <w:highlight w:val="none"/>
              </w:rPr>
              <w:t>无。</w:t>
            </w:r>
          </w:p>
        </w:tc>
      </w:tr>
      <w:tr w14:paraId="680D97E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1F0DECE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3.</w:t>
            </w:r>
            <w:r>
              <w:rPr>
                <w:rFonts w:hint="eastAsia" w:ascii="宋体" w:hAnsi="宋体"/>
                <w:color w:val="auto"/>
                <w:szCs w:val="21"/>
                <w:highlight w:val="none"/>
              </w:rPr>
              <w:t>5</w:t>
            </w:r>
          </w:p>
        </w:tc>
        <w:tc>
          <w:tcPr>
            <w:tcW w:w="2645" w:type="dxa"/>
            <w:tcBorders>
              <w:top w:val="single" w:color="auto" w:sz="4" w:space="0"/>
              <w:left w:val="single" w:color="auto" w:sz="4" w:space="0"/>
              <w:bottom w:val="single" w:color="auto" w:sz="4" w:space="0"/>
              <w:right w:val="single" w:color="auto" w:sz="4" w:space="0"/>
            </w:tcBorders>
            <w:vAlign w:val="center"/>
          </w:tcPr>
          <w:p w14:paraId="7445A38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是否允许</w:t>
            </w:r>
            <w:r>
              <w:rPr>
                <w:rFonts w:hint="eastAsia" w:ascii="宋体" w:hAnsi="宋体"/>
                <w:color w:val="auto"/>
                <w:szCs w:val="21"/>
                <w:highlight w:val="none"/>
              </w:rPr>
              <w:t>递交备</w:t>
            </w:r>
            <w:r>
              <w:rPr>
                <w:rFonts w:hint="default" w:ascii="宋体" w:hAnsi="宋体"/>
                <w:color w:val="auto"/>
                <w:szCs w:val="21"/>
                <w:highlight w:val="none"/>
              </w:rPr>
              <w:t>选磋商方案</w:t>
            </w:r>
          </w:p>
        </w:tc>
        <w:tc>
          <w:tcPr>
            <w:tcW w:w="6412" w:type="dxa"/>
            <w:tcBorders>
              <w:top w:val="single" w:color="auto" w:sz="4" w:space="0"/>
              <w:left w:val="single" w:color="auto" w:sz="4" w:space="0"/>
              <w:bottom w:val="single" w:color="auto" w:sz="4" w:space="0"/>
              <w:right w:val="single" w:color="auto" w:sz="4" w:space="0"/>
            </w:tcBorders>
            <w:vAlign w:val="center"/>
          </w:tcPr>
          <w:p w14:paraId="2E9F041A">
            <w:pPr>
              <w:keepNext w:val="0"/>
              <w:keepLines w:val="0"/>
              <w:suppressLineNumbers w:val="0"/>
              <w:spacing w:before="0" w:beforeAutospacing="0" w:after="0" w:afterAutospacing="0" w:line="360" w:lineRule="auto"/>
              <w:ind w:left="0" w:right="0"/>
              <w:rPr>
                <w:rFonts w:hint="eastAsia" w:hAnsi="宋体"/>
                <w:color w:val="auto"/>
                <w:szCs w:val="21"/>
                <w:highlight w:val="none"/>
              </w:rPr>
            </w:pPr>
            <w:r>
              <w:rPr>
                <w:rFonts w:hint="eastAsia" w:hAnsi="宋体"/>
                <w:color w:val="auto"/>
                <w:szCs w:val="21"/>
                <w:highlight w:val="none"/>
              </w:rPr>
              <w:t>☑不允许</w:t>
            </w:r>
          </w:p>
          <w:p w14:paraId="256D2ABF">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default" w:ascii="宋体" w:hAnsi="宋体"/>
                <w:color w:val="auto"/>
                <w:szCs w:val="21"/>
                <w:highlight w:val="none"/>
              </w:rPr>
              <w:t>□</w:t>
            </w:r>
            <w:r>
              <w:rPr>
                <w:rFonts w:hint="eastAsia" w:ascii="宋体" w:hAnsi="宋体"/>
                <w:color w:val="auto"/>
                <w:szCs w:val="21"/>
                <w:highlight w:val="none"/>
              </w:rPr>
              <w:t>允许</w:t>
            </w:r>
          </w:p>
        </w:tc>
      </w:tr>
      <w:tr w14:paraId="5C37FFFE">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6C8A8EA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3.6.3</w:t>
            </w:r>
          </w:p>
        </w:tc>
        <w:tc>
          <w:tcPr>
            <w:tcW w:w="2645" w:type="dxa"/>
            <w:tcBorders>
              <w:top w:val="single" w:color="auto" w:sz="4" w:space="0"/>
              <w:left w:val="single" w:color="auto" w:sz="4" w:space="0"/>
              <w:bottom w:val="single" w:color="auto" w:sz="4" w:space="0"/>
              <w:right w:val="single" w:color="auto" w:sz="4" w:space="0"/>
            </w:tcBorders>
            <w:vAlign w:val="center"/>
          </w:tcPr>
          <w:p w14:paraId="1A8F8CEA">
            <w:pPr>
              <w:keepNext w:val="0"/>
              <w:keepLines w:val="0"/>
              <w:suppressLineNumbers w:val="0"/>
              <w:autoSpaceDE w:val="0"/>
              <w:autoSpaceDN w:val="0"/>
              <w:adjustRightInd w:val="0"/>
              <w:spacing w:before="0" w:beforeAutospacing="0" w:after="0" w:afterAutospacing="0" w:line="360" w:lineRule="auto"/>
              <w:ind w:left="0" w:right="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签字或盖章要求</w:t>
            </w:r>
          </w:p>
        </w:tc>
        <w:tc>
          <w:tcPr>
            <w:tcW w:w="6412" w:type="dxa"/>
            <w:tcBorders>
              <w:top w:val="single" w:color="auto" w:sz="4" w:space="0"/>
              <w:left w:val="single" w:color="auto" w:sz="4" w:space="0"/>
              <w:bottom w:val="single" w:color="auto" w:sz="4" w:space="0"/>
              <w:right w:val="single" w:color="auto" w:sz="4" w:space="0"/>
            </w:tcBorders>
          </w:tcPr>
          <w:p w14:paraId="6B11C8AB">
            <w:pPr>
              <w:keepNext w:val="0"/>
              <w:keepLines w:val="0"/>
              <w:suppressLineNumbers w:val="0"/>
              <w:autoSpaceDE w:val="0"/>
              <w:autoSpaceDN w:val="0"/>
              <w:adjustRightInd w:val="0"/>
              <w:spacing w:before="0" w:beforeAutospacing="0" w:after="0" w:afterAutospacing="0" w:line="360" w:lineRule="auto"/>
              <w:ind w:left="0" w:right="0"/>
              <w:rPr>
                <w:rFonts w:hint="eastAsia" w:ascii="宋体" w:hAnsi="宋体" w:cs="宋体"/>
                <w:color w:val="auto"/>
                <w:kern w:val="0"/>
                <w:szCs w:val="21"/>
                <w:highlight w:val="none"/>
              </w:rPr>
            </w:pPr>
            <w:r>
              <w:rPr>
                <w:rFonts w:hint="eastAsia" w:ascii="宋体" w:hAnsi="宋体" w:cs="宋体"/>
                <w:color w:val="auto"/>
                <w:kern w:val="0"/>
                <w:szCs w:val="21"/>
                <w:highlight w:val="none"/>
              </w:rPr>
              <w:t>响应文件中规定需企业盖章和个人签名的，全部为企业机构数字证书和相应个人数字证书的电子签名或签章，若因投标文件格式、递交方式或自身问题，导致投标业务不成功，责任由供应商自行承担。</w:t>
            </w:r>
          </w:p>
        </w:tc>
      </w:tr>
      <w:tr w14:paraId="4FB22EF0">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6B649C8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highlight w:val="none"/>
              </w:rPr>
            </w:pPr>
            <w:r>
              <w:rPr>
                <w:rFonts w:hint="eastAsia" w:ascii="宋体" w:hAnsi="宋体"/>
                <w:color w:val="auto"/>
                <w:highlight w:val="none"/>
              </w:rPr>
              <w:t>3.6.4</w:t>
            </w:r>
          </w:p>
        </w:tc>
        <w:tc>
          <w:tcPr>
            <w:tcW w:w="2645" w:type="dxa"/>
            <w:tcBorders>
              <w:top w:val="single" w:color="auto" w:sz="4" w:space="0"/>
              <w:left w:val="single" w:color="auto" w:sz="4" w:space="0"/>
              <w:bottom w:val="single" w:color="auto" w:sz="4" w:space="0"/>
              <w:right w:val="single" w:color="auto" w:sz="4" w:space="0"/>
            </w:tcBorders>
            <w:vAlign w:val="center"/>
          </w:tcPr>
          <w:p w14:paraId="0DD6889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highlight w:val="none"/>
              </w:rPr>
            </w:pPr>
            <w:r>
              <w:rPr>
                <w:rFonts w:hint="eastAsia" w:ascii="宋体" w:hAnsi="宋体"/>
                <w:color w:val="auto"/>
                <w:highlight w:val="none"/>
              </w:rPr>
              <w:t>响应文件编制方法</w:t>
            </w:r>
          </w:p>
        </w:tc>
        <w:tc>
          <w:tcPr>
            <w:tcW w:w="6412" w:type="dxa"/>
            <w:tcBorders>
              <w:top w:val="single" w:color="auto" w:sz="4" w:space="0"/>
              <w:left w:val="single" w:color="auto" w:sz="4" w:space="0"/>
              <w:bottom w:val="single" w:color="auto" w:sz="4" w:space="0"/>
              <w:right w:val="single" w:color="auto" w:sz="4" w:space="0"/>
            </w:tcBorders>
            <w:vAlign w:val="center"/>
          </w:tcPr>
          <w:p w14:paraId="7A41F71E">
            <w:pPr>
              <w:keepNext w:val="0"/>
              <w:keepLines w:val="0"/>
              <w:suppressLineNumbers w:val="0"/>
              <w:adjustRightInd w:val="0"/>
              <w:spacing w:before="0" w:beforeAutospacing="0" w:after="0" w:afterAutospacing="0" w:line="360" w:lineRule="auto"/>
              <w:ind w:left="0" w:right="0"/>
              <w:textAlignment w:val="baseline"/>
              <w:rPr>
                <w:rFonts w:hint="default"/>
                <w:color w:val="auto"/>
                <w:highlight w:val="none"/>
              </w:rPr>
            </w:pPr>
            <w:r>
              <w:rPr>
                <w:rFonts w:hint="eastAsia"/>
                <w:color w:val="auto"/>
                <w:highlight w:val="none"/>
              </w:rPr>
              <w:t>详见“政采云”平台中《政府采购项目电子交易管理操作指南-供应商》”。</w:t>
            </w:r>
          </w:p>
        </w:tc>
      </w:tr>
      <w:tr w14:paraId="5171915A">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01BF7C8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highlight w:val="none"/>
              </w:rPr>
            </w:pPr>
            <w:r>
              <w:rPr>
                <w:rFonts w:hint="eastAsia" w:ascii="宋体" w:hAnsi="宋体"/>
                <w:color w:val="auto"/>
                <w:highlight w:val="none"/>
              </w:rPr>
              <w:t>3.6.5</w:t>
            </w:r>
          </w:p>
        </w:tc>
        <w:tc>
          <w:tcPr>
            <w:tcW w:w="2645" w:type="dxa"/>
            <w:tcBorders>
              <w:top w:val="single" w:color="auto" w:sz="4" w:space="0"/>
              <w:left w:val="single" w:color="auto" w:sz="4" w:space="0"/>
              <w:bottom w:val="single" w:color="auto" w:sz="4" w:space="0"/>
              <w:right w:val="single" w:color="auto" w:sz="4" w:space="0"/>
            </w:tcBorders>
            <w:vAlign w:val="center"/>
          </w:tcPr>
          <w:p w14:paraId="2A197B5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highlight w:val="none"/>
              </w:rPr>
            </w:pPr>
            <w:r>
              <w:rPr>
                <w:rFonts w:hint="eastAsia"/>
                <w:color w:val="auto"/>
                <w:highlight w:val="none"/>
              </w:rPr>
              <w:t>“开标一览表”数据一致性要求</w:t>
            </w:r>
          </w:p>
        </w:tc>
        <w:tc>
          <w:tcPr>
            <w:tcW w:w="6412" w:type="dxa"/>
            <w:tcBorders>
              <w:top w:val="single" w:color="auto" w:sz="4" w:space="0"/>
              <w:left w:val="single" w:color="auto" w:sz="4" w:space="0"/>
              <w:bottom w:val="single" w:color="auto" w:sz="4" w:space="0"/>
              <w:right w:val="single" w:color="auto" w:sz="4" w:space="0"/>
            </w:tcBorders>
            <w:vAlign w:val="center"/>
          </w:tcPr>
          <w:p w14:paraId="2E9CD3AE">
            <w:pPr>
              <w:keepNext w:val="0"/>
              <w:keepLines w:val="0"/>
              <w:suppressLineNumbers w:val="0"/>
              <w:adjustRightInd w:val="0"/>
              <w:spacing w:before="0" w:beforeAutospacing="0" w:after="0" w:afterAutospacing="0" w:line="360" w:lineRule="auto"/>
              <w:ind w:left="0" w:right="0"/>
              <w:textAlignment w:val="baseline"/>
              <w:rPr>
                <w:rFonts w:hint="default"/>
                <w:color w:val="auto"/>
                <w:highlight w:val="none"/>
              </w:rPr>
            </w:pPr>
            <w:r>
              <w:rPr>
                <w:rFonts w:hint="eastAsia"/>
                <w:color w:val="auto"/>
                <w:highlight w:val="none"/>
              </w:rPr>
              <w:t>本项目采用“政采云”平台进行电子开评标，</w:t>
            </w:r>
            <w:r>
              <w:rPr>
                <w:rFonts w:hint="eastAsia"/>
                <w:color w:val="auto"/>
                <w:highlight w:val="none"/>
                <w:lang w:val="en-US" w:eastAsia="zh-CN"/>
              </w:rPr>
              <w:t>供应商</w:t>
            </w:r>
            <w:r>
              <w:rPr>
                <w:rFonts w:hint="eastAsia"/>
                <w:color w:val="auto"/>
                <w:highlight w:val="none"/>
              </w:rPr>
              <w:t>在</w:t>
            </w:r>
            <w:r>
              <w:rPr>
                <w:rFonts w:hint="eastAsia"/>
                <w:color w:val="auto"/>
                <w:highlight w:val="none"/>
                <w:lang w:val="en-US" w:eastAsia="zh-CN"/>
              </w:rPr>
              <w:t>响应</w:t>
            </w:r>
            <w:r>
              <w:rPr>
                <w:rFonts w:hint="eastAsia"/>
                <w:color w:val="auto"/>
                <w:highlight w:val="none"/>
              </w:rPr>
              <w:t>文件正文内“开标一览表”填写的报价金额需与</w:t>
            </w:r>
            <w:r>
              <w:rPr>
                <w:rFonts w:hint="eastAsia"/>
                <w:color w:val="auto"/>
                <w:highlight w:val="none"/>
                <w:lang w:val="en-US" w:eastAsia="zh-CN"/>
              </w:rPr>
              <w:t>响应</w:t>
            </w:r>
            <w:r>
              <w:rPr>
                <w:rFonts w:hint="eastAsia"/>
                <w:color w:val="auto"/>
                <w:highlight w:val="none"/>
              </w:rPr>
              <w:t>文件编制时填入软件端“开标一览表”的数据保持一致，如出现不一致的，以软件端“开标一览表”的数据为准。</w:t>
            </w:r>
          </w:p>
        </w:tc>
      </w:tr>
      <w:tr w14:paraId="22211F08">
        <w:tblPrEx>
          <w:tblCellMar>
            <w:top w:w="0" w:type="dxa"/>
            <w:left w:w="108" w:type="dxa"/>
            <w:bottom w:w="0" w:type="dxa"/>
            <w:right w:w="108" w:type="dxa"/>
          </w:tblCellMar>
        </w:tblPrEx>
        <w:trPr>
          <w:trHeight w:val="783"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0CE20D0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4.1.1</w:t>
            </w:r>
          </w:p>
        </w:tc>
        <w:tc>
          <w:tcPr>
            <w:tcW w:w="2645" w:type="dxa"/>
            <w:tcBorders>
              <w:top w:val="single" w:color="auto" w:sz="4" w:space="0"/>
              <w:left w:val="single" w:color="auto" w:sz="4" w:space="0"/>
              <w:bottom w:val="single" w:color="auto" w:sz="4" w:space="0"/>
              <w:right w:val="single" w:color="auto" w:sz="4" w:space="0"/>
            </w:tcBorders>
            <w:vAlign w:val="center"/>
          </w:tcPr>
          <w:p w14:paraId="571B800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响应文件</w:t>
            </w:r>
            <w:r>
              <w:rPr>
                <w:rFonts w:hint="eastAsia" w:ascii="宋体" w:hAnsi="宋体"/>
                <w:color w:val="auto"/>
                <w:highlight w:val="none"/>
                <w:lang w:val="en-US" w:eastAsia="zh-CN"/>
              </w:rPr>
              <w:t>加密</w:t>
            </w:r>
            <w:r>
              <w:rPr>
                <w:rFonts w:hint="eastAsia" w:ascii="宋体" w:hAnsi="宋体"/>
                <w:color w:val="auto"/>
                <w:highlight w:val="none"/>
              </w:rPr>
              <w:t>要求</w:t>
            </w:r>
          </w:p>
        </w:tc>
        <w:tc>
          <w:tcPr>
            <w:tcW w:w="6412" w:type="dxa"/>
            <w:tcBorders>
              <w:top w:val="single" w:color="auto" w:sz="4" w:space="0"/>
              <w:left w:val="single" w:color="auto" w:sz="4" w:space="0"/>
              <w:bottom w:val="single" w:color="auto" w:sz="4" w:space="0"/>
              <w:right w:val="single" w:color="auto" w:sz="4" w:space="0"/>
            </w:tcBorders>
            <w:vAlign w:val="center"/>
          </w:tcPr>
          <w:p w14:paraId="550B008E">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highlight w:val="none"/>
              </w:rPr>
              <w:t>详见</w:t>
            </w:r>
            <w:r>
              <w:rPr>
                <w:rFonts w:hint="eastAsia"/>
                <w:color w:val="auto"/>
                <w:highlight w:val="none"/>
              </w:rPr>
              <w:t>“政采云”平台中《政府采购项目电子交易管理操作指南-供应商》”</w:t>
            </w:r>
            <w:r>
              <w:rPr>
                <w:rFonts w:hint="eastAsia" w:ascii="宋体" w:hAnsi="宋体"/>
                <w:color w:val="auto"/>
                <w:highlight w:val="none"/>
              </w:rPr>
              <w:t>。</w:t>
            </w:r>
          </w:p>
        </w:tc>
      </w:tr>
      <w:tr w14:paraId="19DB67C0">
        <w:tblPrEx>
          <w:tblCellMar>
            <w:top w:w="0" w:type="dxa"/>
            <w:left w:w="108" w:type="dxa"/>
            <w:bottom w:w="0" w:type="dxa"/>
            <w:right w:w="108" w:type="dxa"/>
          </w:tblCellMar>
        </w:tblPrEx>
        <w:trPr>
          <w:trHeight w:val="427"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6BB0286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4.2.1</w:t>
            </w:r>
          </w:p>
        </w:tc>
        <w:tc>
          <w:tcPr>
            <w:tcW w:w="2645" w:type="dxa"/>
            <w:tcBorders>
              <w:top w:val="single" w:color="auto" w:sz="4" w:space="0"/>
              <w:left w:val="single" w:color="auto" w:sz="4" w:space="0"/>
              <w:bottom w:val="single" w:color="auto" w:sz="4" w:space="0"/>
              <w:right w:val="single" w:color="auto" w:sz="4" w:space="0"/>
            </w:tcBorders>
            <w:vAlign w:val="center"/>
          </w:tcPr>
          <w:p w14:paraId="600B07F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响应文件递交截止时间</w:t>
            </w:r>
          </w:p>
        </w:tc>
        <w:tc>
          <w:tcPr>
            <w:tcW w:w="6412" w:type="dxa"/>
            <w:tcBorders>
              <w:top w:val="single" w:color="auto" w:sz="4" w:space="0"/>
              <w:left w:val="single" w:color="auto" w:sz="4" w:space="0"/>
              <w:bottom w:val="single" w:color="auto" w:sz="4" w:space="0"/>
              <w:right w:val="single" w:color="auto" w:sz="4" w:space="0"/>
            </w:tcBorders>
            <w:vAlign w:val="center"/>
          </w:tcPr>
          <w:p w14:paraId="223D0451">
            <w:pPr>
              <w:keepNext w:val="0"/>
              <w:keepLines w:val="0"/>
              <w:suppressLineNumbers w:val="0"/>
              <w:adjustRightInd w:val="0"/>
              <w:spacing w:before="0" w:beforeAutospacing="0" w:after="0" w:afterAutospacing="0" w:line="360" w:lineRule="auto"/>
              <w:ind w:left="0" w:right="0"/>
              <w:textAlignment w:val="baseline"/>
              <w:rPr>
                <w:rFonts w:hint="default"/>
                <w:color w:val="auto"/>
                <w:szCs w:val="21"/>
                <w:highlight w:val="none"/>
                <w:u w:val="single"/>
              </w:rPr>
            </w:pPr>
            <w:r>
              <w:rPr>
                <w:rFonts w:hint="eastAsia"/>
                <w:color w:val="auto"/>
                <w:szCs w:val="21"/>
                <w:highlight w:val="none"/>
                <w:u w:val="single"/>
                <w:lang w:val="en-US" w:eastAsia="zh-CN"/>
              </w:rPr>
              <w:t>2026</w:t>
            </w:r>
            <w:r>
              <w:rPr>
                <w:rFonts w:hint="eastAsia"/>
                <w:color w:val="auto"/>
                <w:szCs w:val="21"/>
                <w:highlight w:val="none"/>
                <w:u w:val="single"/>
              </w:rPr>
              <w:t>年</w:t>
            </w:r>
            <w:r>
              <w:rPr>
                <w:rFonts w:hint="eastAsia"/>
                <w:color w:val="auto"/>
                <w:szCs w:val="21"/>
                <w:highlight w:val="none"/>
                <w:u w:val="single"/>
                <w:lang w:val="en-US" w:eastAsia="zh-CN"/>
              </w:rPr>
              <w:t>9</w:t>
            </w:r>
            <w:r>
              <w:rPr>
                <w:rFonts w:hint="eastAsia"/>
                <w:color w:val="auto"/>
                <w:szCs w:val="21"/>
                <w:highlight w:val="none"/>
                <w:u w:val="single"/>
              </w:rPr>
              <w:t>月</w:t>
            </w:r>
            <w:r>
              <w:rPr>
                <w:rFonts w:hint="eastAsia"/>
                <w:color w:val="auto"/>
                <w:szCs w:val="21"/>
                <w:highlight w:val="none"/>
                <w:u w:val="single"/>
                <w:lang w:val="en-US" w:eastAsia="zh-CN"/>
              </w:rPr>
              <w:t>1</w:t>
            </w:r>
            <w:r>
              <w:rPr>
                <w:rFonts w:hint="eastAsia"/>
                <w:color w:val="auto"/>
                <w:szCs w:val="21"/>
                <w:highlight w:val="none"/>
                <w:u w:val="single"/>
              </w:rPr>
              <w:t>日</w:t>
            </w:r>
            <w:r>
              <w:rPr>
                <w:rFonts w:hint="eastAsia"/>
                <w:color w:val="auto"/>
                <w:szCs w:val="21"/>
                <w:highlight w:val="none"/>
                <w:u w:val="single"/>
                <w:lang w:val="en-US" w:eastAsia="zh-CN"/>
              </w:rPr>
              <w:t>09:30</w:t>
            </w:r>
            <w:r>
              <w:rPr>
                <w:rFonts w:hint="eastAsia"/>
                <w:color w:val="auto"/>
                <w:szCs w:val="21"/>
                <w:highlight w:val="none"/>
                <w:u w:val="single"/>
              </w:rPr>
              <w:t>（北京时间）</w:t>
            </w:r>
          </w:p>
        </w:tc>
      </w:tr>
      <w:tr w14:paraId="67C34B59">
        <w:tblPrEx>
          <w:tblCellMar>
            <w:top w:w="0" w:type="dxa"/>
            <w:left w:w="108" w:type="dxa"/>
            <w:bottom w:w="0" w:type="dxa"/>
            <w:right w:w="108" w:type="dxa"/>
          </w:tblCellMar>
        </w:tblPrEx>
        <w:trPr>
          <w:trHeight w:val="1130"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1127FFC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4.2.2</w:t>
            </w:r>
          </w:p>
        </w:tc>
        <w:tc>
          <w:tcPr>
            <w:tcW w:w="2645" w:type="dxa"/>
            <w:tcBorders>
              <w:top w:val="single" w:color="auto" w:sz="4" w:space="0"/>
              <w:left w:val="single" w:color="auto" w:sz="4" w:space="0"/>
              <w:bottom w:val="single" w:color="auto" w:sz="4" w:space="0"/>
              <w:right w:val="single" w:color="auto" w:sz="4" w:space="0"/>
            </w:tcBorders>
            <w:vAlign w:val="center"/>
          </w:tcPr>
          <w:p w14:paraId="468D272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递交响应文件方式</w:t>
            </w:r>
          </w:p>
        </w:tc>
        <w:tc>
          <w:tcPr>
            <w:tcW w:w="6412" w:type="dxa"/>
            <w:tcBorders>
              <w:top w:val="single" w:color="auto" w:sz="4" w:space="0"/>
              <w:left w:val="single" w:color="auto" w:sz="4" w:space="0"/>
              <w:bottom w:val="single" w:color="auto" w:sz="4" w:space="0"/>
              <w:right w:val="single" w:color="auto" w:sz="4" w:space="0"/>
            </w:tcBorders>
            <w:vAlign w:val="center"/>
          </w:tcPr>
          <w:p w14:paraId="3023C82E">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u w:val="single"/>
              </w:rPr>
            </w:pPr>
            <w:r>
              <w:rPr>
                <w:rFonts w:hint="eastAsia" w:ascii="宋体" w:hAnsi="宋体"/>
                <w:color w:val="auto"/>
                <w:szCs w:val="21"/>
                <w:highlight w:val="none"/>
                <w:lang w:val="en-US" w:eastAsia="zh-CN"/>
              </w:rPr>
              <w:t>供应商</w:t>
            </w:r>
            <w:r>
              <w:rPr>
                <w:rFonts w:hint="eastAsia" w:ascii="宋体" w:hAnsi="宋体"/>
                <w:color w:val="auto"/>
                <w:szCs w:val="21"/>
                <w:highlight w:val="none"/>
              </w:rPr>
              <w:t>应在本章前附表第</w:t>
            </w:r>
            <w:r>
              <w:rPr>
                <w:rFonts w:hint="eastAsia" w:ascii="宋体" w:hAnsi="宋体"/>
                <w:color w:val="auto"/>
                <w:szCs w:val="21"/>
                <w:highlight w:val="none"/>
                <w:lang w:val="en-US" w:eastAsia="zh-CN"/>
              </w:rPr>
              <w:t>4.2</w:t>
            </w:r>
            <w:r>
              <w:rPr>
                <w:rFonts w:hint="eastAsia" w:ascii="宋体" w:hAnsi="宋体"/>
                <w:color w:val="auto"/>
                <w:szCs w:val="21"/>
                <w:highlight w:val="none"/>
              </w:rPr>
              <w:t>.1项规定的</w:t>
            </w:r>
            <w:r>
              <w:rPr>
                <w:rFonts w:hint="eastAsia" w:ascii="宋体" w:hAnsi="宋体"/>
                <w:color w:val="auto"/>
                <w:szCs w:val="21"/>
                <w:highlight w:val="none"/>
                <w:lang w:val="en-US" w:eastAsia="zh-CN"/>
              </w:rPr>
              <w:t>响应</w:t>
            </w:r>
            <w:r>
              <w:rPr>
                <w:rFonts w:hint="eastAsia" w:ascii="宋体" w:hAnsi="宋体"/>
                <w:color w:val="auto"/>
                <w:szCs w:val="21"/>
                <w:highlight w:val="none"/>
              </w:rPr>
              <w:t>文件递交截止时间前，</w:t>
            </w:r>
            <w:r>
              <w:rPr>
                <w:rFonts w:hint="eastAsia" w:ascii="宋体" w:hAnsi="宋体"/>
                <w:color w:val="auto"/>
                <w:szCs w:val="21"/>
                <w:highlight w:val="none"/>
                <w:lang w:val="en-US" w:eastAsia="zh-CN"/>
              </w:rPr>
              <w:t>供应商</w:t>
            </w:r>
            <w:r>
              <w:rPr>
                <w:rFonts w:hint="eastAsia" w:ascii="宋体" w:hAnsi="宋体"/>
                <w:color w:val="auto"/>
                <w:szCs w:val="21"/>
                <w:highlight w:val="none"/>
              </w:rPr>
              <w:t>需将加密的投标文件上传至政采云平台，到达递交时间后，解密</w:t>
            </w:r>
            <w:r>
              <w:rPr>
                <w:rFonts w:hint="eastAsia" w:ascii="宋体" w:hAnsi="宋体"/>
                <w:color w:val="auto"/>
                <w:szCs w:val="21"/>
                <w:highlight w:val="none"/>
                <w:lang w:val="en-US" w:eastAsia="zh-CN"/>
              </w:rPr>
              <w:t>响应</w:t>
            </w:r>
            <w:r>
              <w:rPr>
                <w:rFonts w:hint="eastAsia" w:ascii="宋体" w:hAnsi="宋体"/>
                <w:color w:val="auto"/>
                <w:szCs w:val="21"/>
                <w:highlight w:val="none"/>
              </w:rPr>
              <w:t>文件。</w:t>
            </w:r>
          </w:p>
        </w:tc>
      </w:tr>
      <w:tr w14:paraId="44697273">
        <w:tblPrEx>
          <w:tblCellMar>
            <w:top w:w="0" w:type="dxa"/>
            <w:left w:w="108" w:type="dxa"/>
            <w:bottom w:w="0" w:type="dxa"/>
            <w:right w:w="108" w:type="dxa"/>
          </w:tblCellMar>
        </w:tblPrEx>
        <w:trPr>
          <w:trHeight w:val="1086" w:hRule="atLeast"/>
          <w:jc w:val="center"/>
        </w:trPr>
        <w:tc>
          <w:tcPr>
            <w:tcW w:w="899" w:type="dxa"/>
            <w:tcBorders>
              <w:top w:val="single" w:color="auto" w:sz="4" w:space="0"/>
              <w:left w:val="single" w:color="auto" w:sz="4" w:space="0"/>
              <w:bottom w:val="single" w:color="auto" w:sz="4" w:space="0"/>
              <w:right w:val="single" w:color="auto" w:sz="4" w:space="0"/>
            </w:tcBorders>
            <w:vAlign w:val="center"/>
          </w:tcPr>
          <w:p w14:paraId="4A2E8FD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4.2.3</w:t>
            </w:r>
          </w:p>
        </w:tc>
        <w:tc>
          <w:tcPr>
            <w:tcW w:w="2645" w:type="dxa"/>
            <w:tcBorders>
              <w:top w:val="single" w:color="auto" w:sz="4" w:space="0"/>
              <w:left w:val="single" w:color="auto" w:sz="4" w:space="0"/>
              <w:bottom w:val="single" w:color="auto" w:sz="4" w:space="0"/>
              <w:right w:val="single" w:color="auto" w:sz="4" w:space="0"/>
            </w:tcBorders>
            <w:vAlign w:val="center"/>
          </w:tcPr>
          <w:p w14:paraId="7751044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是否退还响应文件</w:t>
            </w:r>
          </w:p>
        </w:tc>
        <w:tc>
          <w:tcPr>
            <w:tcW w:w="6412" w:type="dxa"/>
            <w:tcBorders>
              <w:top w:val="single" w:color="auto" w:sz="4" w:space="0"/>
              <w:left w:val="single" w:color="auto" w:sz="4" w:space="0"/>
              <w:bottom w:val="single" w:color="auto" w:sz="4" w:space="0"/>
              <w:right w:val="single" w:color="auto" w:sz="4" w:space="0"/>
            </w:tcBorders>
            <w:vAlign w:val="center"/>
          </w:tcPr>
          <w:p w14:paraId="7A1DAABF">
            <w:pPr>
              <w:keepNext w:val="0"/>
              <w:keepLines w:val="0"/>
              <w:suppressLineNumbers w:val="0"/>
              <w:spacing w:before="0" w:beforeAutospacing="0" w:after="0" w:afterAutospacing="0" w:line="360" w:lineRule="auto"/>
              <w:ind w:left="0" w:right="0"/>
              <w:rPr>
                <w:rFonts w:hint="eastAsia" w:ascii="宋体" w:hAnsi="宋体"/>
                <w:color w:val="auto"/>
                <w:szCs w:val="21"/>
                <w:highlight w:val="none"/>
              </w:rPr>
            </w:pPr>
            <w:r>
              <w:rPr>
                <w:rFonts w:hint="eastAsia" w:ascii="宋体" w:hAnsi="宋体"/>
                <w:color w:val="auto"/>
                <w:szCs w:val="21"/>
                <w:highlight w:val="none"/>
              </w:rPr>
              <w:t>☑否</w:t>
            </w:r>
          </w:p>
          <w:p w14:paraId="5F2C5FF0">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default" w:ascii="宋体" w:hAnsi="宋体"/>
                <w:color w:val="auto"/>
                <w:szCs w:val="21"/>
                <w:highlight w:val="none"/>
              </w:rPr>
              <w:t>□</w:t>
            </w:r>
            <w:r>
              <w:rPr>
                <w:rFonts w:hint="eastAsia" w:ascii="宋体" w:hAnsi="宋体"/>
                <w:color w:val="auto"/>
                <w:szCs w:val="21"/>
                <w:highlight w:val="none"/>
              </w:rPr>
              <w:t>是</w:t>
            </w:r>
          </w:p>
        </w:tc>
      </w:tr>
      <w:tr w14:paraId="4283FF80">
        <w:tblPrEx>
          <w:tblCellMar>
            <w:top w:w="0" w:type="dxa"/>
            <w:left w:w="108" w:type="dxa"/>
            <w:bottom w:w="0" w:type="dxa"/>
            <w:right w:w="108" w:type="dxa"/>
          </w:tblCellMar>
        </w:tblPrEx>
        <w:trPr>
          <w:trHeight w:val="880" w:hRule="atLeast"/>
          <w:jc w:val="center"/>
        </w:trPr>
        <w:tc>
          <w:tcPr>
            <w:tcW w:w="899" w:type="dxa"/>
            <w:tcBorders>
              <w:top w:val="single" w:color="auto" w:sz="4" w:space="0"/>
              <w:left w:val="single" w:color="auto" w:sz="4" w:space="0"/>
              <w:right w:val="single" w:color="auto" w:sz="4" w:space="0"/>
            </w:tcBorders>
            <w:vAlign w:val="center"/>
          </w:tcPr>
          <w:p w14:paraId="1C586DB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5.1</w:t>
            </w:r>
          </w:p>
        </w:tc>
        <w:tc>
          <w:tcPr>
            <w:tcW w:w="2645" w:type="dxa"/>
            <w:tcBorders>
              <w:top w:val="single" w:color="auto" w:sz="4" w:space="0"/>
              <w:left w:val="single" w:color="auto" w:sz="4" w:space="0"/>
              <w:right w:val="single" w:color="auto" w:sz="4" w:space="0"/>
            </w:tcBorders>
            <w:vAlign w:val="center"/>
          </w:tcPr>
          <w:p w14:paraId="0775A0F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lang w:val="en-US" w:eastAsia="zh-CN"/>
              </w:rPr>
              <w:t>递交</w:t>
            </w:r>
            <w:r>
              <w:rPr>
                <w:rFonts w:hint="eastAsia" w:ascii="宋体" w:hAnsi="宋体"/>
                <w:color w:val="auto"/>
                <w:highlight w:val="none"/>
              </w:rPr>
              <w:t>时间和地点</w:t>
            </w:r>
          </w:p>
        </w:tc>
        <w:tc>
          <w:tcPr>
            <w:tcW w:w="6412" w:type="dxa"/>
            <w:tcBorders>
              <w:top w:val="single" w:color="auto" w:sz="4" w:space="0"/>
              <w:left w:val="single" w:color="auto" w:sz="4" w:space="0"/>
              <w:right w:val="single" w:color="auto" w:sz="4" w:space="0"/>
            </w:tcBorders>
            <w:vAlign w:val="center"/>
          </w:tcPr>
          <w:p w14:paraId="46AD8A0F">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highlight w:val="none"/>
                <w:lang w:val="en-US" w:eastAsia="zh-CN"/>
              </w:rPr>
              <w:t>递交</w:t>
            </w:r>
            <w:r>
              <w:rPr>
                <w:rFonts w:hint="eastAsia" w:ascii="宋体" w:hAnsi="宋体"/>
                <w:color w:val="auto"/>
                <w:highlight w:val="none"/>
              </w:rPr>
              <w:t>时间：</w:t>
            </w:r>
            <w:r>
              <w:rPr>
                <w:rFonts w:hint="eastAsia" w:ascii="宋体" w:hAnsi="宋体" w:cs="宋体"/>
                <w:b/>
                <w:bCs/>
                <w:color w:val="auto"/>
                <w:szCs w:val="21"/>
                <w:highlight w:val="none"/>
                <w:lang w:val="en-US" w:eastAsia="zh-CN"/>
              </w:rPr>
              <w:t>2026</w:t>
            </w:r>
            <w:r>
              <w:rPr>
                <w:rFonts w:hint="eastAsia" w:ascii="宋体" w:hAnsi="宋体" w:cs="宋体"/>
                <w:b/>
                <w:bCs/>
                <w:color w:val="auto"/>
                <w:szCs w:val="21"/>
                <w:highlight w:val="none"/>
              </w:rPr>
              <w:t>年</w:t>
            </w:r>
            <w:r>
              <w:rPr>
                <w:rFonts w:hint="eastAsia" w:ascii="宋体" w:hAnsi="宋体" w:cs="宋体"/>
                <w:b/>
                <w:bCs/>
                <w:color w:val="auto"/>
                <w:szCs w:val="21"/>
                <w:highlight w:val="none"/>
                <w:lang w:val="en-US" w:eastAsia="zh-CN"/>
              </w:rPr>
              <w:t>9</w:t>
            </w:r>
            <w:r>
              <w:rPr>
                <w:rFonts w:hint="eastAsia" w:ascii="宋体" w:hAnsi="宋体" w:cs="宋体"/>
                <w:b/>
                <w:bCs/>
                <w:color w:val="auto"/>
                <w:szCs w:val="21"/>
                <w:highlight w:val="none"/>
              </w:rPr>
              <w:t>月</w:t>
            </w: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日</w:t>
            </w:r>
            <w:r>
              <w:rPr>
                <w:rFonts w:hint="eastAsia" w:ascii="宋体" w:hAnsi="宋体" w:cs="宋体"/>
                <w:b/>
                <w:bCs/>
                <w:color w:val="auto"/>
                <w:szCs w:val="21"/>
                <w:highlight w:val="none"/>
                <w:lang w:val="en-US" w:eastAsia="zh-CN"/>
              </w:rPr>
              <w:t>09:30</w:t>
            </w:r>
            <w:r>
              <w:rPr>
                <w:rFonts w:hint="eastAsia" w:ascii="宋体" w:hAnsi="宋体"/>
                <w:color w:val="auto"/>
                <w:szCs w:val="21"/>
                <w:highlight w:val="none"/>
              </w:rPr>
              <w:t>（北京时间）</w:t>
            </w:r>
          </w:p>
          <w:p w14:paraId="0A96493A">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olor w:val="auto"/>
                <w:szCs w:val="21"/>
                <w:highlight w:val="none"/>
                <w:lang w:eastAsia="zh-CN"/>
              </w:rPr>
            </w:pPr>
            <w:r>
              <w:rPr>
                <w:rFonts w:hint="eastAsia" w:ascii="宋体" w:hAnsi="宋体"/>
                <w:color w:val="auto"/>
                <w:highlight w:val="none"/>
                <w:lang w:val="en-US" w:eastAsia="zh-CN"/>
              </w:rPr>
              <w:t>递交</w:t>
            </w:r>
            <w:r>
              <w:rPr>
                <w:rFonts w:hint="eastAsia" w:ascii="宋体" w:hAnsi="宋体"/>
                <w:color w:val="auto"/>
                <w:highlight w:val="none"/>
              </w:rPr>
              <w:t>地点：</w:t>
            </w:r>
            <w:r>
              <w:rPr>
                <w:rFonts w:hint="eastAsia" w:ascii="宋体" w:hAnsi="宋体"/>
                <w:color w:val="auto"/>
                <w:szCs w:val="21"/>
                <w:highlight w:val="none"/>
              </w:rPr>
              <w:t>政府采购云平台</w:t>
            </w:r>
            <w:r>
              <w:rPr>
                <w:rFonts w:hint="eastAsia" w:ascii="宋体" w:hAnsi="宋体"/>
                <w:color w:val="auto"/>
                <w:szCs w:val="21"/>
                <w:highlight w:val="none"/>
                <w:lang w:eastAsia="zh-CN"/>
              </w:rPr>
              <w:t>。</w:t>
            </w:r>
          </w:p>
        </w:tc>
      </w:tr>
      <w:tr w14:paraId="4054591D">
        <w:tblPrEx>
          <w:tblCellMar>
            <w:top w:w="0" w:type="dxa"/>
            <w:left w:w="108" w:type="dxa"/>
            <w:bottom w:w="0" w:type="dxa"/>
            <w:right w:w="108" w:type="dxa"/>
          </w:tblCellMar>
        </w:tblPrEx>
        <w:trPr>
          <w:trHeight w:val="381" w:hRule="atLeast"/>
          <w:jc w:val="center"/>
        </w:trPr>
        <w:tc>
          <w:tcPr>
            <w:tcW w:w="899" w:type="dxa"/>
            <w:tcBorders>
              <w:top w:val="single" w:color="auto" w:sz="4" w:space="0"/>
              <w:left w:val="single" w:color="auto" w:sz="4" w:space="0"/>
              <w:right w:val="single" w:color="auto" w:sz="4" w:space="0"/>
            </w:tcBorders>
            <w:vAlign w:val="center"/>
          </w:tcPr>
          <w:p w14:paraId="5CEDABA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5.2</w:t>
            </w:r>
          </w:p>
        </w:tc>
        <w:tc>
          <w:tcPr>
            <w:tcW w:w="2645" w:type="dxa"/>
            <w:tcBorders>
              <w:top w:val="single" w:color="auto" w:sz="4" w:space="0"/>
              <w:left w:val="single" w:color="auto" w:sz="4" w:space="0"/>
              <w:right w:val="single" w:color="auto" w:sz="4" w:space="0"/>
            </w:tcBorders>
            <w:vAlign w:val="center"/>
          </w:tcPr>
          <w:p w14:paraId="24DE79C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lang w:val="en-US" w:eastAsia="zh-CN"/>
              </w:rPr>
              <w:t>递交</w:t>
            </w:r>
            <w:r>
              <w:rPr>
                <w:rFonts w:hint="eastAsia" w:ascii="宋体" w:hAnsi="宋体"/>
                <w:color w:val="auto"/>
                <w:highlight w:val="none"/>
              </w:rPr>
              <w:t>程序</w:t>
            </w:r>
          </w:p>
        </w:tc>
        <w:tc>
          <w:tcPr>
            <w:tcW w:w="6412" w:type="dxa"/>
            <w:tcBorders>
              <w:top w:val="single" w:color="auto" w:sz="4" w:space="0"/>
              <w:left w:val="single" w:color="auto" w:sz="4" w:space="0"/>
              <w:right w:val="single" w:color="auto" w:sz="4" w:space="0"/>
            </w:tcBorders>
            <w:vAlign w:val="center"/>
          </w:tcPr>
          <w:p w14:paraId="05F1F6C0">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本项目采用在线</w:t>
            </w:r>
            <w:r>
              <w:rPr>
                <w:rFonts w:hint="eastAsia" w:ascii="宋体" w:hAnsi="宋体"/>
                <w:color w:val="auto"/>
                <w:szCs w:val="21"/>
                <w:highlight w:val="none"/>
                <w:lang w:val="en-US" w:eastAsia="zh-CN"/>
              </w:rPr>
              <w:t>解密</w:t>
            </w:r>
            <w:r>
              <w:rPr>
                <w:rFonts w:hint="eastAsia" w:ascii="宋体" w:hAnsi="宋体"/>
                <w:color w:val="auto"/>
                <w:szCs w:val="21"/>
                <w:highlight w:val="none"/>
              </w:rPr>
              <w:t>的方式</w:t>
            </w:r>
          </w:p>
          <w:p w14:paraId="7B1A8655">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在线解密操作流程详见“政采云”平台中《云南电子招投标（公开招标）_供应商》”。</w:t>
            </w:r>
          </w:p>
          <w:p w14:paraId="59C70867">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响应</w:t>
            </w:r>
            <w:r>
              <w:rPr>
                <w:rFonts w:hint="eastAsia" w:ascii="宋体" w:hAnsi="宋体"/>
                <w:color w:val="auto"/>
                <w:szCs w:val="21"/>
                <w:highlight w:val="none"/>
              </w:rPr>
              <w:t>文件解密：采购代理机构将在“</w:t>
            </w:r>
            <w:r>
              <w:rPr>
                <w:rFonts w:hint="eastAsia" w:ascii="宋体" w:hAnsi="宋体"/>
                <w:color w:val="auto"/>
                <w:szCs w:val="21"/>
                <w:highlight w:val="none"/>
                <w:lang w:val="en-US" w:eastAsia="zh-CN"/>
              </w:rPr>
              <w:t>供应商</w:t>
            </w:r>
            <w:r>
              <w:rPr>
                <w:rFonts w:hint="eastAsia" w:ascii="宋体" w:hAnsi="宋体"/>
                <w:color w:val="auto"/>
                <w:szCs w:val="21"/>
                <w:highlight w:val="none"/>
              </w:rPr>
              <w:t>须知前附表”规定的时间通过电子交易平台组织</w:t>
            </w:r>
            <w:r>
              <w:rPr>
                <w:rFonts w:hint="eastAsia" w:ascii="宋体" w:hAnsi="宋体"/>
                <w:color w:val="auto"/>
                <w:szCs w:val="21"/>
                <w:highlight w:val="none"/>
                <w:lang w:val="en-US" w:eastAsia="zh-CN"/>
              </w:rPr>
              <w:t>响应</w:t>
            </w:r>
            <w:r>
              <w:rPr>
                <w:rFonts w:hint="eastAsia" w:ascii="宋体" w:hAnsi="宋体"/>
                <w:color w:val="auto"/>
                <w:szCs w:val="21"/>
                <w:highlight w:val="none"/>
              </w:rPr>
              <w:t>文件开启，采购机构依托电子交易平台发起开始解密指令，</w:t>
            </w:r>
            <w:r>
              <w:rPr>
                <w:rFonts w:hint="eastAsia" w:ascii="宋体" w:hAnsi="宋体"/>
                <w:color w:val="auto"/>
                <w:szCs w:val="21"/>
                <w:highlight w:val="none"/>
                <w:lang w:val="en-US" w:eastAsia="zh-CN"/>
              </w:rPr>
              <w:t>供应商</w:t>
            </w:r>
            <w:r>
              <w:rPr>
                <w:rFonts w:hint="eastAsia" w:ascii="宋体" w:hAnsi="宋体"/>
                <w:color w:val="auto"/>
                <w:szCs w:val="21"/>
                <w:highlight w:val="none"/>
              </w:rPr>
              <w:t>的法定代表人（自然人本人）或其委托代理人须使用加密时所用的CA锁按平台提示和</w:t>
            </w:r>
            <w:r>
              <w:rPr>
                <w:rFonts w:hint="eastAsia" w:ascii="宋体" w:hAnsi="宋体"/>
                <w:color w:val="auto"/>
                <w:szCs w:val="21"/>
                <w:highlight w:val="none"/>
                <w:lang w:val="en-US" w:eastAsia="zh-CN"/>
              </w:rPr>
              <w:t>竞争性磋商</w:t>
            </w:r>
            <w:r>
              <w:rPr>
                <w:rFonts w:hint="eastAsia" w:ascii="宋体" w:hAnsi="宋体"/>
                <w:color w:val="auto"/>
                <w:szCs w:val="21"/>
                <w:highlight w:val="none"/>
              </w:rPr>
              <w:t>文件的规定登录到“政采云”平台电子开标大厅签到，并在发起解密指令之时起30分钟内完成对电子</w:t>
            </w:r>
            <w:r>
              <w:rPr>
                <w:rFonts w:hint="eastAsia" w:ascii="宋体" w:hAnsi="宋体"/>
                <w:color w:val="auto"/>
                <w:szCs w:val="21"/>
                <w:highlight w:val="none"/>
                <w:lang w:val="en-US" w:eastAsia="zh-CN"/>
              </w:rPr>
              <w:t>响应</w:t>
            </w:r>
            <w:r>
              <w:rPr>
                <w:rFonts w:hint="eastAsia" w:ascii="宋体" w:hAnsi="宋体"/>
                <w:color w:val="auto"/>
                <w:szCs w:val="21"/>
                <w:highlight w:val="none"/>
              </w:rPr>
              <w:t>文件在线解密。发起解密指令之时起5分钟内投标人还未进行解密的，代理机构将通知</w:t>
            </w:r>
            <w:r>
              <w:rPr>
                <w:rFonts w:hint="eastAsia" w:ascii="宋体" w:hAnsi="宋体"/>
                <w:color w:val="auto"/>
                <w:szCs w:val="21"/>
                <w:highlight w:val="none"/>
                <w:lang w:val="en-US" w:eastAsia="zh-CN"/>
              </w:rPr>
              <w:t>供应商</w:t>
            </w:r>
            <w:r>
              <w:rPr>
                <w:rFonts w:hint="eastAsia" w:ascii="宋体" w:hAnsi="宋体"/>
                <w:color w:val="auto"/>
                <w:szCs w:val="21"/>
                <w:highlight w:val="none"/>
              </w:rPr>
              <w:t>，</w:t>
            </w:r>
            <w:r>
              <w:rPr>
                <w:rFonts w:hint="eastAsia" w:ascii="宋体" w:hAnsi="宋体"/>
                <w:color w:val="auto"/>
                <w:szCs w:val="21"/>
                <w:highlight w:val="none"/>
                <w:lang w:val="en-US" w:eastAsia="zh-CN"/>
              </w:rPr>
              <w:t>供应商</w:t>
            </w:r>
            <w:r>
              <w:rPr>
                <w:rFonts w:hint="eastAsia" w:ascii="宋体" w:hAnsi="宋体"/>
                <w:color w:val="auto"/>
                <w:szCs w:val="21"/>
                <w:highlight w:val="none"/>
              </w:rPr>
              <w:t>没预留联系方式或预留联系方式无效，导致代理机构无法联系到</w:t>
            </w:r>
            <w:r>
              <w:rPr>
                <w:rFonts w:hint="eastAsia" w:ascii="宋体" w:hAnsi="宋体"/>
                <w:color w:val="auto"/>
                <w:szCs w:val="21"/>
                <w:highlight w:val="none"/>
                <w:lang w:val="en-US" w:eastAsia="zh-CN"/>
              </w:rPr>
              <w:t>供应商</w:t>
            </w:r>
            <w:r>
              <w:rPr>
                <w:rFonts w:hint="eastAsia" w:ascii="宋体" w:hAnsi="宋体"/>
                <w:color w:val="auto"/>
                <w:szCs w:val="21"/>
                <w:highlight w:val="none"/>
              </w:rPr>
              <w:t>进行解密的，视为</w:t>
            </w:r>
            <w:r>
              <w:rPr>
                <w:rFonts w:hint="eastAsia" w:ascii="宋体" w:hAnsi="宋体"/>
                <w:color w:val="auto"/>
                <w:szCs w:val="21"/>
                <w:highlight w:val="none"/>
                <w:lang w:val="en-US" w:eastAsia="zh-CN"/>
              </w:rPr>
              <w:t>响应</w:t>
            </w:r>
            <w:r>
              <w:rPr>
                <w:rFonts w:hint="eastAsia" w:ascii="宋体" w:hAnsi="宋体"/>
                <w:color w:val="auto"/>
                <w:szCs w:val="21"/>
                <w:highlight w:val="none"/>
              </w:rPr>
              <w:t>文件无效。</w:t>
            </w:r>
          </w:p>
          <w:p w14:paraId="51B376F2">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（2）开标一览表确认及签字：</w:t>
            </w:r>
            <w:r>
              <w:rPr>
                <w:rFonts w:hint="eastAsia" w:ascii="宋体" w:hAnsi="宋体"/>
                <w:color w:val="auto"/>
                <w:szCs w:val="21"/>
                <w:highlight w:val="none"/>
                <w:lang w:val="en-US" w:eastAsia="zh-CN"/>
              </w:rPr>
              <w:t>供应商</w:t>
            </w:r>
            <w:r>
              <w:rPr>
                <w:rFonts w:hint="eastAsia" w:ascii="宋体" w:hAnsi="宋体"/>
                <w:color w:val="auto"/>
                <w:szCs w:val="21"/>
                <w:highlight w:val="none"/>
              </w:rPr>
              <w:t>查看已公布的所有投标人名称和</w:t>
            </w:r>
            <w:r>
              <w:rPr>
                <w:rFonts w:hint="eastAsia" w:ascii="宋体" w:hAnsi="宋体"/>
                <w:color w:val="auto"/>
                <w:szCs w:val="21"/>
                <w:highlight w:val="none"/>
                <w:lang w:val="en-US" w:eastAsia="zh-CN"/>
              </w:rPr>
              <w:t>竞争性磋商</w:t>
            </w:r>
            <w:r>
              <w:rPr>
                <w:rFonts w:hint="eastAsia" w:ascii="宋体" w:hAnsi="宋体"/>
                <w:color w:val="auto"/>
                <w:szCs w:val="21"/>
                <w:highlight w:val="none"/>
              </w:rPr>
              <w:t>文件规定的其他开标内容。确认本单位内容无误后进行在线CA签章，因</w:t>
            </w:r>
            <w:r>
              <w:rPr>
                <w:rFonts w:hint="eastAsia" w:ascii="宋体" w:hAnsi="宋体"/>
                <w:color w:val="auto"/>
                <w:szCs w:val="21"/>
                <w:highlight w:val="none"/>
                <w:lang w:val="en-US" w:eastAsia="zh-CN"/>
              </w:rPr>
              <w:t>供应商</w:t>
            </w:r>
            <w:r>
              <w:rPr>
                <w:rFonts w:hint="eastAsia" w:ascii="宋体" w:hAnsi="宋体"/>
                <w:color w:val="auto"/>
                <w:szCs w:val="21"/>
                <w:highlight w:val="none"/>
              </w:rPr>
              <w:t>原因未签字的，视为认可开标结果。</w:t>
            </w:r>
          </w:p>
          <w:p w14:paraId="150091F4">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（3）开标异议：对开标有异议的，请于代理机构询问各</w:t>
            </w:r>
            <w:r>
              <w:rPr>
                <w:rFonts w:hint="eastAsia" w:ascii="宋体" w:hAnsi="宋体"/>
                <w:color w:val="auto"/>
                <w:szCs w:val="21"/>
                <w:highlight w:val="none"/>
                <w:lang w:val="en-US" w:eastAsia="zh-CN"/>
              </w:rPr>
              <w:t>供应商</w:t>
            </w:r>
            <w:r>
              <w:rPr>
                <w:rFonts w:hint="eastAsia" w:ascii="宋体" w:hAnsi="宋体"/>
                <w:color w:val="auto"/>
                <w:szCs w:val="21"/>
                <w:highlight w:val="none"/>
              </w:rPr>
              <w:t>有无异议的时候，通过开标系统以文字信息方式提出，代理机构将异议及采购人回复内容一并记录在开标一览表上。</w:t>
            </w:r>
          </w:p>
          <w:p w14:paraId="181387FB">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（4）结束。</w:t>
            </w:r>
          </w:p>
        </w:tc>
      </w:tr>
      <w:tr w14:paraId="65547388">
        <w:tblPrEx>
          <w:tblCellMar>
            <w:top w:w="0" w:type="dxa"/>
            <w:left w:w="108" w:type="dxa"/>
            <w:bottom w:w="0" w:type="dxa"/>
            <w:right w:w="108" w:type="dxa"/>
          </w:tblCellMar>
        </w:tblPrEx>
        <w:trPr>
          <w:trHeight w:val="410" w:hRule="atLeast"/>
          <w:jc w:val="center"/>
        </w:trPr>
        <w:tc>
          <w:tcPr>
            <w:tcW w:w="899" w:type="dxa"/>
            <w:tcBorders>
              <w:top w:val="single" w:color="auto" w:sz="4" w:space="0"/>
              <w:left w:val="single" w:color="auto" w:sz="4" w:space="0"/>
              <w:right w:val="single" w:color="auto" w:sz="4" w:space="0"/>
            </w:tcBorders>
            <w:vAlign w:val="center"/>
          </w:tcPr>
          <w:p w14:paraId="7EEB787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6.1.1</w:t>
            </w:r>
          </w:p>
        </w:tc>
        <w:tc>
          <w:tcPr>
            <w:tcW w:w="2645" w:type="dxa"/>
            <w:tcBorders>
              <w:top w:val="single" w:color="auto" w:sz="4" w:space="0"/>
              <w:left w:val="single" w:color="auto" w:sz="4" w:space="0"/>
              <w:right w:val="single" w:color="auto" w:sz="4" w:space="0"/>
            </w:tcBorders>
            <w:vAlign w:val="center"/>
          </w:tcPr>
          <w:p w14:paraId="2A79394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highlight w:val="none"/>
              </w:rPr>
              <w:t>磋商小组的组建</w:t>
            </w:r>
          </w:p>
        </w:tc>
        <w:tc>
          <w:tcPr>
            <w:tcW w:w="6412" w:type="dxa"/>
            <w:tcBorders>
              <w:top w:val="single" w:color="auto" w:sz="4" w:space="0"/>
              <w:left w:val="single" w:color="auto" w:sz="4" w:space="0"/>
              <w:right w:val="single" w:color="auto" w:sz="4" w:space="0"/>
            </w:tcBorders>
            <w:vAlign w:val="center"/>
          </w:tcPr>
          <w:p w14:paraId="07976716">
            <w:pPr>
              <w:keepNext w:val="0"/>
              <w:keepLines w:val="0"/>
              <w:widowControl/>
              <w:suppressLineNumbers w:val="0"/>
              <w:spacing w:before="0" w:beforeAutospacing="0" w:after="0" w:afterAutospacing="0" w:line="360" w:lineRule="auto"/>
              <w:ind w:left="0" w:right="0"/>
              <w:jc w:val="left"/>
              <w:rPr>
                <w:rFonts w:hint="default"/>
                <w:color w:val="auto"/>
                <w:szCs w:val="21"/>
                <w:highlight w:val="none"/>
              </w:rPr>
            </w:pPr>
            <w:r>
              <w:rPr>
                <w:rFonts w:hint="default"/>
                <w:color w:val="auto"/>
                <w:szCs w:val="21"/>
                <w:highlight w:val="none"/>
              </w:rPr>
              <w:t>磋商小组人数：</w:t>
            </w:r>
            <w:r>
              <w:rPr>
                <w:rFonts w:hint="eastAsia"/>
                <w:color w:val="auto"/>
                <w:szCs w:val="21"/>
                <w:highlight w:val="none"/>
                <w:u w:val="single"/>
              </w:rPr>
              <w:t>3人或以上单数，由采购人代表及相关专业的</w:t>
            </w:r>
            <w:r>
              <w:rPr>
                <w:rFonts w:hint="eastAsia"/>
                <w:color w:val="auto"/>
                <w:szCs w:val="21"/>
                <w:highlight w:val="none"/>
                <w:u w:val="single"/>
                <w:lang w:val="en-US" w:eastAsia="zh-CN"/>
              </w:rPr>
              <w:t>评审</w:t>
            </w:r>
            <w:r>
              <w:rPr>
                <w:rFonts w:hint="eastAsia"/>
                <w:color w:val="auto"/>
                <w:szCs w:val="21"/>
                <w:highlight w:val="none"/>
                <w:u w:val="single"/>
              </w:rPr>
              <w:t>专家组成</w:t>
            </w:r>
            <w:r>
              <w:rPr>
                <w:rFonts w:hint="default"/>
                <w:color w:val="auto"/>
                <w:szCs w:val="21"/>
                <w:highlight w:val="none"/>
              </w:rPr>
              <w:t>。</w:t>
            </w:r>
          </w:p>
          <w:p w14:paraId="565A67FF">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color w:val="auto"/>
                <w:szCs w:val="21"/>
                <w:highlight w:val="none"/>
              </w:rPr>
              <w:t>评审专家</w:t>
            </w:r>
            <w:r>
              <w:rPr>
                <w:rFonts w:hint="default"/>
                <w:color w:val="auto"/>
                <w:szCs w:val="21"/>
                <w:highlight w:val="none"/>
              </w:rPr>
              <w:t>的确定方式：</w:t>
            </w:r>
            <w:r>
              <w:rPr>
                <w:rFonts w:hint="eastAsia" w:ascii="宋体" w:hAnsi="宋体"/>
                <w:color w:val="auto"/>
                <w:szCs w:val="21"/>
                <w:highlight w:val="none"/>
                <w:u w:val="single"/>
              </w:rPr>
              <w:t>在云南省政府采购专家管理子系统中随机抽取</w:t>
            </w:r>
            <w:r>
              <w:rPr>
                <w:rFonts w:hint="eastAsia" w:ascii="宋体" w:hAnsi="宋体"/>
                <w:color w:val="auto"/>
                <w:szCs w:val="21"/>
                <w:highlight w:val="none"/>
              </w:rPr>
              <w:t xml:space="preserve">。 </w:t>
            </w:r>
          </w:p>
        </w:tc>
      </w:tr>
      <w:tr w14:paraId="35A4E60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73E116B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6.3</w:t>
            </w:r>
          </w:p>
        </w:tc>
        <w:tc>
          <w:tcPr>
            <w:tcW w:w="2645" w:type="dxa"/>
            <w:tcBorders>
              <w:top w:val="single" w:color="auto" w:sz="4" w:space="0"/>
              <w:left w:val="single" w:color="auto" w:sz="4" w:space="0"/>
              <w:bottom w:val="single" w:color="auto" w:sz="4" w:space="0"/>
              <w:right w:val="single" w:color="auto" w:sz="4" w:space="0"/>
            </w:tcBorders>
            <w:vAlign w:val="center"/>
          </w:tcPr>
          <w:p w14:paraId="1D30B94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评审办法</w:t>
            </w:r>
          </w:p>
        </w:tc>
        <w:tc>
          <w:tcPr>
            <w:tcW w:w="6412" w:type="dxa"/>
            <w:tcBorders>
              <w:top w:val="single" w:color="auto" w:sz="4" w:space="0"/>
              <w:left w:val="single" w:color="auto" w:sz="4" w:space="0"/>
              <w:bottom w:val="single" w:color="auto" w:sz="4" w:space="0"/>
              <w:right w:val="single" w:color="auto" w:sz="4" w:space="0"/>
            </w:tcBorders>
            <w:vAlign w:val="center"/>
          </w:tcPr>
          <w:p w14:paraId="713FBF90">
            <w:pPr>
              <w:keepNext w:val="0"/>
              <w:keepLines w:val="0"/>
              <w:suppressLineNumbers w:val="0"/>
              <w:adjustRightInd w:val="0"/>
              <w:spacing w:before="0" w:beforeAutospacing="0" w:after="0" w:afterAutospacing="0" w:line="360" w:lineRule="auto"/>
              <w:ind w:left="0" w:right="0"/>
              <w:jc w:val="left"/>
              <w:textAlignment w:val="baseline"/>
              <w:rPr>
                <w:rFonts w:hint="eastAsia" w:ascii="宋体" w:hAnsi="宋体"/>
                <w:color w:val="auto"/>
                <w:szCs w:val="21"/>
                <w:highlight w:val="none"/>
              </w:rPr>
            </w:pPr>
            <w:r>
              <w:rPr>
                <w:rFonts w:hint="eastAsia" w:ascii="宋体" w:hAnsi="宋体"/>
                <w:color w:val="auto"/>
                <w:szCs w:val="21"/>
                <w:highlight w:val="none"/>
              </w:rPr>
              <w:t>详见第三章《评审办法》</w:t>
            </w:r>
          </w:p>
        </w:tc>
      </w:tr>
      <w:tr w14:paraId="14C0D3BF">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121A92E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7.1</w:t>
            </w:r>
          </w:p>
        </w:tc>
        <w:tc>
          <w:tcPr>
            <w:tcW w:w="2645" w:type="dxa"/>
            <w:tcBorders>
              <w:top w:val="single" w:color="auto" w:sz="4" w:space="0"/>
              <w:left w:val="single" w:color="auto" w:sz="4" w:space="0"/>
              <w:bottom w:val="single" w:color="auto" w:sz="4" w:space="0"/>
              <w:right w:val="single" w:color="auto" w:sz="4" w:space="0"/>
            </w:tcBorders>
            <w:vAlign w:val="center"/>
          </w:tcPr>
          <w:p w14:paraId="2082B6B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是否授权磋商小组确定成交单位</w:t>
            </w:r>
          </w:p>
        </w:tc>
        <w:tc>
          <w:tcPr>
            <w:tcW w:w="6412" w:type="dxa"/>
            <w:tcBorders>
              <w:top w:val="single" w:color="auto" w:sz="4" w:space="0"/>
              <w:left w:val="single" w:color="auto" w:sz="4" w:space="0"/>
              <w:bottom w:val="single" w:color="auto" w:sz="4" w:space="0"/>
              <w:right w:val="single" w:color="auto" w:sz="4" w:space="0"/>
            </w:tcBorders>
            <w:vAlign w:val="center"/>
          </w:tcPr>
          <w:p w14:paraId="51A905B7">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default" w:ascii="宋体" w:hAnsi="宋体"/>
                <w:color w:val="auto"/>
                <w:szCs w:val="21"/>
                <w:highlight w:val="none"/>
              </w:rPr>
              <w:t>□</w:t>
            </w:r>
            <w:r>
              <w:rPr>
                <w:rFonts w:hint="eastAsia" w:ascii="宋体" w:hAnsi="宋体"/>
                <w:color w:val="auto"/>
                <w:szCs w:val="21"/>
                <w:highlight w:val="none"/>
              </w:rPr>
              <w:t>是</w:t>
            </w:r>
          </w:p>
          <w:p w14:paraId="5C4D18E4">
            <w:pPr>
              <w:keepNext w:val="0"/>
              <w:keepLines w:val="0"/>
              <w:suppressLineNumbers w:val="0"/>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olor w:val="auto"/>
                <w:szCs w:val="21"/>
                <w:highlight w:val="none"/>
              </w:rPr>
              <w:t>☑否，推荐的成交候选人数：按照综合得分由高到低推荐</w:t>
            </w:r>
            <w:r>
              <w:rPr>
                <w:rFonts w:hint="eastAsia" w:ascii="宋体" w:hAnsi="宋体"/>
                <w:color w:val="auto"/>
                <w:szCs w:val="21"/>
                <w:highlight w:val="none"/>
                <w:lang w:val="en-US" w:eastAsia="zh-CN"/>
              </w:rPr>
              <w:t>2</w:t>
            </w:r>
            <w:r>
              <w:rPr>
                <w:rFonts w:hint="eastAsia" w:ascii="宋体" w:hAnsi="宋体"/>
                <w:color w:val="auto"/>
                <w:szCs w:val="21"/>
                <w:highlight w:val="none"/>
              </w:rPr>
              <w:t>名</w:t>
            </w:r>
            <w:r>
              <w:rPr>
                <w:rFonts w:hint="eastAsia" w:ascii="宋体" w:hAnsi="宋体"/>
                <w:color w:val="auto"/>
                <w:szCs w:val="21"/>
                <w:highlight w:val="none"/>
                <w:lang w:val="en-US" w:eastAsia="zh-CN"/>
              </w:rPr>
              <w:t>或以上</w:t>
            </w:r>
            <w:r>
              <w:rPr>
                <w:rFonts w:hint="eastAsia" w:ascii="宋体" w:hAnsi="宋体"/>
                <w:color w:val="auto"/>
                <w:szCs w:val="21"/>
                <w:highlight w:val="none"/>
              </w:rPr>
              <w:t>成交候选人。</w:t>
            </w:r>
          </w:p>
        </w:tc>
      </w:tr>
      <w:tr w14:paraId="09FA40F5">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448815F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7.3.1</w:t>
            </w:r>
          </w:p>
        </w:tc>
        <w:tc>
          <w:tcPr>
            <w:tcW w:w="2645" w:type="dxa"/>
            <w:tcBorders>
              <w:top w:val="single" w:color="auto" w:sz="4" w:space="0"/>
              <w:left w:val="single" w:color="auto" w:sz="4" w:space="0"/>
              <w:bottom w:val="single" w:color="auto" w:sz="4" w:space="0"/>
              <w:right w:val="single" w:color="auto" w:sz="4" w:space="0"/>
            </w:tcBorders>
            <w:vAlign w:val="center"/>
          </w:tcPr>
          <w:p w14:paraId="33BF547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履约担保</w:t>
            </w:r>
          </w:p>
        </w:tc>
        <w:tc>
          <w:tcPr>
            <w:tcW w:w="6412" w:type="dxa"/>
            <w:tcBorders>
              <w:top w:val="single" w:color="auto" w:sz="4" w:space="0"/>
              <w:left w:val="single" w:color="auto" w:sz="4" w:space="0"/>
              <w:bottom w:val="single" w:color="auto" w:sz="4" w:space="0"/>
              <w:right w:val="single" w:color="auto" w:sz="4" w:space="0"/>
            </w:tcBorders>
            <w:vAlign w:val="center"/>
          </w:tcPr>
          <w:p w14:paraId="19972DFC">
            <w:pPr>
              <w:keepNext w:val="0"/>
              <w:keepLines w:val="0"/>
              <w:suppressLineNumbers w:val="0"/>
              <w:tabs>
                <w:tab w:val="left" w:pos="1820"/>
                <w:tab w:val="center" w:pos="3042"/>
              </w:tabs>
              <w:adjustRightInd w:val="0"/>
              <w:spacing w:before="0" w:beforeAutospacing="0" w:after="0" w:afterAutospacing="0" w:line="360" w:lineRule="auto"/>
              <w:ind w:left="0" w:right="0"/>
              <w:jc w:val="left"/>
              <w:textAlignment w:val="baseline"/>
              <w:rPr>
                <w:rFonts w:hint="eastAsia" w:ascii="宋体" w:hAnsi="宋体"/>
                <w:color w:val="auto"/>
                <w:szCs w:val="21"/>
                <w:highlight w:val="none"/>
              </w:rPr>
            </w:pPr>
            <w:r>
              <w:rPr>
                <w:rFonts w:hint="eastAsia" w:ascii="宋体" w:hAnsi="宋体" w:cs="宋体"/>
                <w:color w:val="auto"/>
                <w:szCs w:val="21"/>
                <w:highlight w:val="none"/>
                <w:lang w:val="en-US" w:eastAsia="zh-CN"/>
              </w:rPr>
              <w:t>不收取</w:t>
            </w:r>
            <w:r>
              <w:rPr>
                <w:rFonts w:hint="eastAsia" w:ascii="宋体" w:hAnsi="宋体" w:cs="宋体"/>
                <w:color w:val="auto"/>
                <w:szCs w:val="21"/>
                <w:highlight w:val="none"/>
              </w:rPr>
              <w:t>。</w:t>
            </w:r>
          </w:p>
        </w:tc>
      </w:tr>
      <w:tr w14:paraId="07BED027">
        <w:tblPrEx>
          <w:tblCellMar>
            <w:top w:w="0" w:type="dxa"/>
            <w:left w:w="108" w:type="dxa"/>
            <w:bottom w:w="0" w:type="dxa"/>
            <w:right w:w="108" w:type="dxa"/>
          </w:tblCellMar>
        </w:tblPrEx>
        <w:trPr>
          <w:jc w:val="center"/>
        </w:trPr>
        <w:tc>
          <w:tcPr>
            <w:tcW w:w="899" w:type="dxa"/>
            <w:tcBorders>
              <w:top w:val="single" w:color="auto" w:sz="4" w:space="0"/>
              <w:left w:val="single" w:color="auto" w:sz="4" w:space="0"/>
              <w:bottom w:val="single" w:color="auto" w:sz="4" w:space="0"/>
              <w:right w:val="single" w:color="auto" w:sz="4" w:space="0"/>
            </w:tcBorders>
            <w:vAlign w:val="center"/>
          </w:tcPr>
          <w:p w14:paraId="609AB27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highlight w:val="none"/>
              </w:rPr>
            </w:pPr>
            <w:r>
              <w:rPr>
                <w:rFonts w:hint="eastAsia" w:ascii="宋体" w:hAnsi="宋体"/>
                <w:color w:val="auto"/>
                <w:szCs w:val="21"/>
                <w:highlight w:val="none"/>
              </w:rPr>
              <w:t>10.1</w:t>
            </w:r>
          </w:p>
        </w:tc>
        <w:tc>
          <w:tcPr>
            <w:tcW w:w="2645" w:type="dxa"/>
            <w:tcBorders>
              <w:top w:val="single" w:color="auto" w:sz="4" w:space="0"/>
              <w:left w:val="single" w:color="auto" w:sz="4" w:space="0"/>
              <w:bottom w:val="single" w:color="auto" w:sz="4" w:space="0"/>
              <w:right w:val="single" w:color="auto" w:sz="4" w:space="0"/>
            </w:tcBorders>
            <w:vAlign w:val="center"/>
          </w:tcPr>
          <w:p w14:paraId="29BE948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highlight w:val="none"/>
              </w:rPr>
            </w:pPr>
            <w:r>
              <w:rPr>
                <w:rFonts w:hint="eastAsia" w:ascii="宋体" w:hAnsi="宋体"/>
                <w:color w:val="auto"/>
                <w:highlight w:val="none"/>
              </w:rPr>
              <w:t>质疑提出的时间与方式</w:t>
            </w:r>
          </w:p>
        </w:tc>
        <w:tc>
          <w:tcPr>
            <w:tcW w:w="6412" w:type="dxa"/>
            <w:tcBorders>
              <w:top w:val="single" w:color="auto" w:sz="4" w:space="0"/>
              <w:left w:val="single" w:color="auto" w:sz="4" w:space="0"/>
              <w:bottom w:val="single" w:color="auto" w:sz="4" w:space="0"/>
              <w:right w:val="single" w:color="auto" w:sz="4" w:space="0"/>
            </w:tcBorders>
            <w:vAlign w:val="center"/>
          </w:tcPr>
          <w:p w14:paraId="0F5478C1">
            <w:pPr>
              <w:keepNext w:val="0"/>
              <w:keepLines w:val="0"/>
              <w:suppressLineNumbers w:val="0"/>
              <w:tabs>
                <w:tab w:val="left" w:pos="1820"/>
                <w:tab w:val="center" w:pos="3042"/>
              </w:tabs>
              <w:adjustRightInd w:val="0"/>
              <w:spacing w:before="0" w:beforeAutospacing="0" w:after="0" w:afterAutospacing="0" w:line="360" w:lineRule="auto"/>
              <w:ind w:left="0" w:right="0"/>
              <w:textAlignment w:val="baseline"/>
              <w:rPr>
                <w:rFonts w:hint="eastAsia" w:ascii="宋体" w:hAnsi="宋体" w:cs="宋体"/>
                <w:color w:val="auto"/>
                <w:highlight w:val="none"/>
              </w:rPr>
            </w:pPr>
            <w:r>
              <w:rPr>
                <w:rFonts w:hint="eastAsia" w:ascii="宋体" w:hAnsi="宋体" w:cs="宋体"/>
                <w:color w:val="auto"/>
                <w:highlight w:val="none"/>
              </w:rPr>
              <w:t>质疑提出方式：以书面形式提交或在政府采购云平台进行提交。</w:t>
            </w:r>
          </w:p>
          <w:p w14:paraId="36A92DB3">
            <w:pPr>
              <w:keepNext w:val="0"/>
              <w:keepLines w:val="0"/>
              <w:suppressLineNumbers w:val="0"/>
              <w:tabs>
                <w:tab w:val="left" w:pos="1820"/>
                <w:tab w:val="center" w:pos="3042"/>
              </w:tabs>
              <w:adjustRightInd w:val="0"/>
              <w:spacing w:before="0" w:beforeAutospacing="0" w:after="0" w:afterAutospacing="0" w:line="360" w:lineRule="auto"/>
              <w:ind w:left="0" w:right="0"/>
              <w:textAlignment w:val="baseline"/>
              <w:rPr>
                <w:rFonts w:hint="eastAsia" w:ascii="宋体" w:hAnsi="宋体" w:cs="宋体"/>
                <w:color w:val="auto"/>
                <w:highlight w:val="none"/>
              </w:rPr>
            </w:pPr>
            <w:r>
              <w:rPr>
                <w:rFonts w:hint="eastAsia" w:ascii="宋体" w:hAnsi="宋体" w:cs="宋体"/>
                <w:color w:val="auto"/>
                <w:highlight w:val="none"/>
              </w:rPr>
              <w:t>采购人联系部门：</w:t>
            </w:r>
            <w:r>
              <w:rPr>
                <w:rFonts w:hint="eastAsia" w:ascii="宋体" w:hAnsi="宋体"/>
                <w:color w:val="auto"/>
                <w:szCs w:val="21"/>
                <w:highlight w:val="none"/>
                <w:lang w:eastAsia="zh-CN"/>
              </w:rPr>
              <w:t>昆明市东川区农业农村局</w:t>
            </w:r>
            <w:r>
              <w:rPr>
                <w:rFonts w:hint="eastAsia" w:ascii="宋体" w:hAnsi="宋体" w:cs="宋体"/>
                <w:color w:val="auto"/>
                <w:highlight w:val="none"/>
              </w:rPr>
              <w:t>。</w:t>
            </w:r>
          </w:p>
          <w:p w14:paraId="134AFE9A">
            <w:pPr>
              <w:keepNext w:val="0"/>
              <w:keepLines w:val="0"/>
              <w:suppressLineNumbers w:val="0"/>
              <w:tabs>
                <w:tab w:val="left" w:pos="1820"/>
                <w:tab w:val="center" w:pos="3042"/>
              </w:tabs>
              <w:adjustRightInd w:val="0"/>
              <w:spacing w:before="0" w:beforeAutospacing="0" w:after="0" w:afterAutospacing="0" w:line="360" w:lineRule="auto"/>
              <w:ind w:left="0" w:right="0"/>
              <w:textAlignment w:val="baseline"/>
              <w:rPr>
                <w:rFonts w:hint="default"/>
                <w:color w:val="auto"/>
                <w:highlight w:val="none"/>
                <w:shd w:val="clear" w:color="auto" w:fill="FFFFFF" w:themeFill="background1"/>
              </w:rPr>
            </w:pPr>
            <w:r>
              <w:rPr>
                <w:rFonts w:hint="eastAsia" w:ascii="宋体" w:hAnsi="宋体" w:cs="宋体"/>
                <w:color w:val="auto"/>
                <w:highlight w:val="none"/>
              </w:rPr>
              <w:t>通讯地址：</w:t>
            </w:r>
            <w:r>
              <w:rPr>
                <w:rFonts w:hint="eastAsia" w:ascii="宋体" w:hAnsi="宋体" w:cs="宋体"/>
                <w:color w:val="auto"/>
                <w:szCs w:val="21"/>
                <w:highlight w:val="none"/>
                <w:lang w:eastAsia="zh-CN"/>
              </w:rPr>
              <w:t>昆明市东川区白云街1号</w:t>
            </w:r>
            <w:r>
              <w:rPr>
                <w:rFonts w:hint="eastAsia" w:ascii="宋体" w:hAnsi="宋体" w:cs="宋体"/>
                <w:color w:val="auto"/>
                <w:szCs w:val="21"/>
                <w:highlight w:val="none"/>
              </w:rPr>
              <w:t>，联系人：</w:t>
            </w:r>
            <w:r>
              <w:rPr>
                <w:rFonts w:hint="eastAsia" w:ascii="宋体" w:hAnsi="宋体" w:cs="宋体"/>
                <w:color w:val="auto"/>
                <w:szCs w:val="21"/>
                <w:highlight w:val="none"/>
                <w:lang w:val="en-US" w:eastAsia="zh-CN"/>
              </w:rPr>
              <w:t>陈老师</w:t>
            </w:r>
            <w:r>
              <w:rPr>
                <w:rFonts w:hint="eastAsia" w:ascii="宋体" w:hAnsi="宋体" w:cs="宋体"/>
                <w:color w:val="auto"/>
                <w:szCs w:val="21"/>
                <w:highlight w:val="none"/>
              </w:rPr>
              <w:t>，联系电话：</w:t>
            </w:r>
            <w:r>
              <w:rPr>
                <w:rFonts w:hint="eastAsia" w:ascii="宋体" w:hAnsi="宋体" w:cs="宋体"/>
                <w:color w:val="auto"/>
                <w:szCs w:val="21"/>
                <w:highlight w:val="none"/>
                <w:lang w:eastAsia="zh-CN"/>
              </w:rPr>
              <w:t>0871-621</w:t>
            </w:r>
            <w:r>
              <w:rPr>
                <w:rFonts w:hint="eastAsia" w:ascii="宋体" w:hAnsi="宋体" w:cs="宋体"/>
                <w:color w:val="auto"/>
                <w:szCs w:val="21"/>
                <w:highlight w:val="none"/>
                <w:lang w:val="en-US" w:eastAsia="zh-CN"/>
              </w:rPr>
              <w:t>25444</w:t>
            </w:r>
            <w:r>
              <w:rPr>
                <w:rFonts w:hint="eastAsia" w:ascii="宋体" w:hAnsi="宋体" w:cs="宋体"/>
                <w:color w:val="auto"/>
                <w:szCs w:val="21"/>
                <w:highlight w:val="none"/>
              </w:rPr>
              <w:t>。</w:t>
            </w:r>
          </w:p>
          <w:p w14:paraId="3F1613DE">
            <w:pPr>
              <w:keepNext w:val="0"/>
              <w:keepLines w:val="0"/>
              <w:suppressLineNumbers w:val="0"/>
              <w:tabs>
                <w:tab w:val="left" w:pos="1820"/>
                <w:tab w:val="center" w:pos="3042"/>
              </w:tabs>
              <w:adjustRightInd w:val="0"/>
              <w:spacing w:before="0" w:beforeAutospacing="0" w:after="0" w:afterAutospacing="0" w:line="360" w:lineRule="auto"/>
              <w:ind w:left="0" w:right="0"/>
              <w:textAlignment w:val="baseline"/>
              <w:rPr>
                <w:rFonts w:hint="eastAsia" w:ascii="宋体" w:hAnsi="宋体" w:cs="宋体"/>
                <w:color w:val="auto"/>
                <w:highlight w:val="none"/>
              </w:rPr>
            </w:pPr>
            <w:r>
              <w:rPr>
                <w:rFonts w:hint="eastAsia" w:ascii="宋体" w:hAnsi="宋体" w:cs="宋体"/>
                <w:color w:val="auto"/>
                <w:highlight w:val="none"/>
              </w:rPr>
              <w:t>采购代理机构联系部门：</w:t>
            </w:r>
            <w:r>
              <w:rPr>
                <w:rFonts w:hint="eastAsia" w:ascii="宋体" w:hAnsi="宋体"/>
                <w:color w:val="auto"/>
                <w:szCs w:val="21"/>
                <w:highlight w:val="none"/>
                <w:lang w:eastAsia="zh-CN"/>
              </w:rPr>
              <w:t>屿投咨询（云南）股份有限公司</w:t>
            </w:r>
            <w:r>
              <w:rPr>
                <w:rFonts w:hint="eastAsia" w:ascii="宋体" w:hAnsi="宋体"/>
                <w:color w:val="auto"/>
                <w:highlight w:val="none"/>
              </w:rPr>
              <w:t>招标部</w:t>
            </w:r>
            <w:r>
              <w:rPr>
                <w:rFonts w:hint="eastAsia" w:ascii="宋体" w:hAnsi="宋体" w:cs="宋体"/>
                <w:color w:val="auto"/>
                <w:highlight w:val="none"/>
              </w:rPr>
              <w:t>。</w:t>
            </w:r>
          </w:p>
          <w:p w14:paraId="4D04EEC9">
            <w:pPr>
              <w:keepNext w:val="0"/>
              <w:keepLines w:val="0"/>
              <w:suppressLineNumbers w:val="0"/>
              <w:spacing w:before="0" w:beforeAutospacing="0" w:after="0" w:afterAutospacing="0" w:line="360" w:lineRule="auto"/>
              <w:ind w:left="0" w:right="0"/>
              <w:rPr>
                <w:rFonts w:hint="eastAsia" w:ascii="宋体" w:hAnsi="宋体" w:cs="宋体"/>
                <w:color w:val="auto"/>
                <w:highlight w:val="none"/>
              </w:rPr>
            </w:pPr>
            <w:r>
              <w:rPr>
                <w:rFonts w:hint="eastAsia" w:ascii="宋体" w:hAnsi="宋体" w:cs="宋体"/>
                <w:color w:val="auto"/>
                <w:highlight w:val="none"/>
              </w:rPr>
              <w:t>通讯地址：</w:t>
            </w:r>
            <w:r>
              <w:rPr>
                <w:rFonts w:hint="eastAsia" w:ascii="宋体" w:hAnsi="宋体" w:cs="宋体"/>
                <w:color w:val="auto"/>
                <w:szCs w:val="21"/>
                <w:highlight w:val="none"/>
              </w:rPr>
              <w:t>昆明市西山区日新中路润城第一大道D栋6层</w:t>
            </w:r>
            <w:r>
              <w:rPr>
                <w:rFonts w:hint="eastAsia" w:ascii="宋体" w:hAnsi="宋体" w:cs="宋体"/>
                <w:color w:val="auto"/>
                <w:highlight w:val="none"/>
              </w:rPr>
              <w:t>，联系人：</w:t>
            </w:r>
            <w:r>
              <w:rPr>
                <w:rFonts w:hint="eastAsia" w:ascii="宋体" w:hAnsi="宋体"/>
                <w:color w:val="auto"/>
                <w:highlight w:val="none"/>
              </w:rPr>
              <w:t>黄工</w:t>
            </w:r>
            <w:r>
              <w:rPr>
                <w:rFonts w:hint="eastAsia" w:ascii="宋体" w:hAnsi="宋体" w:cs="宋体"/>
                <w:color w:val="auto"/>
                <w:highlight w:val="none"/>
              </w:rPr>
              <w:t>，联系电话：</w:t>
            </w:r>
            <w:r>
              <w:rPr>
                <w:rFonts w:hint="eastAsia" w:ascii="宋体" w:hAnsi="宋体" w:cs="宋体"/>
                <w:color w:val="auto"/>
                <w:szCs w:val="21"/>
                <w:highlight w:val="none"/>
              </w:rPr>
              <w:t>13698776748</w:t>
            </w:r>
            <w:r>
              <w:rPr>
                <w:rFonts w:hint="eastAsia" w:ascii="宋体" w:hAnsi="宋体"/>
                <w:color w:val="auto"/>
                <w:highlight w:val="none"/>
              </w:rPr>
              <w:t>、</w:t>
            </w:r>
            <w:r>
              <w:rPr>
                <w:rFonts w:hint="eastAsia" w:ascii="宋体" w:hAnsi="宋体" w:cs="宋体"/>
                <w:color w:val="auto"/>
                <w:szCs w:val="21"/>
                <w:highlight w:val="none"/>
              </w:rPr>
              <w:t>13032305083</w:t>
            </w:r>
            <w:r>
              <w:rPr>
                <w:rFonts w:hint="eastAsia" w:ascii="宋体" w:hAnsi="宋体" w:cs="宋体"/>
                <w:color w:val="auto"/>
                <w:highlight w:val="none"/>
              </w:rPr>
              <w:t>。</w:t>
            </w:r>
          </w:p>
          <w:p w14:paraId="5F4BF43D">
            <w:pPr>
              <w:keepNext w:val="0"/>
              <w:keepLines w:val="0"/>
              <w:suppressLineNumbers w:val="0"/>
              <w:tabs>
                <w:tab w:val="left" w:pos="1820"/>
                <w:tab w:val="center" w:pos="3042"/>
              </w:tabs>
              <w:adjustRightInd w:val="0"/>
              <w:spacing w:before="0" w:beforeAutospacing="0" w:after="0" w:afterAutospacing="0" w:line="360" w:lineRule="auto"/>
              <w:ind w:left="0" w:right="0"/>
              <w:textAlignment w:val="baseline"/>
              <w:rPr>
                <w:rFonts w:hint="eastAsia" w:ascii="宋体" w:hAnsi="宋体" w:cs="宋体"/>
                <w:color w:val="auto"/>
                <w:highlight w:val="none"/>
              </w:rPr>
            </w:pPr>
            <w:r>
              <w:rPr>
                <w:rFonts w:hint="eastAsia" w:ascii="宋体" w:hAnsi="宋体" w:cs="宋体"/>
                <w:color w:val="auto"/>
                <w:highlight w:val="none"/>
                <w:lang w:val="en-US" w:eastAsia="zh-CN"/>
              </w:rPr>
              <w:t>供应商</w:t>
            </w:r>
            <w:r>
              <w:rPr>
                <w:rFonts w:hint="eastAsia" w:ascii="宋体" w:hAnsi="宋体" w:cs="宋体"/>
                <w:color w:val="auto"/>
                <w:highlight w:val="none"/>
              </w:rPr>
              <w:t>认为采购文件、采购过程、中标或者成交结果使自己的权益受到损害的，可以在知道或者应知其权益受到损害之日起7个工作日内，以书面形式或在政府采购云平台进行向采购人、采购代理机构提出质疑。</w:t>
            </w:r>
          </w:p>
          <w:p w14:paraId="51496544">
            <w:pPr>
              <w:keepNext w:val="0"/>
              <w:keepLines w:val="0"/>
              <w:suppressLineNumbers w:val="0"/>
              <w:tabs>
                <w:tab w:val="left" w:pos="1820"/>
                <w:tab w:val="center" w:pos="3042"/>
              </w:tabs>
              <w:adjustRightInd w:val="0"/>
              <w:spacing w:before="0" w:beforeAutospacing="0" w:after="0" w:afterAutospacing="0" w:line="360" w:lineRule="auto"/>
              <w:ind w:left="0" w:right="0"/>
              <w:textAlignment w:val="baseline"/>
              <w:rPr>
                <w:rFonts w:hint="eastAsia" w:ascii="宋体" w:hAnsi="宋体"/>
                <w:color w:val="auto"/>
                <w:szCs w:val="21"/>
                <w:highlight w:val="none"/>
              </w:rPr>
            </w:pPr>
            <w:r>
              <w:rPr>
                <w:rFonts w:hint="eastAsia" w:ascii="宋体" w:hAnsi="宋体" w:cs="宋体"/>
                <w:color w:val="auto"/>
                <w:highlight w:val="none"/>
              </w:rPr>
              <w:t>采购人或采购代理机构回复</w:t>
            </w:r>
            <w:r>
              <w:rPr>
                <w:rFonts w:hint="eastAsia" w:ascii="宋体" w:hAnsi="宋体" w:cs="宋体"/>
                <w:color w:val="auto"/>
                <w:highlight w:val="none"/>
                <w:lang w:val="en-US" w:eastAsia="zh-CN"/>
              </w:rPr>
              <w:t>供应商</w:t>
            </w:r>
            <w:r>
              <w:rPr>
                <w:rFonts w:hint="eastAsia" w:ascii="宋体" w:hAnsi="宋体" w:cs="宋体"/>
                <w:color w:val="auto"/>
                <w:highlight w:val="none"/>
              </w:rPr>
              <w:t>提出质疑的截止时间及方式：采购人或采购代理机构收到投标人的质疑后七个工作日内作出答复，并以书面形式通知质疑</w:t>
            </w:r>
            <w:r>
              <w:rPr>
                <w:rFonts w:hint="eastAsia" w:ascii="宋体" w:hAnsi="宋体" w:cs="宋体"/>
                <w:color w:val="auto"/>
                <w:highlight w:val="none"/>
                <w:lang w:val="en-US" w:eastAsia="zh-CN"/>
              </w:rPr>
              <w:t>供应商</w:t>
            </w:r>
            <w:r>
              <w:rPr>
                <w:rFonts w:hint="eastAsia" w:ascii="宋体" w:hAnsi="宋体" w:cs="宋体"/>
                <w:color w:val="auto"/>
                <w:highlight w:val="none"/>
              </w:rPr>
              <w:t>和其他</w:t>
            </w:r>
            <w:r>
              <w:rPr>
                <w:rFonts w:hint="eastAsia" w:ascii="宋体" w:hAnsi="宋体" w:cs="宋体"/>
                <w:color w:val="auto"/>
                <w:highlight w:val="none"/>
                <w:lang w:val="en-US" w:eastAsia="zh-CN"/>
              </w:rPr>
              <w:t>供应商</w:t>
            </w:r>
            <w:r>
              <w:rPr>
                <w:rFonts w:hint="eastAsia" w:ascii="宋体" w:hAnsi="宋体" w:cs="宋体"/>
                <w:color w:val="auto"/>
                <w:highlight w:val="none"/>
              </w:rPr>
              <w:t>。</w:t>
            </w:r>
          </w:p>
        </w:tc>
      </w:tr>
      <w:bookmarkEnd w:id="56"/>
      <w:bookmarkEnd w:id="57"/>
      <w:bookmarkEnd w:id="58"/>
      <w:bookmarkEnd w:id="59"/>
      <w:bookmarkEnd w:id="60"/>
      <w:bookmarkEnd w:id="61"/>
      <w:bookmarkEnd w:id="62"/>
      <w:bookmarkEnd w:id="63"/>
      <w:bookmarkEnd w:id="64"/>
    </w:tbl>
    <w:p w14:paraId="54642BF1">
      <w:pPr>
        <w:pStyle w:val="528"/>
        <w:pageBreakBefore/>
        <w:spacing w:line="360" w:lineRule="auto"/>
        <w:rPr>
          <w:rFonts w:hint="eastAsia" w:ascii="宋体" w:hAnsi="宋体" w:eastAsia="宋体"/>
          <w:b/>
          <w:color w:val="auto"/>
          <w:highlight w:val="none"/>
        </w:rPr>
      </w:pPr>
      <w:bookmarkStart w:id="66" w:name="_Toc152045529"/>
      <w:bookmarkStart w:id="67" w:name="_Toc462068078"/>
      <w:bookmarkStart w:id="68" w:name="_Toc27654"/>
      <w:bookmarkStart w:id="69" w:name="_Toc152042305"/>
      <w:bookmarkStart w:id="70" w:name="_Toc48038691"/>
      <w:bookmarkStart w:id="71" w:name="_Toc48484425"/>
      <w:bookmarkStart w:id="72" w:name="_Toc4855"/>
      <w:bookmarkStart w:id="73" w:name="_Toc509841290"/>
      <w:bookmarkStart w:id="74" w:name="_Toc144974497"/>
      <w:bookmarkStart w:id="75" w:name="_Toc466623377"/>
      <w:bookmarkStart w:id="76" w:name="_Toc32395"/>
      <w:bookmarkStart w:id="77" w:name="_Toc462068362"/>
      <w:bookmarkStart w:id="78" w:name="_Toc465778781"/>
      <w:bookmarkStart w:id="79" w:name="_Toc13504"/>
      <w:bookmarkStart w:id="80" w:name="_Toc27756"/>
      <w:r>
        <w:rPr>
          <w:rFonts w:hint="eastAsia" w:ascii="宋体" w:hAnsi="宋体" w:eastAsia="宋体"/>
          <w:b/>
          <w:color w:val="auto"/>
          <w:highlight w:val="none"/>
        </w:rPr>
        <w:t>1. 总则</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21F6A514">
      <w:pPr>
        <w:pStyle w:val="440"/>
        <w:spacing w:line="360" w:lineRule="auto"/>
        <w:rPr>
          <w:rFonts w:hint="eastAsia" w:ascii="宋体" w:hAnsi="宋体" w:eastAsia="宋体"/>
          <w:color w:val="auto"/>
          <w:highlight w:val="none"/>
        </w:rPr>
      </w:pPr>
      <w:bookmarkStart w:id="81" w:name="_Toc144974498"/>
      <w:bookmarkStart w:id="82" w:name="_Toc9226"/>
      <w:bookmarkStart w:id="83" w:name="_Toc152042306"/>
      <w:bookmarkStart w:id="84" w:name="_Toc462068363"/>
      <w:bookmarkStart w:id="85" w:name="_Toc27773"/>
      <w:bookmarkStart w:id="86" w:name="_Toc466623378"/>
      <w:bookmarkStart w:id="87" w:name="_Toc28552"/>
      <w:bookmarkStart w:id="88" w:name="_Toc509841291"/>
      <w:bookmarkStart w:id="89" w:name="_Toc48484426"/>
      <w:bookmarkStart w:id="90" w:name="_Toc152045530"/>
      <w:bookmarkStart w:id="91" w:name="_Toc48038692"/>
      <w:bookmarkStart w:id="92" w:name="_Toc26495"/>
      <w:bookmarkStart w:id="93" w:name="_Toc462068079"/>
      <w:bookmarkStart w:id="94" w:name="_Toc465778782"/>
      <w:bookmarkStart w:id="95" w:name="_Toc24626"/>
      <w:r>
        <w:rPr>
          <w:rFonts w:hint="eastAsia" w:ascii="宋体" w:hAnsi="宋体" w:eastAsia="宋体"/>
          <w:color w:val="auto"/>
          <w:highlight w:val="none"/>
        </w:rPr>
        <w:t>1.1 项目概况</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0E27B2A8">
      <w:pPr>
        <w:spacing w:line="360" w:lineRule="auto"/>
        <w:ind w:firstLine="420" w:firstLineChars="200"/>
        <w:rPr>
          <w:rFonts w:hint="eastAsia" w:ascii="宋体" w:hAnsi="宋体"/>
          <w:color w:val="auto"/>
          <w:highlight w:val="none"/>
        </w:rPr>
      </w:pPr>
      <w:r>
        <w:rPr>
          <w:rFonts w:hint="eastAsia" w:ascii="宋体" w:hAnsi="宋体"/>
          <w:color w:val="auto"/>
          <w:highlight w:val="none"/>
        </w:rPr>
        <w:t>1.1.1</w:t>
      </w:r>
      <w:r>
        <w:rPr>
          <w:rFonts w:hint="eastAsia"/>
          <w:color w:val="auto"/>
          <w:szCs w:val="21"/>
          <w:highlight w:val="none"/>
        </w:rPr>
        <w:t>根据</w:t>
      </w:r>
      <w:r>
        <w:rPr>
          <w:color w:val="auto"/>
          <w:szCs w:val="21"/>
          <w:highlight w:val="none"/>
        </w:rPr>
        <w:t>《中华人民共和国政府采购法》、</w:t>
      </w:r>
      <w:r>
        <w:rPr>
          <w:rFonts w:hint="eastAsia"/>
          <w:color w:val="auto"/>
          <w:szCs w:val="21"/>
          <w:highlight w:val="none"/>
        </w:rPr>
        <w:t>中华人民共和国财政部令第87号《政府采购货物和服务招标投标管理办法》、</w:t>
      </w:r>
      <w:r>
        <w:rPr>
          <w:color w:val="auto"/>
          <w:szCs w:val="21"/>
          <w:highlight w:val="none"/>
        </w:rPr>
        <w:t>财政部关于印发《政府采购竞争性磋商采购方式管理暂行办法》的通知</w:t>
      </w:r>
      <w:r>
        <w:rPr>
          <w:rFonts w:ascii="Times New Roman" w:hAnsi="Times New Roman" w:eastAsia="宋体" w:cs="Times New Roman"/>
          <w:color w:val="auto"/>
          <w:szCs w:val="21"/>
          <w:highlight w:val="none"/>
        </w:rPr>
        <w:t>（财库【2014】214号）</w:t>
      </w:r>
      <w:r>
        <w:rPr>
          <w:color w:val="auto"/>
          <w:szCs w:val="21"/>
          <w:highlight w:val="none"/>
        </w:rPr>
        <w:t>等有关法律、法规和规章的规定，本项目已具备磋商条件，现对项目进行竞争性磋商。</w:t>
      </w:r>
    </w:p>
    <w:p w14:paraId="23FD87F6">
      <w:pPr>
        <w:spacing w:line="360" w:lineRule="auto"/>
        <w:ind w:firstLine="420" w:firstLineChars="200"/>
        <w:rPr>
          <w:rFonts w:hint="eastAsia" w:ascii="宋体" w:hAnsi="宋体"/>
          <w:color w:val="auto"/>
          <w:highlight w:val="none"/>
        </w:rPr>
      </w:pPr>
      <w:r>
        <w:rPr>
          <w:rFonts w:hint="eastAsia" w:ascii="宋体" w:hAnsi="宋体"/>
          <w:color w:val="auto"/>
          <w:highlight w:val="none"/>
        </w:rPr>
        <w:t>1.1.2 本竞争性磋商项目采购人：见供应商须知前附表。</w:t>
      </w:r>
    </w:p>
    <w:p w14:paraId="5055B34B">
      <w:pPr>
        <w:spacing w:line="360" w:lineRule="auto"/>
        <w:ind w:firstLine="420" w:firstLineChars="200"/>
        <w:rPr>
          <w:rFonts w:hint="eastAsia" w:ascii="宋体" w:hAnsi="宋体"/>
          <w:color w:val="auto"/>
          <w:highlight w:val="none"/>
        </w:rPr>
      </w:pPr>
      <w:r>
        <w:rPr>
          <w:rFonts w:hint="eastAsia" w:ascii="宋体" w:hAnsi="宋体"/>
          <w:color w:val="auto"/>
          <w:highlight w:val="none"/>
        </w:rPr>
        <w:t>1.1.3本竞争性磋商项目代理机构：见供应商须知前附表。</w:t>
      </w:r>
    </w:p>
    <w:p w14:paraId="02CC36AA">
      <w:pPr>
        <w:spacing w:line="360" w:lineRule="auto"/>
        <w:ind w:firstLine="420" w:firstLineChars="200"/>
        <w:rPr>
          <w:rFonts w:hint="eastAsia" w:ascii="宋体" w:hAnsi="宋体"/>
          <w:color w:val="auto"/>
          <w:highlight w:val="none"/>
        </w:rPr>
      </w:pPr>
      <w:r>
        <w:rPr>
          <w:rFonts w:hint="eastAsia" w:ascii="宋体" w:hAnsi="宋体"/>
          <w:color w:val="auto"/>
          <w:highlight w:val="none"/>
        </w:rPr>
        <w:t>1.1.4 本竞争性磋商项目名称：见供应商须知前附表。</w:t>
      </w:r>
    </w:p>
    <w:p w14:paraId="6F59D93E">
      <w:pPr>
        <w:spacing w:line="360" w:lineRule="auto"/>
        <w:ind w:firstLine="420" w:firstLineChars="200"/>
        <w:rPr>
          <w:rFonts w:hint="eastAsia" w:ascii="宋体" w:hAnsi="宋体"/>
          <w:color w:val="auto"/>
          <w:highlight w:val="none"/>
        </w:rPr>
      </w:pPr>
      <w:r>
        <w:rPr>
          <w:rFonts w:hint="eastAsia" w:ascii="宋体" w:hAnsi="宋体"/>
          <w:color w:val="auto"/>
          <w:highlight w:val="none"/>
        </w:rPr>
        <w:t>1.1.5本竞争性磋商服务地点：见供应商须知前附表。</w:t>
      </w:r>
    </w:p>
    <w:p w14:paraId="64F01649">
      <w:pPr>
        <w:spacing w:line="360" w:lineRule="auto"/>
        <w:ind w:firstLine="420" w:firstLineChars="200"/>
        <w:rPr>
          <w:rFonts w:hint="eastAsia" w:ascii="宋体" w:hAnsi="宋体"/>
          <w:color w:val="auto"/>
          <w:highlight w:val="none"/>
        </w:rPr>
      </w:pPr>
      <w:r>
        <w:rPr>
          <w:rFonts w:hint="eastAsia" w:ascii="宋体" w:hAnsi="宋体"/>
          <w:color w:val="auto"/>
          <w:highlight w:val="none"/>
        </w:rPr>
        <w:t>1.1.6</w:t>
      </w:r>
      <w:r>
        <w:rPr>
          <w:rFonts w:hint="eastAsia" w:hAnsi="宋体"/>
          <w:color w:val="auto"/>
          <w:highlight w:val="none"/>
          <w:lang w:val="en-US" w:eastAsia="zh-CN"/>
        </w:rPr>
        <w:t>包件</w:t>
      </w:r>
      <w:r>
        <w:rPr>
          <w:rFonts w:hint="eastAsia" w:hAnsi="宋体"/>
          <w:color w:val="auto"/>
          <w:highlight w:val="none"/>
        </w:rPr>
        <w:t>划分：</w:t>
      </w:r>
      <w:r>
        <w:rPr>
          <w:rFonts w:hint="eastAsia" w:ascii="宋体" w:hAnsi="宋体"/>
          <w:color w:val="auto"/>
          <w:highlight w:val="none"/>
        </w:rPr>
        <w:t>见供应商须知前附表。</w:t>
      </w:r>
    </w:p>
    <w:p w14:paraId="6993DB8A">
      <w:pPr>
        <w:pStyle w:val="440"/>
        <w:spacing w:line="360" w:lineRule="auto"/>
        <w:rPr>
          <w:rFonts w:hint="eastAsia" w:ascii="宋体" w:hAnsi="宋体" w:eastAsia="宋体"/>
          <w:color w:val="auto"/>
          <w:highlight w:val="none"/>
        </w:rPr>
      </w:pPr>
      <w:bookmarkStart w:id="96" w:name="_Toc466623379"/>
      <w:bookmarkStart w:id="97" w:name="_Toc465778783"/>
      <w:bookmarkStart w:id="98" w:name="_Toc462068080"/>
      <w:bookmarkStart w:id="99" w:name="_Toc152042307"/>
      <w:bookmarkStart w:id="100" w:name="_Toc509841292"/>
      <w:bookmarkStart w:id="101" w:name="_Toc144974499"/>
      <w:bookmarkStart w:id="102" w:name="_Toc26594"/>
      <w:bookmarkStart w:id="103" w:name="_Toc152045531"/>
      <w:bookmarkStart w:id="104" w:name="_Toc462068364"/>
      <w:bookmarkStart w:id="105" w:name="_Toc48038693"/>
      <w:bookmarkStart w:id="106" w:name="_Toc21735"/>
      <w:bookmarkStart w:id="107" w:name="_Toc48484427"/>
      <w:bookmarkStart w:id="108" w:name="_Toc7743"/>
      <w:bookmarkStart w:id="109" w:name="_Toc4729"/>
      <w:bookmarkStart w:id="110" w:name="_Toc26141"/>
      <w:r>
        <w:rPr>
          <w:rFonts w:hint="eastAsia" w:ascii="宋体" w:hAnsi="宋体" w:eastAsia="宋体"/>
          <w:color w:val="auto"/>
          <w:highlight w:val="none"/>
        </w:rPr>
        <w:t>1.2 资金来源</w:t>
      </w:r>
      <w:bookmarkEnd w:id="96"/>
      <w:bookmarkEnd w:id="97"/>
      <w:bookmarkEnd w:id="98"/>
      <w:bookmarkEnd w:id="99"/>
      <w:bookmarkEnd w:id="100"/>
      <w:bookmarkEnd w:id="101"/>
      <w:bookmarkEnd w:id="102"/>
      <w:bookmarkEnd w:id="103"/>
      <w:bookmarkEnd w:id="104"/>
      <w:r>
        <w:rPr>
          <w:rFonts w:hint="eastAsia" w:ascii="宋体" w:hAnsi="宋体" w:eastAsia="宋体"/>
          <w:color w:val="auto"/>
          <w:highlight w:val="none"/>
        </w:rPr>
        <w:t>、出资比例、资格审查方式</w:t>
      </w:r>
      <w:bookmarkEnd w:id="105"/>
      <w:bookmarkEnd w:id="106"/>
      <w:bookmarkEnd w:id="107"/>
      <w:bookmarkEnd w:id="108"/>
      <w:bookmarkEnd w:id="109"/>
      <w:bookmarkEnd w:id="110"/>
    </w:p>
    <w:p w14:paraId="685A21FC">
      <w:pPr>
        <w:spacing w:line="360" w:lineRule="auto"/>
        <w:ind w:firstLine="420" w:firstLineChars="200"/>
        <w:rPr>
          <w:rFonts w:hint="eastAsia" w:ascii="宋体" w:hAnsi="宋体"/>
          <w:color w:val="auto"/>
          <w:highlight w:val="none"/>
        </w:rPr>
      </w:pPr>
      <w:r>
        <w:rPr>
          <w:rFonts w:hint="eastAsia" w:ascii="宋体" w:hAnsi="宋体"/>
          <w:color w:val="auto"/>
          <w:highlight w:val="none"/>
        </w:rPr>
        <w:t>1.2.1 本竞争性磋商项目的资金来源：见供应商须知前附表。</w:t>
      </w:r>
    </w:p>
    <w:p w14:paraId="64D6AD1E">
      <w:pPr>
        <w:spacing w:line="360" w:lineRule="auto"/>
        <w:ind w:firstLine="420" w:firstLineChars="200"/>
        <w:rPr>
          <w:rFonts w:hint="eastAsia" w:ascii="宋体" w:hAnsi="宋体"/>
          <w:color w:val="auto"/>
          <w:highlight w:val="none"/>
        </w:rPr>
      </w:pPr>
      <w:r>
        <w:rPr>
          <w:rFonts w:hint="eastAsia" w:ascii="宋体" w:hAnsi="宋体"/>
          <w:color w:val="auto"/>
          <w:highlight w:val="none"/>
        </w:rPr>
        <w:t>1.2.2 本竞争性磋商项目的出资比例：见供应商须知前附表。</w:t>
      </w:r>
    </w:p>
    <w:p w14:paraId="1ABC394F">
      <w:pPr>
        <w:spacing w:line="360" w:lineRule="auto"/>
        <w:ind w:firstLine="420" w:firstLineChars="200"/>
        <w:rPr>
          <w:rFonts w:hint="eastAsia" w:ascii="宋体" w:hAnsi="宋体"/>
          <w:color w:val="auto"/>
          <w:highlight w:val="none"/>
        </w:rPr>
      </w:pPr>
      <w:r>
        <w:rPr>
          <w:rFonts w:hint="eastAsia" w:ascii="宋体" w:hAnsi="宋体"/>
          <w:color w:val="auto"/>
          <w:highlight w:val="none"/>
        </w:rPr>
        <w:t>1.2.3本竞争性磋商项目</w:t>
      </w:r>
      <w:r>
        <w:rPr>
          <w:rFonts w:hint="eastAsia" w:ascii="宋体" w:hAnsi="宋体"/>
          <w:color w:val="auto"/>
          <w:szCs w:val="21"/>
          <w:highlight w:val="none"/>
        </w:rPr>
        <w:t>资格审查方式：</w:t>
      </w:r>
      <w:r>
        <w:rPr>
          <w:rFonts w:hint="eastAsia" w:ascii="宋体" w:hAnsi="宋体"/>
          <w:color w:val="auto"/>
          <w:highlight w:val="none"/>
        </w:rPr>
        <w:t>见供应商须知前附表。</w:t>
      </w:r>
    </w:p>
    <w:p w14:paraId="41EF4445">
      <w:pPr>
        <w:pStyle w:val="440"/>
        <w:spacing w:line="360" w:lineRule="auto"/>
        <w:rPr>
          <w:rFonts w:hint="eastAsia" w:ascii="宋体" w:hAnsi="宋体" w:eastAsia="宋体"/>
          <w:color w:val="auto"/>
          <w:highlight w:val="none"/>
        </w:rPr>
      </w:pPr>
      <w:bookmarkStart w:id="111" w:name="_Toc462068081"/>
      <w:bookmarkStart w:id="112" w:name="_Toc144974500"/>
      <w:bookmarkStart w:id="113" w:name="_Toc48484428"/>
      <w:bookmarkStart w:id="114" w:name="_Toc152042308"/>
      <w:bookmarkStart w:id="115" w:name="_Toc509841293"/>
      <w:bookmarkStart w:id="116" w:name="_Toc24664"/>
      <w:bookmarkStart w:id="117" w:name="_Toc48038694"/>
      <w:bookmarkStart w:id="118" w:name="_Toc152045532"/>
      <w:bookmarkStart w:id="119" w:name="_Toc465778784"/>
      <w:bookmarkStart w:id="120" w:name="_Toc31814"/>
      <w:bookmarkStart w:id="121" w:name="_Toc562"/>
      <w:bookmarkStart w:id="122" w:name="_Toc462068365"/>
      <w:bookmarkStart w:id="123" w:name="_Toc13674"/>
      <w:bookmarkStart w:id="124" w:name="_Toc27775"/>
      <w:bookmarkStart w:id="125" w:name="_Toc466623380"/>
      <w:r>
        <w:rPr>
          <w:rFonts w:hint="eastAsia" w:ascii="宋体" w:hAnsi="宋体" w:eastAsia="宋体"/>
          <w:color w:val="auto"/>
          <w:highlight w:val="none"/>
        </w:rPr>
        <w:t>1.3 竞争性磋商范围、合同履行期限和质量要求</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131AEA3A">
      <w:pPr>
        <w:spacing w:line="360" w:lineRule="auto"/>
        <w:ind w:firstLine="420" w:firstLineChars="200"/>
        <w:rPr>
          <w:rFonts w:hint="eastAsia" w:ascii="宋体" w:hAnsi="宋体"/>
          <w:color w:val="auto"/>
          <w:highlight w:val="none"/>
        </w:rPr>
      </w:pPr>
      <w:r>
        <w:rPr>
          <w:rFonts w:hint="eastAsia" w:ascii="宋体" w:hAnsi="宋体"/>
          <w:color w:val="auto"/>
          <w:highlight w:val="none"/>
        </w:rPr>
        <w:t>1.3.1 本次竞争性磋商范围：见供应商须知前附表。</w:t>
      </w:r>
    </w:p>
    <w:p w14:paraId="0A9880C6">
      <w:pPr>
        <w:spacing w:line="360" w:lineRule="auto"/>
        <w:ind w:firstLine="420" w:firstLineChars="200"/>
        <w:rPr>
          <w:rFonts w:hint="eastAsia" w:ascii="宋体" w:hAnsi="宋体"/>
          <w:color w:val="auto"/>
          <w:highlight w:val="none"/>
        </w:rPr>
      </w:pPr>
      <w:r>
        <w:rPr>
          <w:rFonts w:hint="eastAsia" w:ascii="宋体" w:hAnsi="宋体"/>
          <w:color w:val="auto"/>
          <w:highlight w:val="none"/>
        </w:rPr>
        <w:t>1.3.2 本项目的</w:t>
      </w:r>
      <w:r>
        <w:rPr>
          <w:rFonts w:hint="eastAsia" w:hAnsi="宋体"/>
          <w:color w:val="auto"/>
          <w:highlight w:val="none"/>
        </w:rPr>
        <w:t>合同履行期限</w:t>
      </w:r>
      <w:r>
        <w:rPr>
          <w:rFonts w:hint="eastAsia" w:ascii="宋体" w:hAnsi="宋体"/>
          <w:color w:val="auto"/>
          <w:highlight w:val="none"/>
        </w:rPr>
        <w:t>：见供应商须知前附表。</w:t>
      </w:r>
    </w:p>
    <w:p w14:paraId="1790ED45">
      <w:pPr>
        <w:spacing w:line="360" w:lineRule="auto"/>
        <w:ind w:firstLine="420" w:firstLineChars="200"/>
        <w:rPr>
          <w:rFonts w:hint="eastAsia" w:ascii="宋体" w:hAnsi="宋体"/>
          <w:color w:val="auto"/>
          <w:highlight w:val="none"/>
        </w:rPr>
      </w:pPr>
      <w:r>
        <w:rPr>
          <w:rFonts w:hint="eastAsia" w:ascii="宋体" w:hAnsi="宋体"/>
          <w:color w:val="auto"/>
          <w:highlight w:val="none"/>
        </w:rPr>
        <w:t>1.3.3 本项目的质量要求：见供应商须知前附表。</w:t>
      </w:r>
    </w:p>
    <w:p w14:paraId="2DEB3287">
      <w:pPr>
        <w:pStyle w:val="440"/>
        <w:spacing w:line="360" w:lineRule="auto"/>
        <w:rPr>
          <w:rFonts w:hint="eastAsia" w:ascii="宋体" w:hAnsi="宋体" w:eastAsia="宋体"/>
          <w:color w:val="auto"/>
          <w:highlight w:val="none"/>
        </w:rPr>
      </w:pPr>
      <w:bookmarkStart w:id="126" w:name="_Toc48038695"/>
      <w:bookmarkStart w:id="127" w:name="_Toc11470"/>
      <w:bookmarkStart w:id="128" w:name="_Toc8142"/>
      <w:bookmarkStart w:id="129" w:name="_Toc465778785"/>
      <w:bookmarkStart w:id="130" w:name="_Toc462068366"/>
      <w:bookmarkStart w:id="131" w:name="_Toc144974501"/>
      <w:bookmarkStart w:id="132" w:name="_Toc48484429"/>
      <w:bookmarkStart w:id="133" w:name="_Toc118"/>
      <w:bookmarkStart w:id="134" w:name="_Toc462068082"/>
      <w:bookmarkStart w:id="135" w:name="_Toc152042309"/>
      <w:bookmarkStart w:id="136" w:name="_Toc11129"/>
      <w:bookmarkStart w:id="137" w:name="_Toc7590"/>
      <w:bookmarkStart w:id="138" w:name="_Toc152045533"/>
      <w:bookmarkStart w:id="139" w:name="_Toc466623381"/>
      <w:bookmarkStart w:id="140" w:name="_Toc509841294"/>
      <w:r>
        <w:rPr>
          <w:rFonts w:hint="eastAsia" w:ascii="宋体" w:hAnsi="宋体" w:eastAsia="宋体"/>
          <w:color w:val="auto"/>
          <w:highlight w:val="none"/>
        </w:rPr>
        <w:t>1.4 供应商资格要求</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14:paraId="32FE434E">
      <w:pPr>
        <w:spacing w:line="360" w:lineRule="auto"/>
        <w:ind w:firstLine="420" w:firstLineChars="200"/>
        <w:rPr>
          <w:rFonts w:hint="eastAsia" w:ascii="宋体" w:hAnsi="宋体"/>
          <w:color w:val="auto"/>
          <w:highlight w:val="none"/>
        </w:rPr>
      </w:pPr>
      <w:r>
        <w:rPr>
          <w:rFonts w:hint="eastAsia" w:ascii="宋体" w:hAnsi="宋体"/>
          <w:color w:val="auto"/>
          <w:highlight w:val="none"/>
        </w:rPr>
        <w:t>1.4.1供应商资质条件、能力和信誉要求详见本须知前附表。</w:t>
      </w:r>
    </w:p>
    <w:p w14:paraId="5F68CE24">
      <w:pPr>
        <w:spacing w:line="360" w:lineRule="auto"/>
        <w:ind w:firstLine="420" w:firstLineChars="200"/>
        <w:rPr>
          <w:rFonts w:hint="eastAsia" w:ascii="宋体" w:hAnsi="宋体"/>
          <w:color w:val="auto"/>
          <w:highlight w:val="none"/>
        </w:rPr>
      </w:pPr>
      <w:r>
        <w:rPr>
          <w:rFonts w:hint="eastAsia" w:ascii="宋体" w:hAnsi="宋体"/>
          <w:color w:val="auto"/>
          <w:highlight w:val="none"/>
        </w:rPr>
        <w:t>1.4.2本竞争性磋商项目是否为联合体磋商详见本须知前附表。</w:t>
      </w:r>
    </w:p>
    <w:p w14:paraId="52B92DDE">
      <w:pPr>
        <w:pStyle w:val="440"/>
        <w:spacing w:line="360" w:lineRule="auto"/>
        <w:rPr>
          <w:rFonts w:hint="eastAsia" w:ascii="宋体" w:hAnsi="宋体"/>
          <w:color w:val="auto"/>
          <w:highlight w:val="none"/>
        </w:rPr>
      </w:pPr>
      <w:bookmarkStart w:id="141" w:name="_Toc18438"/>
      <w:bookmarkStart w:id="142" w:name="_Toc465778786"/>
      <w:bookmarkStart w:id="143" w:name="_Toc462068083"/>
      <w:bookmarkStart w:id="144" w:name="_Toc152042311"/>
      <w:bookmarkStart w:id="145" w:name="_Toc144974503"/>
      <w:bookmarkStart w:id="146" w:name="_Toc48484430"/>
      <w:bookmarkStart w:id="147" w:name="_Toc25576"/>
      <w:bookmarkStart w:id="148" w:name="_Toc25047"/>
      <w:bookmarkStart w:id="149" w:name="_Toc1802"/>
      <w:bookmarkStart w:id="150" w:name="_Toc48038696"/>
      <w:bookmarkStart w:id="151" w:name="_Toc32202"/>
      <w:bookmarkStart w:id="152" w:name="_Toc509841295"/>
      <w:bookmarkStart w:id="153" w:name="_Toc462068367"/>
      <w:bookmarkStart w:id="154" w:name="_Toc466623382"/>
      <w:bookmarkStart w:id="155" w:name="_Toc152045535"/>
      <w:r>
        <w:rPr>
          <w:rFonts w:hint="eastAsia" w:ascii="宋体" w:hAnsi="宋体" w:eastAsia="宋体"/>
          <w:color w:val="auto"/>
          <w:highlight w:val="none"/>
        </w:rPr>
        <w:t>1.5 费用承担</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Start w:id="156" w:name="_Toc152045536"/>
      <w:bookmarkStart w:id="157" w:name="_Toc152042312"/>
      <w:bookmarkStart w:id="158" w:name="_Toc144974504"/>
    </w:p>
    <w:p w14:paraId="252181FB">
      <w:pPr>
        <w:spacing w:line="360" w:lineRule="auto"/>
        <w:ind w:firstLine="420" w:firstLineChars="200"/>
        <w:rPr>
          <w:rFonts w:hint="eastAsia" w:ascii="宋体" w:hAnsi="宋体"/>
          <w:color w:val="auto"/>
          <w:highlight w:val="none"/>
        </w:rPr>
      </w:pPr>
      <w:r>
        <w:rPr>
          <w:rFonts w:hint="eastAsia" w:ascii="宋体" w:hAnsi="宋体"/>
          <w:color w:val="auto"/>
          <w:highlight w:val="none"/>
        </w:rPr>
        <w:t>1.5.1</w:t>
      </w:r>
      <w:r>
        <w:rPr>
          <w:rFonts w:hint="eastAsia" w:ascii="宋体" w:hAnsi="宋体" w:cs="宋体"/>
          <w:color w:val="auto"/>
          <w:highlight w:val="none"/>
        </w:rPr>
        <w:t>成交人需承担磋商代理费，磋商代理费按</w:t>
      </w:r>
      <w:r>
        <w:rPr>
          <w:rFonts w:hint="eastAsia" w:ascii="宋体" w:hAnsi="宋体" w:cs="宋体"/>
          <w:color w:val="auto"/>
          <w:highlight w:val="none"/>
          <w:lang w:val="en-US" w:eastAsia="zh-CN"/>
        </w:rPr>
        <w:t>4</w:t>
      </w:r>
      <w:r>
        <w:rPr>
          <w:rFonts w:hint="eastAsia" w:ascii="宋体" w:hAnsi="宋体" w:cs="宋体"/>
          <w:color w:val="auto"/>
          <w:highlight w:val="none"/>
        </w:rPr>
        <w:t>000元收取</w:t>
      </w:r>
      <w:r>
        <w:rPr>
          <w:rFonts w:hint="eastAsia" w:ascii="宋体" w:hAnsi="宋体" w:cs="宋体"/>
          <w:color w:val="auto"/>
          <w:highlight w:val="none"/>
          <w:lang w:val="en-US" w:eastAsia="zh-CN"/>
        </w:rPr>
        <w:t>。</w:t>
      </w:r>
      <w:r>
        <w:rPr>
          <w:rFonts w:hint="eastAsia" w:ascii="宋体" w:hAnsi="宋体" w:cs="宋体"/>
          <w:color w:val="auto"/>
          <w:highlight w:val="none"/>
        </w:rPr>
        <w:t>成交人在领取成交通知书时一次性支付所有费用。</w:t>
      </w:r>
    </w:p>
    <w:p w14:paraId="118435FB">
      <w:pPr>
        <w:spacing w:line="360" w:lineRule="auto"/>
        <w:ind w:firstLine="420" w:firstLineChars="200"/>
        <w:rPr>
          <w:rFonts w:hint="eastAsia" w:ascii="宋体" w:hAnsi="宋体"/>
          <w:color w:val="auto"/>
          <w:highlight w:val="none"/>
        </w:rPr>
      </w:pPr>
      <w:r>
        <w:rPr>
          <w:rFonts w:hint="eastAsia" w:ascii="宋体" w:hAnsi="宋体"/>
          <w:color w:val="auto"/>
          <w:highlight w:val="none"/>
        </w:rPr>
        <w:t>1.5.2无论竞争性磋商结果如何，供应商应承担其参加本次竞争性磋商活动自身所发生的费用，采购人不给予供应商经济补偿。</w:t>
      </w:r>
    </w:p>
    <w:p w14:paraId="18178FB7">
      <w:pPr>
        <w:pStyle w:val="440"/>
        <w:spacing w:line="360" w:lineRule="auto"/>
        <w:rPr>
          <w:rFonts w:hint="eastAsia" w:ascii="宋体" w:hAnsi="宋体" w:eastAsia="宋体"/>
          <w:color w:val="auto"/>
          <w:highlight w:val="none"/>
        </w:rPr>
      </w:pPr>
      <w:bookmarkStart w:id="159" w:name="_Toc4558"/>
      <w:bookmarkStart w:id="160" w:name="_Toc26143"/>
      <w:bookmarkStart w:id="161" w:name="_Toc462068084"/>
      <w:bookmarkStart w:id="162" w:name="_Toc466623383"/>
      <w:bookmarkStart w:id="163" w:name="_Toc48484431"/>
      <w:bookmarkStart w:id="164" w:name="_Toc22260"/>
      <w:bookmarkStart w:id="165" w:name="_Toc465778787"/>
      <w:bookmarkStart w:id="166" w:name="_Toc509841296"/>
      <w:bookmarkStart w:id="167" w:name="_Toc12391"/>
      <w:bookmarkStart w:id="168" w:name="_Toc462068368"/>
      <w:bookmarkStart w:id="169" w:name="_Toc28190"/>
      <w:bookmarkStart w:id="170" w:name="_Toc48038697"/>
      <w:r>
        <w:rPr>
          <w:rFonts w:hint="eastAsia" w:ascii="宋体" w:hAnsi="宋体" w:eastAsia="宋体"/>
          <w:color w:val="auto"/>
          <w:highlight w:val="none"/>
        </w:rPr>
        <w:t>1.6 保密</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14:paraId="5AF1156D">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参与竞争性磋商活动的各方应对竞争性磋商文件和响应文件中的商业和技术等秘密保密，违者应对由此造成的后果承担法律责任。 </w:t>
      </w:r>
    </w:p>
    <w:p w14:paraId="6DCFEE68">
      <w:pPr>
        <w:pStyle w:val="440"/>
        <w:spacing w:line="360" w:lineRule="auto"/>
        <w:rPr>
          <w:rFonts w:hint="eastAsia" w:ascii="宋体" w:hAnsi="宋体" w:eastAsia="宋体"/>
          <w:color w:val="auto"/>
          <w:highlight w:val="none"/>
        </w:rPr>
      </w:pPr>
      <w:bookmarkStart w:id="171" w:name="_Toc144974505"/>
      <w:bookmarkStart w:id="172" w:name="_Toc48484432"/>
      <w:bookmarkStart w:id="173" w:name="_Toc48038698"/>
      <w:bookmarkStart w:id="174" w:name="_Toc462068369"/>
      <w:bookmarkStart w:id="175" w:name="_Toc509841297"/>
      <w:bookmarkStart w:id="176" w:name="_Toc20040"/>
      <w:bookmarkStart w:id="177" w:name="_Toc152045537"/>
      <w:bookmarkStart w:id="178" w:name="_Toc8393"/>
      <w:bookmarkStart w:id="179" w:name="_Toc462068085"/>
      <w:bookmarkStart w:id="180" w:name="_Toc465778788"/>
      <w:bookmarkStart w:id="181" w:name="_Toc152042313"/>
      <w:bookmarkStart w:id="182" w:name="_Toc29557"/>
      <w:bookmarkStart w:id="183" w:name="_Toc3558"/>
      <w:bookmarkStart w:id="184" w:name="_Toc466623384"/>
      <w:bookmarkStart w:id="185" w:name="_Toc10553"/>
      <w:r>
        <w:rPr>
          <w:rFonts w:hint="eastAsia" w:ascii="宋体" w:hAnsi="宋体" w:eastAsia="宋体"/>
          <w:color w:val="auto"/>
          <w:highlight w:val="none"/>
        </w:rPr>
        <w:t>1.7 语言</w:t>
      </w:r>
      <w:bookmarkEnd w:id="171"/>
      <w:r>
        <w:rPr>
          <w:rFonts w:hint="eastAsia" w:ascii="宋体" w:hAnsi="宋体" w:eastAsia="宋体"/>
          <w:color w:val="auto"/>
          <w:highlight w:val="none"/>
        </w:rPr>
        <w:t>文字</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5CF9F6A1">
      <w:pPr>
        <w:spacing w:line="360" w:lineRule="auto"/>
        <w:ind w:firstLine="420" w:firstLineChars="200"/>
        <w:rPr>
          <w:rFonts w:hint="eastAsia" w:ascii="宋体" w:hAnsi="宋体"/>
          <w:color w:val="auto"/>
          <w:highlight w:val="none"/>
        </w:rPr>
      </w:pPr>
      <w:r>
        <w:rPr>
          <w:rFonts w:hint="eastAsia" w:ascii="宋体" w:hAnsi="宋体"/>
          <w:color w:val="auto"/>
          <w:highlight w:val="none"/>
        </w:rPr>
        <w:t>除专用术语外，与竞争性磋商有关的语言均使用中文。必要时专用术语应附有中文注释。</w:t>
      </w:r>
    </w:p>
    <w:p w14:paraId="7C775939">
      <w:pPr>
        <w:pStyle w:val="440"/>
        <w:spacing w:line="360" w:lineRule="auto"/>
        <w:rPr>
          <w:rFonts w:hint="eastAsia" w:ascii="宋体" w:hAnsi="宋体" w:eastAsia="宋体"/>
          <w:color w:val="auto"/>
          <w:highlight w:val="none"/>
        </w:rPr>
      </w:pPr>
      <w:bookmarkStart w:id="186" w:name="_Toc2583"/>
      <w:bookmarkStart w:id="187" w:name="_Toc466623385"/>
      <w:bookmarkStart w:id="188" w:name="_Toc18169"/>
      <w:bookmarkStart w:id="189" w:name="_Toc8540"/>
      <w:bookmarkStart w:id="190" w:name="_Toc152045538"/>
      <w:bookmarkStart w:id="191" w:name="_Toc48038699"/>
      <w:bookmarkStart w:id="192" w:name="_Toc465778789"/>
      <w:bookmarkStart w:id="193" w:name="_Toc25076"/>
      <w:bookmarkStart w:id="194" w:name="_Toc144974506"/>
      <w:bookmarkStart w:id="195" w:name="_Toc509841298"/>
      <w:bookmarkStart w:id="196" w:name="_Toc48484433"/>
      <w:bookmarkStart w:id="197" w:name="_Toc462068370"/>
      <w:bookmarkStart w:id="198" w:name="_Toc462068086"/>
      <w:bookmarkStart w:id="199" w:name="_Toc17543"/>
      <w:bookmarkStart w:id="200" w:name="_Toc152042314"/>
      <w:r>
        <w:rPr>
          <w:rFonts w:hint="eastAsia" w:ascii="宋体" w:hAnsi="宋体" w:eastAsia="宋体"/>
          <w:color w:val="auto"/>
          <w:highlight w:val="none"/>
        </w:rPr>
        <w:t>1.8 计量单位</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p>
    <w:p w14:paraId="09A6DEA4">
      <w:pPr>
        <w:spacing w:line="360" w:lineRule="auto"/>
        <w:ind w:firstLine="420" w:firstLineChars="200"/>
        <w:rPr>
          <w:rFonts w:hint="eastAsia" w:ascii="宋体" w:hAnsi="宋体"/>
          <w:color w:val="auto"/>
          <w:highlight w:val="none"/>
        </w:rPr>
      </w:pPr>
      <w:r>
        <w:rPr>
          <w:rFonts w:hint="eastAsia" w:ascii="宋体" w:hAnsi="宋体"/>
          <w:color w:val="auto"/>
          <w:highlight w:val="none"/>
        </w:rPr>
        <w:t>所有计量均采用中华人民共和国法定计量单位。</w:t>
      </w:r>
    </w:p>
    <w:p w14:paraId="61B7E1AA">
      <w:pPr>
        <w:pStyle w:val="440"/>
        <w:spacing w:line="360" w:lineRule="auto"/>
        <w:rPr>
          <w:rFonts w:hint="eastAsia" w:ascii="宋体" w:hAnsi="宋体" w:eastAsia="宋体"/>
          <w:color w:val="auto"/>
          <w:highlight w:val="none"/>
        </w:rPr>
      </w:pPr>
      <w:bookmarkStart w:id="201" w:name="_Toc48038700"/>
      <w:bookmarkStart w:id="202" w:name="_Toc462068087"/>
      <w:bookmarkStart w:id="203" w:name="_Toc152042315"/>
      <w:bookmarkStart w:id="204" w:name="_Toc7071"/>
      <w:bookmarkStart w:id="205" w:name="_Toc32672"/>
      <w:bookmarkStart w:id="206" w:name="_Toc14693"/>
      <w:bookmarkStart w:id="207" w:name="_Toc509841299"/>
      <w:bookmarkStart w:id="208" w:name="_Toc465778790"/>
      <w:bookmarkStart w:id="209" w:name="_Toc17726"/>
      <w:bookmarkStart w:id="210" w:name="_Toc152045539"/>
      <w:bookmarkStart w:id="211" w:name="_Toc1903"/>
      <w:bookmarkStart w:id="212" w:name="_Toc144974507"/>
      <w:bookmarkStart w:id="213" w:name="_Toc48484434"/>
      <w:bookmarkStart w:id="214" w:name="_Toc466623386"/>
      <w:bookmarkStart w:id="215" w:name="_Toc462068371"/>
      <w:r>
        <w:rPr>
          <w:rFonts w:hint="eastAsia" w:ascii="宋体" w:hAnsi="宋体" w:eastAsia="宋体"/>
          <w:color w:val="auto"/>
          <w:highlight w:val="none"/>
        </w:rPr>
        <w:t>1.9 踏勘现场</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6659176A">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02E4237D">
      <w:pPr>
        <w:spacing w:line="360" w:lineRule="auto"/>
        <w:ind w:firstLine="420" w:firstLineChars="200"/>
        <w:rPr>
          <w:rFonts w:hint="eastAsia" w:ascii="宋体" w:hAnsi="宋体"/>
          <w:color w:val="auto"/>
          <w:highlight w:val="none"/>
        </w:rPr>
      </w:pPr>
      <w:r>
        <w:rPr>
          <w:rFonts w:hint="eastAsia" w:ascii="宋体" w:hAnsi="宋体"/>
          <w:color w:val="auto"/>
          <w:highlight w:val="none"/>
        </w:rPr>
        <w:t>1.9.2 供应商踏勘现场发生的费用自理。供应商应承担踏勘现场的责任和风险。</w:t>
      </w:r>
    </w:p>
    <w:p w14:paraId="05322E0F">
      <w:pPr>
        <w:spacing w:line="360" w:lineRule="auto"/>
        <w:ind w:firstLine="420" w:firstLineChars="200"/>
        <w:rPr>
          <w:rFonts w:hint="eastAsia"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711D990A">
      <w:pPr>
        <w:spacing w:line="360" w:lineRule="auto"/>
        <w:ind w:firstLine="420" w:firstLineChars="200"/>
        <w:rPr>
          <w:rFonts w:hint="eastAsia" w:ascii="宋体" w:hAnsi="宋体"/>
          <w:color w:val="auto"/>
          <w:highlight w:val="none"/>
        </w:rPr>
      </w:pPr>
      <w:r>
        <w:rPr>
          <w:rFonts w:hint="eastAsia" w:ascii="宋体" w:hAnsi="宋体"/>
          <w:color w:val="auto"/>
          <w:highlight w:val="none"/>
        </w:rPr>
        <w:t>1.9.4 采购人在踏勘现场中介绍的项目场地和相关的周边环境情况，供供应商在编制响应文件时参考，采购人不对供应商据此作出的判断和决策负责。</w:t>
      </w:r>
    </w:p>
    <w:p w14:paraId="1785102F">
      <w:pPr>
        <w:pStyle w:val="440"/>
        <w:spacing w:line="360" w:lineRule="auto"/>
        <w:rPr>
          <w:rFonts w:hint="eastAsia" w:ascii="宋体" w:hAnsi="宋体" w:eastAsia="宋体"/>
          <w:color w:val="auto"/>
          <w:highlight w:val="none"/>
        </w:rPr>
      </w:pPr>
      <w:bookmarkStart w:id="216" w:name="_Toc465778791"/>
      <w:bookmarkStart w:id="217" w:name="_Toc152045540"/>
      <w:bookmarkStart w:id="218" w:name="_Toc48038701"/>
      <w:bookmarkStart w:id="219" w:name="_Toc23049"/>
      <w:bookmarkStart w:id="220" w:name="_Toc12236"/>
      <w:bookmarkStart w:id="221" w:name="_Toc462068088"/>
      <w:bookmarkStart w:id="222" w:name="_Toc509841300"/>
      <w:bookmarkStart w:id="223" w:name="_Toc466623387"/>
      <w:bookmarkStart w:id="224" w:name="_Toc11157"/>
      <w:bookmarkStart w:id="225" w:name="_Toc48484435"/>
      <w:bookmarkStart w:id="226" w:name="_Toc31059"/>
      <w:bookmarkStart w:id="227" w:name="_Toc20524"/>
      <w:bookmarkStart w:id="228" w:name="_Toc462068372"/>
      <w:bookmarkStart w:id="229" w:name="_Toc144974508"/>
      <w:bookmarkStart w:id="230" w:name="_Toc152042316"/>
      <w:r>
        <w:rPr>
          <w:rFonts w:hint="eastAsia" w:ascii="宋体" w:hAnsi="宋体" w:eastAsia="宋体"/>
          <w:color w:val="auto"/>
          <w:highlight w:val="none"/>
        </w:rPr>
        <w:t>1.10 磋商预备会</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2076DF5E">
      <w:pPr>
        <w:spacing w:line="360" w:lineRule="auto"/>
        <w:ind w:firstLine="420" w:firstLineChars="200"/>
        <w:rPr>
          <w:rFonts w:hint="default" w:ascii="宋体" w:hAnsi="宋体" w:eastAsia="宋体"/>
          <w:color w:val="auto"/>
          <w:highlight w:val="none"/>
          <w:lang w:val="en-US" w:eastAsia="zh-CN"/>
        </w:rPr>
      </w:pPr>
      <w:r>
        <w:rPr>
          <w:rFonts w:hint="eastAsia" w:ascii="宋体" w:hAnsi="宋体"/>
          <w:color w:val="auto"/>
          <w:highlight w:val="none"/>
        </w:rPr>
        <w:t>1.10.1 供应商须知前附表规定召开磋商预备会的，采购人按供应商须知前附表规定的时间和地点召开磋商预备会，澄清供应商提出的问题。</w:t>
      </w:r>
    </w:p>
    <w:p w14:paraId="0B63D9BD">
      <w:pPr>
        <w:pStyle w:val="440"/>
        <w:spacing w:line="360" w:lineRule="auto"/>
        <w:rPr>
          <w:rFonts w:hint="eastAsia" w:ascii="宋体" w:hAnsi="宋体" w:eastAsia="宋体"/>
          <w:color w:val="auto"/>
          <w:highlight w:val="none"/>
        </w:rPr>
      </w:pPr>
      <w:bookmarkStart w:id="231" w:name="_Toc152045541"/>
      <w:bookmarkStart w:id="232" w:name="_Toc466623388"/>
      <w:bookmarkStart w:id="233" w:name="_Toc22678"/>
      <w:bookmarkStart w:id="234" w:name="_Toc462068373"/>
      <w:bookmarkStart w:id="235" w:name="_Toc8063"/>
      <w:bookmarkStart w:id="236" w:name="_Toc509841301"/>
      <w:bookmarkStart w:id="237" w:name="_Toc24035"/>
      <w:bookmarkStart w:id="238" w:name="_Toc15765"/>
      <w:bookmarkStart w:id="239" w:name="_Toc144974509"/>
      <w:bookmarkStart w:id="240" w:name="_Toc48038702"/>
      <w:bookmarkStart w:id="241" w:name="_Toc4547"/>
      <w:bookmarkStart w:id="242" w:name="_Toc152042317"/>
      <w:bookmarkStart w:id="243" w:name="_Toc465778792"/>
      <w:bookmarkStart w:id="244" w:name="_Toc462068089"/>
      <w:bookmarkStart w:id="245" w:name="_Toc48484436"/>
      <w:r>
        <w:rPr>
          <w:rFonts w:hint="eastAsia" w:ascii="宋体" w:hAnsi="宋体" w:eastAsia="宋体"/>
          <w:color w:val="auto"/>
          <w:highlight w:val="none"/>
        </w:rPr>
        <w:t>1.11 分包</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10A4F12B">
      <w:pPr>
        <w:spacing w:line="360" w:lineRule="auto"/>
        <w:ind w:firstLine="420" w:firstLineChars="200"/>
        <w:rPr>
          <w:rFonts w:hint="eastAsia" w:ascii="宋体" w:hAnsi="宋体"/>
          <w:color w:val="auto"/>
          <w:highlight w:val="none"/>
        </w:rPr>
      </w:pPr>
      <w:r>
        <w:rPr>
          <w:rFonts w:hint="eastAsia" w:ascii="宋体" w:hAnsi="宋体"/>
          <w:color w:val="auto"/>
          <w:highlight w:val="none"/>
        </w:rPr>
        <w:t>见供应商须知前附表。</w:t>
      </w:r>
    </w:p>
    <w:p w14:paraId="22C4B95E">
      <w:pPr>
        <w:pStyle w:val="440"/>
        <w:spacing w:line="360" w:lineRule="auto"/>
        <w:rPr>
          <w:rFonts w:hint="eastAsia" w:ascii="宋体" w:hAnsi="宋体" w:eastAsia="宋体"/>
          <w:color w:val="auto"/>
          <w:highlight w:val="none"/>
        </w:rPr>
      </w:pPr>
      <w:bookmarkStart w:id="246" w:name="_Toc3249"/>
      <w:bookmarkStart w:id="247" w:name="_Toc31679"/>
      <w:bookmarkStart w:id="248" w:name="_Toc48484437"/>
      <w:bookmarkStart w:id="249" w:name="_Toc48038703"/>
      <w:bookmarkStart w:id="250" w:name="_Toc28596"/>
      <w:bookmarkStart w:id="251" w:name="_Toc2127"/>
      <w:bookmarkStart w:id="252" w:name="_Toc466623389"/>
      <w:bookmarkStart w:id="253" w:name="_Toc509841302"/>
      <w:bookmarkStart w:id="254" w:name="_Toc462068374"/>
      <w:bookmarkStart w:id="255" w:name="_Toc465778793"/>
      <w:bookmarkStart w:id="256" w:name="_Toc18697"/>
      <w:bookmarkStart w:id="257" w:name="_Toc462068090"/>
      <w:r>
        <w:rPr>
          <w:rFonts w:hint="eastAsia" w:ascii="宋体" w:hAnsi="宋体" w:eastAsia="宋体"/>
          <w:color w:val="auto"/>
          <w:highlight w:val="none"/>
        </w:rPr>
        <w:t>1.12 偏离</w:t>
      </w:r>
      <w:bookmarkEnd w:id="246"/>
      <w:bookmarkEnd w:id="247"/>
      <w:bookmarkEnd w:id="248"/>
      <w:bookmarkEnd w:id="249"/>
      <w:bookmarkEnd w:id="250"/>
      <w:bookmarkEnd w:id="251"/>
      <w:bookmarkEnd w:id="252"/>
      <w:bookmarkEnd w:id="253"/>
      <w:bookmarkEnd w:id="254"/>
      <w:bookmarkEnd w:id="255"/>
      <w:bookmarkEnd w:id="256"/>
      <w:bookmarkEnd w:id="257"/>
    </w:p>
    <w:p w14:paraId="70080E35">
      <w:pPr>
        <w:spacing w:line="360" w:lineRule="auto"/>
        <w:ind w:firstLine="420" w:firstLineChars="200"/>
        <w:rPr>
          <w:rFonts w:hint="eastAsia" w:ascii="宋体" w:hAnsi="宋体"/>
          <w:color w:val="auto"/>
          <w:highlight w:val="none"/>
        </w:rPr>
      </w:pPr>
      <w:r>
        <w:rPr>
          <w:rFonts w:hint="eastAsia" w:ascii="宋体" w:hAnsi="宋体"/>
          <w:color w:val="auto"/>
          <w:highlight w:val="none"/>
        </w:rPr>
        <w:t>供应商须知前附表允许响应文件偏离竞争性磋商文件某些要求的，偏离应当符合竞争性磋商文件规定的偏离范围和幅度。</w:t>
      </w:r>
    </w:p>
    <w:p w14:paraId="0015F6E7">
      <w:pPr>
        <w:pStyle w:val="440"/>
        <w:spacing w:line="360" w:lineRule="auto"/>
        <w:rPr>
          <w:rFonts w:hint="eastAsia" w:ascii="宋体" w:hAnsi="宋体" w:eastAsia="宋体"/>
          <w:color w:val="auto"/>
          <w:highlight w:val="none"/>
        </w:rPr>
      </w:pPr>
      <w:bookmarkStart w:id="258" w:name="_Toc20007"/>
      <w:bookmarkStart w:id="259" w:name="_Toc12390"/>
      <w:bookmarkStart w:id="260" w:name="_Toc204"/>
      <w:r>
        <w:rPr>
          <w:rFonts w:hint="eastAsia" w:ascii="宋体" w:hAnsi="宋体" w:eastAsia="宋体"/>
          <w:color w:val="auto"/>
          <w:highlight w:val="none"/>
        </w:rPr>
        <w:t>1.13电子化招投标说明</w:t>
      </w:r>
      <w:bookmarkEnd w:id="258"/>
      <w:bookmarkEnd w:id="259"/>
      <w:bookmarkEnd w:id="260"/>
    </w:p>
    <w:p w14:paraId="65ADA1E8">
      <w:pPr>
        <w:spacing w:line="360" w:lineRule="auto"/>
        <w:ind w:firstLine="420" w:firstLineChars="200"/>
        <w:rPr>
          <w:rFonts w:hint="eastAsia" w:ascii="宋体" w:hAnsi="宋体"/>
          <w:color w:val="auto"/>
          <w:highlight w:val="none"/>
        </w:rPr>
      </w:pPr>
      <w:r>
        <w:rPr>
          <w:rFonts w:ascii="宋体" w:hAnsi="宋体"/>
          <w:color w:val="auto"/>
          <w:highlight w:val="none"/>
        </w:rPr>
        <w:t>本项目采用</w:t>
      </w:r>
      <w:r>
        <w:rPr>
          <w:rFonts w:hint="eastAsia" w:ascii="宋体" w:hAnsi="宋体"/>
          <w:color w:val="auto"/>
          <w:highlight w:val="none"/>
        </w:rPr>
        <w:t>云南省政采云平台</w:t>
      </w:r>
      <w:r>
        <w:rPr>
          <w:rFonts w:ascii="宋体" w:hAnsi="宋体"/>
          <w:color w:val="auto"/>
          <w:highlight w:val="none"/>
        </w:rPr>
        <w:t>进行全流程电子化交易，如项目在</w:t>
      </w:r>
      <w:r>
        <w:rPr>
          <w:rFonts w:hint="eastAsia" w:ascii="宋体" w:hAnsi="宋体"/>
          <w:color w:val="auto"/>
          <w:highlight w:val="none"/>
        </w:rPr>
        <w:t>磋商</w:t>
      </w:r>
      <w:r>
        <w:rPr>
          <w:rFonts w:ascii="宋体" w:hAnsi="宋体"/>
          <w:color w:val="auto"/>
          <w:highlight w:val="none"/>
        </w:rPr>
        <w:t>过程中遇到停电、网络故障、系统故障等不可抗力因素，导致项目无法正常电子化交易的</w:t>
      </w:r>
      <w:r>
        <w:rPr>
          <w:rFonts w:hint="eastAsia" w:ascii="宋体" w:hAnsi="宋体"/>
          <w:color w:val="auto"/>
          <w:highlight w:val="none"/>
        </w:rPr>
        <w:t>，</w:t>
      </w:r>
      <w:r>
        <w:rPr>
          <w:rFonts w:ascii="宋体" w:hAnsi="宋体"/>
          <w:color w:val="auto"/>
          <w:highlight w:val="none"/>
        </w:rPr>
        <w:t>暂停招标活动。</w:t>
      </w:r>
    </w:p>
    <w:p w14:paraId="51291EA4">
      <w:pPr>
        <w:spacing w:line="360" w:lineRule="auto"/>
        <w:ind w:firstLine="420" w:firstLineChars="200"/>
        <w:rPr>
          <w:rFonts w:hint="eastAsia" w:ascii="宋体" w:hAnsi="宋体"/>
          <w:color w:val="auto"/>
          <w:highlight w:val="none"/>
        </w:rPr>
      </w:pPr>
      <w:r>
        <w:rPr>
          <w:rFonts w:hint="eastAsia" w:ascii="宋体" w:hAnsi="宋体"/>
          <w:color w:val="auto"/>
          <w:highlight w:val="none"/>
        </w:rPr>
        <w:t>采购过程中出现以下情形，导致电子交易平台无法正常运行，或者无法保证电子交易的公平、公正和安全时，采购机构可中止电子交易活动：</w:t>
      </w:r>
    </w:p>
    <w:p w14:paraId="31896D7E">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（1）电子交易平台发生故障而无法登录访问的； </w:t>
      </w:r>
    </w:p>
    <w:p w14:paraId="003A548B">
      <w:pPr>
        <w:spacing w:line="360" w:lineRule="auto"/>
        <w:ind w:firstLine="420" w:firstLineChars="200"/>
        <w:rPr>
          <w:rFonts w:hint="eastAsia" w:ascii="宋体" w:hAnsi="宋体"/>
          <w:color w:val="auto"/>
          <w:highlight w:val="none"/>
        </w:rPr>
      </w:pPr>
      <w:r>
        <w:rPr>
          <w:rFonts w:hint="eastAsia" w:ascii="宋体" w:hAnsi="宋体"/>
          <w:color w:val="auto"/>
          <w:highlight w:val="none"/>
        </w:rPr>
        <w:t>（2）电子交易平台应用或数据库出现错误，不能进行正常操作的；</w:t>
      </w:r>
    </w:p>
    <w:p w14:paraId="58C9FCD6">
      <w:pPr>
        <w:spacing w:line="360" w:lineRule="auto"/>
        <w:ind w:firstLine="420" w:firstLineChars="200"/>
        <w:rPr>
          <w:rFonts w:hint="eastAsia" w:ascii="宋体" w:hAnsi="宋体"/>
          <w:color w:val="auto"/>
          <w:highlight w:val="none"/>
        </w:rPr>
      </w:pPr>
      <w:r>
        <w:rPr>
          <w:rFonts w:hint="eastAsia" w:ascii="宋体" w:hAnsi="宋体"/>
          <w:color w:val="auto"/>
          <w:highlight w:val="none"/>
        </w:rPr>
        <w:t>（3）电子交易平台发现严重安全漏洞，有潜在泄密危险的；</w:t>
      </w:r>
    </w:p>
    <w:p w14:paraId="57F57B41">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（4）病毒发作导致不能进行正常操作的； </w:t>
      </w:r>
    </w:p>
    <w:p w14:paraId="7F8648D9">
      <w:pPr>
        <w:spacing w:line="360" w:lineRule="auto"/>
        <w:ind w:firstLine="420" w:firstLineChars="200"/>
        <w:rPr>
          <w:rFonts w:hint="eastAsia" w:ascii="宋体" w:hAnsi="宋体"/>
          <w:color w:val="auto"/>
          <w:highlight w:val="none"/>
        </w:rPr>
      </w:pPr>
      <w:r>
        <w:rPr>
          <w:rFonts w:hint="eastAsia" w:ascii="宋体" w:hAnsi="宋体"/>
          <w:color w:val="auto"/>
          <w:highlight w:val="none"/>
        </w:rPr>
        <w:t>（5）其他无法保证电子交易的公平、公正和安全的情况。</w:t>
      </w:r>
    </w:p>
    <w:p w14:paraId="5DA59DAC">
      <w:pPr>
        <w:spacing w:line="360" w:lineRule="auto"/>
        <w:ind w:firstLine="420" w:firstLineChars="200"/>
        <w:rPr>
          <w:color w:val="auto"/>
          <w:highlight w:val="none"/>
        </w:rPr>
      </w:pPr>
      <w:r>
        <w:rPr>
          <w:rFonts w:hint="eastAsia" w:ascii="宋体" w:hAnsi="宋体"/>
          <w:color w:val="auto"/>
          <w:highlight w:val="none"/>
        </w:rPr>
        <w:t>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359EBE9B">
      <w:pPr>
        <w:pStyle w:val="528"/>
        <w:spacing w:line="360" w:lineRule="auto"/>
        <w:rPr>
          <w:rFonts w:hint="eastAsia" w:ascii="宋体" w:hAnsi="宋体" w:eastAsia="宋体"/>
          <w:b/>
          <w:color w:val="auto"/>
          <w:highlight w:val="none"/>
        </w:rPr>
      </w:pPr>
      <w:bookmarkStart w:id="261" w:name="_Toc144974510"/>
      <w:bookmarkStart w:id="262" w:name="_Toc26962"/>
      <w:bookmarkStart w:id="263" w:name="_Toc509841303"/>
      <w:bookmarkStart w:id="264" w:name="_Toc16385"/>
      <w:bookmarkStart w:id="265" w:name="_Toc465778794"/>
      <w:bookmarkStart w:id="266" w:name="_Toc2991"/>
      <w:bookmarkStart w:id="267" w:name="_Toc21846"/>
      <w:bookmarkStart w:id="268" w:name="_Toc862"/>
      <w:bookmarkStart w:id="269" w:name="_Toc48038704"/>
      <w:bookmarkStart w:id="270" w:name="_Toc48484438"/>
      <w:bookmarkStart w:id="271" w:name="_Toc462068375"/>
      <w:bookmarkStart w:id="272" w:name="_Toc466623390"/>
      <w:bookmarkStart w:id="273" w:name="_Toc152045542"/>
      <w:bookmarkStart w:id="274" w:name="_Toc152042318"/>
      <w:bookmarkStart w:id="275" w:name="_Toc462068091"/>
      <w:r>
        <w:rPr>
          <w:rFonts w:hint="eastAsia" w:ascii="宋体" w:hAnsi="宋体" w:eastAsia="宋体"/>
          <w:b/>
          <w:color w:val="auto"/>
          <w:highlight w:val="none"/>
        </w:rPr>
        <w:t>2. 竞争性磋商文件</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26030219">
      <w:pPr>
        <w:pStyle w:val="440"/>
        <w:spacing w:line="360" w:lineRule="auto"/>
        <w:rPr>
          <w:rFonts w:hint="eastAsia" w:ascii="宋体" w:hAnsi="宋体" w:eastAsia="宋体"/>
          <w:color w:val="auto"/>
          <w:highlight w:val="none"/>
        </w:rPr>
      </w:pPr>
      <w:bookmarkStart w:id="276" w:name="_Toc1646"/>
      <w:bookmarkStart w:id="277" w:name="_Toc466623391"/>
      <w:bookmarkStart w:id="278" w:name="_Toc462068092"/>
      <w:bookmarkStart w:id="279" w:name="_Toc152045543"/>
      <w:bookmarkStart w:id="280" w:name="_Toc31772"/>
      <w:bookmarkStart w:id="281" w:name="_Toc23958"/>
      <w:bookmarkStart w:id="282" w:name="_Toc509841304"/>
      <w:bookmarkStart w:id="283" w:name="_Toc48484439"/>
      <w:bookmarkStart w:id="284" w:name="_Toc462068376"/>
      <w:bookmarkStart w:id="285" w:name="_Toc11070"/>
      <w:bookmarkStart w:id="286" w:name="_Toc13229"/>
      <w:bookmarkStart w:id="287" w:name="_Toc465778795"/>
      <w:bookmarkStart w:id="288" w:name="_Toc48038705"/>
      <w:bookmarkStart w:id="289" w:name="_Toc152042319"/>
      <w:bookmarkStart w:id="290" w:name="_Toc144974511"/>
      <w:r>
        <w:rPr>
          <w:rFonts w:hint="eastAsia" w:ascii="宋体" w:hAnsi="宋体" w:eastAsia="宋体"/>
          <w:color w:val="auto"/>
          <w:highlight w:val="none"/>
        </w:rPr>
        <w:t>2.1 竞争性磋商文件的组成</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5C743EFD">
      <w:pPr>
        <w:spacing w:line="360" w:lineRule="auto"/>
        <w:rPr>
          <w:rFonts w:hint="eastAsia" w:ascii="宋体" w:hAnsi="宋体"/>
          <w:color w:val="auto"/>
          <w:highlight w:val="none"/>
        </w:rPr>
      </w:pPr>
      <w:r>
        <w:rPr>
          <w:rFonts w:hint="eastAsia" w:ascii="宋体" w:hAnsi="宋体"/>
          <w:color w:val="auto"/>
          <w:highlight w:val="none"/>
        </w:rPr>
        <w:t>2.1.1竞争性磋商文件电子版（doc或docx）内容为：</w:t>
      </w:r>
    </w:p>
    <w:p w14:paraId="72A15BCE">
      <w:pPr>
        <w:spacing w:line="360" w:lineRule="auto"/>
        <w:ind w:firstLine="420"/>
        <w:rPr>
          <w:rFonts w:hint="eastAsia" w:ascii="宋体" w:hAnsi="宋体"/>
          <w:color w:val="auto"/>
          <w:highlight w:val="none"/>
        </w:rPr>
      </w:pPr>
      <w:r>
        <w:rPr>
          <w:rFonts w:hint="eastAsia" w:ascii="宋体" w:hAnsi="宋体"/>
          <w:color w:val="auto"/>
          <w:highlight w:val="none"/>
        </w:rPr>
        <w:t>（1）竞争性磋商公告；</w:t>
      </w:r>
    </w:p>
    <w:p w14:paraId="334BDD41">
      <w:pPr>
        <w:spacing w:line="360" w:lineRule="auto"/>
        <w:ind w:firstLine="359" w:firstLineChars="171"/>
        <w:rPr>
          <w:rFonts w:hint="eastAsia" w:ascii="宋体" w:hAnsi="宋体"/>
          <w:color w:val="auto"/>
          <w:highlight w:val="none"/>
        </w:rPr>
      </w:pPr>
      <w:r>
        <w:rPr>
          <w:rFonts w:hint="eastAsia" w:ascii="宋体" w:hAnsi="宋体"/>
          <w:color w:val="auto"/>
          <w:highlight w:val="none"/>
        </w:rPr>
        <w:t>（2）供应商须知前附表及供应商须知；</w:t>
      </w:r>
    </w:p>
    <w:p w14:paraId="0073E45A">
      <w:pPr>
        <w:spacing w:line="360" w:lineRule="auto"/>
        <w:ind w:firstLine="359" w:firstLineChars="171"/>
        <w:rPr>
          <w:rFonts w:hint="eastAsia" w:ascii="宋体" w:hAnsi="宋体"/>
          <w:color w:val="auto"/>
          <w:highlight w:val="none"/>
        </w:rPr>
      </w:pPr>
      <w:r>
        <w:rPr>
          <w:rFonts w:hint="eastAsia" w:ascii="宋体" w:hAnsi="宋体"/>
          <w:color w:val="auto"/>
          <w:highlight w:val="none"/>
        </w:rPr>
        <w:t>（3）评审办法；</w:t>
      </w:r>
    </w:p>
    <w:p w14:paraId="790C0D16">
      <w:pPr>
        <w:spacing w:line="360" w:lineRule="auto"/>
        <w:ind w:firstLine="359" w:firstLineChars="171"/>
        <w:rPr>
          <w:rFonts w:hint="eastAsia" w:ascii="宋体" w:hAnsi="宋体"/>
          <w:color w:val="auto"/>
          <w:highlight w:val="none"/>
        </w:rPr>
      </w:pPr>
      <w:r>
        <w:rPr>
          <w:rFonts w:hint="eastAsia" w:ascii="宋体" w:hAnsi="宋体"/>
          <w:color w:val="auto"/>
          <w:highlight w:val="none"/>
        </w:rPr>
        <w:t>（4）合同条款及格式；</w:t>
      </w:r>
    </w:p>
    <w:p w14:paraId="5E5EEE44">
      <w:pPr>
        <w:spacing w:line="360" w:lineRule="auto"/>
        <w:ind w:firstLine="359" w:firstLineChars="171"/>
        <w:rPr>
          <w:rFonts w:hint="eastAsia" w:ascii="宋体" w:hAnsi="宋体"/>
          <w:color w:val="auto"/>
          <w:highlight w:val="none"/>
        </w:rPr>
      </w:pPr>
      <w:r>
        <w:rPr>
          <w:rFonts w:hint="eastAsia" w:ascii="宋体" w:hAnsi="宋体"/>
          <w:color w:val="auto"/>
          <w:highlight w:val="none"/>
        </w:rPr>
        <w:t>（5）采购需求；</w:t>
      </w:r>
    </w:p>
    <w:p w14:paraId="7AE79405">
      <w:pPr>
        <w:spacing w:line="360" w:lineRule="auto"/>
        <w:ind w:firstLine="359" w:firstLineChars="171"/>
        <w:rPr>
          <w:color w:val="auto"/>
          <w:highlight w:val="none"/>
        </w:rPr>
      </w:pPr>
      <w:r>
        <w:rPr>
          <w:rFonts w:hint="eastAsia" w:ascii="宋体" w:hAnsi="宋体"/>
          <w:color w:val="auto"/>
          <w:highlight w:val="none"/>
        </w:rPr>
        <w:t>（6）响应文件部分格式。</w:t>
      </w:r>
    </w:p>
    <w:p w14:paraId="2126848C">
      <w:pPr>
        <w:spacing w:line="360" w:lineRule="auto"/>
        <w:rPr>
          <w:rFonts w:hint="eastAsia" w:ascii="宋体" w:hAnsi="宋体"/>
          <w:color w:val="auto"/>
          <w:highlight w:val="none"/>
        </w:rPr>
      </w:pPr>
      <w:r>
        <w:rPr>
          <w:rFonts w:hint="eastAsia" w:ascii="宋体" w:hAnsi="宋体"/>
          <w:color w:val="auto"/>
          <w:highlight w:val="none"/>
        </w:rPr>
        <w:t>2.1.2竞争性磋商文件软件版：为独立文件，另附；用于编制加密响应文件。需使用平台下载的通用投标文件编制工具打开。</w:t>
      </w:r>
    </w:p>
    <w:p w14:paraId="5DB7A4BB">
      <w:pPr>
        <w:spacing w:line="360" w:lineRule="auto"/>
        <w:ind w:firstLine="420" w:firstLineChars="200"/>
        <w:rPr>
          <w:rFonts w:hint="eastAsia" w:ascii="宋体" w:hAnsi="宋体"/>
          <w:color w:val="auto"/>
          <w:highlight w:val="none"/>
        </w:rPr>
      </w:pPr>
      <w:r>
        <w:rPr>
          <w:rFonts w:hint="eastAsia" w:ascii="宋体" w:hAnsi="宋体"/>
          <w:color w:val="auto"/>
          <w:highlight w:val="none"/>
        </w:rPr>
        <w:t>根据本章第1.10款、第2.2款和第2.3款对竞争性磋商文件所作的澄清、修改，构成竞争性磋商文件的组成部分。</w:t>
      </w:r>
    </w:p>
    <w:p w14:paraId="69378AC6">
      <w:pPr>
        <w:pStyle w:val="440"/>
        <w:spacing w:line="360" w:lineRule="auto"/>
        <w:rPr>
          <w:rFonts w:hint="default" w:ascii="宋体" w:hAnsi="宋体" w:eastAsia="宋体"/>
          <w:color w:val="auto"/>
          <w:highlight w:val="none"/>
          <w:lang w:val="en-US" w:eastAsia="zh-CN"/>
        </w:rPr>
      </w:pPr>
      <w:bookmarkStart w:id="291" w:name="_Toc509841305"/>
      <w:bookmarkStart w:id="292" w:name="_Toc465778796"/>
      <w:bookmarkStart w:id="293" w:name="_Toc152042320"/>
      <w:bookmarkStart w:id="294" w:name="_Toc462068377"/>
      <w:bookmarkStart w:id="295" w:name="_Toc16939"/>
      <w:bookmarkStart w:id="296" w:name="_Toc462068093"/>
      <w:bookmarkStart w:id="297" w:name="_Toc152045544"/>
      <w:bookmarkStart w:id="298" w:name="_Toc8517"/>
      <w:bookmarkStart w:id="299" w:name="_Toc48484440"/>
      <w:bookmarkStart w:id="300" w:name="_Toc466623392"/>
      <w:bookmarkStart w:id="301" w:name="_Toc1075"/>
      <w:bookmarkStart w:id="302" w:name="_Toc48038706"/>
      <w:bookmarkStart w:id="303" w:name="_Toc25698"/>
      <w:bookmarkStart w:id="304" w:name="_Toc144974512"/>
      <w:bookmarkStart w:id="305" w:name="_Toc17996"/>
      <w:r>
        <w:rPr>
          <w:rFonts w:hint="eastAsia" w:ascii="宋体" w:hAnsi="宋体" w:eastAsia="宋体"/>
          <w:color w:val="auto"/>
          <w:highlight w:val="none"/>
        </w:rPr>
        <w:t xml:space="preserve">2.2 </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r>
        <w:rPr>
          <w:rFonts w:hint="eastAsia" w:ascii="宋体" w:hAnsi="宋体" w:eastAsia="宋体"/>
          <w:color w:val="auto"/>
          <w:highlight w:val="none"/>
          <w:lang w:val="en-US" w:eastAsia="zh-CN"/>
        </w:rPr>
        <w:t>竞争性磋商文件的澄清或修改</w:t>
      </w:r>
    </w:p>
    <w:p w14:paraId="72CFB78F">
      <w:pPr>
        <w:spacing w:line="360" w:lineRule="auto"/>
        <w:ind w:firstLine="420" w:firstLineChars="200"/>
        <w:rPr>
          <w:rFonts w:hint="eastAsia" w:ascii="宋体" w:hAnsi="宋体"/>
          <w:color w:val="auto"/>
          <w:highlight w:val="none"/>
        </w:rPr>
      </w:pPr>
      <w:r>
        <w:rPr>
          <w:rFonts w:hint="eastAsia" w:ascii="宋体" w:hAnsi="宋体"/>
          <w:color w:val="auto"/>
          <w:highlight w:val="none"/>
        </w:rPr>
        <w:t>2.2.1供应商提出询问的方法：见供应商须知前附表。</w:t>
      </w:r>
    </w:p>
    <w:p w14:paraId="68ABBB95">
      <w:pPr>
        <w:spacing w:line="360" w:lineRule="auto"/>
        <w:ind w:firstLine="420" w:firstLineChars="200"/>
        <w:rPr>
          <w:rFonts w:hint="eastAsia" w:ascii="宋体" w:hAnsi="宋体"/>
          <w:color w:val="auto"/>
          <w:highlight w:val="none"/>
        </w:rPr>
      </w:pPr>
      <w:r>
        <w:rPr>
          <w:rFonts w:hint="eastAsia" w:ascii="宋体" w:hAnsi="宋体"/>
          <w:color w:val="auto"/>
          <w:highlight w:val="none"/>
        </w:rPr>
        <w:t>2.2.2澄清或修改的时间和方法：见供应商须知前附表。</w:t>
      </w:r>
    </w:p>
    <w:p w14:paraId="30F7A328">
      <w:pPr>
        <w:spacing w:line="360" w:lineRule="auto"/>
        <w:ind w:firstLine="420" w:firstLineChars="200"/>
        <w:rPr>
          <w:rFonts w:hint="eastAsia" w:ascii="宋体" w:hAnsi="宋体"/>
          <w:color w:val="auto"/>
          <w:highlight w:val="none"/>
        </w:rPr>
      </w:pPr>
      <w:r>
        <w:rPr>
          <w:rFonts w:hint="eastAsia" w:ascii="宋体" w:hAnsi="宋体"/>
          <w:color w:val="auto"/>
          <w:highlight w:val="none"/>
        </w:rPr>
        <w:t>2.2.3澄清或修改的发布媒介：见供应商须知前附表。</w:t>
      </w:r>
    </w:p>
    <w:p w14:paraId="60029DC4">
      <w:pPr>
        <w:spacing w:line="360" w:lineRule="auto"/>
        <w:ind w:firstLine="420" w:firstLineChars="200"/>
        <w:rPr>
          <w:rFonts w:hint="eastAsia" w:ascii="宋体" w:hAnsi="宋体"/>
          <w:color w:val="auto"/>
          <w:highlight w:val="none"/>
        </w:rPr>
      </w:pPr>
      <w:r>
        <w:rPr>
          <w:rFonts w:hint="eastAsia" w:ascii="宋体" w:hAnsi="宋体"/>
          <w:color w:val="auto"/>
          <w:highlight w:val="none"/>
        </w:rPr>
        <w:t>2.2.4供应商确认收到竞争性磋商文件澄清或修改的方式：详见须知前附表。</w:t>
      </w:r>
    </w:p>
    <w:p w14:paraId="47EDC796">
      <w:pPr>
        <w:pStyle w:val="528"/>
        <w:spacing w:line="360" w:lineRule="auto"/>
        <w:rPr>
          <w:rFonts w:hint="eastAsia" w:ascii="宋体" w:hAnsi="宋体" w:eastAsia="宋体"/>
          <w:b/>
          <w:color w:val="auto"/>
          <w:highlight w:val="none"/>
        </w:rPr>
      </w:pPr>
      <w:bookmarkStart w:id="306" w:name="_Toc7864"/>
      <w:bookmarkStart w:id="307" w:name="_Toc144974514"/>
      <w:bookmarkStart w:id="308" w:name="_Toc466623394"/>
      <w:bookmarkStart w:id="309" w:name="_Toc509841307"/>
      <w:bookmarkStart w:id="310" w:name="_Toc462068379"/>
      <w:bookmarkStart w:id="311" w:name="_Toc29404"/>
      <w:bookmarkStart w:id="312" w:name="_Toc31618"/>
      <w:bookmarkStart w:id="313" w:name="_Toc465778798"/>
      <w:bookmarkStart w:id="314" w:name="_Toc152045546"/>
      <w:bookmarkStart w:id="315" w:name="_Toc152042322"/>
      <w:bookmarkStart w:id="316" w:name="_Toc10010"/>
      <w:bookmarkStart w:id="317" w:name="_Toc462068095"/>
      <w:bookmarkStart w:id="318" w:name="_Toc48484442"/>
      <w:bookmarkStart w:id="319" w:name="_Toc4564"/>
      <w:bookmarkStart w:id="320" w:name="_Toc48038708"/>
      <w:r>
        <w:rPr>
          <w:rFonts w:hint="eastAsia" w:ascii="宋体" w:hAnsi="宋体" w:eastAsia="宋体"/>
          <w:b/>
          <w:color w:val="auto"/>
          <w:highlight w:val="none"/>
        </w:rPr>
        <w:t>3. 响应文件</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080EA601">
      <w:pPr>
        <w:pStyle w:val="440"/>
        <w:spacing w:line="360" w:lineRule="auto"/>
        <w:rPr>
          <w:rFonts w:hint="eastAsia" w:ascii="宋体" w:hAnsi="宋体" w:eastAsia="宋体"/>
          <w:b/>
          <w:color w:val="auto"/>
          <w:highlight w:val="none"/>
        </w:rPr>
      </w:pPr>
      <w:bookmarkStart w:id="321" w:name="_Toc152045547"/>
      <w:bookmarkStart w:id="322" w:name="_Toc144974515"/>
      <w:bookmarkStart w:id="323" w:name="_Toc462068380"/>
      <w:bookmarkStart w:id="324" w:name="_Toc22428"/>
      <w:bookmarkStart w:id="325" w:name="_Toc15809"/>
      <w:bookmarkStart w:id="326" w:name="_Toc466623395"/>
      <w:bookmarkStart w:id="327" w:name="_Toc48038709"/>
      <w:bookmarkStart w:id="328" w:name="_Toc465778799"/>
      <w:bookmarkStart w:id="329" w:name="_Toc8514"/>
      <w:bookmarkStart w:id="330" w:name="_Toc152042323"/>
      <w:bookmarkStart w:id="331" w:name="_Toc509841308"/>
      <w:bookmarkStart w:id="332" w:name="_Toc462068096"/>
      <w:bookmarkStart w:id="333" w:name="_Toc48484443"/>
      <w:bookmarkStart w:id="334" w:name="_Toc15891"/>
      <w:bookmarkStart w:id="335" w:name="_Toc21504"/>
      <w:r>
        <w:rPr>
          <w:rFonts w:hint="eastAsia" w:ascii="宋体" w:hAnsi="宋体" w:eastAsia="宋体"/>
          <w:b/>
          <w:color w:val="auto"/>
          <w:highlight w:val="none"/>
        </w:rPr>
        <w:t>3.1 响应文件的组成</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3503260B">
      <w:pPr>
        <w:spacing w:line="360" w:lineRule="auto"/>
        <w:ind w:firstLine="422" w:firstLineChars="200"/>
        <w:rPr>
          <w:rFonts w:hint="eastAsia" w:ascii="宋体" w:hAnsi="宋体"/>
          <w:color w:val="auto"/>
          <w:highlight w:val="none"/>
        </w:rPr>
      </w:pPr>
      <w:r>
        <w:rPr>
          <w:rFonts w:hint="eastAsia" w:ascii="宋体" w:hAnsi="宋体"/>
          <w:b/>
          <w:color w:val="auto"/>
          <w:highlight w:val="none"/>
        </w:rPr>
        <w:t>3.1.1响应文件由资格审查资料部分、商务部分</w:t>
      </w:r>
      <w:r>
        <w:rPr>
          <w:rFonts w:hint="eastAsia" w:ascii="宋体" w:hAnsi="宋体"/>
          <w:b/>
          <w:color w:val="auto"/>
          <w:highlight w:val="none"/>
          <w:lang w:eastAsia="zh-CN"/>
        </w:rPr>
        <w:t>、</w:t>
      </w:r>
      <w:r>
        <w:rPr>
          <w:rFonts w:hint="eastAsia" w:ascii="宋体" w:hAnsi="宋体"/>
          <w:b/>
          <w:color w:val="auto"/>
          <w:highlight w:val="none"/>
          <w:lang w:val="en-US" w:eastAsia="zh-CN"/>
        </w:rPr>
        <w:t>报价</w:t>
      </w:r>
      <w:r>
        <w:rPr>
          <w:rFonts w:hint="eastAsia" w:ascii="宋体" w:hAnsi="宋体"/>
          <w:b/>
          <w:color w:val="auto"/>
          <w:highlight w:val="none"/>
        </w:rPr>
        <w:t>部分和技术部分四部分组成。详见竞争性磋商文件第六章。</w:t>
      </w:r>
    </w:p>
    <w:p w14:paraId="54D737E1">
      <w:pPr>
        <w:spacing w:line="360" w:lineRule="auto"/>
        <w:ind w:firstLine="422" w:firstLineChars="200"/>
        <w:rPr>
          <w:rFonts w:hint="eastAsia" w:ascii="宋体" w:hAnsi="宋体"/>
          <w:color w:val="auto"/>
          <w:highlight w:val="none"/>
        </w:rPr>
      </w:pPr>
      <w:r>
        <w:rPr>
          <w:rFonts w:hint="eastAsia" w:ascii="宋体" w:hAnsi="宋体"/>
          <w:b/>
          <w:color w:val="auto"/>
          <w:highlight w:val="none"/>
        </w:rPr>
        <w:t>3.1.2响应文件格式：详见“供应商须知前附表”3.1.2条。</w:t>
      </w:r>
    </w:p>
    <w:p w14:paraId="5F87A24E">
      <w:pPr>
        <w:pStyle w:val="440"/>
        <w:spacing w:line="360" w:lineRule="auto"/>
        <w:rPr>
          <w:rFonts w:hint="eastAsia" w:ascii="宋体" w:hAnsi="宋体" w:eastAsia="宋体"/>
          <w:b/>
          <w:color w:val="auto"/>
          <w:highlight w:val="none"/>
        </w:rPr>
      </w:pPr>
      <w:bookmarkStart w:id="336" w:name="_Toc9689"/>
      <w:bookmarkStart w:id="337" w:name="_Toc465778800"/>
      <w:bookmarkStart w:id="338" w:name="_Toc462068381"/>
      <w:bookmarkStart w:id="339" w:name="_Toc152045548"/>
      <w:bookmarkStart w:id="340" w:name="_Toc22081"/>
      <w:bookmarkStart w:id="341" w:name="_Toc466623396"/>
      <w:bookmarkStart w:id="342" w:name="_Toc48484444"/>
      <w:bookmarkStart w:id="343" w:name="_Toc27953"/>
      <w:bookmarkStart w:id="344" w:name="_Toc4879"/>
      <w:bookmarkStart w:id="345" w:name="_Toc152042324"/>
      <w:bookmarkStart w:id="346" w:name="_Toc26676"/>
      <w:bookmarkStart w:id="347" w:name="_Toc48038710"/>
      <w:bookmarkStart w:id="348" w:name="_Toc462068097"/>
      <w:bookmarkStart w:id="349" w:name="_Toc509841309"/>
      <w:bookmarkStart w:id="350" w:name="_Toc144974516"/>
      <w:r>
        <w:rPr>
          <w:rFonts w:hint="eastAsia" w:ascii="宋体" w:hAnsi="宋体" w:eastAsia="宋体"/>
          <w:b/>
          <w:color w:val="auto"/>
          <w:highlight w:val="none"/>
        </w:rPr>
        <w:t>3.2 磋商报价</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716A75EE">
      <w:pPr>
        <w:spacing w:line="360" w:lineRule="auto"/>
        <w:ind w:firstLine="420" w:firstLineChars="200"/>
        <w:rPr>
          <w:rFonts w:hint="eastAsia" w:ascii="宋体" w:hAnsi="宋体"/>
          <w:color w:val="auto"/>
          <w:highlight w:val="none"/>
        </w:rPr>
      </w:pPr>
      <w:r>
        <w:rPr>
          <w:rFonts w:hint="eastAsia" w:ascii="宋体" w:hAnsi="宋体"/>
          <w:color w:val="auto"/>
          <w:highlight w:val="none"/>
        </w:rPr>
        <w:t>3.2.1本项目的磋商报价采用本须知前附表所规定的方式。</w:t>
      </w:r>
    </w:p>
    <w:p w14:paraId="1C3B255F">
      <w:pPr>
        <w:spacing w:line="360" w:lineRule="auto"/>
        <w:ind w:firstLine="420" w:firstLineChars="200"/>
        <w:rPr>
          <w:rFonts w:hint="eastAsia" w:ascii="宋体" w:hAnsi="宋体"/>
          <w:color w:val="auto"/>
          <w:highlight w:val="none"/>
        </w:rPr>
      </w:pPr>
      <w:r>
        <w:rPr>
          <w:rFonts w:hint="eastAsia" w:ascii="宋体" w:hAnsi="宋体"/>
          <w:color w:val="auto"/>
          <w:highlight w:val="none"/>
        </w:rPr>
        <w:t>3.2.2供应商应根据采购人对合同履行期限和质量要求，考虑必要的技术措施（质量、安全、期限、进度计划等）和合同实施过程</w:t>
      </w:r>
      <w:r>
        <w:rPr>
          <w:rFonts w:hint="eastAsia" w:ascii="宋体" w:hAnsi="宋体"/>
          <w:color w:val="auto"/>
          <w:highlight w:val="none"/>
          <w:lang w:val="en-US" w:eastAsia="zh-CN"/>
        </w:rPr>
        <w:t>中</w:t>
      </w:r>
      <w:r>
        <w:rPr>
          <w:rFonts w:hint="eastAsia" w:ascii="宋体" w:hAnsi="宋体"/>
          <w:color w:val="auto"/>
          <w:highlight w:val="none"/>
        </w:rPr>
        <w:t>可能发生的风险因素，结合市场价格情况及自身实力和投标风险自主报价。</w:t>
      </w:r>
    </w:p>
    <w:p w14:paraId="2415755F">
      <w:pPr>
        <w:spacing w:line="360" w:lineRule="auto"/>
        <w:ind w:firstLine="420" w:firstLineChars="200"/>
        <w:rPr>
          <w:rFonts w:hint="eastAsia" w:ascii="宋体" w:hAnsi="宋体"/>
          <w:color w:val="auto"/>
          <w:highlight w:val="none"/>
        </w:rPr>
      </w:pPr>
      <w:r>
        <w:rPr>
          <w:rFonts w:hint="eastAsia" w:ascii="宋体" w:hAnsi="宋体"/>
          <w:color w:val="auto"/>
          <w:highlight w:val="none"/>
        </w:rPr>
        <w:t>3.2.3</w:t>
      </w:r>
      <w:r>
        <w:rPr>
          <w:color w:val="auto"/>
          <w:szCs w:val="21"/>
          <w:highlight w:val="none"/>
        </w:rPr>
        <w:t>由供应商支付的所有税费，都应包括在所报费用中，采购人不另行支付。</w:t>
      </w:r>
    </w:p>
    <w:p w14:paraId="66447867">
      <w:pPr>
        <w:spacing w:line="360" w:lineRule="auto"/>
        <w:ind w:firstLine="420" w:firstLineChars="200"/>
        <w:rPr>
          <w:rFonts w:hint="eastAsia" w:ascii="宋体" w:hAnsi="宋体"/>
          <w:color w:val="auto"/>
          <w:highlight w:val="none"/>
        </w:rPr>
      </w:pPr>
      <w:r>
        <w:rPr>
          <w:rFonts w:hint="eastAsia" w:ascii="宋体" w:hAnsi="宋体"/>
          <w:color w:val="auto"/>
          <w:highlight w:val="none"/>
        </w:rPr>
        <w:t>3.2.4</w:t>
      </w:r>
      <w:r>
        <w:rPr>
          <w:color w:val="auto"/>
          <w:szCs w:val="21"/>
          <w:highlight w:val="none"/>
        </w:rPr>
        <w:t>供应商没有报价的项目，采购人将认为有关费用已包含在其他项目之中，不另行支付。</w:t>
      </w:r>
    </w:p>
    <w:p w14:paraId="6BCBFEC7">
      <w:pPr>
        <w:spacing w:line="360" w:lineRule="auto"/>
        <w:ind w:firstLine="420" w:firstLineChars="200"/>
        <w:rPr>
          <w:rFonts w:hint="eastAsia" w:ascii="宋体" w:hAnsi="宋体"/>
          <w:color w:val="auto"/>
          <w:highlight w:val="none"/>
        </w:rPr>
      </w:pPr>
      <w:r>
        <w:rPr>
          <w:rFonts w:hint="eastAsia" w:ascii="宋体" w:hAnsi="宋体"/>
          <w:color w:val="auto"/>
          <w:highlight w:val="none"/>
        </w:rPr>
        <w:t>3.2.5</w:t>
      </w:r>
      <w:r>
        <w:rPr>
          <w:rFonts w:hint="eastAsia" w:ascii="宋体" w:hAnsi="宋体" w:cs="宋体"/>
          <w:b/>
          <w:bCs/>
          <w:color w:val="auto"/>
          <w:kern w:val="0"/>
          <w:szCs w:val="21"/>
          <w:highlight w:val="none"/>
        </w:rPr>
        <w:t>本次磋商首次报价为响应文件中的报价，经过首次磋商后，供应商在规定的时间内进行磋商并提交最后报价。最后报价为成交价，成交价在合同履行期不得调整。</w:t>
      </w:r>
    </w:p>
    <w:p w14:paraId="0BF9FFB3">
      <w:pPr>
        <w:spacing w:line="360" w:lineRule="auto"/>
        <w:ind w:firstLine="420" w:firstLineChars="200"/>
        <w:rPr>
          <w:rFonts w:hint="eastAsia" w:ascii="宋体" w:hAnsi="宋体"/>
          <w:color w:val="auto"/>
          <w:highlight w:val="none"/>
        </w:rPr>
      </w:pPr>
      <w:r>
        <w:rPr>
          <w:rFonts w:hint="eastAsia" w:ascii="宋体" w:hAnsi="宋体"/>
          <w:color w:val="auto"/>
          <w:highlight w:val="none"/>
        </w:rPr>
        <w:t>3.2.6供应商应本着合理的原则报价，磋商报价不得低于其企业成本价。</w:t>
      </w:r>
    </w:p>
    <w:p w14:paraId="10D31C9E">
      <w:pPr>
        <w:spacing w:line="360" w:lineRule="auto"/>
        <w:ind w:firstLine="420" w:firstLineChars="200"/>
        <w:rPr>
          <w:rFonts w:hint="eastAsia" w:ascii="宋体" w:hAnsi="宋体"/>
          <w:color w:val="auto"/>
          <w:highlight w:val="none"/>
        </w:rPr>
      </w:pPr>
      <w:r>
        <w:rPr>
          <w:rFonts w:hint="eastAsia" w:ascii="宋体" w:hAnsi="宋体"/>
          <w:color w:val="auto"/>
          <w:highlight w:val="none"/>
        </w:rPr>
        <w:t>3.2.</w:t>
      </w:r>
      <w:r>
        <w:rPr>
          <w:rFonts w:ascii="宋体" w:hAnsi="宋体"/>
          <w:color w:val="auto"/>
          <w:highlight w:val="none"/>
        </w:rPr>
        <w:t>7投标货币</w:t>
      </w:r>
    </w:p>
    <w:p w14:paraId="0DFDA1C8">
      <w:pPr>
        <w:spacing w:line="360" w:lineRule="auto"/>
        <w:ind w:firstLine="420" w:firstLineChars="200"/>
        <w:rPr>
          <w:rFonts w:hint="eastAsia" w:ascii="宋体" w:hAnsi="宋体"/>
          <w:color w:val="auto"/>
          <w:highlight w:val="none"/>
        </w:rPr>
      </w:pPr>
      <w:r>
        <w:rPr>
          <w:rFonts w:ascii="宋体" w:hAnsi="宋体"/>
          <w:color w:val="auto"/>
          <w:highlight w:val="none"/>
        </w:rPr>
        <w:t>本项目</w:t>
      </w:r>
      <w:r>
        <w:rPr>
          <w:rFonts w:hint="eastAsia" w:ascii="宋体" w:hAnsi="宋体"/>
          <w:color w:val="auto"/>
          <w:highlight w:val="none"/>
        </w:rPr>
        <w:t>磋商报价</w:t>
      </w:r>
      <w:r>
        <w:rPr>
          <w:rFonts w:ascii="宋体" w:hAnsi="宋体"/>
          <w:color w:val="auto"/>
          <w:highlight w:val="none"/>
        </w:rPr>
        <w:t>采用的币种为</w:t>
      </w:r>
      <w:r>
        <w:rPr>
          <w:rFonts w:hint="eastAsia" w:ascii="宋体" w:hAnsi="宋体"/>
          <w:color w:val="auto"/>
          <w:highlight w:val="none"/>
        </w:rPr>
        <w:t>人民币。</w:t>
      </w:r>
    </w:p>
    <w:p w14:paraId="56343AF7">
      <w:pPr>
        <w:pStyle w:val="440"/>
        <w:spacing w:line="360" w:lineRule="auto"/>
        <w:rPr>
          <w:rFonts w:hint="eastAsia" w:ascii="宋体" w:hAnsi="宋体"/>
          <w:color w:val="auto"/>
          <w:highlight w:val="none"/>
        </w:rPr>
      </w:pPr>
      <w:bookmarkStart w:id="351" w:name="_Toc462068098"/>
      <w:bookmarkStart w:id="352" w:name="_Toc144974517"/>
      <w:bookmarkStart w:id="353" w:name="_Toc152045549"/>
      <w:bookmarkStart w:id="354" w:name="_Toc23015"/>
      <w:bookmarkStart w:id="355" w:name="_Toc31254"/>
      <w:bookmarkStart w:id="356" w:name="_Toc465778801"/>
      <w:bookmarkStart w:id="357" w:name="_Toc48038711"/>
      <w:bookmarkStart w:id="358" w:name="_Toc509841310"/>
      <w:bookmarkStart w:id="359" w:name="_Toc29679"/>
      <w:bookmarkStart w:id="360" w:name="_Toc462068382"/>
      <w:bookmarkStart w:id="361" w:name="_Toc6430"/>
      <w:bookmarkStart w:id="362" w:name="_Toc9701"/>
      <w:bookmarkStart w:id="363" w:name="_Toc152042325"/>
      <w:bookmarkStart w:id="364" w:name="_Toc48484445"/>
      <w:bookmarkStart w:id="365" w:name="_Toc466623397"/>
      <w:r>
        <w:rPr>
          <w:rFonts w:hint="eastAsia" w:ascii="宋体" w:hAnsi="宋体" w:eastAsia="宋体"/>
          <w:b/>
          <w:color w:val="auto"/>
          <w:highlight w:val="none"/>
        </w:rPr>
        <w:t>3.3 磋商有效期</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2CC6F03F">
      <w:pPr>
        <w:spacing w:line="360" w:lineRule="auto"/>
        <w:ind w:firstLine="420" w:firstLineChars="200"/>
        <w:rPr>
          <w:rFonts w:hint="eastAsia" w:ascii="宋体" w:hAnsi="宋体"/>
          <w:color w:val="auto"/>
          <w:highlight w:val="none"/>
        </w:rPr>
      </w:pPr>
      <w:r>
        <w:rPr>
          <w:rFonts w:hint="eastAsia" w:ascii="宋体" w:hAnsi="宋体"/>
          <w:color w:val="auto"/>
          <w:highlight w:val="none"/>
        </w:rPr>
        <w:t>3.3.1 在供应商须知前附表规定的磋商有效期内，供应商不得要求撤销或修改其响应文件。</w:t>
      </w:r>
    </w:p>
    <w:p w14:paraId="66FB648B">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3.3.2出现特殊情况需要延长磋商有效期的，采购人以书面形式通知所有供应商延长磋商有效期。供应商同意延长的，不得要求或被允许修改或撤销其响应文件；供应商拒绝延长的，其磋商失效。 </w:t>
      </w:r>
    </w:p>
    <w:p w14:paraId="554D2986">
      <w:pPr>
        <w:pStyle w:val="440"/>
        <w:spacing w:line="360" w:lineRule="auto"/>
        <w:rPr>
          <w:rFonts w:hint="eastAsia" w:ascii="宋体" w:hAnsi="宋体" w:eastAsia="宋体"/>
          <w:color w:val="auto"/>
          <w:highlight w:val="none"/>
        </w:rPr>
      </w:pPr>
      <w:bookmarkStart w:id="366" w:name="_Toc48038712"/>
      <w:bookmarkStart w:id="367" w:name="_Toc462068099"/>
      <w:bookmarkStart w:id="368" w:name="_Toc26339"/>
      <w:bookmarkStart w:id="369" w:name="_Toc152045550"/>
      <w:bookmarkStart w:id="370" w:name="_Toc20249"/>
      <w:bookmarkStart w:id="371" w:name="_Toc152042326"/>
      <w:bookmarkStart w:id="372" w:name="_Toc509841311"/>
      <w:bookmarkStart w:id="373" w:name="_Toc144974518"/>
      <w:bookmarkStart w:id="374" w:name="_Toc465778802"/>
      <w:bookmarkStart w:id="375" w:name="_Toc21913"/>
      <w:bookmarkStart w:id="376" w:name="_Toc466623398"/>
      <w:bookmarkStart w:id="377" w:name="_Toc1233"/>
      <w:bookmarkStart w:id="378" w:name="_Toc48484446"/>
      <w:bookmarkStart w:id="379" w:name="_Toc462068383"/>
      <w:bookmarkStart w:id="380" w:name="_Toc1878"/>
      <w:r>
        <w:rPr>
          <w:rFonts w:hint="eastAsia" w:ascii="宋体" w:hAnsi="宋体" w:eastAsia="宋体"/>
          <w:b/>
          <w:color w:val="auto"/>
          <w:highlight w:val="none"/>
        </w:rPr>
        <w:t>3.4 磋商保证金</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0C3ECB48">
      <w:pPr>
        <w:spacing w:line="360" w:lineRule="auto"/>
        <w:ind w:firstLine="420" w:firstLineChars="200"/>
        <w:rPr>
          <w:rFonts w:hint="eastAsia" w:ascii="宋体" w:hAnsi="宋体"/>
          <w:color w:val="auto"/>
          <w:highlight w:val="none"/>
        </w:rPr>
      </w:pPr>
      <w:bookmarkStart w:id="381" w:name="_Toc48038713"/>
      <w:bookmarkStart w:id="382" w:name="_Toc462068384"/>
      <w:bookmarkStart w:id="383" w:name="_Toc152042329"/>
      <w:bookmarkStart w:id="384" w:name="_Toc152045553"/>
      <w:bookmarkStart w:id="385" w:name="_Toc48484447"/>
      <w:bookmarkStart w:id="386" w:name="_Toc465778803"/>
      <w:bookmarkStart w:id="387" w:name="_Toc462068100"/>
      <w:bookmarkStart w:id="388" w:name="_Toc29718"/>
      <w:bookmarkStart w:id="389" w:name="_Toc509841312"/>
      <w:bookmarkStart w:id="390" w:name="_Toc466623399"/>
      <w:bookmarkStart w:id="391" w:name="_Toc144974521"/>
      <w:r>
        <w:rPr>
          <w:rFonts w:hint="eastAsia" w:ascii="宋体" w:hAnsi="宋体"/>
          <w:color w:val="auto"/>
          <w:highlight w:val="none"/>
          <w:lang w:val="en-US" w:eastAsia="zh-CN"/>
        </w:rPr>
        <w:t>无</w:t>
      </w:r>
      <w:r>
        <w:rPr>
          <w:rFonts w:hint="eastAsia" w:ascii="宋体" w:hAnsi="宋体"/>
          <w:color w:val="auto"/>
          <w:highlight w:val="none"/>
        </w:rPr>
        <w:t>。</w:t>
      </w:r>
    </w:p>
    <w:p w14:paraId="60093536">
      <w:pPr>
        <w:pStyle w:val="440"/>
        <w:spacing w:line="360" w:lineRule="auto"/>
        <w:rPr>
          <w:rFonts w:hint="eastAsia" w:ascii="宋体" w:hAnsi="宋体" w:eastAsia="宋体"/>
          <w:color w:val="auto"/>
          <w:highlight w:val="none"/>
        </w:rPr>
      </w:pPr>
      <w:bookmarkStart w:id="392" w:name="_Toc24603"/>
      <w:bookmarkStart w:id="393" w:name="_Toc26418"/>
      <w:bookmarkStart w:id="394" w:name="_Toc22361"/>
      <w:bookmarkStart w:id="395" w:name="_Toc248"/>
      <w:r>
        <w:rPr>
          <w:rFonts w:hint="eastAsia" w:ascii="宋体" w:hAnsi="宋体" w:eastAsia="宋体"/>
          <w:b/>
          <w:color w:val="auto"/>
          <w:highlight w:val="none"/>
        </w:rPr>
        <w:t>3.5 备选磋商方案</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5C4B5153">
      <w:pPr>
        <w:spacing w:line="360" w:lineRule="auto"/>
        <w:ind w:firstLine="420" w:firstLineChars="200"/>
        <w:rPr>
          <w:rFonts w:hint="eastAsia" w:ascii="宋体" w:hAnsi="宋体"/>
          <w:color w:val="auto"/>
          <w:highlight w:val="none"/>
        </w:rPr>
      </w:pPr>
      <w:r>
        <w:rPr>
          <w:rFonts w:hint="eastAsia" w:ascii="宋体" w:hAnsi="宋体"/>
          <w:color w:val="auto"/>
          <w:highlight w:val="none"/>
        </w:rPr>
        <w:t>除供应商须知前附表另有规定外，供应商不得递交备选磋商方案。允许供应商递交备选磋商方案的，只有成交人所递交的备选磋商方案方可予以考虑。磋商小组认为成交人的备选磋商方案优于其按照竞争性磋商文件要求编制的磋商方案的，采购人可以接受该备选磋商方案。</w:t>
      </w:r>
    </w:p>
    <w:p w14:paraId="507BCEE5">
      <w:pPr>
        <w:pStyle w:val="440"/>
        <w:spacing w:line="360" w:lineRule="auto"/>
        <w:rPr>
          <w:rFonts w:hint="eastAsia" w:ascii="宋体" w:hAnsi="宋体" w:eastAsia="宋体"/>
          <w:color w:val="auto"/>
          <w:highlight w:val="none"/>
        </w:rPr>
      </w:pPr>
      <w:bookmarkStart w:id="396" w:name="_Toc11275"/>
      <w:bookmarkStart w:id="397" w:name="_Toc514943554"/>
      <w:bookmarkStart w:id="398" w:name="_Toc65"/>
      <w:bookmarkStart w:id="399" w:name="_Toc152045554"/>
      <w:bookmarkStart w:id="400" w:name="_Toc48038714"/>
      <w:bookmarkStart w:id="401" w:name="_Toc462032344"/>
      <w:bookmarkStart w:id="402" w:name="_Toc516066193"/>
      <w:bookmarkStart w:id="403" w:name="_Toc13846"/>
      <w:bookmarkStart w:id="404" w:name="_Toc152042330"/>
      <w:bookmarkStart w:id="405" w:name="_Toc533070171"/>
      <w:bookmarkStart w:id="406" w:name="_Toc48484448"/>
      <w:bookmarkStart w:id="407" w:name="_Toc462032129"/>
      <w:bookmarkStart w:id="408" w:name="_Toc13181"/>
      <w:bookmarkStart w:id="409" w:name="_Toc465719846"/>
      <w:bookmarkStart w:id="410" w:name="_Toc144974522"/>
      <w:bookmarkStart w:id="411" w:name="_Toc462067756"/>
      <w:r>
        <w:rPr>
          <w:rFonts w:hint="eastAsia" w:ascii="宋体" w:hAnsi="宋体" w:eastAsia="宋体"/>
          <w:b/>
          <w:color w:val="auto"/>
          <w:highlight w:val="none"/>
        </w:rPr>
        <w:t>3.6 响应文件的编制</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38BCF6B1">
      <w:pPr>
        <w:spacing w:line="360" w:lineRule="auto"/>
        <w:ind w:firstLine="420" w:firstLineChars="200"/>
        <w:rPr>
          <w:rFonts w:hint="eastAsia" w:ascii="宋体" w:hAnsi="宋体"/>
          <w:color w:val="auto"/>
          <w:highlight w:val="none"/>
        </w:rPr>
      </w:pPr>
      <w:r>
        <w:rPr>
          <w:rFonts w:hint="eastAsia" w:ascii="宋体" w:hAnsi="宋体"/>
          <w:color w:val="auto"/>
          <w:highlight w:val="none"/>
        </w:rPr>
        <w:t>3.6.1响应文件应按第六章“响应文件部分格式”进行编写，如有必要，可以增加附页，作为响应文件的组成部分。其中，磋商函在满足竞争性磋商文件实质性要求的基础上，可以提出比竞争性磋商文件要求更有利于采购人的承诺。</w:t>
      </w:r>
    </w:p>
    <w:p w14:paraId="4450B36D">
      <w:pPr>
        <w:spacing w:line="360" w:lineRule="auto"/>
        <w:ind w:firstLine="420" w:firstLineChars="200"/>
        <w:rPr>
          <w:rFonts w:hint="eastAsia" w:ascii="宋体" w:hAnsi="宋体"/>
          <w:color w:val="auto"/>
          <w:szCs w:val="21"/>
          <w:highlight w:val="none"/>
        </w:rPr>
      </w:pPr>
      <w:r>
        <w:rPr>
          <w:rFonts w:hint="eastAsia" w:ascii="宋体" w:hAnsi="宋体"/>
          <w:color w:val="auto"/>
          <w:highlight w:val="none"/>
        </w:rPr>
        <w:t>3.6.2 响应文件应当对竞争性磋商文件有关</w:t>
      </w:r>
      <w:r>
        <w:rPr>
          <w:rFonts w:hint="eastAsia" w:ascii="宋体" w:hAnsi="宋体"/>
          <w:color w:val="auto"/>
          <w:szCs w:val="21"/>
          <w:highlight w:val="none"/>
        </w:rPr>
        <w:t>服务要求、磋商有效期、采购需求、竞争性磋商范围等实质性内容作出响应。</w:t>
      </w:r>
    </w:p>
    <w:p w14:paraId="67002F3E">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3.6.3 签字或盖章的具体要求见供应商须知前附表。 </w:t>
      </w:r>
    </w:p>
    <w:p w14:paraId="0D2144C7">
      <w:pPr>
        <w:spacing w:line="360" w:lineRule="auto"/>
        <w:ind w:firstLine="420" w:firstLineChars="200"/>
        <w:rPr>
          <w:rFonts w:hint="eastAsia" w:ascii="宋体" w:hAnsi="宋体"/>
          <w:color w:val="auto"/>
          <w:highlight w:val="none"/>
        </w:rPr>
      </w:pPr>
      <w:r>
        <w:rPr>
          <w:rFonts w:hint="eastAsia" w:ascii="宋体" w:hAnsi="宋体"/>
          <w:color w:val="auto"/>
          <w:highlight w:val="none"/>
        </w:rPr>
        <w:t>3.6.4 响应文件编制方法：详见供应商须知前附表3.6.4项。</w:t>
      </w:r>
    </w:p>
    <w:p w14:paraId="5058454F">
      <w:pPr>
        <w:spacing w:line="360" w:lineRule="auto"/>
        <w:ind w:firstLine="420" w:firstLineChars="200"/>
        <w:rPr>
          <w:rFonts w:hint="eastAsia" w:ascii="宋体" w:hAnsi="宋体"/>
          <w:color w:val="auto"/>
          <w:highlight w:val="none"/>
        </w:rPr>
      </w:pPr>
      <w:r>
        <w:rPr>
          <w:rFonts w:hint="eastAsia" w:ascii="宋体" w:hAnsi="宋体"/>
          <w:color w:val="auto"/>
          <w:highlight w:val="none"/>
        </w:rPr>
        <w:t>3.6.5</w:t>
      </w:r>
      <w:r>
        <w:rPr>
          <w:rFonts w:hint="eastAsia"/>
          <w:color w:val="auto"/>
          <w:highlight w:val="none"/>
        </w:rPr>
        <w:t>“开标一览表”数据一致性要求</w:t>
      </w:r>
      <w:r>
        <w:rPr>
          <w:rFonts w:hint="eastAsia" w:ascii="宋体" w:hAnsi="宋体"/>
          <w:color w:val="auto"/>
          <w:highlight w:val="none"/>
        </w:rPr>
        <w:t>见供应商须知前附表。</w:t>
      </w:r>
    </w:p>
    <w:p w14:paraId="6567B852">
      <w:pPr>
        <w:pStyle w:val="528"/>
        <w:spacing w:line="360" w:lineRule="auto"/>
        <w:rPr>
          <w:rFonts w:hint="eastAsia" w:ascii="宋体" w:hAnsi="宋体" w:eastAsia="宋体"/>
          <w:b/>
          <w:color w:val="auto"/>
          <w:highlight w:val="none"/>
        </w:rPr>
      </w:pPr>
      <w:bookmarkStart w:id="412" w:name="_Toc514943555"/>
      <w:bookmarkStart w:id="413" w:name="_Toc152045555"/>
      <w:bookmarkStart w:id="414" w:name="_Toc462032130"/>
      <w:bookmarkStart w:id="415" w:name="_Toc152042331"/>
      <w:bookmarkStart w:id="416" w:name="_Toc465719847"/>
      <w:bookmarkStart w:id="417" w:name="_Toc144974523"/>
      <w:bookmarkStart w:id="418" w:name="_Toc462067757"/>
      <w:bookmarkStart w:id="419" w:name="_Toc462032345"/>
      <w:bookmarkStart w:id="420" w:name="_Toc516066194"/>
      <w:bookmarkStart w:id="421" w:name="_Toc48038715"/>
      <w:bookmarkStart w:id="422" w:name="_Toc31649"/>
      <w:bookmarkStart w:id="423" w:name="_Toc48484449"/>
      <w:bookmarkStart w:id="424" w:name="_Toc24963"/>
      <w:bookmarkStart w:id="425" w:name="_Toc7248"/>
      <w:bookmarkStart w:id="426" w:name="_Toc533070172"/>
      <w:bookmarkStart w:id="427" w:name="_Toc24127"/>
      <w:r>
        <w:rPr>
          <w:rFonts w:hint="eastAsia" w:ascii="宋体" w:hAnsi="宋体" w:eastAsia="宋体"/>
          <w:b/>
          <w:color w:val="auto"/>
          <w:highlight w:val="none"/>
        </w:rPr>
        <w:t xml:space="preserve">4. </w:t>
      </w:r>
      <w:bookmarkEnd w:id="412"/>
      <w:bookmarkEnd w:id="413"/>
      <w:bookmarkEnd w:id="414"/>
      <w:bookmarkEnd w:id="415"/>
      <w:bookmarkEnd w:id="416"/>
      <w:bookmarkEnd w:id="417"/>
      <w:bookmarkEnd w:id="418"/>
      <w:bookmarkEnd w:id="419"/>
      <w:bookmarkEnd w:id="420"/>
      <w:r>
        <w:rPr>
          <w:rFonts w:hint="eastAsia" w:ascii="宋体" w:hAnsi="宋体" w:eastAsia="宋体"/>
          <w:b/>
          <w:color w:val="auto"/>
          <w:highlight w:val="none"/>
        </w:rPr>
        <w:t>磋商</w:t>
      </w:r>
      <w:bookmarkEnd w:id="421"/>
      <w:bookmarkEnd w:id="422"/>
      <w:bookmarkEnd w:id="423"/>
      <w:bookmarkEnd w:id="424"/>
      <w:bookmarkEnd w:id="425"/>
      <w:bookmarkEnd w:id="426"/>
      <w:bookmarkEnd w:id="427"/>
    </w:p>
    <w:p w14:paraId="57170CB6">
      <w:pPr>
        <w:pStyle w:val="440"/>
        <w:spacing w:line="360" w:lineRule="auto"/>
        <w:rPr>
          <w:rFonts w:hint="eastAsia" w:ascii="宋体" w:hAnsi="宋体" w:eastAsia="宋体"/>
          <w:b/>
          <w:color w:val="auto"/>
          <w:highlight w:val="none"/>
          <w:lang w:eastAsia="zh-CN"/>
        </w:rPr>
      </w:pPr>
      <w:bookmarkStart w:id="428" w:name="_Toc465719848"/>
      <w:bookmarkStart w:id="429" w:name="_Toc7456"/>
      <w:bookmarkStart w:id="430" w:name="_Toc48038716"/>
      <w:bookmarkStart w:id="431" w:name="_Toc9356"/>
      <w:bookmarkStart w:id="432" w:name="_Toc533070173"/>
      <w:bookmarkStart w:id="433" w:name="_Toc462067758"/>
      <w:bookmarkStart w:id="434" w:name="_Toc462032131"/>
      <w:bookmarkStart w:id="435" w:name="_Toc462032346"/>
      <w:bookmarkStart w:id="436" w:name="_Toc152042332"/>
      <w:bookmarkStart w:id="437" w:name="_Toc5725"/>
      <w:bookmarkStart w:id="438" w:name="_Toc1961"/>
      <w:bookmarkStart w:id="439" w:name="_Toc514943556"/>
      <w:bookmarkStart w:id="440" w:name="_Toc144974524"/>
      <w:bookmarkStart w:id="441" w:name="_Toc152045556"/>
      <w:bookmarkStart w:id="442" w:name="_Toc516066195"/>
      <w:bookmarkStart w:id="443" w:name="_Toc48484450"/>
      <w:r>
        <w:rPr>
          <w:rFonts w:hint="eastAsia" w:ascii="宋体" w:hAnsi="宋体" w:eastAsia="宋体"/>
          <w:b/>
          <w:color w:val="auto"/>
          <w:highlight w:val="none"/>
        </w:rPr>
        <w:t>4.1 响应文件的</w:t>
      </w:r>
      <w:r>
        <w:rPr>
          <w:rFonts w:hint="eastAsia" w:ascii="宋体" w:hAnsi="宋体" w:eastAsia="宋体"/>
          <w:b/>
          <w:color w:val="auto"/>
          <w:highlight w:val="none"/>
          <w:lang w:val="en-US" w:eastAsia="zh-CN"/>
        </w:rPr>
        <w:t>加密</w:t>
      </w:r>
      <w:r>
        <w:rPr>
          <w:rFonts w:hint="eastAsia" w:ascii="宋体" w:hAnsi="宋体" w:eastAsia="宋体"/>
          <w:b/>
          <w:color w:val="auto"/>
          <w:highlight w:val="none"/>
        </w:rPr>
        <w:t>和</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r>
        <w:rPr>
          <w:rFonts w:hint="eastAsia" w:ascii="宋体" w:hAnsi="宋体" w:eastAsia="宋体"/>
          <w:b/>
          <w:color w:val="auto"/>
          <w:highlight w:val="none"/>
          <w:lang w:val="en-US" w:eastAsia="zh-CN"/>
        </w:rPr>
        <w:t>签章要求</w:t>
      </w:r>
    </w:p>
    <w:p w14:paraId="2A4F83AD">
      <w:pPr>
        <w:spacing w:line="360" w:lineRule="auto"/>
        <w:ind w:firstLine="420" w:firstLineChars="200"/>
        <w:rPr>
          <w:rFonts w:hint="eastAsia" w:ascii="宋体" w:hAnsi="宋体"/>
          <w:color w:val="auto"/>
          <w:highlight w:val="none"/>
        </w:rPr>
      </w:pPr>
      <w:r>
        <w:rPr>
          <w:rFonts w:hint="eastAsia" w:ascii="宋体" w:hAnsi="宋体"/>
          <w:color w:val="auto"/>
          <w:highlight w:val="none"/>
        </w:rPr>
        <w:t>4.1.1</w:t>
      </w:r>
      <w:r>
        <w:rPr>
          <w:rFonts w:hint="eastAsia" w:ascii="宋体" w:hAnsi="宋体"/>
          <w:color w:val="auto"/>
          <w:highlight w:val="none"/>
          <w:lang w:val="en-US" w:eastAsia="zh-CN"/>
        </w:rPr>
        <w:t>加密</w:t>
      </w:r>
      <w:r>
        <w:rPr>
          <w:rFonts w:hint="eastAsia" w:ascii="宋体" w:hAnsi="宋体"/>
          <w:color w:val="auto"/>
          <w:highlight w:val="none"/>
        </w:rPr>
        <w:t>要求见供应商须知前附表规定。</w:t>
      </w:r>
    </w:p>
    <w:p w14:paraId="477B4A5B">
      <w:pPr>
        <w:spacing w:line="360" w:lineRule="auto"/>
        <w:ind w:firstLine="420" w:firstLineChars="200"/>
        <w:rPr>
          <w:rFonts w:hint="eastAsia" w:ascii="宋体" w:hAnsi="宋体"/>
          <w:color w:val="auto"/>
          <w:highlight w:val="none"/>
        </w:rPr>
      </w:pPr>
      <w:r>
        <w:rPr>
          <w:rFonts w:hint="eastAsia" w:ascii="宋体" w:hAnsi="宋体"/>
          <w:color w:val="auto"/>
          <w:highlight w:val="none"/>
        </w:rPr>
        <w:t>4.1.2资格审查资料部分、商务部分、</w:t>
      </w:r>
      <w:r>
        <w:rPr>
          <w:rFonts w:hint="eastAsia" w:ascii="宋体" w:hAnsi="宋体"/>
          <w:color w:val="auto"/>
          <w:highlight w:val="none"/>
          <w:lang w:val="en-US" w:eastAsia="zh-CN"/>
        </w:rPr>
        <w:t>报价部分、</w:t>
      </w:r>
      <w:r>
        <w:rPr>
          <w:rFonts w:hint="eastAsia" w:ascii="宋体" w:hAnsi="宋体"/>
          <w:color w:val="auto"/>
          <w:highlight w:val="none"/>
        </w:rPr>
        <w:t>技术部分应按竞争性磋商文件要求加盖供应商印鉴并经法定代表人</w:t>
      </w:r>
      <w:r>
        <w:rPr>
          <w:rFonts w:hint="eastAsia" w:ascii="宋体" w:hAnsi="宋体"/>
          <w:color w:val="auto"/>
          <w:highlight w:val="none"/>
          <w:lang w:eastAsia="zh-CN"/>
        </w:rPr>
        <w:t>（</w:t>
      </w:r>
      <w:r>
        <w:rPr>
          <w:rFonts w:hint="eastAsia" w:ascii="宋体" w:hAnsi="宋体"/>
          <w:color w:val="auto"/>
          <w:highlight w:val="none"/>
          <w:lang w:val="en-US" w:eastAsia="zh-CN"/>
        </w:rPr>
        <w:t>自然人本人）</w:t>
      </w:r>
      <w:r>
        <w:rPr>
          <w:rFonts w:hint="eastAsia" w:ascii="宋体" w:hAnsi="宋体"/>
          <w:color w:val="auto"/>
          <w:highlight w:val="none"/>
        </w:rPr>
        <w:t>电子签章。响应文件签署授权委托书格式、签字、盖章及内容均应符合要求，否则响应文件签署授权委托书无效。</w:t>
      </w:r>
    </w:p>
    <w:p w14:paraId="5FE05BF9">
      <w:pPr>
        <w:pStyle w:val="440"/>
        <w:spacing w:line="360" w:lineRule="auto"/>
        <w:rPr>
          <w:rFonts w:hint="eastAsia" w:ascii="宋体" w:hAnsi="宋体" w:eastAsia="宋体"/>
          <w:color w:val="auto"/>
          <w:highlight w:val="none"/>
        </w:rPr>
      </w:pPr>
      <w:bookmarkStart w:id="444" w:name="_Toc48038717"/>
      <w:bookmarkStart w:id="445" w:name="_Toc516066196"/>
      <w:bookmarkStart w:id="446" w:name="_Toc465719849"/>
      <w:bookmarkStart w:id="447" w:name="_Toc48484451"/>
      <w:bookmarkStart w:id="448" w:name="_Toc514943557"/>
      <w:bookmarkStart w:id="449" w:name="_Toc31851"/>
      <w:bookmarkStart w:id="450" w:name="_Toc462032347"/>
      <w:bookmarkStart w:id="451" w:name="_Toc19607"/>
      <w:bookmarkStart w:id="452" w:name="_Toc152042333"/>
      <w:bookmarkStart w:id="453" w:name="_Toc144974525"/>
      <w:bookmarkStart w:id="454" w:name="_Toc12885"/>
      <w:bookmarkStart w:id="455" w:name="_Toc12839"/>
      <w:bookmarkStart w:id="456" w:name="_Toc152045557"/>
      <w:bookmarkStart w:id="457" w:name="_Toc462067759"/>
      <w:bookmarkStart w:id="458" w:name="_Toc462032132"/>
      <w:bookmarkStart w:id="459" w:name="_Toc533070174"/>
      <w:r>
        <w:rPr>
          <w:rFonts w:hint="eastAsia" w:ascii="宋体" w:hAnsi="宋体" w:eastAsia="宋体"/>
          <w:b/>
          <w:color w:val="auto"/>
          <w:highlight w:val="none"/>
        </w:rPr>
        <w:t>4.2 响应文件的递交</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14:paraId="3D355445">
      <w:pPr>
        <w:spacing w:line="360" w:lineRule="auto"/>
        <w:ind w:firstLine="420" w:firstLineChars="200"/>
        <w:rPr>
          <w:rFonts w:hint="eastAsia" w:ascii="宋体" w:hAnsi="宋体"/>
          <w:color w:val="auto"/>
          <w:highlight w:val="none"/>
        </w:rPr>
      </w:pPr>
      <w:r>
        <w:rPr>
          <w:rFonts w:hint="eastAsia" w:ascii="宋体" w:hAnsi="宋体"/>
          <w:color w:val="auto"/>
          <w:highlight w:val="none"/>
        </w:rPr>
        <w:t>4.2.1 供应商应在本须知前附表规定的响应文件递交截止时间前，将加密的响应文件上传至政采云平台。</w:t>
      </w:r>
    </w:p>
    <w:p w14:paraId="41EEBBB9">
      <w:pPr>
        <w:spacing w:line="360" w:lineRule="auto"/>
        <w:ind w:firstLine="420" w:firstLineChars="200"/>
        <w:rPr>
          <w:rFonts w:hint="eastAsia" w:ascii="宋体" w:hAnsi="宋体"/>
          <w:color w:val="auto"/>
          <w:highlight w:val="none"/>
        </w:rPr>
      </w:pPr>
      <w:r>
        <w:rPr>
          <w:rFonts w:hint="eastAsia" w:ascii="宋体" w:hAnsi="宋体"/>
          <w:color w:val="auto"/>
          <w:highlight w:val="none"/>
        </w:rPr>
        <w:t>4.2.2 供应商递交响应文件的方式：见供应商须知前附表。</w:t>
      </w:r>
    </w:p>
    <w:p w14:paraId="5A1B6805">
      <w:pPr>
        <w:spacing w:line="360" w:lineRule="auto"/>
        <w:ind w:firstLine="420" w:firstLineChars="200"/>
        <w:rPr>
          <w:rFonts w:hint="eastAsia" w:ascii="宋体" w:hAnsi="宋体"/>
          <w:color w:val="auto"/>
          <w:highlight w:val="none"/>
        </w:rPr>
      </w:pPr>
      <w:r>
        <w:rPr>
          <w:rFonts w:hint="eastAsia" w:ascii="宋体" w:hAnsi="宋体"/>
          <w:color w:val="auto"/>
          <w:highlight w:val="none"/>
        </w:rPr>
        <w:t>4.2.3 除供应商须知前附表另有规定外，供应商所递交的响应文件不予退还。</w:t>
      </w:r>
    </w:p>
    <w:p w14:paraId="7EA48E2E">
      <w:pPr>
        <w:spacing w:line="360" w:lineRule="auto"/>
        <w:ind w:firstLine="420" w:firstLineChars="200"/>
        <w:rPr>
          <w:rFonts w:hint="eastAsia" w:ascii="宋体" w:hAnsi="宋体"/>
          <w:color w:val="auto"/>
          <w:highlight w:val="none"/>
        </w:rPr>
      </w:pPr>
      <w:r>
        <w:rPr>
          <w:rFonts w:hint="eastAsia" w:ascii="宋体" w:hAnsi="宋体"/>
          <w:color w:val="auto"/>
          <w:highlight w:val="none"/>
        </w:rPr>
        <w:t>4.2.4 逾期上传的</w:t>
      </w:r>
      <w:r>
        <w:rPr>
          <w:rFonts w:hint="eastAsia" w:ascii="宋体" w:hAnsi="宋体"/>
          <w:color w:val="auto"/>
          <w:highlight w:val="none"/>
          <w:lang w:val="en-US" w:eastAsia="zh-CN"/>
        </w:rPr>
        <w:t>响应</w:t>
      </w:r>
      <w:r>
        <w:rPr>
          <w:rFonts w:hint="eastAsia" w:ascii="宋体" w:hAnsi="宋体"/>
          <w:color w:val="auto"/>
          <w:highlight w:val="none"/>
        </w:rPr>
        <w:t>文件，采购人不予受理。</w:t>
      </w:r>
    </w:p>
    <w:p w14:paraId="09EF8316">
      <w:pPr>
        <w:pStyle w:val="440"/>
        <w:spacing w:line="360" w:lineRule="auto"/>
        <w:rPr>
          <w:rFonts w:hint="default" w:ascii="宋体" w:hAnsi="宋体" w:eastAsia="宋体"/>
          <w:color w:val="auto"/>
          <w:highlight w:val="none"/>
          <w:lang w:val="en-US" w:eastAsia="zh-CN"/>
        </w:rPr>
      </w:pPr>
      <w:bookmarkStart w:id="460" w:name="_Toc48038718"/>
      <w:bookmarkStart w:id="461" w:name="_Toc48484452"/>
      <w:bookmarkStart w:id="462" w:name="_Toc152045558"/>
      <w:bookmarkStart w:id="463" w:name="_Toc516066197"/>
      <w:bookmarkStart w:id="464" w:name="_Toc462032133"/>
      <w:bookmarkStart w:id="465" w:name="_Toc152042334"/>
      <w:bookmarkStart w:id="466" w:name="_Toc144974526"/>
      <w:bookmarkStart w:id="467" w:name="_Toc2309"/>
      <w:bookmarkStart w:id="468" w:name="_Toc533070175"/>
      <w:bookmarkStart w:id="469" w:name="_Toc20548"/>
      <w:bookmarkStart w:id="470" w:name="_Toc465719850"/>
      <w:bookmarkStart w:id="471" w:name="_Toc18347"/>
      <w:bookmarkStart w:id="472" w:name="_Toc462032348"/>
      <w:bookmarkStart w:id="473" w:name="_Toc462067760"/>
      <w:bookmarkStart w:id="474" w:name="_Toc514943558"/>
      <w:bookmarkStart w:id="475" w:name="_Toc1817"/>
      <w:r>
        <w:rPr>
          <w:rFonts w:hint="eastAsia" w:ascii="宋体" w:hAnsi="宋体" w:eastAsia="宋体"/>
          <w:b/>
          <w:color w:val="auto"/>
          <w:highlight w:val="none"/>
        </w:rPr>
        <w:t>4.3 响应文件的修改</w:t>
      </w:r>
      <w:r>
        <w:rPr>
          <w:rFonts w:hint="eastAsia" w:ascii="宋体" w:hAnsi="宋体" w:eastAsia="宋体"/>
          <w:b/>
          <w:color w:val="auto"/>
          <w:highlight w:val="none"/>
          <w:lang w:eastAsia="zh-CN"/>
        </w:rPr>
        <w:t>、</w:t>
      </w:r>
      <w:r>
        <w:rPr>
          <w:rFonts w:hint="eastAsia" w:ascii="宋体" w:hAnsi="宋体" w:eastAsia="宋体"/>
          <w:b/>
          <w:color w:val="auto"/>
          <w:highlight w:val="none"/>
        </w:rPr>
        <w:t>撤回</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rFonts w:hint="eastAsia" w:ascii="宋体" w:hAnsi="宋体" w:eastAsia="宋体"/>
          <w:b/>
          <w:color w:val="auto"/>
          <w:highlight w:val="none"/>
          <w:lang w:eastAsia="zh-CN"/>
        </w:rPr>
        <w:t>、</w:t>
      </w:r>
      <w:r>
        <w:rPr>
          <w:rFonts w:hint="eastAsia" w:ascii="宋体" w:hAnsi="宋体" w:eastAsia="宋体"/>
          <w:b/>
          <w:color w:val="auto"/>
          <w:highlight w:val="none"/>
          <w:lang w:val="en-US" w:eastAsia="zh-CN"/>
        </w:rPr>
        <w:t>撤销</w:t>
      </w:r>
    </w:p>
    <w:p w14:paraId="44848695">
      <w:pPr>
        <w:spacing w:line="360" w:lineRule="auto"/>
        <w:ind w:firstLine="420" w:firstLineChars="200"/>
        <w:rPr>
          <w:rFonts w:hint="eastAsia" w:ascii="宋体" w:hAnsi="宋体"/>
          <w:color w:val="auto"/>
          <w:highlight w:val="none"/>
        </w:rPr>
      </w:pPr>
      <w:r>
        <w:rPr>
          <w:rFonts w:hint="eastAsia" w:ascii="宋体" w:hAnsi="宋体"/>
          <w:color w:val="auto"/>
          <w:highlight w:val="none"/>
        </w:rPr>
        <w:t>4.3.1 在本须知前附表规定的</w:t>
      </w:r>
      <w:r>
        <w:rPr>
          <w:rFonts w:hint="eastAsia" w:ascii="宋体" w:hAnsi="宋体"/>
          <w:color w:val="auto"/>
          <w:szCs w:val="21"/>
          <w:highlight w:val="none"/>
        </w:rPr>
        <w:t>响应文件递交截止时间</w:t>
      </w:r>
      <w:r>
        <w:rPr>
          <w:rFonts w:hint="eastAsia" w:ascii="宋体" w:hAnsi="宋体"/>
          <w:color w:val="auto"/>
          <w:highlight w:val="none"/>
        </w:rPr>
        <w:t>前，供应商可以在政采云平台用户后台多次上传和撤回投标文件，开标系统将以最后一次上传的响应文件为准。</w:t>
      </w:r>
    </w:p>
    <w:p w14:paraId="2C0780F5">
      <w:pPr>
        <w:spacing w:line="360" w:lineRule="auto"/>
        <w:ind w:firstLine="420" w:firstLineChars="200"/>
        <w:rPr>
          <w:rFonts w:hint="eastAsia" w:ascii="宋体" w:hAnsi="宋体"/>
          <w:color w:val="auto"/>
          <w:highlight w:val="none"/>
        </w:rPr>
      </w:pPr>
      <w:r>
        <w:rPr>
          <w:rFonts w:hint="eastAsia" w:ascii="宋体" w:hAnsi="宋体"/>
          <w:color w:val="auto"/>
          <w:highlight w:val="none"/>
        </w:rPr>
        <w:t>4.3.2 因</w:t>
      </w:r>
      <w:r>
        <w:rPr>
          <w:rFonts w:hint="eastAsia" w:ascii="宋体" w:hAnsi="宋体"/>
          <w:color w:val="auto"/>
          <w:highlight w:val="none"/>
          <w:lang w:val="en-US" w:eastAsia="zh-CN"/>
        </w:rPr>
        <w:t>供应商</w:t>
      </w:r>
      <w:r>
        <w:rPr>
          <w:rFonts w:hint="eastAsia" w:ascii="宋体" w:hAnsi="宋体"/>
          <w:color w:val="auto"/>
          <w:highlight w:val="none"/>
        </w:rPr>
        <w:t>原因造成</w:t>
      </w:r>
      <w:r>
        <w:rPr>
          <w:rFonts w:hint="eastAsia" w:ascii="宋体" w:hAnsi="宋体"/>
          <w:color w:val="auto"/>
          <w:highlight w:val="none"/>
          <w:lang w:val="en-US" w:eastAsia="zh-CN"/>
        </w:rPr>
        <w:t>响应</w:t>
      </w:r>
      <w:r>
        <w:rPr>
          <w:rFonts w:hint="eastAsia" w:ascii="宋体" w:hAnsi="宋体"/>
          <w:color w:val="auto"/>
          <w:highlight w:val="none"/>
        </w:rPr>
        <w:t>文件未解密的，视为撤销其</w:t>
      </w:r>
      <w:r>
        <w:rPr>
          <w:rFonts w:hint="eastAsia" w:ascii="宋体" w:hAnsi="宋体"/>
          <w:color w:val="auto"/>
          <w:highlight w:val="none"/>
          <w:lang w:val="en-US" w:eastAsia="zh-CN"/>
        </w:rPr>
        <w:t>响应</w:t>
      </w:r>
      <w:r>
        <w:rPr>
          <w:rFonts w:hint="eastAsia" w:ascii="宋体" w:hAnsi="宋体"/>
          <w:color w:val="auto"/>
          <w:highlight w:val="none"/>
        </w:rPr>
        <w:t>文件；因</w:t>
      </w:r>
      <w:r>
        <w:rPr>
          <w:rFonts w:hint="eastAsia" w:ascii="宋体" w:hAnsi="宋体"/>
          <w:color w:val="auto"/>
          <w:highlight w:val="none"/>
          <w:lang w:val="en-US" w:eastAsia="zh-CN"/>
        </w:rPr>
        <w:t>供应商</w:t>
      </w:r>
      <w:r>
        <w:rPr>
          <w:rFonts w:hint="eastAsia" w:ascii="宋体" w:hAnsi="宋体"/>
          <w:color w:val="auto"/>
          <w:highlight w:val="none"/>
        </w:rPr>
        <w:t>之外的原因造成</w:t>
      </w:r>
      <w:r>
        <w:rPr>
          <w:rFonts w:hint="eastAsia" w:ascii="宋体" w:hAnsi="宋体"/>
          <w:color w:val="auto"/>
          <w:highlight w:val="none"/>
          <w:lang w:val="en-US" w:eastAsia="zh-CN"/>
        </w:rPr>
        <w:t>响应</w:t>
      </w:r>
      <w:r>
        <w:rPr>
          <w:rFonts w:hint="eastAsia" w:ascii="宋体" w:hAnsi="宋体"/>
          <w:color w:val="auto"/>
          <w:highlight w:val="none"/>
        </w:rPr>
        <w:t>文件未解密的，视为撤回其</w:t>
      </w:r>
      <w:r>
        <w:rPr>
          <w:rFonts w:hint="eastAsia" w:ascii="宋体" w:hAnsi="宋体"/>
          <w:color w:val="auto"/>
          <w:highlight w:val="none"/>
          <w:lang w:val="en-US" w:eastAsia="zh-CN"/>
        </w:rPr>
        <w:t>响应</w:t>
      </w:r>
      <w:r>
        <w:rPr>
          <w:rFonts w:hint="eastAsia" w:ascii="宋体" w:hAnsi="宋体"/>
          <w:color w:val="auto"/>
          <w:highlight w:val="none"/>
        </w:rPr>
        <w:t>文件，</w:t>
      </w:r>
      <w:r>
        <w:rPr>
          <w:rFonts w:hint="eastAsia" w:ascii="宋体" w:hAnsi="宋体"/>
          <w:color w:val="auto"/>
          <w:highlight w:val="none"/>
          <w:lang w:val="en-US" w:eastAsia="zh-CN"/>
        </w:rPr>
        <w:t>供应商</w:t>
      </w:r>
      <w:r>
        <w:rPr>
          <w:rFonts w:hint="eastAsia" w:ascii="宋体" w:hAnsi="宋体"/>
          <w:color w:val="auto"/>
          <w:highlight w:val="none"/>
        </w:rPr>
        <w:t>有权要求责任方赔偿因此遭受的直接损失。部分</w:t>
      </w:r>
      <w:r>
        <w:rPr>
          <w:rFonts w:hint="eastAsia" w:ascii="宋体" w:hAnsi="宋体"/>
          <w:color w:val="auto"/>
          <w:highlight w:val="none"/>
          <w:lang w:val="en-US" w:eastAsia="zh-CN"/>
        </w:rPr>
        <w:t>响应</w:t>
      </w:r>
      <w:r>
        <w:rPr>
          <w:rFonts w:hint="eastAsia" w:ascii="宋体" w:hAnsi="宋体"/>
          <w:color w:val="auto"/>
          <w:highlight w:val="none"/>
        </w:rPr>
        <w:t>文件未解密的，其他</w:t>
      </w:r>
      <w:r>
        <w:rPr>
          <w:rFonts w:hint="eastAsia" w:ascii="宋体" w:hAnsi="宋体"/>
          <w:color w:val="auto"/>
          <w:highlight w:val="none"/>
          <w:lang w:val="en-US" w:eastAsia="zh-CN"/>
        </w:rPr>
        <w:t>响应</w:t>
      </w:r>
      <w:r>
        <w:rPr>
          <w:rFonts w:hint="eastAsia" w:ascii="宋体" w:hAnsi="宋体"/>
          <w:color w:val="auto"/>
          <w:highlight w:val="none"/>
        </w:rPr>
        <w:t>文件的开标可以继续进行。</w:t>
      </w:r>
    </w:p>
    <w:p w14:paraId="36EB1471">
      <w:pPr>
        <w:spacing w:line="360" w:lineRule="auto"/>
        <w:ind w:firstLine="420" w:firstLineChars="200"/>
        <w:rPr>
          <w:rFonts w:hint="eastAsia" w:ascii="宋体" w:hAnsi="宋体"/>
          <w:color w:val="auto"/>
          <w:highlight w:val="none"/>
        </w:rPr>
      </w:pPr>
      <w:r>
        <w:rPr>
          <w:rFonts w:hint="eastAsia" w:ascii="宋体" w:hAnsi="宋体"/>
          <w:color w:val="auto"/>
          <w:highlight w:val="none"/>
        </w:rPr>
        <w:t>4.3.</w:t>
      </w:r>
      <w:r>
        <w:rPr>
          <w:rFonts w:hint="eastAsia" w:ascii="宋体" w:hAnsi="宋体"/>
          <w:color w:val="auto"/>
          <w:highlight w:val="none"/>
          <w:lang w:val="en-US" w:eastAsia="zh-CN"/>
        </w:rPr>
        <w:t>3</w:t>
      </w:r>
      <w:r>
        <w:rPr>
          <w:rFonts w:hint="eastAsia" w:ascii="宋体" w:hAnsi="宋体"/>
          <w:color w:val="auto"/>
          <w:highlight w:val="none"/>
        </w:rPr>
        <w:t>修改的内容为响应文件的组成部分。</w:t>
      </w:r>
    </w:p>
    <w:p w14:paraId="737BF9EE">
      <w:pPr>
        <w:pStyle w:val="528"/>
        <w:spacing w:line="360" w:lineRule="auto"/>
        <w:rPr>
          <w:rFonts w:hint="eastAsia" w:ascii="宋体" w:hAnsi="宋体" w:eastAsia="宋体"/>
          <w:b/>
          <w:color w:val="auto"/>
          <w:highlight w:val="none"/>
          <w:lang w:eastAsia="zh-CN"/>
        </w:rPr>
      </w:pPr>
      <w:bookmarkStart w:id="476" w:name="_Toc466623405"/>
      <w:bookmarkStart w:id="477" w:name="_Toc17607"/>
      <w:bookmarkStart w:id="478" w:name="_Toc465778809"/>
      <w:bookmarkStart w:id="479" w:name="_Toc152045559"/>
      <w:bookmarkStart w:id="480" w:name="_Toc48484453"/>
      <w:bookmarkStart w:id="481" w:name="_Toc14430"/>
      <w:bookmarkStart w:id="482" w:name="_Toc509841318"/>
      <w:bookmarkStart w:id="483" w:name="_Toc24174"/>
      <w:bookmarkStart w:id="484" w:name="_Toc48038719"/>
      <w:bookmarkStart w:id="485" w:name="_Toc462068390"/>
      <w:bookmarkStart w:id="486" w:name="_Toc462068106"/>
      <w:bookmarkStart w:id="487" w:name="_Toc152042335"/>
      <w:bookmarkStart w:id="488" w:name="_Toc27230"/>
      <w:bookmarkStart w:id="489" w:name="_Toc144974527"/>
      <w:bookmarkStart w:id="490" w:name="_Toc25922"/>
      <w:r>
        <w:rPr>
          <w:rFonts w:hint="eastAsia" w:ascii="宋体" w:hAnsi="宋体" w:eastAsia="宋体"/>
          <w:b/>
          <w:color w:val="auto"/>
          <w:highlight w:val="none"/>
        </w:rPr>
        <w:t xml:space="preserve">5. </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eastAsia="宋体"/>
          <w:b/>
          <w:color w:val="auto"/>
          <w:highlight w:val="none"/>
          <w:lang w:val="en-US" w:eastAsia="zh-CN"/>
        </w:rPr>
        <w:t>递交</w:t>
      </w:r>
    </w:p>
    <w:p w14:paraId="76301937">
      <w:pPr>
        <w:pStyle w:val="440"/>
        <w:spacing w:line="360" w:lineRule="auto"/>
        <w:rPr>
          <w:rFonts w:hint="eastAsia" w:ascii="宋体" w:hAnsi="宋体" w:eastAsia="宋体"/>
          <w:b/>
          <w:color w:val="auto"/>
          <w:highlight w:val="none"/>
        </w:rPr>
      </w:pPr>
      <w:bookmarkStart w:id="491" w:name="_Toc462068107"/>
      <w:bookmarkStart w:id="492" w:name="_Toc19430"/>
      <w:bookmarkStart w:id="493" w:name="_Toc48484454"/>
      <w:bookmarkStart w:id="494" w:name="_Toc152045560"/>
      <w:bookmarkStart w:id="495" w:name="_Toc462068391"/>
      <w:bookmarkStart w:id="496" w:name="_Toc466623406"/>
      <w:bookmarkStart w:id="497" w:name="_Toc465778810"/>
      <w:bookmarkStart w:id="498" w:name="_Toc152042336"/>
      <w:bookmarkStart w:id="499" w:name="_Toc509841319"/>
      <w:bookmarkStart w:id="500" w:name="_Toc144974528"/>
      <w:bookmarkStart w:id="501" w:name="_Toc9863"/>
      <w:bookmarkStart w:id="502" w:name="_Toc416"/>
      <w:bookmarkStart w:id="503" w:name="_Toc19472"/>
      <w:bookmarkStart w:id="504" w:name="_Toc48038720"/>
      <w:bookmarkStart w:id="505" w:name="_Toc8749"/>
      <w:r>
        <w:rPr>
          <w:rFonts w:hint="eastAsia" w:ascii="宋体" w:hAnsi="宋体" w:eastAsia="宋体"/>
          <w:b/>
          <w:color w:val="auto"/>
          <w:highlight w:val="none"/>
        </w:rPr>
        <w:t>5.1</w:t>
      </w:r>
      <w:r>
        <w:rPr>
          <w:rFonts w:hint="eastAsia" w:ascii="宋体" w:hAnsi="宋体" w:eastAsia="宋体"/>
          <w:b/>
          <w:color w:val="auto"/>
          <w:highlight w:val="none"/>
          <w:lang w:val="en-US" w:eastAsia="zh-CN"/>
        </w:rPr>
        <w:t>递交</w:t>
      </w:r>
      <w:r>
        <w:rPr>
          <w:rFonts w:hint="eastAsia" w:ascii="宋体" w:hAnsi="宋体" w:eastAsia="宋体"/>
          <w:b/>
          <w:color w:val="auto"/>
          <w:highlight w:val="none"/>
        </w:rPr>
        <w:t>时间和地点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2E4459A1">
      <w:pPr>
        <w:spacing w:line="360" w:lineRule="auto"/>
        <w:ind w:firstLine="420" w:firstLineChars="200"/>
        <w:rPr>
          <w:rFonts w:hint="eastAsia" w:ascii="宋体" w:hAnsi="宋体"/>
          <w:color w:val="auto"/>
          <w:highlight w:val="none"/>
        </w:rPr>
      </w:pPr>
      <w:r>
        <w:rPr>
          <w:rFonts w:hint="eastAsia" w:ascii="宋体" w:hAnsi="宋体"/>
          <w:color w:val="auto"/>
          <w:highlight w:val="none"/>
        </w:rPr>
        <w:t>见</w:t>
      </w:r>
      <w:r>
        <w:rPr>
          <w:rFonts w:hint="eastAsia" w:ascii="宋体" w:hAnsi="宋体"/>
          <w:color w:val="auto"/>
          <w:highlight w:val="none"/>
          <w:lang w:val="en-US" w:eastAsia="zh-CN"/>
        </w:rPr>
        <w:t>供应商</w:t>
      </w:r>
      <w:r>
        <w:rPr>
          <w:rFonts w:hint="eastAsia" w:ascii="宋体" w:hAnsi="宋体"/>
          <w:color w:val="auto"/>
          <w:highlight w:val="none"/>
        </w:rPr>
        <w:t>须知前附表。</w:t>
      </w:r>
    </w:p>
    <w:p w14:paraId="0F2F38B4">
      <w:pPr>
        <w:pStyle w:val="440"/>
        <w:spacing w:line="360" w:lineRule="auto"/>
        <w:rPr>
          <w:rFonts w:hint="eastAsia" w:ascii="宋体" w:hAnsi="宋体" w:eastAsia="宋体"/>
          <w:color w:val="auto"/>
          <w:highlight w:val="none"/>
        </w:rPr>
      </w:pPr>
      <w:bookmarkStart w:id="506" w:name="_Toc462068392"/>
      <w:bookmarkStart w:id="507" w:name="_Toc2091"/>
      <w:bookmarkStart w:id="508" w:name="_Toc509841320"/>
      <w:bookmarkStart w:id="509" w:name="_Toc22031"/>
      <w:bookmarkStart w:id="510" w:name="_Toc152042337"/>
      <w:bookmarkStart w:id="511" w:name="_Toc144974529"/>
      <w:bookmarkStart w:id="512" w:name="_Toc48038721"/>
      <w:bookmarkStart w:id="513" w:name="_Toc8895"/>
      <w:bookmarkStart w:id="514" w:name="_Toc5995"/>
      <w:bookmarkStart w:id="515" w:name="_Toc152045561"/>
      <w:bookmarkStart w:id="516" w:name="_Toc466623407"/>
      <w:bookmarkStart w:id="517" w:name="_Toc24607"/>
      <w:bookmarkStart w:id="518" w:name="_Toc462068108"/>
      <w:bookmarkStart w:id="519" w:name="_Toc48484455"/>
      <w:bookmarkStart w:id="520" w:name="_Toc465778811"/>
      <w:r>
        <w:rPr>
          <w:rFonts w:hint="eastAsia" w:ascii="宋体" w:hAnsi="宋体" w:eastAsia="宋体"/>
          <w:b/>
          <w:color w:val="auto"/>
          <w:highlight w:val="none"/>
        </w:rPr>
        <w:t>5.2</w:t>
      </w:r>
      <w:r>
        <w:rPr>
          <w:rFonts w:hint="eastAsia" w:ascii="宋体" w:hAnsi="宋体" w:eastAsia="宋体"/>
          <w:b/>
          <w:color w:val="auto"/>
          <w:highlight w:val="none"/>
          <w:lang w:val="en-US" w:eastAsia="zh-CN"/>
        </w:rPr>
        <w:t>递交</w:t>
      </w:r>
      <w:r>
        <w:rPr>
          <w:rFonts w:hint="eastAsia" w:ascii="宋体" w:hAnsi="宋体" w:eastAsia="宋体"/>
          <w:b/>
          <w:color w:val="auto"/>
          <w:highlight w:val="none"/>
        </w:rPr>
        <w:t>程序</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16A0986">
      <w:pPr>
        <w:spacing w:line="360" w:lineRule="auto"/>
        <w:ind w:firstLine="422" w:firstLineChars="200"/>
        <w:rPr>
          <w:rFonts w:hint="eastAsia" w:ascii="宋体" w:hAnsi="宋体" w:eastAsia="宋体" w:cs="Times New Roman"/>
          <w:b/>
          <w:bCs/>
          <w:color w:val="auto"/>
          <w:kern w:val="2"/>
          <w:sz w:val="21"/>
          <w:szCs w:val="24"/>
          <w:highlight w:val="none"/>
        </w:rPr>
      </w:pPr>
      <w:r>
        <w:rPr>
          <w:rFonts w:hint="eastAsia" w:ascii="宋体" w:hAnsi="宋体" w:eastAsia="宋体" w:cs="Times New Roman"/>
          <w:b/>
          <w:bCs/>
          <w:color w:val="auto"/>
          <w:kern w:val="2"/>
          <w:sz w:val="21"/>
          <w:szCs w:val="24"/>
          <w:highlight w:val="none"/>
        </w:rPr>
        <w:t>本项目采用在线解密的方式</w:t>
      </w:r>
    </w:p>
    <w:p w14:paraId="3698F6E1">
      <w:pPr>
        <w:spacing w:line="360" w:lineRule="auto"/>
        <w:ind w:firstLine="422" w:firstLineChars="200"/>
        <w:rPr>
          <w:rFonts w:hint="eastAsia" w:ascii="宋体" w:hAnsi="宋体" w:eastAsia="宋体" w:cs="Times New Roman"/>
          <w:b/>
          <w:bCs/>
          <w:color w:val="auto"/>
          <w:kern w:val="2"/>
          <w:sz w:val="21"/>
          <w:szCs w:val="24"/>
          <w:highlight w:val="none"/>
        </w:rPr>
      </w:pPr>
      <w:r>
        <w:rPr>
          <w:rFonts w:hint="eastAsia" w:ascii="宋体" w:hAnsi="宋体" w:eastAsia="宋体" w:cs="Times New Roman"/>
          <w:b/>
          <w:bCs/>
          <w:color w:val="auto"/>
          <w:kern w:val="2"/>
          <w:sz w:val="21"/>
          <w:szCs w:val="24"/>
          <w:highlight w:val="none"/>
        </w:rPr>
        <w:t>在线解密操作流程详见“政采云”平台中《云南电子招投标（公开招标）_供应商》”。</w:t>
      </w:r>
    </w:p>
    <w:p w14:paraId="3C4876E7">
      <w:pPr>
        <w:spacing w:line="360" w:lineRule="auto"/>
        <w:ind w:firstLine="422" w:firstLineChars="200"/>
        <w:rPr>
          <w:rFonts w:hint="eastAsia" w:ascii="宋体" w:hAnsi="宋体" w:eastAsia="宋体" w:cs="Times New Roman"/>
          <w:b/>
          <w:bCs/>
          <w:color w:val="auto"/>
          <w:kern w:val="2"/>
          <w:sz w:val="21"/>
          <w:szCs w:val="24"/>
          <w:highlight w:val="none"/>
        </w:rPr>
      </w:pPr>
      <w:r>
        <w:rPr>
          <w:rFonts w:hint="eastAsia" w:ascii="宋体" w:hAnsi="宋体" w:eastAsia="宋体" w:cs="Times New Roman"/>
          <w:b/>
          <w:bCs/>
          <w:color w:val="auto"/>
          <w:kern w:val="2"/>
          <w:sz w:val="21"/>
          <w:szCs w:val="24"/>
          <w:highlight w:val="none"/>
        </w:rPr>
        <w:t>（1）响应文件解密：采购代理机构将在“供应商须知前附表”规定的时间通过电子交易平台组织响应文件开启，采购机构依托电子交易平台发起开始解密指令，供应商的法定代表人（自然人本人）或其委托代理人须使用加密时所用的CA锁按平台提示和竞争性磋商文件的规定登录到“政采云”平台电子开标大厅签到，并在发起解密指令之时起30分钟内完成对电子响应文件在线解密。发起解密指令之时起5分钟内投标人还未进行解密的，代理机构将通知供应商，供应商没预留联系方式或预留联系方式无效，导致代理机构无法联系到供应商进行解密的，视为响应文件无效。</w:t>
      </w:r>
    </w:p>
    <w:p w14:paraId="7F1560CB">
      <w:pPr>
        <w:spacing w:line="360" w:lineRule="auto"/>
        <w:ind w:firstLine="422" w:firstLineChars="200"/>
        <w:rPr>
          <w:rFonts w:hint="eastAsia" w:ascii="宋体" w:hAnsi="宋体" w:eastAsia="宋体" w:cs="Times New Roman"/>
          <w:b/>
          <w:bCs/>
          <w:color w:val="auto"/>
          <w:kern w:val="2"/>
          <w:sz w:val="21"/>
          <w:szCs w:val="24"/>
          <w:highlight w:val="none"/>
        </w:rPr>
      </w:pPr>
      <w:r>
        <w:rPr>
          <w:rFonts w:hint="eastAsia" w:ascii="宋体" w:hAnsi="宋体" w:eastAsia="宋体" w:cs="Times New Roman"/>
          <w:b/>
          <w:bCs/>
          <w:color w:val="auto"/>
          <w:kern w:val="2"/>
          <w:sz w:val="21"/>
          <w:szCs w:val="24"/>
          <w:highlight w:val="none"/>
        </w:rPr>
        <w:t>（2）开标一览表确认及签字：供应商查看已公布的所有投标人名称和竞争性磋商文件规定的其他开标内容。确认本单位内容无误后进行在线CA签章，因供应商原因未签字的，视为认可开标结果。</w:t>
      </w:r>
    </w:p>
    <w:p w14:paraId="6321A84A">
      <w:pPr>
        <w:spacing w:line="360" w:lineRule="auto"/>
        <w:ind w:firstLine="422" w:firstLineChars="200"/>
        <w:rPr>
          <w:rFonts w:hint="eastAsia" w:ascii="宋体" w:hAnsi="宋体" w:eastAsia="宋体" w:cs="Times New Roman"/>
          <w:b/>
          <w:bCs/>
          <w:color w:val="auto"/>
          <w:kern w:val="2"/>
          <w:sz w:val="21"/>
          <w:szCs w:val="24"/>
          <w:highlight w:val="none"/>
        </w:rPr>
      </w:pPr>
      <w:r>
        <w:rPr>
          <w:rFonts w:hint="eastAsia" w:ascii="宋体" w:hAnsi="宋体" w:eastAsia="宋体" w:cs="Times New Roman"/>
          <w:b/>
          <w:bCs/>
          <w:color w:val="auto"/>
          <w:kern w:val="2"/>
          <w:sz w:val="21"/>
          <w:szCs w:val="24"/>
          <w:highlight w:val="none"/>
        </w:rPr>
        <w:t>（3）开标异议：对开标有异议的，请于代理机构询问各供应商有无异议的时候，通过开标系统以文字信息方式提出，代理机构将异议及采购人回复内容一并记录在开标一览表上。</w:t>
      </w:r>
    </w:p>
    <w:p w14:paraId="689C2C95">
      <w:pPr>
        <w:spacing w:line="360" w:lineRule="auto"/>
        <w:ind w:firstLine="422" w:firstLineChars="200"/>
        <w:rPr>
          <w:rFonts w:hint="eastAsia" w:ascii="宋体" w:hAnsi="宋体"/>
          <w:b/>
          <w:bCs/>
          <w:color w:val="auto"/>
          <w:szCs w:val="21"/>
          <w:highlight w:val="none"/>
        </w:rPr>
      </w:pPr>
      <w:r>
        <w:rPr>
          <w:rFonts w:hint="eastAsia" w:ascii="宋体" w:hAnsi="宋体" w:eastAsia="宋体" w:cs="Times New Roman"/>
          <w:b/>
          <w:bCs/>
          <w:color w:val="auto"/>
          <w:kern w:val="2"/>
          <w:sz w:val="21"/>
          <w:szCs w:val="24"/>
          <w:highlight w:val="none"/>
        </w:rPr>
        <w:t>（4）结束。</w:t>
      </w:r>
    </w:p>
    <w:p w14:paraId="4A673CED">
      <w:pPr>
        <w:pStyle w:val="440"/>
        <w:spacing w:line="360" w:lineRule="auto"/>
        <w:rPr>
          <w:rFonts w:hint="eastAsia" w:ascii="宋体" w:hAnsi="宋体" w:eastAsia="宋体"/>
          <w:b/>
          <w:color w:val="auto"/>
          <w:highlight w:val="none"/>
        </w:rPr>
      </w:pPr>
      <w:bookmarkStart w:id="521" w:name="_Toc12427"/>
      <w:bookmarkStart w:id="522" w:name="_Toc48484456"/>
      <w:bookmarkStart w:id="523" w:name="_Toc17546"/>
      <w:bookmarkStart w:id="524" w:name="_Toc25909"/>
      <w:bookmarkStart w:id="525" w:name="_Toc32012"/>
      <w:bookmarkStart w:id="526" w:name="_Toc48038722"/>
      <w:r>
        <w:rPr>
          <w:rFonts w:hint="eastAsia" w:ascii="宋体" w:hAnsi="宋体" w:eastAsia="宋体"/>
          <w:b/>
          <w:color w:val="auto"/>
          <w:highlight w:val="none"/>
        </w:rPr>
        <w:t>5.3响应文件不予受理情形</w:t>
      </w:r>
      <w:bookmarkEnd w:id="521"/>
      <w:bookmarkEnd w:id="522"/>
      <w:bookmarkEnd w:id="523"/>
      <w:bookmarkEnd w:id="524"/>
      <w:bookmarkEnd w:id="525"/>
      <w:bookmarkEnd w:id="526"/>
    </w:p>
    <w:p w14:paraId="31EE0626">
      <w:pPr>
        <w:spacing w:line="360" w:lineRule="auto"/>
        <w:ind w:firstLine="359" w:firstLineChars="171"/>
        <w:rPr>
          <w:rFonts w:hint="eastAsia" w:ascii="宋体" w:hAnsi="宋体"/>
          <w:color w:val="auto"/>
          <w:highlight w:val="none"/>
        </w:rPr>
      </w:pPr>
      <w:r>
        <w:rPr>
          <w:rFonts w:hint="eastAsia" w:ascii="宋体" w:hAnsi="宋体"/>
          <w:color w:val="auto"/>
          <w:highlight w:val="none"/>
          <w:lang w:val="en-US" w:eastAsia="zh-CN"/>
        </w:rPr>
        <w:t>响应</w:t>
      </w:r>
      <w:r>
        <w:rPr>
          <w:rFonts w:hint="eastAsia" w:ascii="宋体" w:hAnsi="宋体"/>
          <w:color w:val="auto"/>
          <w:highlight w:val="none"/>
        </w:rPr>
        <w:t>文件有下列情形之一的，采购人不予受理：</w:t>
      </w:r>
    </w:p>
    <w:p w14:paraId="0E6F9F54">
      <w:pPr>
        <w:spacing w:line="360" w:lineRule="auto"/>
        <w:ind w:firstLine="359" w:firstLineChars="171"/>
        <w:rPr>
          <w:rFonts w:hint="eastAsia" w:ascii="宋体" w:hAnsi="宋体"/>
          <w:color w:val="auto"/>
          <w:highlight w:val="none"/>
        </w:rPr>
      </w:pPr>
      <w:r>
        <w:rPr>
          <w:rFonts w:hint="eastAsia" w:ascii="宋体" w:hAnsi="宋体"/>
          <w:color w:val="auto"/>
          <w:highlight w:val="none"/>
        </w:rPr>
        <w:t>（1）在4.2.1项规定的“</w:t>
      </w:r>
      <w:r>
        <w:rPr>
          <w:rFonts w:hint="eastAsia" w:ascii="宋体" w:hAnsi="宋体"/>
          <w:color w:val="auto"/>
          <w:highlight w:val="none"/>
          <w:lang w:val="en-US" w:eastAsia="zh-CN"/>
        </w:rPr>
        <w:t>响应</w:t>
      </w:r>
      <w:r>
        <w:rPr>
          <w:rFonts w:hint="eastAsia" w:ascii="宋体" w:hAnsi="宋体"/>
          <w:color w:val="auto"/>
          <w:highlight w:val="none"/>
        </w:rPr>
        <w:t>文件递交截止时间”以后逾期上传的；</w:t>
      </w:r>
    </w:p>
    <w:p w14:paraId="75992B82">
      <w:pPr>
        <w:spacing w:line="360" w:lineRule="auto"/>
        <w:ind w:firstLine="359" w:firstLineChars="171"/>
        <w:rPr>
          <w:rFonts w:hint="eastAsia" w:ascii="宋体" w:hAnsi="宋体"/>
          <w:color w:val="auto"/>
          <w:highlight w:val="none"/>
        </w:rPr>
      </w:pPr>
      <w:r>
        <w:rPr>
          <w:rFonts w:hint="eastAsia" w:ascii="宋体" w:hAnsi="宋体"/>
          <w:color w:val="auto"/>
          <w:highlight w:val="none"/>
        </w:rPr>
        <w:t>（2）不符合4.1.1项规定的“</w:t>
      </w:r>
      <w:r>
        <w:rPr>
          <w:rFonts w:hint="eastAsia" w:ascii="宋体" w:hAnsi="宋体"/>
          <w:color w:val="auto"/>
          <w:highlight w:val="none"/>
          <w:lang w:val="en-US" w:eastAsia="zh-CN"/>
        </w:rPr>
        <w:t>响应</w:t>
      </w:r>
      <w:r>
        <w:rPr>
          <w:rFonts w:hint="eastAsia" w:ascii="宋体" w:hAnsi="宋体"/>
          <w:color w:val="auto"/>
          <w:highlight w:val="none"/>
        </w:rPr>
        <w:t>文件加密要求”的。</w:t>
      </w:r>
    </w:p>
    <w:p w14:paraId="10270B26">
      <w:pPr>
        <w:pStyle w:val="528"/>
        <w:spacing w:line="360" w:lineRule="auto"/>
        <w:rPr>
          <w:rFonts w:hint="eastAsia" w:ascii="宋体" w:hAnsi="宋体" w:eastAsia="宋体"/>
          <w:b/>
          <w:color w:val="auto"/>
          <w:highlight w:val="none"/>
        </w:rPr>
      </w:pPr>
      <w:bookmarkStart w:id="527" w:name="_Toc462068393"/>
      <w:bookmarkStart w:id="528" w:name="_Toc23713"/>
      <w:bookmarkStart w:id="529" w:name="_Toc152045562"/>
      <w:bookmarkStart w:id="530" w:name="_Toc144974530"/>
      <w:bookmarkStart w:id="531" w:name="_Toc48038723"/>
      <w:bookmarkStart w:id="532" w:name="_Toc48484457"/>
      <w:bookmarkStart w:id="533" w:name="_Toc466623408"/>
      <w:bookmarkStart w:id="534" w:name="_Toc152042338"/>
      <w:bookmarkStart w:id="535" w:name="_Toc462068109"/>
      <w:bookmarkStart w:id="536" w:name="_Toc6813"/>
      <w:bookmarkStart w:id="537" w:name="_Toc509841321"/>
      <w:bookmarkStart w:id="538" w:name="_Toc465778812"/>
      <w:bookmarkStart w:id="539" w:name="_Toc32356"/>
      <w:bookmarkStart w:id="540" w:name="_Toc28623"/>
      <w:bookmarkStart w:id="541" w:name="_Toc29207"/>
      <w:r>
        <w:rPr>
          <w:rFonts w:hint="eastAsia" w:ascii="宋体" w:hAnsi="宋体" w:eastAsia="宋体"/>
          <w:b/>
          <w:color w:val="auto"/>
          <w:highlight w:val="none"/>
        </w:rPr>
        <w:t>6. 评审</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44E35A17">
      <w:pPr>
        <w:pStyle w:val="440"/>
        <w:spacing w:line="360" w:lineRule="auto"/>
        <w:rPr>
          <w:rFonts w:hint="eastAsia" w:ascii="宋体" w:hAnsi="宋体" w:eastAsia="宋体"/>
          <w:b/>
          <w:color w:val="auto"/>
          <w:highlight w:val="none"/>
        </w:rPr>
      </w:pPr>
      <w:bookmarkStart w:id="542" w:name="_Toc27657"/>
      <w:bookmarkStart w:id="543" w:name="_Toc10135"/>
      <w:bookmarkStart w:id="544" w:name="_Toc465778813"/>
      <w:bookmarkStart w:id="545" w:name="_Toc7677"/>
      <w:bookmarkStart w:id="546" w:name="_Toc144974531"/>
      <w:bookmarkStart w:id="547" w:name="_Toc152045563"/>
      <w:bookmarkStart w:id="548" w:name="_Toc152042339"/>
      <w:bookmarkStart w:id="549" w:name="_Toc466623409"/>
      <w:bookmarkStart w:id="550" w:name="_Toc509841322"/>
      <w:bookmarkStart w:id="551" w:name="_Toc48038724"/>
      <w:bookmarkStart w:id="552" w:name="_Toc29294"/>
      <w:bookmarkStart w:id="553" w:name="_Toc462068110"/>
      <w:bookmarkStart w:id="554" w:name="_Toc32601"/>
      <w:bookmarkStart w:id="555" w:name="_Toc462068394"/>
      <w:bookmarkStart w:id="556" w:name="_Toc48484458"/>
      <w:r>
        <w:rPr>
          <w:rFonts w:hint="eastAsia" w:ascii="宋体" w:hAnsi="宋体" w:eastAsia="宋体"/>
          <w:b/>
          <w:color w:val="auto"/>
          <w:highlight w:val="none"/>
        </w:rPr>
        <w:t>6.1 磋商小组</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p>
    <w:p w14:paraId="6104016A">
      <w:pPr>
        <w:spacing w:line="360" w:lineRule="auto"/>
        <w:ind w:firstLine="420" w:firstLineChars="200"/>
        <w:rPr>
          <w:rFonts w:hint="eastAsia" w:ascii="宋体" w:hAnsi="宋体"/>
          <w:color w:val="auto"/>
          <w:highlight w:val="none"/>
        </w:rPr>
      </w:pPr>
      <w:r>
        <w:rPr>
          <w:rFonts w:hint="eastAsia" w:ascii="宋体" w:hAnsi="宋体"/>
          <w:color w:val="auto"/>
          <w:highlight w:val="none"/>
        </w:rPr>
        <w:t>6.1.1 评审由采购人依法组建的磋商小组负责。磋商小组成员人数以及相关专业专家的确定方式见供应商须知前附表。</w:t>
      </w:r>
    </w:p>
    <w:p w14:paraId="71B73046">
      <w:pPr>
        <w:spacing w:line="360" w:lineRule="auto"/>
        <w:ind w:firstLine="420" w:firstLineChars="200"/>
        <w:rPr>
          <w:rFonts w:hint="eastAsia" w:ascii="宋体" w:hAnsi="宋体"/>
          <w:color w:val="auto"/>
          <w:highlight w:val="none"/>
        </w:rPr>
      </w:pPr>
      <w:r>
        <w:rPr>
          <w:rFonts w:hint="eastAsia" w:ascii="宋体" w:hAnsi="宋体"/>
          <w:color w:val="auto"/>
          <w:highlight w:val="none"/>
        </w:rPr>
        <w:t>6.1.2 磋商小组成员有下列情形之一的，应当回避：</w:t>
      </w:r>
    </w:p>
    <w:p w14:paraId="1BC3D56F">
      <w:pPr>
        <w:spacing w:line="360" w:lineRule="auto"/>
        <w:ind w:firstLine="420" w:firstLineChars="200"/>
        <w:rPr>
          <w:rFonts w:hint="eastAsia" w:ascii="宋体" w:hAnsi="宋体"/>
          <w:color w:val="auto"/>
          <w:highlight w:val="none"/>
        </w:rPr>
      </w:pPr>
      <w:r>
        <w:rPr>
          <w:rFonts w:hint="eastAsia" w:ascii="宋体" w:hAnsi="宋体"/>
          <w:color w:val="auto"/>
          <w:highlight w:val="none"/>
        </w:rPr>
        <w:t>（1）采购人或供应商的主要负责人的近亲属；</w:t>
      </w:r>
    </w:p>
    <w:p w14:paraId="42DFBB4C">
      <w:pPr>
        <w:spacing w:line="360" w:lineRule="auto"/>
        <w:ind w:firstLine="420" w:firstLineChars="200"/>
        <w:rPr>
          <w:rFonts w:hint="eastAsia" w:ascii="宋体" w:hAnsi="宋体"/>
          <w:color w:val="auto"/>
          <w:highlight w:val="none"/>
        </w:rPr>
      </w:pPr>
      <w:r>
        <w:rPr>
          <w:rFonts w:hint="eastAsia" w:ascii="宋体" w:hAnsi="宋体"/>
          <w:color w:val="auto"/>
          <w:highlight w:val="none"/>
        </w:rPr>
        <w:t>（2）项目主管部门或者行政监督部门的人员；</w:t>
      </w:r>
    </w:p>
    <w:p w14:paraId="1C212063">
      <w:pPr>
        <w:spacing w:line="360" w:lineRule="auto"/>
        <w:ind w:firstLine="420" w:firstLineChars="200"/>
        <w:rPr>
          <w:rFonts w:hint="eastAsia" w:ascii="宋体" w:hAnsi="宋体"/>
          <w:color w:val="auto"/>
          <w:highlight w:val="none"/>
        </w:rPr>
      </w:pPr>
      <w:r>
        <w:rPr>
          <w:rFonts w:hint="eastAsia" w:ascii="宋体" w:hAnsi="宋体"/>
          <w:color w:val="auto"/>
          <w:highlight w:val="none"/>
        </w:rPr>
        <w:t>（3）与供应商有经济利益关系，可能影响对磋商公正评审的；</w:t>
      </w:r>
    </w:p>
    <w:p w14:paraId="3DE43E45">
      <w:pPr>
        <w:spacing w:line="360" w:lineRule="auto"/>
        <w:ind w:firstLine="420" w:firstLineChars="200"/>
        <w:rPr>
          <w:rFonts w:hint="eastAsia" w:ascii="宋体" w:hAnsi="宋体"/>
          <w:color w:val="auto"/>
          <w:highlight w:val="none"/>
        </w:rPr>
      </w:pPr>
      <w:r>
        <w:rPr>
          <w:rFonts w:hint="eastAsia" w:ascii="宋体" w:hAnsi="宋体"/>
          <w:color w:val="auto"/>
          <w:highlight w:val="none"/>
        </w:rPr>
        <w:t>（4）曾因在招标、评审以及其他与招标投标有关活动中从事违法行为而受过行政处罚或刑事处罚的。</w:t>
      </w:r>
    </w:p>
    <w:p w14:paraId="7835C1C4">
      <w:pPr>
        <w:pStyle w:val="440"/>
        <w:spacing w:line="360" w:lineRule="auto"/>
        <w:rPr>
          <w:rFonts w:hint="eastAsia" w:ascii="宋体" w:hAnsi="宋体" w:eastAsia="宋体"/>
          <w:color w:val="auto"/>
          <w:highlight w:val="none"/>
        </w:rPr>
      </w:pPr>
      <w:bookmarkStart w:id="557" w:name="_Toc466623410"/>
      <w:bookmarkStart w:id="558" w:name="_Toc48038725"/>
      <w:bookmarkStart w:id="559" w:name="_Toc462068111"/>
      <w:bookmarkStart w:id="560" w:name="_Toc48484459"/>
      <w:bookmarkStart w:id="561" w:name="_Toc8535"/>
      <w:bookmarkStart w:id="562" w:name="_Toc465778814"/>
      <w:bookmarkStart w:id="563" w:name="_Toc152045564"/>
      <w:bookmarkStart w:id="564" w:name="_Toc27502"/>
      <w:bookmarkStart w:id="565" w:name="_Toc15564"/>
      <w:bookmarkStart w:id="566" w:name="_Toc31910"/>
      <w:bookmarkStart w:id="567" w:name="_Toc462068395"/>
      <w:bookmarkStart w:id="568" w:name="_Toc152042340"/>
      <w:bookmarkStart w:id="569" w:name="_Toc509841323"/>
      <w:bookmarkStart w:id="570" w:name="_Toc144974532"/>
      <w:bookmarkStart w:id="571" w:name="_Toc10570"/>
      <w:r>
        <w:rPr>
          <w:rFonts w:hint="eastAsia" w:ascii="宋体" w:hAnsi="宋体" w:eastAsia="宋体"/>
          <w:b/>
          <w:color w:val="auto"/>
          <w:highlight w:val="none"/>
        </w:rPr>
        <w:t>6.2 评审原则</w:t>
      </w:r>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r>
        <w:rPr>
          <w:rFonts w:ascii="宋体" w:hAnsi="宋体" w:eastAsia="宋体"/>
          <w:color w:val="auto"/>
          <w:highlight w:val="none"/>
        </w:rPr>
        <w:tab/>
      </w:r>
    </w:p>
    <w:p w14:paraId="41578133">
      <w:pPr>
        <w:spacing w:line="360" w:lineRule="auto"/>
        <w:ind w:firstLine="420" w:firstLineChars="200"/>
        <w:rPr>
          <w:rFonts w:hint="eastAsia" w:ascii="宋体" w:hAnsi="宋体"/>
          <w:color w:val="auto"/>
          <w:highlight w:val="none"/>
        </w:rPr>
      </w:pPr>
      <w:r>
        <w:rPr>
          <w:rFonts w:hint="eastAsia" w:ascii="宋体" w:hAnsi="宋体"/>
          <w:color w:val="auto"/>
          <w:highlight w:val="none"/>
        </w:rPr>
        <w:t>评审活动遵循公平、公正、科学和择优的原则。</w:t>
      </w:r>
    </w:p>
    <w:p w14:paraId="55046B40">
      <w:pPr>
        <w:pStyle w:val="440"/>
        <w:spacing w:line="360" w:lineRule="auto"/>
        <w:rPr>
          <w:rFonts w:hint="eastAsia" w:ascii="宋体" w:hAnsi="宋体" w:eastAsia="宋体"/>
          <w:color w:val="auto"/>
          <w:highlight w:val="none"/>
        </w:rPr>
      </w:pPr>
      <w:bookmarkStart w:id="572" w:name="_Toc509841324"/>
      <w:bookmarkStart w:id="573" w:name="_Toc462068112"/>
      <w:bookmarkStart w:id="574" w:name="_Toc465778815"/>
      <w:bookmarkStart w:id="575" w:name="_Toc144974533"/>
      <w:bookmarkStart w:id="576" w:name="_Toc14630"/>
      <w:bookmarkStart w:id="577" w:name="_Toc26768"/>
      <w:bookmarkStart w:id="578" w:name="_Toc152045565"/>
      <w:bookmarkStart w:id="579" w:name="_Toc466623411"/>
      <w:bookmarkStart w:id="580" w:name="_Toc27791"/>
      <w:bookmarkStart w:id="581" w:name="_Toc48484460"/>
      <w:bookmarkStart w:id="582" w:name="_Toc152042341"/>
      <w:bookmarkStart w:id="583" w:name="_Toc462068396"/>
      <w:bookmarkStart w:id="584" w:name="_Toc48038726"/>
      <w:bookmarkStart w:id="585" w:name="_Toc16903"/>
      <w:bookmarkStart w:id="586" w:name="_Toc19638"/>
      <w:r>
        <w:rPr>
          <w:rFonts w:hint="eastAsia" w:ascii="宋体" w:hAnsi="宋体" w:eastAsia="宋体"/>
          <w:b/>
          <w:color w:val="auto"/>
          <w:highlight w:val="none"/>
        </w:rPr>
        <w:t>6.3 评审</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eastAsia" w:ascii="宋体" w:hAnsi="宋体" w:eastAsia="宋体"/>
          <w:b/>
          <w:color w:val="auto"/>
          <w:highlight w:val="none"/>
        </w:rPr>
        <w:t>办法</w:t>
      </w:r>
      <w:bookmarkEnd w:id="586"/>
    </w:p>
    <w:p w14:paraId="25935B68">
      <w:pPr>
        <w:spacing w:line="360" w:lineRule="auto"/>
        <w:ind w:firstLine="420" w:firstLineChars="200"/>
        <w:rPr>
          <w:rFonts w:hint="eastAsia" w:ascii="宋体" w:hAnsi="宋体"/>
          <w:color w:val="auto"/>
          <w:highlight w:val="none"/>
        </w:rPr>
      </w:pPr>
      <w:r>
        <w:rPr>
          <w:rFonts w:hint="eastAsia" w:ascii="宋体" w:hAnsi="宋体"/>
          <w:color w:val="auto"/>
          <w:highlight w:val="none"/>
        </w:rPr>
        <w:t>磋商小组按照第三章“评审办法”规定的方法、评审因素、标准和程序对响应文件进行评审。第三章“评审办法”没有规定的方法、评审因素和标准，不作为评审依据。</w:t>
      </w:r>
    </w:p>
    <w:p w14:paraId="21266080">
      <w:pPr>
        <w:pStyle w:val="440"/>
        <w:spacing w:line="360" w:lineRule="auto"/>
        <w:rPr>
          <w:rFonts w:hint="eastAsia" w:ascii="宋体" w:hAnsi="宋体" w:eastAsia="宋体"/>
          <w:color w:val="auto"/>
          <w:highlight w:val="none"/>
        </w:rPr>
      </w:pPr>
      <w:bookmarkStart w:id="587" w:name="_Toc48038727"/>
      <w:bookmarkStart w:id="588" w:name="_Toc25642"/>
      <w:bookmarkStart w:id="589" w:name="_Toc465778816"/>
      <w:bookmarkStart w:id="590" w:name="_Toc509841325"/>
      <w:bookmarkStart w:id="591" w:name="_Toc462068397"/>
      <w:bookmarkStart w:id="592" w:name="_Toc466623412"/>
      <w:bookmarkStart w:id="593" w:name="_Toc48484461"/>
      <w:bookmarkStart w:id="594" w:name="_Toc23074"/>
      <w:bookmarkStart w:id="595" w:name="_Toc9772"/>
      <w:bookmarkStart w:id="596" w:name="_Toc30265"/>
      <w:bookmarkStart w:id="597" w:name="_Toc24959"/>
      <w:bookmarkStart w:id="598" w:name="_Toc462068113"/>
      <w:r>
        <w:rPr>
          <w:rFonts w:hint="eastAsia" w:ascii="宋体" w:hAnsi="宋体" w:eastAsia="宋体"/>
          <w:b/>
          <w:color w:val="auto"/>
          <w:highlight w:val="none"/>
        </w:rPr>
        <w:t>6.4评审过程的保密</w:t>
      </w:r>
      <w:bookmarkEnd w:id="587"/>
      <w:bookmarkEnd w:id="588"/>
      <w:bookmarkEnd w:id="589"/>
      <w:bookmarkEnd w:id="590"/>
      <w:bookmarkEnd w:id="591"/>
      <w:bookmarkEnd w:id="592"/>
      <w:bookmarkEnd w:id="593"/>
      <w:bookmarkEnd w:id="594"/>
      <w:bookmarkEnd w:id="595"/>
      <w:bookmarkEnd w:id="596"/>
      <w:bookmarkEnd w:id="597"/>
      <w:bookmarkEnd w:id="598"/>
    </w:p>
    <w:p w14:paraId="5850DF6C">
      <w:pPr>
        <w:spacing w:line="360" w:lineRule="auto"/>
        <w:ind w:firstLine="420" w:firstLineChars="200"/>
        <w:rPr>
          <w:rFonts w:hint="eastAsia" w:ascii="宋体" w:hAnsi="宋体"/>
          <w:color w:val="auto"/>
          <w:highlight w:val="none"/>
        </w:rPr>
      </w:pPr>
      <w:r>
        <w:rPr>
          <w:rFonts w:hint="eastAsia" w:ascii="宋体" w:hAnsi="宋体"/>
          <w:color w:val="auto"/>
          <w:highlight w:val="none"/>
        </w:rPr>
        <w:t>6.4.1</w:t>
      </w:r>
      <w:r>
        <w:rPr>
          <w:rFonts w:hint="eastAsia"/>
          <w:color w:val="auto"/>
          <w:highlight w:val="none"/>
        </w:rPr>
        <w:t>磋商会议</w:t>
      </w:r>
      <w:r>
        <w:rPr>
          <w:rFonts w:hint="eastAsia" w:ascii="宋体" w:hAnsi="宋体"/>
          <w:color w:val="auto"/>
          <w:highlight w:val="none"/>
        </w:rPr>
        <w:t>后，凡属于对响应文件的审查、澄清、评价和比较的有关资料以及成交候选人的推荐情况，与评审有关的其他任何情况均严格保密。</w:t>
      </w:r>
    </w:p>
    <w:p w14:paraId="319812AB">
      <w:pPr>
        <w:spacing w:line="360" w:lineRule="auto"/>
        <w:ind w:firstLine="420" w:firstLineChars="200"/>
        <w:rPr>
          <w:rFonts w:hint="eastAsia" w:ascii="宋体" w:hAnsi="宋体"/>
          <w:color w:val="auto"/>
          <w:highlight w:val="none"/>
        </w:rPr>
      </w:pPr>
      <w:r>
        <w:rPr>
          <w:rFonts w:hint="eastAsia" w:ascii="宋体" w:hAnsi="宋体"/>
          <w:color w:val="auto"/>
          <w:highlight w:val="none"/>
        </w:rPr>
        <w:t>6.4.2在响应文件的评审和比较、成交候选人推荐以及授予合同的过程中，供应商向采购人和磋商小组施加影响的任何行为，都将会导致其磋商被拒绝。</w:t>
      </w:r>
    </w:p>
    <w:p w14:paraId="3210FB32">
      <w:pPr>
        <w:spacing w:line="360" w:lineRule="auto"/>
        <w:ind w:firstLine="420" w:firstLineChars="200"/>
        <w:rPr>
          <w:rFonts w:hint="eastAsia" w:ascii="宋体" w:hAnsi="宋体"/>
          <w:color w:val="auto"/>
          <w:highlight w:val="none"/>
        </w:rPr>
      </w:pPr>
      <w:r>
        <w:rPr>
          <w:rFonts w:hint="eastAsia" w:ascii="宋体" w:hAnsi="宋体"/>
          <w:color w:val="auto"/>
          <w:highlight w:val="none"/>
        </w:rPr>
        <w:t>6.4.3成交单位确定后，采购人不对未成交单位就评审过程以及未能</w:t>
      </w:r>
      <w:r>
        <w:rPr>
          <w:rFonts w:hint="eastAsia"/>
          <w:color w:val="auto"/>
          <w:highlight w:val="none"/>
        </w:rPr>
        <w:t>成交</w:t>
      </w:r>
      <w:r>
        <w:rPr>
          <w:rFonts w:hint="eastAsia" w:ascii="宋体" w:hAnsi="宋体"/>
          <w:color w:val="auto"/>
          <w:highlight w:val="none"/>
        </w:rPr>
        <w:t>原因作出任何解释。未成交单位不得向磋商小组组成人员或其他有关人员索问评审过程的情况和资料。</w:t>
      </w:r>
    </w:p>
    <w:p w14:paraId="5081752B">
      <w:pPr>
        <w:pStyle w:val="528"/>
        <w:spacing w:line="360" w:lineRule="auto"/>
        <w:rPr>
          <w:rFonts w:hint="eastAsia" w:ascii="宋体" w:hAnsi="宋体" w:eastAsia="宋体"/>
          <w:b/>
          <w:color w:val="auto"/>
          <w:highlight w:val="none"/>
        </w:rPr>
      </w:pPr>
      <w:bookmarkStart w:id="599" w:name="_Toc152045566"/>
      <w:bookmarkStart w:id="600" w:name="_Toc31784"/>
      <w:bookmarkStart w:id="601" w:name="_Toc462068116"/>
      <w:bookmarkStart w:id="602" w:name="_Toc48484462"/>
      <w:bookmarkStart w:id="603" w:name="_Toc24193"/>
      <w:bookmarkStart w:id="604" w:name="_Toc5073"/>
      <w:bookmarkStart w:id="605" w:name="_Toc465778819"/>
      <w:bookmarkStart w:id="606" w:name="_Toc152042342"/>
      <w:bookmarkStart w:id="607" w:name="_Toc32519"/>
      <w:bookmarkStart w:id="608" w:name="_Toc48038728"/>
      <w:bookmarkStart w:id="609" w:name="_Toc144974534"/>
      <w:bookmarkStart w:id="610" w:name="_Toc466623415"/>
      <w:bookmarkStart w:id="611" w:name="_Toc21964"/>
      <w:bookmarkStart w:id="612" w:name="_Toc509841328"/>
      <w:bookmarkStart w:id="613" w:name="_Toc462068400"/>
      <w:r>
        <w:rPr>
          <w:rFonts w:hint="eastAsia" w:ascii="宋体" w:hAnsi="宋体" w:eastAsia="宋体"/>
          <w:b/>
          <w:color w:val="auto"/>
          <w:highlight w:val="none"/>
        </w:rPr>
        <w:t>7. 合同授予</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1178E1D1">
      <w:pPr>
        <w:pStyle w:val="440"/>
        <w:spacing w:line="360" w:lineRule="auto"/>
        <w:rPr>
          <w:rFonts w:hint="eastAsia" w:ascii="宋体" w:hAnsi="宋体" w:eastAsia="宋体"/>
          <w:b/>
          <w:color w:val="auto"/>
          <w:highlight w:val="none"/>
        </w:rPr>
      </w:pPr>
      <w:bookmarkStart w:id="614" w:name="_Toc152042343"/>
      <w:bookmarkStart w:id="615" w:name="_Toc30354"/>
      <w:bookmarkStart w:id="616" w:name="_Toc24330"/>
      <w:bookmarkStart w:id="617" w:name="_Toc509841329"/>
      <w:bookmarkStart w:id="618" w:name="_Toc462068401"/>
      <w:bookmarkStart w:id="619" w:name="_Toc465778820"/>
      <w:bookmarkStart w:id="620" w:name="_Toc6050"/>
      <w:bookmarkStart w:id="621" w:name="_Toc48484463"/>
      <w:bookmarkStart w:id="622" w:name="_Toc8259"/>
      <w:bookmarkStart w:id="623" w:name="_Toc462068117"/>
      <w:bookmarkStart w:id="624" w:name="_Toc152045567"/>
      <w:bookmarkStart w:id="625" w:name="_Toc10575"/>
      <w:bookmarkStart w:id="626" w:name="_Toc48038729"/>
      <w:bookmarkStart w:id="627" w:name="_Toc466623416"/>
      <w:bookmarkStart w:id="628" w:name="_Toc144974535"/>
      <w:r>
        <w:rPr>
          <w:rFonts w:hint="eastAsia" w:ascii="宋体" w:hAnsi="宋体" w:eastAsia="宋体"/>
          <w:b/>
          <w:color w:val="auto"/>
          <w:highlight w:val="none"/>
        </w:rPr>
        <w:t>7.1 定标方式</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 w14:paraId="657BD7AE">
      <w:pPr>
        <w:spacing w:line="360" w:lineRule="auto"/>
        <w:ind w:firstLine="420" w:firstLineChars="200"/>
        <w:rPr>
          <w:rFonts w:hint="eastAsia" w:ascii="宋体" w:hAnsi="宋体"/>
          <w:color w:val="auto"/>
          <w:highlight w:val="none"/>
        </w:rPr>
      </w:pPr>
      <w:r>
        <w:rPr>
          <w:rFonts w:hint="eastAsia" w:ascii="宋体" w:hAnsi="宋体"/>
          <w:color w:val="auto"/>
          <w:highlight w:val="none"/>
        </w:rPr>
        <w:t>除供应商须知前附表规定磋商小组直接确定成交单位外，采购人依据磋商小组推荐的成交候选人确定成交单位，磋商小组推荐成交候选人的人数见供应商须知前附表。</w:t>
      </w:r>
    </w:p>
    <w:p w14:paraId="5B0E165C">
      <w:pPr>
        <w:pStyle w:val="440"/>
        <w:spacing w:line="360" w:lineRule="auto"/>
        <w:rPr>
          <w:rFonts w:hint="eastAsia" w:ascii="宋体" w:hAnsi="宋体" w:eastAsia="宋体"/>
          <w:color w:val="auto"/>
          <w:highlight w:val="none"/>
        </w:rPr>
      </w:pPr>
      <w:bookmarkStart w:id="629" w:name="_Toc466623417"/>
      <w:bookmarkStart w:id="630" w:name="_Toc462068118"/>
      <w:bookmarkStart w:id="631" w:name="_Toc152045568"/>
      <w:bookmarkStart w:id="632" w:name="_Toc465778821"/>
      <w:bookmarkStart w:id="633" w:name="_Toc462068402"/>
      <w:bookmarkStart w:id="634" w:name="_Toc48038730"/>
      <w:bookmarkStart w:id="635" w:name="_Toc144974536"/>
      <w:bookmarkStart w:id="636" w:name="_Toc22891"/>
      <w:bookmarkStart w:id="637" w:name="_Toc7539"/>
      <w:bookmarkStart w:id="638" w:name="_Toc20961"/>
      <w:bookmarkStart w:id="639" w:name="_Toc5548"/>
      <w:bookmarkStart w:id="640" w:name="_Toc509841330"/>
      <w:bookmarkStart w:id="641" w:name="_Toc7024"/>
      <w:bookmarkStart w:id="642" w:name="_Toc48484464"/>
      <w:bookmarkStart w:id="643" w:name="_Toc152042344"/>
      <w:r>
        <w:rPr>
          <w:rFonts w:hint="eastAsia" w:ascii="宋体" w:hAnsi="宋体" w:eastAsia="宋体"/>
          <w:b/>
          <w:color w:val="auto"/>
          <w:highlight w:val="none"/>
        </w:rPr>
        <w:t>7.2 成交通知</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467CB3B1">
      <w:pPr>
        <w:spacing w:line="360" w:lineRule="auto"/>
        <w:ind w:firstLine="420" w:firstLineChars="200"/>
        <w:rPr>
          <w:rFonts w:hint="eastAsia" w:ascii="宋体" w:hAnsi="宋体"/>
          <w:color w:val="auto"/>
          <w:highlight w:val="none"/>
        </w:rPr>
      </w:pPr>
      <w:bookmarkStart w:id="644" w:name="_Toc152042345"/>
      <w:bookmarkStart w:id="645" w:name="_Toc152045569"/>
      <w:bookmarkStart w:id="646" w:name="_Toc144974537"/>
      <w:r>
        <w:rPr>
          <w:rFonts w:hint="eastAsia"/>
          <w:color w:val="auto"/>
          <w:highlight w:val="none"/>
        </w:rPr>
        <w:t>采购人或者采购代理机构在成交供应商确定后2个工作日内，在指定发布媒介上公告成交结果，同时</w:t>
      </w:r>
      <w:r>
        <w:rPr>
          <w:rFonts w:hint="eastAsia" w:ascii="宋体" w:hAnsi="宋体"/>
          <w:color w:val="auto"/>
          <w:highlight w:val="none"/>
        </w:rPr>
        <w:t>以书面形式向成交单位发出成交通知书，并将成交结果通知未成交的供应商。</w:t>
      </w:r>
    </w:p>
    <w:p w14:paraId="39067933">
      <w:pPr>
        <w:pStyle w:val="440"/>
        <w:spacing w:line="360" w:lineRule="auto"/>
        <w:rPr>
          <w:rFonts w:hint="eastAsia" w:ascii="宋体" w:hAnsi="宋体" w:eastAsia="宋体"/>
          <w:color w:val="auto"/>
          <w:highlight w:val="none"/>
        </w:rPr>
      </w:pPr>
      <w:bookmarkStart w:id="647" w:name="_Toc4553"/>
      <w:bookmarkStart w:id="648" w:name="_Toc462068403"/>
      <w:bookmarkStart w:id="649" w:name="_Toc466623418"/>
      <w:bookmarkStart w:id="650" w:name="_Toc462068119"/>
      <w:bookmarkStart w:id="651" w:name="_Toc48038731"/>
      <w:bookmarkStart w:id="652" w:name="_Toc465778822"/>
      <w:bookmarkStart w:id="653" w:name="_Toc19354"/>
      <w:bookmarkStart w:id="654" w:name="_Toc25985"/>
      <w:bookmarkStart w:id="655" w:name="_Toc509841331"/>
      <w:bookmarkStart w:id="656" w:name="_Toc48484465"/>
      <w:bookmarkStart w:id="657" w:name="_Toc19960"/>
      <w:bookmarkStart w:id="658" w:name="_Toc1237"/>
      <w:r>
        <w:rPr>
          <w:rFonts w:hint="eastAsia" w:ascii="宋体" w:hAnsi="宋体" w:eastAsia="宋体"/>
          <w:b/>
          <w:color w:val="auto"/>
          <w:highlight w:val="none"/>
        </w:rPr>
        <w:t>7.3 履约担保</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48646295">
      <w:pPr>
        <w:spacing w:line="360" w:lineRule="auto"/>
        <w:ind w:firstLine="420" w:firstLineChars="200"/>
        <w:rPr>
          <w:rFonts w:hint="eastAsia" w:ascii="宋体" w:hAnsi="宋体"/>
          <w:color w:val="auto"/>
          <w:szCs w:val="21"/>
          <w:highlight w:val="none"/>
        </w:rPr>
      </w:pPr>
      <w:bookmarkStart w:id="659" w:name="_Toc1409"/>
      <w:bookmarkStart w:id="660" w:name="_Toc23308"/>
      <w:bookmarkStart w:id="661" w:name="_Toc465778823"/>
      <w:bookmarkStart w:id="662" w:name="_Toc48484466"/>
      <w:bookmarkStart w:id="663" w:name="_Toc152042346"/>
      <w:bookmarkStart w:id="664" w:name="_Toc48038732"/>
      <w:bookmarkStart w:id="665" w:name="_Toc152045570"/>
      <w:bookmarkStart w:id="666" w:name="_Toc466623419"/>
      <w:bookmarkStart w:id="667" w:name="_Toc144974538"/>
      <w:bookmarkStart w:id="668" w:name="_Toc462068404"/>
      <w:bookmarkStart w:id="669" w:name="_Toc509841332"/>
      <w:bookmarkStart w:id="670" w:name="_Toc4918"/>
      <w:bookmarkStart w:id="671" w:name="_Toc462068120"/>
      <w:r>
        <w:rPr>
          <w:rFonts w:hint="eastAsia" w:ascii="宋体" w:hAnsi="宋体"/>
          <w:color w:val="auto"/>
          <w:szCs w:val="21"/>
          <w:highlight w:val="none"/>
        </w:rPr>
        <w:t>详见须知前附表。</w:t>
      </w:r>
      <w:bookmarkEnd w:id="659"/>
      <w:bookmarkEnd w:id="660"/>
    </w:p>
    <w:p w14:paraId="4E26CBCA">
      <w:pPr>
        <w:pStyle w:val="440"/>
        <w:spacing w:line="360" w:lineRule="auto"/>
        <w:rPr>
          <w:rFonts w:hint="eastAsia" w:ascii="宋体" w:hAnsi="宋体" w:eastAsia="宋体"/>
          <w:color w:val="auto"/>
          <w:highlight w:val="none"/>
        </w:rPr>
      </w:pPr>
      <w:bookmarkStart w:id="672" w:name="_Toc30451"/>
      <w:bookmarkStart w:id="673" w:name="_Toc2093"/>
      <w:bookmarkStart w:id="674" w:name="_Toc5331"/>
      <w:bookmarkStart w:id="675" w:name="_Toc7759"/>
      <w:r>
        <w:rPr>
          <w:rFonts w:hint="eastAsia" w:ascii="宋体" w:hAnsi="宋体" w:eastAsia="宋体"/>
          <w:b/>
          <w:color w:val="auto"/>
          <w:highlight w:val="none"/>
        </w:rPr>
        <w:t>7.4 签订合同</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4164E02C">
      <w:pPr>
        <w:spacing w:line="360" w:lineRule="auto"/>
        <w:ind w:firstLine="420" w:firstLineChars="200"/>
        <w:rPr>
          <w:rFonts w:hint="eastAsia" w:ascii="宋体" w:hAnsi="宋体"/>
          <w:color w:val="auto"/>
          <w:highlight w:val="none"/>
        </w:rPr>
      </w:pPr>
      <w:r>
        <w:rPr>
          <w:rFonts w:hint="eastAsia" w:ascii="宋体" w:hAnsi="宋体"/>
          <w:color w:val="auto"/>
          <w:highlight w:val="none"/>
        </w:rPr>
        <w:t>7.4.1采购人和成交单位应当自成交通知书发出之日起30天内，根据竞争性磋商文件和成交单位的响应文件订立书面合同。成交供应商拒绝签订合同的，采购人可确定其他供应商作为成交供应商，也可重新开展采购活动。拒绝签订合同的成交供应商不得参加对该项目重新开展的采购活动。</w:t>
      </w:r>
    </w:p>
    <w:p w14:paraId="55F8BF04">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7.4.2 发出成交通知书后，采购人无正当理由拒签合同的，给成交单位造成损失的，还应当赔偿损失。 </w:t>
      </w:r>
    </w:p>
    <w:p w14:paraId="42C4DDC9">
      <w:pPr>
        <w:pStyle w:val="528"/>
        <w:spacing w:line="360" w:lineRule="auto"/>
        <w:rPr>
          <w:rFonts w:hint="eastAsia" w:ascii="宋体" w:hAnsi="宋体" w:eastAsia="宋体"/>
          <w:b/>
          <w:color w:val="auto"/>
          <w:highlight w:val="none"/>
        </w:rPr>
      </w:pPr>
      <w:bookmarkStart w:id="676" w:name="_Toc4606"/>
      <w:bookmarkStart w:id="677" w:name="_Toc152042347"/>
      <w:bookmarkStart w:id="678" w:name="_Toc465778824"/>
      <w:bookmarkStart w:id="679" w:name="_Toc144974539"/>
      <w:bookmarkStart w:id="680" w:name="_Toc462068405"/>
      <w:bookmarkStart w:id="681" w:name="_Toc152045571"/>
      <w:bookmarkStart w:id="682" w:name="_Toc462068121"/>
      <w:bookmarkStart w:id="683" w:name="_Toc466623420"/>
      <w:bookmarkStart w:id="684" w:name="_Toc509841333"/>
      <w:bookmarkStart w:id="685" w:name="_Toc30703"/>
      <w:bookmarkStart w:id="686" w:name="_Toc48038733"/>
      <w:bookmarkStart w:id="687" w:name="_Toc48484467"/>
      <w:bookmarkStart w:id="688" w:name="_Toc5978"/>
      <w:bookmarkStart w:id="689" w:name="_Toc28280"/>
      <w:bookmarkStart w:id="690" w:name="_Toc6620"/>
      <w:r>
        <w:rPr>
          <w:rFonts w:hint="eastAsia" w:ascii="宋体" w:hAnsi="宋体" w:eastAsia="宋体"/>
          <w:b/>
          <w:color w:val="auto"/>
          <w:highlight w:val="none"/>
        </w:rPr>
        <w:t>8. 重新</w:t>
      </w:r>
      <w:bookmarkEnd w:id="676"/>
      <w:bookmarkEnd w:id="677"/>
      <w:bookmarkEnd w:id="678"/>
      <w:bookmarkEnd w:id="679"/>
      <w:bookmarkEnd w:id="680"/>
      <w:bookmarkEnd w:id="681"/>
      <w:bookmarkEnd w:id="682"/>
      <w:bookmarkEnd w:id="683"/>
      <w:bookmarkEnd w:id="684"/>
      <w:r>
        <w:rPr>
          <w:rFonts w:hint="eastAsia" w:ascii="宋体" w:hAnsi="宋体" w:eastAsia="宋体"/>
          <w:b/>
          <w:color w:val="auto"/>
          <w:highlight w:val="none"/>
        </w:rPr>
        <w:t>采购</w:t>
      </w:r>
      <w:bookmarkEnd w:id="685"/>
      <w:bookmarkEnd w:id="686"/>
      <w:bookmarkEnd w:id="687"/>
      <w:bookmarkEnd w:id="688"/>
      <w:bookmarkEnd w:id="689"/>
      <w:bookmarkEnd w:id="690"/>
    </w:p>
    <w:p w14:paraId="157D3FFD">
      <w:pPr>
        <w:spacing w:line="360" w:lineRule="auto"/>
        <w:ind w:firstLine="420" w:firstLineChars="200"/>
        <w:rPr>
          <w:rFonts w:hint="eastAsia" w:ascii="宋体" w:hAnsi="宋体"/>
          <w:color w:val="auto"/>
          <w:highlight w:val="none"/>
        </w:rPr>
      </w:pPr>
      <w:bookmarkStart w:id="691" w:name="_Toc509841334"/>
      <w:bookmarkStart w:id="692" w:name="_Toc465778825"/>
      <w:bookmarkStart w:id="693" w:name="_Toc462068406"/>
      <w:bookmarkStart w:id="694" w:name="_Toc17547"/>
      <w:bookmarkStart w:id="695" w:name="_Toc144974542"/>
      <w:bookmarkStart w:id="696" w:name="_Toc152042350"/>
      <w:bookmarkStart w:id="697" w:name="_Toc152045574"/>
      <w:bookmarkStart w:id="698" w:name="_Toc462068122"/>
      <w:bookmarkStart w:id="699" w:name="_Toc466623421"/>
      <w:r>
        <w:rPr>
          <w:rFonts w:hint="eastAsia" w:ascii="宋体" w:hAnsi="宋体"/>
          <w:color w:val="auto"/>
          <w:highlight w:val="none"/>
        </w:rPr>
        <w:t xml:space="preserve">出现下列情形之一的，采购人或者采购代理机构应当终止竞争性磋商采购活动，发布项目终止公告并说明原因，重新开展采购活动： </w:t>
      </w:r>
    </w:p>
    <w:p w14:paraId="010C89D5">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（1）因情况变化，不再符合规定的竞争性磋商采购方式适用情形的； </w:t>
      </w:r>
    </w:p>
    <w:p w14:paraId="59105757">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（2）出现影响采购公正的违法、违规行为的； </w:t>
      </w:r>
    </w:p>
    <w:p w14:paraId="62F38FD4">
      <w:pPr>
        <w:spacing w:line="360" w:lineRule="auto"/>
        <w:ind w:firstLine="420" w:firstLineChars="200"/>
        <w:rPr>
          <w:rFonts w:hint="eastAsia" w:ascii="宋体" w:hAnsi="宋体"/>
          <w:color w:val="auto"/>
          <w:highlight w:val="none"/>
        </w:rPr>
      </w:pPr>
      <w:r>
        <w:rPr>
          <w:rFonts w:hint="eastAsia" w:ascii="宋体" w:hAnsi="宋体"/>
          <w:color w:val="auto"/>
          <w:highlight w:val="none"/>
        </w:rPr>
        <w:t>（3）获取竞争性磋商文件截止时间止</w:t>
      </w:r>
      <w:r>
        <w:rPr>
          <w:rFonts w:hint="eastAsia" w:ascii="宋体" w:hAnsi="宋体"/>
          <w:color w:val="auto"/>
          <w:highlight w:val="none"/>
          <w:lang w:val="en-US" w:eastAsia="zh-CN"/>
        </w:rPr>
        <w:t>或</w:t>
      </w:r>
      <w:r>
        <w:rPr>
          <w:rFonts w:hint="eastAsia" w:ascii="宋体" w:hAnsi="宋体"/>
          <w:color w:val="auto"/>
          <w:highlight w:val="none"/>
        </w:rPr>
        <w:t>响应文件递交截止时间止，供应商少于3家的；</w:t>
      </w:r>
    </w:p>
    <w:p w14:paraId="0A129099">
      <w:pPr>
        <w:spacing w:line="360" w:lineRule="auto"/>
        <w:ind w:firstLine="420" w:firstLineChars="200"/>
        <w:rPr>
          <w:rFonts w:hint="eastAsia" w:ascii="宋体" w:hAnsi="宋体"/>
          <w:color w:val="auto"/>
          <w:highlight w:val="none"/>
        </w:rPr>
      </w:pPr>
      <w:r>
        <w:rPr>
          <w:rFonts w:hint="eastAsia" w:ascii="宋体" w:hAnsi="宋体"/>
          <w:color w:val="auto"/>
          <w:highlight w:val="none"/>
        </w:rPr>
        <w:t>（4）在采购过程中符合竞争要求的供应商（即提交最后报价的供应商）或者最后报价未超过采购预算的供应商不足3家的。符合《政府采购竞争性磋商采购方式管理暂行办法》第三条第四项情形的或《财政部关于政府采购竞争性磋商采购方式管理暂行办法有关问题的补充通知》财库【2015】124号文规定的，提交最后报价的供应商可以为2家。采购过程中符合要求的供应商只有1家的，采购人（项目实施机构）或者采购代理机构应当终止竞争性磋商采购活动，发布项目终止公告并说明原因，重新开展采购活动。</w:t>
      </w:r>
    </w:p>
    <w:p w14:paraId="4DF2C13A">
      <w:pPr>
        <w:pStyle w:val="528"/>
        <w:spacing w:line="360" w:lineRule="auto"/>
        <w:rPr>
          <w:rFonts w:hint="eastAsia" w:ascii="宋体" w:hAnsi="宋体" w:eastAsia="宋体"/>
          <w:b/>
          <w:color w:val="auto"/>
          <w:highlight w:val="none"/>
        </w:rPr>
      </w:pPr>
      <w:bookmarkStart w:id="700" w:name="_Toc48484468"/>
      <w:bookmarkStart w:id="701" w:name="_Toc9167"/>
      <w:bookmarkStart w:id="702" w:name="_Toc31252"/>
      <w:bookmarkStart w:id="703" w:name="_Toc48038734"/>
      <w:bookmarkStart w:id="704" w:name="_Toc1955"/>
      <w:bookmarkStart w:id="705" w:name="_Toc172"/>
      <w:r>
        <w:rPr>
          <w:rFonts w:hint="eastAsia" w:ascii="宋体" w:hAnsi="宋体" w:eastAsia="宋体"/>
          <w:b/>
          <w:color w:val="auto"/>
          <w:highlight w:val="none"/>
        </w:rPr>
        <w:t>9. 纪律和监督</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74EBBC23">
      <w:pPr>
        <w:pStyle w:val="440"/>
        <w:spacing w:line="360" w:lineRule="auto"/>
        <w:rPr>
          <w:rFonts w:hint="eastAsia" w:ascii="宋体" w:hAnsi="宋体" w:eastAsia="宋体"/>
          <w:b/>
          <w:color w:val="auto"/>
          <w:highlight w:val="none"/>
        </w:rPr>
      </w:pPr>
      <w:bookmarkStart w:id="706" w:name="_Toc465778826"/>
      <w:bookmarkStart w:id="707" w:name="_Toc4326"/>
      <w:bookmarkStart w:id="708" w:name="_Toc462068123"/>
      <w:bookmarkStart w:id="709" w:name="_Toc30940"/>
      <w:bookmarkStart w:id="710" w:name="_Toc152042351"/>
      <w:bookmarkStart w:id="711" w:name="_Toc776"/>
      <w:bookmarkStart w:id="712" w:name="_Toc462068407"/>
      <w:bookmarkStart w:id="713" w:name="_Toc48038735"/>
      <w:bookmarkStart w:id="714" w:name="_Toc509841335"/>
      <w:bookmarkStart w:id="715" w:name="_Toc29131"/>
      <w:bookmarkStart w:id="716" w:name="_Toc144974543"/>
      <w:bookmarkStart w:id="717" w:name="_Toc152045575"/>
      <w:bookmarkStart w:id="718" w:name="_Toc18773"/>
      <w:bookmarkStart w:id="719" w:name="_Toc466623422"/>
      <w:bookmarkStart w:id="720" w:name="_Toc48484469"/>
      <w:r>
        <w:rPr>
          <w:rFonts w:hint="eastAsia" w:ascii="宋体" w:hAnsi="宋体" w:eastAsia="宋体"/>
          <w:b/>
          <w:color w:val="auto"/>
          <w:highlight w:val="none"/>
        </w:rPr>
        <w:t>9.1 对采购人的纪律要求</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129D8467">
      <w:pPr>
        <w:spacing w:line="360" w:lineRule="auto"/>
        <w:ind w:firstLine="420" w:firstLineChars="200"/>
        <w:rPr>
          <w:rFonts w:hint="eastAsia" w:ascii="宋体" w:hAnsi="宋体"/>
          <w:color w:val="auto"/>
          <w:highlight w:val="none"/>
        </w:rPr>
      </w:pPr>
      <w:r>
        <w:rPr>
          <w:rFonts w:hint="eastAsia" w:ascii="宋体" w:hAnsi="宋体"/>
          <w:color w:val="auto"/>
          <w:highlight w:val="none"/>
        </w:rPr>
        <w:t>采购人不得泄露竞争性磋商活动中应当保密的情况和资料，不得与供应商串通损害国家利益、社会公共利益或者他人合法权益。</w:t>
      </w:r>
    </w:p>
    <w:p w14:paraId="3FED164B">
      <w:pPr>
        <w:pStyle w:val="440"/>
        <w:spacing w:line="360" w:lineRule="auto"/>
        <w:rPr>
          <w:rFonts w:hint="eastAsia" w:ascii="宋体" w:hAnsi="宋体" w:eastAsia="宋体"/>
          <w:color w:val="auto"/>
          <w:highlight w:val="none"/>
        </w:rPr>
      </w:pPr>
      <w:bookmarkStart w:id="721" w:name="_Toc462068124"/>
      <w:bookmarkStart w:id="722" w:name="_Toc48038736"/>
      <w:bookmarkStart w:id="723" w:name="_Toc509841336"/>
      <w:bookmarkStart w:id="724" w:name="_Toc465778827"/>
      <w:bookmarkStart w:id="725" w:name="_Toc8678"/>
      <w:bookmarkStart w:id="726" w:name="_Toc152045576"/>
      <w:bookmarkStart w:id="727" w:name="_Toc144974544"/>
      <w:bookmarkStart w:id="728" w:name="_Toc48484470"/>
      <w:bookmarkStart w:id="729" w:name="_Toc152042352"/>
      <w:bookmarkStart w:id="730" w:name="_Toc28093"/>
      <w:bookmarkStart w:id="731" w:name="_Toc17915"/>
      <w:bookmarkStart w:id="732" w:name="_Toc17586"/>
      <w:bookmarkStart w:id="733" w:name="_Toc14528"/>
      <w:bookmarkStart w:id="734" w:name="_Toc462068408"/>
      <w:bookmarkStart w:id="735" w:name="_Toc466623423"/>
      <w:r>
        <w:rPr>
          <w:rFonts w:hint="eastAsia" w:ascii="宋体" w:hAnsi="宋体" w:eastAsia="宋体"/>
          <w:b/>
          <w:color w:val="auto"/>
          <w:highlight w:val="none"/>
        </w:rPr>
        <w:t>9.2 对供应商的纪律要求</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14:paraId="057D21E7">
      <w:pPr>
        <w:spacing w:line="360" w:lineRule="auto"/>
        <w:ind w:firstLine="420" w:firstLineChars="200"/>
        <w:rPr>
          <w:rFonts w:hint="eastAsia" w:ascii="宋体" w:hAnsi="宋体"/>
          <w:color w:val="auto"/>
          <w:highlight w:val="none"/>
        </w:rPr>
      </w:pPr>
      <w:r>
        <w:rPr>
          <w:rFonts w:hint="eastAsia" w:ascii="宋体" w:hAnsi="宋体"/>
          <w:color w:val="auto"/>
          <w:highlight w:val="none"/>
        </w:rPr>
        <w:t>供应商不得相互串通磋商或者与采购人串通磋商，不得向采购人或者磋商小组成员行贿谋取成交，不得以他人名义磋商或者以其他方式弄虚作假骗取成交；供应商不得以任何方式干扰、影响评审工作。</w:t>
      </w:r>
    </w:p>
    <w:p w14:paraId="2C8A488D">
      <w:pPr>
        <w:pStyle w:val="440"/>
        <w:spacing w:line="360" w:lineRule="auto"/>
        <w:rPr>
          <w:rFonts w:hint="eastAsia" w:ascii="宋体" w:hAnsi="宋体" w:eastAsia="宋体"/>
          <w:b/>
          <w:color w:val="auto"/>
          <w:highlight w:val="none"/>
        </w:rPr>
      </w:pPr>
      <w:bookmarkStart w:id="736" w:name="_Toc48038737"/>
      <w:bookmarkStart w:id="737" w:name="_Toc465778828"/>
      <w:bookmarkStart w:id="738" w:name="_Toc8794"/>
      <w:bookmarkStart w:id="739" w:name="_Toc144974545"/>
      <w:bookmarkStart w:id="740" w:name="_Toc509841337"/>
      <w:bookmarkStart w:id="741" w:name="_Toc466623424"/>
      <w:bookmarkStart w:id="742" w:name="_Toc8274"/>
      <w:bookmarkStart w:id="743" w:name="_Toc48484471"/>
      <w:bookmarkStart w:id="744" w:name="_Toc1968"/>
      <w:bookmarkStart w:id="745" w:name="_Toc152042353"/>
      <w:bookmarkStart w:id="746" w:name="_Toc462068125"/>
      <w:bookmarkStart w:id="747" w:name="_Toc2576"/>
      <w:bookmarkStart w:id="748" w:name="_Toc152045577"/>
      <w:bookmarkStart w:id="749" w:name="_Toc10203"/>
      <w:bookmarkStart w:id="750" w:name="_Toc462068409"/>
      <w:r>
        <w:rPr>
          <w:rFonts w:hint="eastAsia" w:ascii="宋体" w:hAnsi="宋体" w:eastAsia="宋体"/>
          <w:b/>
          <w:color w:val="auto"/>
          <w:highlight w:val="none"/>
        </w:rPr>
        <w:t>9.3 对磋商小组成员的纪律要求</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14:paraId="500E1473">
      <w:pPr>
        <w:spacing w:line="360" w:lineRule="auto"/>
        <w:ind w:firstLine="420" w:firstLineChars="200"/>
        <w:rPr>
          <w:rFonts w:hint="eastAsia" w:ascii="宋体" w:hAnsi="宋体"/>
          <w:color w:val="auto"/>
          <w:highlight w:val="none"/>
        </w:rPr>
      </w:pPr>
      <w:r>
        <w:rPr>
          <w:rFonts w:hint="eastAsia" w:ascii="宋体" w:hAnsi="宋体"/>
          <w:color w:val="auto"/>
          <w:highlight w:val="none"/>
        </w:rPr>
        <w:t>磋商小组成员不得收受他人的财物或者其他好处，不得向他人透露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473367B4">
      <w:pPr>
        <w:pStyle w:val="440"/>
        <w:spacing w:line="360" w:lineRule="auto"/>
        <w:rPr>
          <w:rFonts w:hint="eastAsia" w:ascii="宋体" w:hAnsi="宋体" w:eastAsia="宋体"/>
          <w:color w:val="auto"/>
          <w:highlight w:val="none"/>
        </w:rPr>
      </w:pPr>
      <w:bookmarkStart w:id="751" w:name="_Toc27951"/>
      <w:bookmarkStart w:id="752" w:name="_Toc1719"/>
      <w:bookmarkStart w:id="753" w:name="_Toc462068126"/>
      <w:bookmarkStart w:id="754" w:name="_Toc21434"/>
      <w:bookmarkStart w:id="755" w:name="_Toc152042354"/>
      <w:bookmarkStart w:id="756" w:name="_Toc466623425"/>
      <w:bookmarkStart w:id="757" w:name="_Toc152045578"/>
      <w:bookmarkStart w:id="758" w:name="_Toc31510"/>
      <w:bookmarkStart w:id="759" w:name="_Toc509841338"/>
      <w:bookmarkStart w:id="760" w:name="_Toc48484472"/>
      <w:bookmarkStart w:id="761" w:name="_Toc465778829"/>
      <w:bookmarkStart w:id="762" w:name="_Toc462068410"/>
      <w:bookmarkStart w:id="763" w:name="_Toc48038738"/>
      <w:bookmarkStart w:id="764" w:name="_Toc1501"/>
      <w:bookmarkStart w:id="765" w:name="_Toc144974546"/>
      <w:r>
        <w:rPr>
          <w:rFonts w:hint="eastAsia" w:ascii="宋体" w:hAnsi="宋体" w:eastAsia="宋体"/>
          <w:b/>
          <w:color w:val="auto"/>
          <w:highlight w:val="none"/>
        </w:rPr>
        <w:t>9.4 对与评审活动有关的工作人员的纪律要求</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p>
    <w:p w14:paraId="1A1E3BC2">
      <w:pPr>
        <w:spacing w:line="360" w:lineRule="auto"/>
        <w:ind w:firstLine="420" w:firstLineChars="200"/>
        <w:rPr>
          <w:rFonts w:hint="eastAsia" w:ascii="宋体" w:hAnsi="宋体"/>
          <w:color w:val="auto"/>
          <w:highlight w:val="none"/>
        </w:rPr>
      </w:pPr>
      <w:bookmarkStart w:id="766" w:name="_Toc152042355"/>
      <w:r>
        <w:rPr>
          <w:rFonts w:hint="eastAsia" w:ascii="宋体" w:hAnsi="宋体"/>
          <w:color w:val="auto"/>
          <w:highlight w:val="none"/>
        </w:rPr>
        <w:t>与评审活动有关的工作人员不得收受他人的财物或者其他好处，不得向他人透露对响应文件的评审和比较、成交候选人的推荐情况以及评审有关的其他情况。在评审活动中，与评审活动有关的工作人员不得擅离职守，影响评审程序正常进行。</w:t>
      </w:r>
      <w:bookmarkEnd w:id="766"/>
    </w:p>
    <w:p w14:paraId="14E75360">
      <w:pPr>
        <w:pStyle w:val="440"/>
        <w:spacing w:line="360" w:lineRule="auto"/>
        <w:rPr>
          <w:rFonts w:hint="eastAsia" w:ascii="宋体" w:hAnsi="宋体" w:eastAsia="宋体"/>
          <w:b/>
          <w:color w:val="auto"/>
          <w:highlight w:val="none"/>
        </w:rPr>
      </w:pPr>
      <w:bookmarkStart w:id="767" w:name="_Toc29647"/>
      <w:bookmarkStart w:id="768" w:name="_Toc1040"/>
      <w:bookmarkStart w:id="769" w:name="_Toc152045579"/>
      <w:bookmarkStart w:id="770" w:name="_Toc48038739"/>
      <w:bookmarkStart w:id="771" w:name="_Toc466623426"/>
      <w:bookmarkStart w:id="772" w:name="_Toc17641"/>
      <w:bookmarkStart w:id="773" w:name="_Toc465778830"/>
      <w:bookmarkStart w:id="774" w:name="_Toc48484473"/>
      <w:bookmarkStart w:id="775" w:name="_Toc509841339"/>
      <w:bookmarkStart w:id="776" w:name="_Toc152042356"/>
      <w:bookmarkStart w:id="777" w:name="_Toc20212"/>
      <w:bookmarkStart w:id="778" w:name="_Toc462068411"/>
      <w:bookmarkStart w:id="779" w:name="_Toc462068127"/>
      <w:bookmarkStart w:id="780" w:name="_Toc18502"/>
      <w:r>
        <w:rPr>
          <w:rFonts w:hint="eastAsia" w:ascii="宋体" w:hAnsi="宋体" w:eastAsia="宋体"/>
          <w:b/>
          <w:color w:val="auto"/>
          <w:highlight w:val="none"/>
        </w:rPr>
        <w:t>9.5 投诉</w:t>
      </w:r>
      <w:bookmarkEnd w:id="765"/>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097651CF">
      <w:pPr>
        <w:spacing w:line="360" w:lineRule="auto"/>
        <w:ind w:firstLine="420" w:firstLineChars="200"/>
        <w:rPr>
          <w:rFonts w:hint="eastAsia" w:ascii="宋体" w:hAnsi="宋体"/>
          <w:color w:val="auto"/>
          <w:highlight w:val="none"/>
        </w:rPr>
      </w:pPr>
      <w:r>
        <w:rPr>
          <w:rFonts w:hint="eastAsia" w:ascii="宋体" w:hAnsi="宋体"/>
          <w:color w:val="auto"/>
          <w:highlight w:val="none"/>
        </w:rPr>
        <w:t>供应商和其他利害关系人认为本次竞争性磋商活动违反法律、法规和规章规定的，有权向有关行政监督部门投诉。</w:t>
      </w:r>
    </w:p>
    <w:p w14:paraId="1B2D3410">
      <w:pPr>
        <w:pStyle w:val="528"/>
        <w:numPr>
          <w:ilvl w:val="0"/>
          <w:numId w:val="7"/>
        </w:numPr>
        <w:spacing w:line="360" w:lineRule="auto"/>
        <w:rPr>
          <w:rFonts w:hint="eastAsia" w:ascii="宋体" w:hAnsi="宋体" w:eastAsia="宋体"/>
          <w:b/>
          <w:color w:val="auto"/>
          <w:highlight w:val="none"/>
        </w:rPr>
      </w:pPr>
      <w:bookmarkStart w:id="781" w:name="_Toc13997"/>
      <w:bookmarkStart w:id="782" w:name="_Toc8160"/>
      <w:bookmarkStart w:id="783" w:name="_Toc27183"/>
      <w:bookmarkStart w:id="784" w:name="_Toc14321"/>
      <w:bookmarkStart w:id="785" w:name="_Toc7359"/>
      <w:bookmarkStart w:id="786" w:name="_Toc100314692"/>
      <w:r>
        <w:rPr>
          <w:rFonts w:hint="eastAsia" w:ascii="宋体" w:hAnsi="宋体" w:eastAsia="宋体"/>
          <w:b/>
          <w:color w:val="auto"/>
          <w:highlight w:val="none"/>
        </w:rPr>
        <w:t>采购人补充的其他内容</w:t>
      </w:r>
      <w:bookmarkEnd w:id="781"/>
      <w:bookmarkEnd w:id="782"/>
    </w:p>
    <w:bookmarkEnd w:id="783"/>
    <w:bookmarkEnd w:id="784"/>
    <w:bookmarkEnd w:id="785"/>
    <w:bookmarkEnd w:id="786"/>
    <w:p w14:paraId="303316B1">
      <w:pPr>
        <w:pStyle w:val="440"/>
        <w:spacing w:line="360" w:lineRule="auto"/>
        <w:rPr>
          <w:rFonts w:hint="eastAsia" w:ascii="宋体" w:hAnsi="宋体" w:eastAsia="宋体"/>
          <w:b/>
          <w:color w:val="auto"/>
          <w:highlight w:val="none"/>
        </w:rPr>
      </w:pPr>
      <w:bookmarkStart w:id="787" w:name="_Toc20775"/>
      <w:bookmarkStart w:id="788" w:name="_Toc4031"/>
      <w:bookmarkStart w:id="789" w:name="_Toc15342"/>
      <w:r>
        <w:rPr>
          <w:rFonts w:hint="eastAsia" w:ascii="宋体" w:hAnsi="宋体" w:eastAsia="宋体"/>
          <w:b/>
          <w:color w:val="auto"/>
          <w:highlight w:val="none"/>
        </w:rPr>
        <w:t>10.1</w:t>
      </w:r>
      <w:bookmarkEnd w:id="787"/>
      <w:bookmarkEnd w:id="788"/>
      <w:bookmarkStart w:id="790" w:name="_Toc27640"/>
      <w:bookmarkStart w:id="791" w:name="_Toc14788"/>
      <w:bookmarkStart w:id="792" w:name="_Toc5763"/>
      <w:bookmarkStart w:id="793" w:name="_Toc27166"/>
      <w:r>
        <w:rPr>
          <w:rFonts w:hint="eastAsia" w:ascii="宋体" w:hAnsi="宋体" w:eastAsia="宋体"/>
          <w:b/>
          <w:color w:val="auto"/>
          <w:highlight w:val="none"/>
        </w:rPr>
        <w:t>质疑提出的时间与方式</w:t>
      </w:r>
      <w:bookmarkEnd w:id="789"/>
    </w:p>
    <w:p w14:paraId="32FA45B7">
      <w:pPr>
        <w:pStyle w:val="440"/>
        <w:spacing w:line="360" w:lineRule="auto"/>
        <w:ind w:firstLine="420" w:firstLineChars="200"/>
        <w:rPr>
          <w:rStyle w:val="61"/>
          <w:rFonts w:hint="eastAsia" w:ascii="宋体" w:hAnsi="宋体" w:eastAsia="宋体"/>
          <w:color w:val="auto"/>
          <w:highlight w:val="none"/>
        </w:rPr>
      </w:pPr>
      <w:bookmarkStart w:id="794" w:name="_Toc30576"/>
      <w:bookmarkStart w:id="795" w:name="_Toc14376"/>
      <w:bookmarkStart w:id="796" w:name="_Toc23028"/>
      <w:r>
        <w:rPr>
          <w:rStyle w:val="61"/>
          <w:rFonts w:hint="eastAsia" w:ascii="宋体" w:hAnsi="宋体" w:eastAsia="宋体"/>
          <w:color w:val="auto"/>
          <w:highlight w:val="none"/>
        </w:rPr>
        <w:t>详见供应商须知前附表。</w:t>
      </w:r>
      <w:bookmarkEnd w:id="790"/>
      <w:bookmarkEnd w:id="791"/>
      <w:bookmarkEnd w:id="792"/>
      <w:bookmarkEnd w:id="793"/>
      <w:bookmarkEnd w:id="794"/>
      <w:bookmarkEnd w:id="795"/>
      <w:bookmarkEnd w:id="796"/>
    </w:p>
    <w:p w14:paraId="465146E9">
      <w:pPr>
        <w:pStyle w:val="3"/>
        <w:numPr>
          <w:ilvl w:val="0"/>
          <w:numId w:val="8"/>
        </w:numPr>
        <w:spacing w:line="360" w:lineRule="auto"/>
        <w:jc w:val="center"/>
        <w:rPr>
          <w:rFonts w:hint="eastAsia"/>
          <w:color w:val="auto"/>
          <w:sz w:val="32"/>
          <w:szCs w:val="32"/>
          <w:highlight w:val="none"/>
        </w:rPr>
      </w:pPr>
      <w:bookmarkStart w:id="797" w:name="_Toc12892"/>
      <w:r>
        <w:rPr>
          <w:rFonts w:hint="eastAsia"/>
          <w:color w:val="auto"/>
          <w:sz w:val="32"/>
          <w:szCs w:val="32"/>
          <w:highlight w:val="none"/>
        </w:rPr>
        <w:br w:type="page"/>
      </w:r>
      <w:bookmarkStart w:id="798" w:name="_Toc1349"/>
      <w:bookmarkStart w:id="799" w:name="_Toc1176"/>
      <w:r>
        <w:rPr>
          <w:rFonts w:hint="eastAsia"/>
          <w:color w:val="auto"/>
          <w:sz w:val="32"/>
          <w:szCs w:val="32"/>
          <w:highlight w:val="none"/>
          <w:lang w:val="en-US" w:eastAsia="zh-CN"/>
        </w:rPr>
        <w:t xml:space="preserve"> </w:t>
      </w:r>
      <w:r>
        <w:rPr>
          <w:rFonts w:hint="eastAsia"/>
          <w:color w:val="auto"/>
          <w:sz w:val="32"/>
          <w:szCs w:val="32"/>
          <w:highlight w:val="none"/>
        </w:rPr>
        <w:t>评审办法</w:t>
      </w:r>
      <w:bookmarkEnd w:id="797"/>
      <w:bookmarkEnd w:id="798"/>
      <w:bookmarkEnd w:id="799"/>
    </w:p>
    <w:p w14:paraId="146F785F">
      <w:pPr>
        <w:numPr>
          <w:ilvl w:val="0"/>
          <w:numId w:val="0"/>
        </w:numPr>
        <w:ind w:left="0" w:leftChars="0" w:right="0" w:rightChars="0" w:firstLine="0" w:firstLineChars="0"/>
        <w:jc w:val="center"/>
        <w:rPr>
          <w:rFonts w:hint="eastAsia"/>
          <w:color w:val="auto"/>
          <w:highlight w:val="none"/>
        </w:rPr>
      </w:pPr>
      <w:r>
        <w:rPr>
          <w:b/>
          <w:color w:val="auto"/>
          <w:szCs w:val="21"/>
          <w:highlight w:val="none"/>
        </w:rPr>
        <w:t>评审办法前附表</w:t>
      </w:r>
    </w:p>
    <w:tbl>
      <w:tblPr>
        <w:tblStyle w:val="50"/>
        <w:tblW w:w="1034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5"/>
        <w:gridCol w:w="3875"/>
        <w:gridCol w:w="5278"/>
      </w:tblGrid>
      <w:tr w14:paraId="5A8658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2" w:hRule="atLeast"/>
          <w:jc w:val="center"/>
        </w:trPr>
        <w:tc>
          <w:tcPr>
            <w:tcW w:w="1195" w:type="dxa"/>
            <w:tcBorders>
              <w:top w:val="single" w:color="auto" w:sz="4" w:space="0"/>
              <w:right w:val="single" w:color="auto" w:sz="4" w:space="0"/>
            </w:tcBorders>
            <w:vAlign w:val="center"/>
          </w:tcPr>
          <w:p w14:paraId="371A32C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bookmarkStart w:id="800" w:name="_Toc144974571"/>
            <w:bookmarkStart w:id="801" w:name="_Toc152042381"/>
            <w:bookmarkStart w:id="802" w:name="_Toc152045604"/>
            <w:r>
              <w:rPr>
                <w:rFonts w:hint="default" w:ascii="宋体" w:hAnsi="宋体"/>
                <w:b/>
                <w:color w:val="auto"/>
                <w:szCs w:val="21"/>
                <w:highlight w:val="none"/>
              </w:rPr>
              <w:t>条款号</w:t>
            </w:r>
          </w:p>
        </w:tc>
        <w:tc>
          <w:tcPr>
            <w:tcW w:w="3875" w:type="dxa"/>
            <w:tcBorders>
              <w:top w:val="single" w:color="auto" w:sz="4" w:space="0"/>
              <w:left w:val="single" w:color="auto" w:sz="4" w:space="0"/>
              <w:right w:val="single" w:color="auto" w:sz="4" w:space="0"/>
            </w:tcBorders>
            <w:vAlign w:val="center"/>
          </w:tcPr>
          <w:p w14:paraId="031B103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评审因素</w:t>
            </w:r>
          </w:p>
        </w:tc>
        <w:tc>
          <w:tcPr>
            <w:tcW w:w="5278" w:type="dxa"/>
            <w:tcBorders>
              <w:top w:val="single" w:color="auto" w:sz="4" w:space="0"/>
              <w:left w:val="single" w:color="auto" w:sz="4" w:space="0"/>
              <w:right w:val="single" w:color="auto" w:sz="4" w:space="0"/>
            </w:tcBorders>
            <w:vAlign w:val="center"/>
          </w:tcPr>
          <w:p w14:paraId="404963C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评审标准</w:t>
            </w:r>
          </w:p>
        </w:tc>
      </w:tr>
      <w:tr w14:paraId="2F7057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restart"/>
            <w:tcBorders>
              <w:top w:val="single" w:color="auto" w:sz="4" w:space="0"/>
              <w:right w:val="single" w:color="auto" w:sz="4" w:space="0"/>
            </w:tcBorders>
            <w:vAlign w:val="center"/>
          </w:tcPr>
          <w:p w14:paraId="6F0ADE6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资格评审标准</w:t>
            </w:r>
          </w:p>
        </w:tc>
        <w:tc>
          <w:tcPr>
            <w:tcW w:w="3875" w:type="dxa"/>
            <w:tcBorders>
              <w:top w:val="single" w:color="auto" w:sz="4" w:space="0"/>
              <w:left w:val="single" w:color="auto" w:sz="4" w:space="0"/>
              <w:right w:val="single" w:color="auto" w:sz="4" w:space="0"/>
            </w:tcBorders>
            <w:vAlign w:val="center"/>
          </w:tcPr>
          <w:p w14:paraId="0F0345B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szCs w:val="21"/>
                <w:highlight w:val="none"/>
              </w:rPr>
              <w:t>具有独立承担民事责任的能力</w:t>
            </w:r>
          </w:p>
        </w:tc>
        <w:tc>
          <w:tcPr>
            <w:tcW w:w="5278" w:type="dxa"/>
            <w:tcBorders>
              <w:top w:val="single" w:color="auto" w:sz="4" w:space="0"/>
              <w:left w:val="single" w:color="auto" w:sz="4" w:space="0"/>
              <w:right w:val="single" w:color="auto" w:sz="4" w:space="0"/>
            </w:tcBorders>
            <w:vAlign w:val="center"/>
          </w:tcPr>
          <w:p w14:paraId="0B96B37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06BC7A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03D56BC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2D94599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szCs w:val="21"/>
                <w:highlight w:val="none"/>
              </w:rPr>
              <w:t>具有良好的商业信誉和具有健全的财务会计制度</w:t>
            </w:r>
          </w:p>
        </w:tc>
        <w:tc>
          <w:tcPr>
            <w:tcW w:w="5278" w:type="dxa"/>
            <w:tcBorders>
              <w:top w:val="single" w:color="auto" w:sz="4" w:space="0"/>
              <w:left w:val="single" w:color="auto" w:sz="4" w:space="0"/>
              <w:bottom w:val="single" w:color="auto" w:sz="4" w:space="0"/>
              <w:right w:val="single" w:color="auto" w:sz="4" w:space="0"/>
            </w:tcBorders>
            <w:vAlign w:val="center"/>
          </w:tcPr>
          <w:p w14:paraId="2F3E5E8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647618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07C16D3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22887C8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szCs w:val="21"/>
                <w:highlight w:val="none"/>
              </w:rPr>
              <w:t>具有履行合同所必</w:t>
            </w:r>
            <w:r>
              <w:rPr>
                <w:rFonts w:hint="eastAsia" w:ascii="宋体" w:hAnsi="宋体" w:cs="宋体"/>
                <w:color w:val="auto"/>
                <w:szCs w:val="21"/>
                <w:highlight w:val="none"/>
                <w:lang w:val="en-US" w:eastAsia="zh-CN"/>
              </w:rPr>
              <w:t>需</w:t>
            </w:r>
            <w:r>
              <w:rPr>
                <w:rFonts w:hint="eastAsia" w:ascii="宋体" w:hAnsi="宋体" w:cs="宋体"/>
                <w:color w:val="auto"/>
                <w:szCs w:val="21"/>
                <w:highlight w:val="none"/>
              </w:rPr>
              <w:t>的设备和专业技术能力</w:t>
            </w:r>
          </w:p>
        </w:tc>
        <w:tc>
          <w:tcPr>
            <w:tcW w:w="5278" w:type="dxa"/>
            <w:tcBorders>
              <w:top w:val="single" w:color="auto" w:sz="4" w:space="0"/>
              <w:left w:val="single" w:color="auto" w:sz="4" w:space="0"/>
              <w:bottom w:val="single" w:color="auto" w:sz="4" w:space="0"/>
              <w:right w:val="single" w:color="auto" w:sz="4" w:space="0"/>
            </w:tcBorders>
            <w:vAlign w:val="center"/>
          </w:tcPr>
          <w:p w14:paraId="691EFA5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413CD0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2195970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02CF9C7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highlight w:val="none"/>
              </w:rPr>
              <w:t>有依法缴纳税收和社会保障资金的良好记录</w:t>
            </w:r>
          </w:p>
        </w:tc>
        <w:tc>
          <w:tcPr>
            <w:tcW w:w="5278" w:type="dxa"/>
            <w:tcBorders>
              <w:top w:val="single" w:color="auto" w:sz="4" w:space="0"/>
              <w:left w:val="single" w:color="auto" w:sz="4" w:space="0"/>
              <w:bottom w:val="single" w:color="auto" w:sz="4" w:space="0"/>
              <w:right w:val="single" w:color="auto" w:sz="4" w:space="0"/>
            </w:tcBorders>
            <w:vAlign w:val="center"/>
          </w:tcPr>
          <w:p w14:paraId="71B17E0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4000FD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52035A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4FB634F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szCs w:val="21"/>
                <w:highlight w:val="none"/>
              </w:rPr>
              <w:t>参加政府采购活动前三年内，在经营活动中没有重大违法记录</w:t>
            </w:r>
          </w:p>
        </w:tc>
        <w:tc>
          <w:tcPr>
            <w:tcW w:w="5278" w:type="dxa"/>
            <w:tcBorders>
              <w:top w:val="single" w:color="auto" w:sz="4" w:space="0"/>
              <w:left w:val="single" w:color="auto" w:sz="4" w:space="0"/>
              <w:bottom w:val="single" w:color="auto" w:sz="4" w:space="0"/>
              <w:right w:val="single" w:color="auto" w:sz="4" w:space="0"/>
            </w:tcBorders>
            <w:vAlign w:val="center"/>
          </w:tcPr>
          <w:p w14:paraId="1C1A822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69935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00FB630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471207E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szCs w:val="21"/>
                <w:highlight w:val="none"/>
              </w:rPr>
              <w:t>法律、行政法规规定的其他条件</w:t>
            </w:r>
          </w:p>
        </w:tc>
        <w:tc>
          <w:tcPr>
            <w:tcW w:w="5278" w:type="dxa"/>
            <w:tcBorders>
              <w:top w:val="single" w:color="auto" w:sz="4" w:space="0"/>
              <w:left w:val="single" w:color="auto" w:sz="4" w:space="0"/>
              <w:bottom w:val="single" w:color="auto" w:sz="4" w:space="0"/>
              <w:right w:val="single" w:color="auto" w:sz="4" w:space="0"/>
            </w:tcBorders>
            <w:vAlign w:val="center"/>
          </w:tcPr>
          <w:p w14:paraId="19C65AB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61242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3B5590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38F3C5B4">
            <w:pPr>
              <w:keepNext w:val="0"/>
              <w:keepLines w:val="0"/>
              <w:suppressLineNumbers w:val="0"/>
              <w:adjustRightInd w:val="0"/>
              <w:spacing w:before="0" w:beforeAutospacing="0" w:after="0" w:afterAutospacing="0" w:line="360" w:lineRule="auto"/>
              <w:ind w:left="0" w:right="0"/>
              <w:jc w:val="center"/>
              <w:textAlignment w:val="baseline"/>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满足《中华人民共和国政府采购法实施条例》第十八条规定</w:t>
            </w:r>
          </w:p>
        </w:tc>
        <w:tc>
          <w:tcPr>
            <w:tcW w:w="5278" w:type="dxa"/>
            <w:tcBorders>
              <w:top w:val="single" w:color="auto" w:sz="4" w:space="0"/>
              <w:left w:val="single" w:color="auto" w:sz="4" w:space="0"/>
              <w:bottom w:val="single" w:color="auto" w:sz="4" w:space="0"/>
              <w:right w:val="single" w:color="auto" w:sz="4" w:space="0"/>
            </w:tcBorders>
            <w:vAlign w:val="center"/>
          </w:tcPr>
          <w:p w14:paraId="78D29CB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符合第二章 “供应商须知前附表”第1.4.1项规定。</w:t>
            </w:r>
          </w:p>
        </w:tc>
      </w:tr>
      <w:tr w14:paraId="40A686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0E4EC0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6F25F0B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eastAsia" w:ascii="宋体" w:hAnsi="宋体" w:cs="宋体"/>
                <w:color w:val="auto"/>
                <w:szCs w:val="21"/>
                <w:highlight w:val="none"/>
              </w:rPr>
              <w:t xml:space="preserve"> 落实政府采购政策需满足的资格要求</w:t>
            </w:r>
          </w:p>
        </w:tc>
        <w:tc>
          <w:tcPr>
            <w:tcW w:w="5278" w:type="dxa"/>
            <w:tcBorders>
              <w:top w:val="single" w:color="auto" w:sz="4" w:space="0"/>
              <w:left w:val="single" w:color="auto" w:sz="4" w:space="0"/>
              <w:bottom w:val="single" w:color="auto" w:sz="4" w:space="0"/>
              <w:right w:val="single" w:color="auto" w:sz="4" w:space="0"/>
            </w:tcBorders>
            <w:vAlign w:val="center"/>
          </w:tcPr>
          <w:p w14:paraId="1D90374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 xml:space="preserve"> </w:t>
            </w:r>
            <w:r>
              <w:rPr>
                <w:rFonts w:hint="default" w:ascii="宋体" w:hAnsi="宋体"/>
                <w:color w:val="auto"/>
                <w:szCs w:val="21"/>
                <w:highlight w:val="none"/>
              </w:rPr>
              <w:t>符合第二章 “供应商须知前附表”第1.4.1项规定。</w:t>
            </w:r>
          </w:p>
        </w:tc>
      </w:tr>
      <w:tr w14:paraId="460999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4F7DDEF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2ADEF47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5278" w:type="dxa"/>
            <w:tcBorders>
              <w:top w:val="single" w:color="auto" w:sz="4" w:space="0"/>
              <w:left w:val="single" w:color="auto" w:sz="4" w:space="0"/>
              <w:bottom w:val="single" w:color="auto" w:sz="4" w:space="0"/>
              <w:right w:val="single" w:color="auto" w:sz="4" w:space="0"/>
            </w:tcBorders>
            <w:vAlign w:val="center"/>
          </w:tcPr>
          <w:p w14:paraId="465500B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“供应商须知前附表”第1.4.1项规定。</w:t>
            </w:r>
          </w:p>
        </w:tc>
      </w:tr>
      <w:tr w14:paraId="5C98B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bottom w:val="single" w:color="auto" w:sz="4" w:space="0"/>
              <w:right w:val="single" w:color="auto" w:sz="4" w:space="0"/>
            </w:tcBorders>
            <w:vAlign w:val="center"/>
          </w:tcPr>
          <w:p w14:paraId="794C7A2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05F79C1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s="宋体"/>
                <w:color w:val="auto"/>
                <w:szCs w:val="21"/>
                <w:highlight w:val="none"/>
              </w:rPr>
              <w:t>联合体磋商</w:t>
            </w:r>
          </w:p>
        </w:tc>
        <w:tc>
          <w:tcPr>
            <w:tcW w:w="5278" w:type="dxa"/>
            <w:tcBorders>
              <w:top w:val="single" w:color="auto" w:sz="4" w:space="0"/>
              <w:left w:val="single" w:color="auto" w:sz="4" w:space="0"/>
              <w:bottom w:val="single" w:color="auto" w:sz="4" w:space="0"/>
              <w:right w:val="single" w:color="auto" w:sz="4" w:space="0"/>
            </w:tcBorders>
            <w:vAlign w:val="center"/>
          </w:tcPr>
          <w:p w14:paraId="072CCBF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 “供应商须知前附表”第1.4.</w:t>
            </w:r>
            <w:r>
              <w:rPr>
                <w:rFonts w:hint="eastAsia" w:ascii="宋体" w:hAnsi="宋体"/>
                <w:color w:val="auto"/>
                <w:szCs w:val="21"/>
                <w:highlight w:val="none"/>
              </w:rPr>
              <w:t>2</w:t>
            </w:r>
            <w:r>
              <w:rPr>
                <w:rFonts w:hint="default" w:ascii="宋体" w:hAnsi="宋体"/>
                <w:color w:val="auto"/>
                <w:szCs w:val="21"/>
                <w:highlight w:val="none"/>
              </w:rPr>
              <w:t>项规定。</w:t>
            </w:r>
          </w:p>
        </w:tc>
      </w:tr>
      <w:tr w14:paraId="683008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restart"/>
            <w:tcBorders>
              <w:top w:val="single" w:color="auto" w:sz="4" w:space="0"/>
              <w:right w:val="single" w:color="auto" w:sz="4" w:space="0"/>
            </w:tcBorders>
            <w:vAlign w:val="center"/>
          </w:tcPr>
          <w:p w14:paraId="6A32452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color w:val="auto"/>
                <w:szCs w:val="21"/>
                <w:highlight w:val="none"/>
              </w:rPr>
              <w:t>符合性审查标准</w:t>
            </w:r>
          </w:p>
        </w:tc>
        <w:tc>
          <w:tcPr>
            <w:tcW w:w="3875" w:type="dxa"/>
            <w:tcBorders>
              <w:top w:val="single" w:color="auto" w:sz="4" w:space="0"/>
              <w:left w:val="single" w:color="auto" w:sz="4" w:space="0"/>
              <w:bottom w:val="single" w:color="auto" w:sz="4" w:space="0"/>
              <w:right w:val="single" w:color="auto" w:sz="4" w:space="0"/>
            </w:tcBorders>
            <w:vAlign w:val="center"/>
          </w:tcPr>
          <w:p w14:paraId="2593819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default" w:ascii="宋体" w:hAnsi="宋体"/>
                <w:color w:val="auto"/>
                <w:szCs w:val="21"/>
                <w:highlight w:val="none"/>
              </w:rPr>
              <w:t>供应商名称</w:t>
            </w:r>
          </w:p>
        </w:tc>
        <w:tc>
          <w:tcPr>
            <w:tcW w:w="5278" w:type="dxa"/>
            <w:tcBorders>
              <w:top w:val="single" w:color="auto" w:sz="4" w:space="0"/>
              <w:left w:val="single" w:color="auto" w:sz="4" w:space="0"/>
              <w:bottom w:val="single" w:color="auto" w:sz="4" w:space="0"/>
              <w:right w:val="single" w:color="auto" w:sz="4" w:space="0"/>
            </w:tcBorders>
            <w:vAlign w:val="center"/>
          </w:tcPr>
          <w:p w14:paraId="26DF864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与法人或者其他组织的营业执照等证明文件一致</w:t>
            </w:r>
            <w:r>
              <w:rPr>
                <w:rFonts w:hint="eastAsia" w:ascii="宋体" w:hAnsi="宋体"/>
                <w:color w:val="auto"/>
                <w:szCs w:val="21"/>
                <w:highlight w:val="none"/>
              </w:rPr>
              <w:t>，若为自然人的，与自然人的身份证明一致。</w:t>
            </w:r>
          </w:p>
        </w:tc>
      </w:tr>
      <w:tr w14:paraId="13F96C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15D219A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382DE03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default" w:ascii="宋体" w:hAnsi="宋体"/>
                <w:color w:val="auto"/>
                <w:szCs w:val="21"/>
                <w:highlight w:val="none"/>
              </w:rPr>
              <w:t>响应文件签字盖章</w:t>
            </w:r>
          </w:p>
        </w:tc>
        <w:tc>
          <w:tcPr>
            <w:tcW w:w="5278" w:type="dxa"/>
            <w:tcBorders>
              <w:top w:val="single" w:color="auto" w:sz="4" w:space="0"/>
              <w:left w:val="single" w:color="auto" w:sz="4" w:space="0"/>
              <w:bottom w:val="single" w:color="auto" w:sz="4" w:space="0"/>
              <w:right w:val="single" w:color="auto" w:sz="4" w:space="0"/>
            </w:tcBorders>
            <w:vAlign w:val="center"/>
          </w:tcPr>
          <w:p w14:paraId="52FECC8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符合供应商须知前附表3.6.3项要求。</w:t>
            </w:r>
          </w:p>
        </w:tc>
      </w:tr>
      <w:tr w14:paraId="116EA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2C818B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3168732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default" w:ascii="宋体" w:hAnsi="宋体"/>
                <w:color w:val="auto"/>
                <w:szCs w:val="21"/>
                <w:highlight w:val="none"/>
              </w:rPr>
              <w:t>响应文件格式</w:t>
            </w:r>
          </w:p>
        </w:tc>
        <w:tc>
          <w:tcPr>
            <w:tcW w:w="5278" w:type="dxa"/>
            <w:tcBorders>
              <w:top w:val="single" w:color="auto" w:sz="4" w:space="0"/>
              <w:left w:val="single" w:color="auto" w:sz="4" w:space="0"/>
              <w:bottom w:val="single" w:color="auto" w:sz="4" w:space="0"/>
              <w:right w:val="single" w:color="auto" w:sz="4" w:space="0"/>
            </w:tcBorders>
            <w:vAlign w:val="center"/>
          </w:tcPr>
          <w:p w14:paraId="0F17719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w:t>
            </w:r>
            <w:r>
              <w:rPr>
                <w:rFonts w:hint="eastAsia" w:ascii="宋体" w:hAnsi="宋体"/>
                <w:color w:val="auto"/>
                <w:szCs w:val="21"/>
                <w:highlight w:val="none"/>
              </w:rPr>
              <w:t>竞争性磋商文件中关于</w:t>
            </w:r>
            <w:r>
              <w:rPr>
                <w:rFonts w:hint="default" w:ascii="宋体" w:hAnsi="宋体"/>
                <w:color w:val="auto"/>
                <w:szCs w:val="21"/>
                <w:highlight w:val="none"/>
              </w:rPr>
              <w:t>“响应文件格式”的要求</w:t>
            </w:r>
            <w:r>
              <w:rPr>
                <w:rFonts w:hint="eastAsia" w:ascii="宋体" w:hAnsi="宋体"/>
                <w:color w:val="auto"/>
                <w:szCs w:val="21"/>
                <w:highlight w:val="none"/>
              </w:rPr>
              <w:t>。</w:t>
            </w:r>
          </w:p>
        </w:tc>
      </w:tr>
      <w:tr w14:paraId="74CA9F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CEE7AA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43E4A96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eastAsia" w:ascii="宋体" w:hAnsi="宋体"/>
                <w:color w:val="auto"/>
                <w:szCs w:val="21"/>
                <w:highlight w:val="none"/>
              </w:rPr>
              <w:t>供应商承诺书</w:t>
            </w:r>
          </w:p>
        </w:tc>
        <w:tc>
          <w:tcPr>
            <w:tcW w:w="5278" w:type="dxa"/>
            <w:tcBorders>
              <w:top w:val="single" w:color="auto" w:sz="4" w:space="0"/>
              <w:left w:val="single" w:color="auto" w:sz="4" w:space="0"/>
              <w:bottom w:val="single" w:color="auto" w:sz="4" w:space="0"/>
              <w:right w:val="single" w:color="auto" w:sz="4" w:space="0"/>
            </w:tcBorders>
            <w:vAlign w:val="center"/>
          </w:tcPr>
          <w:p w14:paraId="364449A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olor w:val="auto"/>
                <w:szCs w:val="21"/>
                <w:highlight w:val="none"/>
                <w:lang w:eastAsia="zh-CN"/>
              </w:rPr>
            </w:pPr>
            <w:r>
              <w:rPr>
                <w:rFonts w:hint="eastAsia" w:ascii="宋体" w:hAnsi="宋体"/>
                <w:color w:val="auto"/>
                <w:szCs w:val="21"/>
                <w:highlight w:val="none"/>
              </w:rPr>
              <w:t>按照竞争性磋商文件响应性格式内容提供</w:t>
            </w:r>
            <w:r>
              <w:rPr>
                <w:rFonts w:hint="eastAsia" w:ascii="宋体" w:hAnsi="宋体"/>
                <w:color w:val="auto"/>
                <w:szCs w:val="21"/>
                <w:highlight w:val="none"/>
                <w:lang w:eastAsia="zh-CN"/>
              </w:rPr>
              <w:t>。</w:t>
            </w:r>
          </w:p>
        </w:tc>
      </w:tr>
      <w:tr w14:paraId="2C55A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4AC3FE5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06E680A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default" w:ascii="宋体" w:hAnsi="宋体"/>
                <w:color w:val="auto"/>
                <w:szCs w:val="21"/>
                <w:highlight w:val="none"/>
              </w:rPr>
              <w:t>磋商内容</w:t>
            </w:r>
          </w:p>
        </w:tc>
        <w:tc>
          <w:tcPr>
            <w:tcW w:w="5278" w:type="dxa"/>
            <w:tcBorders>
              <w:top w:val="single" w:color="auto" w:sz="4" w:space="0"/>
              <w:left w:val="single" w:color="auto" w:sz="4" w:space="0"/>
              <w:bottom w:val="single" w:color="auto" w:sz="4" w:space="0"/>
              <w:right w:val="single" w:color="auto" w:sz="4" w:space="0"/>
            </w:tcBorders>
            <w:vAlign w:val="center"/>
          </w:tcPr>
          <w:p w14:paraId="53E2514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符合第二章供应商须知前附表1.3.1项规定。</w:t>
            </w:r>
          </w:p>
        </w:tc>
      </w:tr>
      <w:tr w14:paraId="761697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jc w:val="center"/>
        </w:trPr>
        <w:tc>
          <w:tcPr>
            <w:tcW w:w="1195" w:type="dxa"/>
            <w:vMerge w:val="continue"/>
            <w:tcBorders>
              <w:right w:val="single" w:color="auto" w:sz="4" w:space="0"/>
            </w:tcBorders>
            <w:vAlign w:val="center"/>
          </w:tcPr>
          <w:p w14:paraId="6CFA552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5AA114F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eastAsia" w:ascii="宋体" w:hAnsi="宋体"/>
                <w:color w:val="auto"/>
                <w:szCs w:val="21"/>
                <w:highlight w:val="none"/>
              </w:rPr>
              <w:t>合同履行期限</w:t>
            </w:r>
          </w:p>
        </w:tc>
        <w:tc>
          <w:tcPr>
            <w:tcW w:w="5278" w:type="dxa"/>
            <w:tcBorders>
              <w:top w:val="single" w:color="auto" w:sz="4" w:space="0"/>
              <w:left w:val="single" w:color="auto" w:sz="4" w:space="0"/>
              <w:bottom w:val="single" w:color="auto" w:sz="4" w:space="0"/>
              <w:right w:val="single" w:color="auto" w:sz="4" w:space="0"/>
            </w:tcBorders>
            <w:vAlign w:val="center"/>
          </w:tcPr>
          <w:p w14:paraId="70AE9EF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符合第二章供应商须知前附表1.3.2项规定</w:t>
            </w:r>
            <w:r>
              <w:rPr>
                <w:rFonts w:hint="eastAsia" w:ascii="宋体" w:hAnsi="宋体"/>
                <w:color w:val="auto"/>
                <w:szCs w:val="21"/>
                <w:highlight w:val="none"/>
              </w:rPr>
              <w:t>。</w:t>
            </w:r>
          </w:p>
        </w:tc>
      </w:tr>
      <w:tr w14:paraId="4D6C2C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BB41F7A">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282866F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eastAsia" w:ascii="宋体" w:hAnsi="宋体"/>
                <w:color w:val="auto"/>
                <w:szCs w:val="21"/>
                <w:highlight w:val="none"/>
              </w:rPr>
              <w:t>质量承诺</w:t>
            </w:r>
          </w:p>
        </w:tc>
        <w:tc>
          <w:tcPr>
            <w:tcW w:w="5278" w:type="dxa"/>
            <w:tcBorders>
              <w:top w:val="single" w:color="auto" w:sz="4" w:space="0"/>
              <w:left w:val="single" w:color="auto" w:sz="4" w:space="0"/>
              <w:bottom w:val="single" w:color="auto" w:sz="4" w:space="0"/>
              <w:right w:val="single" w:color="auto" w:sz="4" w:space="0"/>
            </w:tcBorders>
            <w:vAlign w:val="center"/>
          </w:tcPr>
          <w:p w14:paraId="3102A47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符合第二章供应商须知前附表1.3.3项规定</w:t>
            </w:r>
            <w:r>
              <w:rPr>
                <w:rFonts w:hint="eastAsia" w:ascii="宋体" w:hAnsi="宋体"/>
                <w:color w:val="auto"/>
                <w:szCs w:val="21"/>
                <w:highlight w:val="none"/>
              </w:rPr>
              <w:t>。</w:t>
            </w:r>
          </w:p>
        </w:tc>
      </w:tr>
      <w:tr w14:paraId="2E353C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49F1C24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5AB69506">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s="宋体"/>
                <w:color w:val="auto"/>
                <w:szCs w:val="21"/>
                <w:highlight w:val="none"/>
              </w:rPr>
            </w:pPr>
            <w:r>
              <w:rPr>
                <w:rFonts w:hint="eastAsia" w:ascii="宋体" w:hAnsi="宋体"/>
                <w:color w:val="auto"/>
                <w:szCs w:val="21"/>
                <w:highlight w:val="none"/>
              </w:rPr>
              <w:t>磋商有效期</w:t>
            </w:r>
          </w:p>
        </w:tc>
        <w:tc>
          <w:tcPr>
            <w:tcW w:w="5278" w:type="dxa"/>
            <w:tcBorders>
              <w:top w:val="single" w:color="auto" w:sz="4" w:space="0"/>
              <w:left w:val="single" w:color="auto" w:sz="4" w:space="0"/>
              <w:bottom w:val="single" w:color="auto" w:sz="4" w:space="0"/>
              <w:right w:val="single" w:color="auto" w:sz="4" w:space="0"/>
            </w:tcBorders>
            <w:vAlign w:val="center"/>
          </w:tcPr>
          <w:p w14:paraId="297FFDB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default" w:ascii="宋体" w:hAnsi="宋体"/>
                <w:color w:val="auto"/>
                <w:szCs w:val="21"/>
                <w:highlight w:val="none"/>
              </w:rPr>
              <w:t>符合第二章供应商须知前附表3.3.1项规定</w:t>
            </w:r>
            <w:r>
              <w:rPr>
                <w:rFonts w:hint="eastAsia" w:ascii="宋体" w:hAnsi="宋体"/>
                <w:color w:val="auto"/>
                <w:szCs w:val="21"/>
                <w:highlight w:val="none"/>
              </w:rPr>
              <w:t>。</w:t>
            </w:r>
          </w:p>
        </w:tc>
      </w:tr>
      <w:tr w14:paraId="1141F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98E6E7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5E0F5198">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分包</w:t>
            </w:r>
          </w:p>
        </w:tc>
        <w:tc>
          <w:tcPr>
            <w:tcW w:w="5278" w:type="dxa"/>
            <w:tcBorders>
              <w:top w:val="single" w:color="auto" w:sz="4" w:space="0"/>
              <w:left w:val="single" w:color="auto" w:sz="4" w:space="0"/>
              <w:bottom w:val="single" w:color="auto" w:sz="4" w:space="0"/>
              <w:right w:val="single" w:color="auto" w:sz="4" w:space="0"/>
            </w:tcBorders>
            <w:vAlign w:val="center"/>
          </w:tcPr>
          <w:p w14:paraId="04192ADC">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符合第二章供应商须知前附表1.11项规定</w:t>
            </w:r>
            <w:r>
              <w:rPr>
                <w:rFonts w:hint="eastAsia" w:ascii="宋体" w:hAnsi="宋体" w:cs="宋体"/>
                <w:bCs/>
                <w:color w:val="auto"/>
                <w:kern w:val="2"/>
                <w:sz w:val="21"/>
                <w:szCs w:val="21"/>
                <w:highlight w:val="none"/>
                <w:vertAlign w:val="baseline"/>
                <w:lang w:val="en-US" w:eastAsia="zh-CN" w:bidi="ar"/>
              </w:rPr>
              <w:t>。</w:t>
            </w:r>
          </w:p>
        </w:tc>
      </w:tr>
      <w:tr w14:paraId="62D28D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DA5980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4F171351">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default" w:ascii="宋体" w:hAnsi="宋体" w:eastAsia="宋体" w:cs="宋体"/>
                <w:bCs/>
                <w:color w:val="auto"/>
                <w:kern w:val="2"/>
                <w:sz w:val="21"/>
                <w:szCs w:val="21"/>
                <w:highlight w:val="none"/>
                <w:vertAlign w:val="baseline"/>
                <w:lang w:val="en-US" w:eastAsia="zh-CN" w:bidi="ar"/>
              </w:rPr>
            </w:pPr>
            <w:r>
              <w:rPr>
                <w:rFonts w:hint="eastAsia" w:ascii="宋体" w:hAnsi="宋体" w:cs="宋体"/>
                <w:bCs/>
                <w:color w:val="auto"/>
                <w:kern w:val="2"/>
                <w:sz w:val="21"/>
                <w:szCs w:val="21"/>
                <w:highlight w:val="none"/>
                <w:vertAlign w:val="baseline"/>
                <w:lang w:val="en-US" w:eastAsia="zh-CN" w:bidi="ar"/>
              </w:rPr>
              <w:t>偏离</w:t>
            </w:r>
          </w:p>
        </w:tc>
        <w:tc>
          <w:tcPr>
            <w:tcW w:w="5278" w:type="dxa"/>
            <w:tcBorders>
              <w:top w:val="single" w:color="auto" w:sz="4" w:space="0"/>
              <w:left w:val="single" w:color="auto" w:sz="4" w:space="0"/>
              <w:bottom w:val="single" w:color="auto" w:sz="4" w:space="0"/>
              <w:right w:val="single" w:color="auto" w:sz="4" w:space="0"/>
            </w:tcBorders>
            <w:vAlign w:val="center"/>
          </w:tcPr>
          <w:p w14:paraId="491BA3CE">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eastAsia="宋体" w:cs="宋体"/>
                <w:bCs/>
                <w:color w:val="auto"/>
                <w:kern w:val="2"/>
                <w:sz w:val="21"/>
                <w:szCs w:val="21"/>
                <w:highlight w:val="none"/>
                <w:vertAlign w:val="baseline"/>
                <w:lang w:val="en-US" w:eastAsia="zh-CN" w:bidi="ar"/>
              </w:rPr>
            </w:pPr>
            <w:r>
              <w:rPr>
                <w:rFonts w:hint="eastAsia" w:ascii="宋体" w:hAnsi="宋体" w:eastAsia="宋体" w:cs="宋体"/>
                <w:bCs/>
                <w:color w:val="auto"/>
                <w:kern w:val="2"/>
                <w:sz w:val="21"/>
                <w:szCs w:val="21"/>
                <w:highlight w:val="none"/>
                <w:vertAlign w:val="baseline"/>
                <w:lang w:val="en-US" w:eastAsia="zh-CN" w:bidi="ar"/>
              </w:rPr>
              <w:t>符合第二章供应商须知前附表1.1</w:t>
            </w:r>
            <w:r>
              <w:rPr>
                <w:rFonts w:hint="eastAsia" w:ascii="宋体" w:hAnsi="宋体" w:cs="宋体"/>
                <w:bCs/>
                <w:color w:val="auto"/>
                <w:kern w:val="2"/>
                <w:sz w:val="21"/>
                <w:szCs w:val="21"/>
                <w:highlight w:val="none"/>
                <w:vertAlign w:val="baseline"/>
                <w:lang w:val="en-US" w:eastAsia="zh-CN" w:bidi="ar"/>
              </w:rPr>
              <w:t>2</w:t>
            </w:r>
            <w:r>
              <w:rPr>
                <w:rFonts w:hint="eastAsia" w:ascii="宋体" w:hAnsi="宋体" w:eastAsia="宋体" w:cs="宋体"/>
                <w:bCs/>
                <w:color w:val="auto"/>
                <w:kern w:val="2"/>
                <w:sz w:val="21"/>
                <w:szCs w:val="21"/>
                <w:highlight w:val="none"/>
                <w:vertAlign w:val="baseline"/>
                <w:lang w:val="en-US" w:eastAsia="zh-CN" w:bidi="ar"/>
              </w:rPr>
              <w:t>项规定。</w:t>
            </w:r>
          </w:p>
        </w:tc>
      </w:tr>
      <w:tr w14:paraId="19638A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4A43C04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0B2B145C">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澄清、说明、补正</w:t>
            </w:r>
          </w:p>
        </w:tc>
        <w:tc>
          <w:tcPr>
            <w:tcW w:w="5278" w:type="dxa"/>
            <w:tcBorders>
              <w:top w:val="single" w:color="auto" w:sz="4" w:space="0"/>
              <w:left w:val="single" w:color="auto" w:sz="4" w:space="0"/>
              <w:bottom w:val="single" w:color="auto" w:sz="4" w:space="0"/>
              <w:right w:val="single" w:color="auto" w:sz="4" w:space="0"/>
            </w:tcBorders>
            <w:vAlign w:val="center"/>
          </w:tcPr>
          <w:p w14:paraId="387CC805">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供应商按照磋商小组要求对响应文件进行澄清、说明、补正的</w:t>
            </w:r>
            <w:r>
              <w:rPr>
                <w:rFonts w:hint="eastAsia" w:ascii="宋体" w:hAnsi="宋体" w:cs="宋体"/>
                <w:bCs/>
                <w:color w:val="auto"/>
                <w:kern w:val="2"/>
                <w:sz w:val="21"/>
                <w:szCs w:val="21"/>
                <w:highlight w:val="none"/>
                <w:vertAlign w:val="baseline"/>
                <w:lang w:val="en-US" w:eastAsia="zh-CN" w:bidi="ar"/>
              </w:rPr>
              <w:t>。</w:t>
            </w:r>
          </w:p>
        </w:tc>
      </w:tr>
      <w:tr w14:paraId="3E0EEF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7698D7E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4811E3D8">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default" w:ascii="宋体" w:hAnsi="宋体" w:eastAsia="宋体" w:cs="宋体"/>
                <w:bCs/>
                <w:color w:val="auto"/>
                <w:kern w:val="2"/>
                <w:sz w:val="21"/>
                <w:szCs w:val="21"/>
                <w:highlight w:val="none"/>
                <w:vertAlign w:val="baseline"/>
                <w:lang w:val="en-US" w:eastAsia="zh-CN" w:bidi="ar"/>
              </w:rPr>
            </w:pPr>
            <w:r>
              <w:rPr>
                <w:rFonts w:hint="eastAsia" w:ascii="宋体" w:hAnsi="宋体" w:cs="宋体"/>
                <w:bCs/>
                <w:color w:val="auto"/>
                <w:kern w:val="2"/>
                <w:sz w:val="21"/>
                <w:szCs w:val="21"/>
                <w:highlight w:val="none"/>
                <w:vertAlign w:val="baseline"/>
                <w:lang w:val="en-US" w:eastAsia="zh-CN" w:bidi="ar"/>
              </w:rPr>
              <w:t>磋商报价</w:t>
            </w:r>
          </w:p>
        </w:tc>
        <w:tc>
          <w:tcPr>
            <w:tcW w:w="5278" w:type="dxa"/>
            <w:tcBorders>
              <w:top w:val="single" w:color="auto" w:sz="4" w:space="0"/>
              <w:left w:val="single" w:color="auto" w:sz="4" w:space="0"/>
              <w:bottom w:val="single" w:color="auto" w:sz="4" w:space="0"/>
              <w:right w:val="single" w:color="auto" w:sz="4" w:space="0"/>
            </w:tcBorders>
            <w:vAlign w:val="center"/>
          </w:tcPr>
          <w:p w14:paraId="09A7DF5A">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eastAsia="宋体" w:cs="宋体"/>
                <w:bCs/>
                <w:color w:val="auto"/>
                <w:kern w:val="2"/>
                <w:sz w:val="21"/>
                <w:szCs w:val="21"/>
                <w:highlight w:val="none"/>
                <w:vertAlign w:val="baseline"/>
                <w:lang w:val="en-US" w:eastAsia="zh-CN" w:bidi="ar"/>
              </w:rPr>
            </w:pPr>
            <w:r>
              <w:rPr>
                <w:rFonts w:hint="eastAsia" w:ascii="宋体" w:hAnsi="宋体" w:eastAsia="宋体" w:cs="宋体"/>
                <w:bCs/>
                <w:color w:val="auto"/>
                <w:kern w:val="2"/>
                <w:sz w:val="21"/>
                <w:szCs w:val="21"/>
                <w:highlight w:val="none"/>
                <w:vertAlign w:val="baseline"/>
                <w:lang w:val="en-US" w:eastAsia="zh-CN" w:bidi="ar"/>
              </w:rPr>
              <w:t>不存在</w:t>
            </w:r>
            <w:r>
              <w:rPr>
                <w:rFonts w:hint="eastAsia" w:ascii="宋体" w:hAnsi="宋体" w:cs="宋体"/>
                <w:bCs/>
                <w:color w:val="auto"/>
                <w:kern w:val="2"/>
                <w:sz w:val="21"/>
                <w:szCs w:val="21"/>
                <w:highlight w:val="none"/>
                <w:vertAlign w:val="baseline"/>
                <w:lang w:val="en-US" w:eastAsia="zh-CN" w:bidi="ar"/>
              </w:rPr>
              <w:t>磋商</w:t>
            </w:r>
            <w:r>
              <w:rPr>
                <w:rFonts w:hint="eastAsia" w:ascii="宋体" w:hAnsi="宋体" w:eastAsia="宋体" w:cs="宋体"/>
                <w:bCs/>
                <w:color w:val="auto"/>
                <w:kern w:val="2"/>
                <w:sz w:val="21"/>
                <w:szCs w:val="21"/>
                <w:highlight w:val="none"/>
                <w:vertAlign w:val="baseline"/>
                <w:lang w:val="en-US" w:eastAsia="zh-CN" w:bidi="ar"/>
              </w:rPr>
              <w:t>报价超过最高限价的或者</w:t>
            </w:r>
            <w:r>
              <w:rPr>
                <w:rFonts w:hint="eastAsia" w:ascii="宋体" w:hAnsi="宋体" w:cs="宋体"/>
                <w:bCs/>
                <w:color w:val="auto"/>
                <w:kern w:val="2"/>
                <w:sz w:val="21"/>
                <w:szCs w:val="21"/>
                <w:highlight w:val="none"/>
                <w:vertAlign w:val="baseline"/>
                <w:lang w:val="en-US" w:eastAsia="zh-CN" w:bidi="ar"/>
              </w:rPr>
              <w:t>磋商</w:t>
            </w:r>
            <w:r>
              <w:rPr>
                <w:rFonts w:hint="eastAsia" w:ascii="宋体" w:hAnsi="宋体" w:eastAsia="宋体" w:cs="宋体"/>
                <w:bCs/>
                <w:color w:val="auto"/>
                <w:kern w:val="2"/>
                <w:sz w:val="21"/>
                <w:szCs w:val="21"/>
                <w:highlight w:val="none"/>
                <w:vertAlign w:val="baseline"/>
                <w:lang w:val="en-US" w:eastAsia="zh-CN" w:bidi="ar"/>
              </w:rPr>
              <w:t>报价方式不满足</w:t>
            </w:r>
            <w:r>
              <w:rPr>
                <w:rFonts w:hint="eastAsia" w:ascii="宋体" w:hAnsi="宋体" w:cs="宋体"/>
                <w:bCs/>
                <w:color w:val="auto"/>
                <w:kern w:val="2"/>
                <w:sz w:val="21"/>
                <w:szCs w:val="21"/>
                <w:highlight w:val="none"/>
                <w:vertAlign w:val="baseline"/>
                <w:lang w:val="en-US" w:eastAsia="zh-CN" w:bidi="ar"/>
              </w:rPr>
              <w:t>竞争性磋商</w:t>
            </w:r>
            <w:r>
              <w:rPr>
                <w:rFonts w:hint="eastAsia" w:ascii="宋体" w:hAnsi="宋体" w:eastAsia="宋体" w:cs="宋体"/>
                <w:bCs/>
                <w:color w:val="auto"/>
                <w:kern w:val="2"/>
                <w:sz w:val="21"/>
                <w:szCs w:val="21"/>
                <w:highlight w:val="none"/>
                <w:vertAlign w:val="baseline"/>
                <w:lang w:val="en-US" w:eastAsia="zh-CN" w:bidi="ar"/>
              </w:rPr>
              <w:t>文件要求的。</w:t>
            </w:r>
          </w:p>
        </w:tc>
      </w:tr>
      <w:tr w14:paraId="7BA22F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0DA203D9">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5A5C8A76">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电子签名一致</w:t>
            </w:r>
          </w:p>
        </w:tc>
        <w:tc>
          <w:tcPr>
            <w:tcW w:w="5278" w:type="dxa"/>
            <w:tcBorders>
              <w:top w:val="single" w:color="auto" w:sz="4" w:space="0"/>
              <w:left w:val="single" w:color="auto" w:sz="4" w:space="0"/>
              <w:bottom w:val="single" w:color="auto" w:sz="4" w:space="0"/>
              <w:right w:val="single" w:color="auto" w:sz="4" w:space="0"/>
            </w:tcBorders>
            <w:vAlign w:val="center"/>
          </w:tcPr>
          <w:p w14:paraId="626CFA07">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不存在供应商在响应文件上电子签名与其他供应商在响应文件上的电子签名一致的</w:t>
            </w:r>
            <w:r>
              <w:rPr>
                <w:rFonts w:hint="eastAsia" w:ascii="宋体" w:hAnsi="宋体" w:cs="宋体"/>
                <w:bCs/>
                <w:color w:val="auto"/>
                <w:kern w:val="2"/>
                <w:sz w:val="21"/>
                <w:szCs w:val="21"/>
                <w:highlight w:val="none"/>
                <w:vertAlign w:val="baseline"/>
                <w:lang w:val="en-US" w:eastAsia="zh-CN" w:bidi="ar"/>
              </w:rPr>
              <w:t>。</w:t>
            </w:r>
          </w:p>
        </w:tc>
      </w:tr>
      <w:tr w14:paraId="55AAE8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2F592F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4E3919FF">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委托同一人投标</w:t>
            </w:r>
          </w:p>
        </w:tc>
        <w:tc>
          <w:tcPr>
            <w:tcW w:w="5278" w:type="dxa"/>
            <w:tcBorders>
              <w:top w:val="single" w:color="auto" w:sz="4" w:space="0"/>
              <w:left w:val="single" w:color="auto" w:sz="4" w:space="0"/>
              <w:bottom w:val="single" w:color="auto" w:sz="4" w:space="0"/>
              <w:right w:val="single" w:color="auto" w:sz="4" w:space="0"/>
            </w:tcBorders>
            <w:vAlign w:val="center"/>
          </w:tcPr>
          <w:p w14:paraId="53FF59AE">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不存在不同供应商委托同一人投标的</w:t>
            </w:r>
            <w:r>
              <w:rPr>
                <w:rFonts w:hint="eastAsia" w:ascii="宋体" w:hAnsi="宋体" w:cs="宋体"/>
                <w:bCs/>
                <w:color w:val="auto"/>
                <w:kern w:val="2"/>
                <w:sz w:val="21"/>
                <w:szCs w:val="21"/>
                <w:highlight w:val="none"/>
                <w:vertAlign w:val="baseline"/>
                <w:lang w:val="en-US" w:eastAsia="zh-CN" w:bidi="ar"/>
              </w:rPr>
              <w:t>。</w:t>
            </w:r>
          </w:p>
        </w:tc>
      </w:tr>
      <w:tr w14:paraId="124BD3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B828BC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5324BDF7">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未加签有效的供应商数字证书（USBKEY）</w:t>
            </w:r>
          </w:p>
        </w:tc>
        <w:tc>
          <w:tcPr>
            <w:tcW w:w="5278" w:type="dxa"/>
            <w:tcBorders>
              <w:top w:val="single" w:color="auto" w:sz="4" w:space="0"/>
              <w:left w:val="single" w:color="auto" w:sz="4" w:space="0"/>
              <w:bottom w:val="single" w:color="auto" w:sz="4" w:space="0"/>
              <w:right w:val="single" w:color="auto" w:sz="4" w:space="0"/>
            </w:tcBorders>
            <w:vAlign w:val="center"/>
          </w:tcPr>
          <w:p w14:paraId="14180D84">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不存在响应文件中各电子标书未加签有效的供应商数字证书（USBKEY）的</w:t>
            </w:r>
            <w:r>
              <w:rPr>
                <w:rFonts w:hint="eastAsia" w:ascii="宋体" w:hAnsi="宋体" w:cs="宋体"/>
                <w:bCs/>
                <w:color w:val="auto"/>
                <w:kern w:val="2"/>
                <w:sz w:val="21"/>
                <w:szCs w:val="21"/>
                <w:highlight w:val="none"/>
                <w:vertAlign w:val="baseline"/>
                <w:lang w:val="en-US" w:eastAsia="zh-CN" w:bidi="ar"/>
              </w:rPr>
              <w:t>。</w:t>
            </w:r>
          </w:p>
        </w:tc>
      </w:tr>
      <w:tr w14:paraId="5D2055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69D19F4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2F0B93C5">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响应文件内容存在非正常一致</w:t>
            </w:r>
          </w:p>
        </w:tc>
        <w:tc>
          <w:tcPr>
            <w:tcW w:w="5278" w:type="dxa"/>
            <w:tcBorders>
              <w:top w:val="single" w:color="auto" w:sz="4" w:space="0"/>
              <w:left w:val="single" w:color="auto" w:sz="4" w:space="0"/>
              <w:bottom w:val="single" w:color="auto" w:sz="4" w:space="0"/>
              <w:right w:val="single" w:color="auto" w:sz="4" w:space="0"/>
            </w:tcBorders>
            <w:vAlign w:val="center"/>
          </w:tcPr>
          <w:p w14:paraId="658C440C">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不存在不同供应商的响应文件内容存在非正常一致的</w:t>
            </w:r>
            <w:r>
              <w:rPr>
                <w:rFonts w:hint="eastAsia" w:ascii="宋体" w:hAnsi="宋体" w:cs="宋体"/>
                <w:bCs/>
                <w:color w:val="auto"/>
                <w:kern w:val="2"/>
                <w:sz w:val="21"/>
                <w:szCs w:val="21"/>
                <w:highlight w:val="none"/>
                <w:vertAlign w:val="baseline"/>
                <w:lang w:val="en-US" w:eastAsia="zh-CN" w:bidi="ar"/>
              </w:rPr>
              <w:t>。</w:t>
            </w:r>
          </w:p>
        </w:tc>
      </w:tr>
      <w:tr w14:paraId="0C30A4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FCA632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56B5C643">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响应文件错漏之处一致</w:t>
            </w:r>
          </w:p>
        </w:tc>
        <w:tc>
          <w:tcPr>
            <w:tcW w:w="5278" w:type="dxa"/>
            <w:tcBorders>
              <w:top w:val="single" w:color="auto" w:sz="4" w:space="0"/>
              <w:left w:val="single" w:color="auto" w:sz="4" w:space="0"/>
              <w:bottom w:val="single" w:color="auto" w:sz="4" w:space="0"/>
              <w:right w:val="single" w:color="auto" w:sz="4" w:space="0"/>
            </w:tcBorders>
            <w:vAlign w:val="center"/>
          </w:tcPr>
          <w:p w14:paraId="09805D3F">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不存在不同供应商的响应文件错漏之处一致的</w:t>
            </w:r>
            <w:r>
              <w:rPr>
                <w:rFonts w:hint="eastAsia" w:ascii="宋体" w:hAnsi="宋体" w:cs="宋体"/>
                <w:bCs/>
                <w:color w:val="auto"/>
                <w:kern w:val="2"/>
                <w:sz w:val="21"/>
                <w:szCs w:val="21"/>
                <w:highlight w:val="none"/>
                <w:vertAlign w:val="baseline"/>
                <w:lang w:val="en-US" w:eastAsia="zh-CN" w:bidi="ar"/>
              </w:rPr>
              <w:t>。</w:t>
            </w:r>
          </w:p>
        </w:tc>
      </w:tr>
      <w:tr w14:paraId="6A6624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10C2B2D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796075C3">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投标报价或者报价组成异常一致或者呈规律性变化</w:t>
            </w:r>
          </w:p>
        </w:tc>
        <w:tc>
          <w:tcPr>
            <w:tcW w:w="5278" w:type="dxa"/>
            <w:tcBorders>
              <w:top w:val="single" w:color="auto" w:sz="4" w:space="0"/>
              <w:left w:val="single" w:color="auto" w:sz="4" w:space="0"/>
              <w:bottom w:val="single" w:color="auto" w:sz="4" w:space="0"/>
              <w:right w:val="single" w:color="auto" w:sz="4" w:space="0"/>
            </w:tcBorders>
            <w:vAlign w:val="center"/>
          </w:tcPr>
          <w:p w14:paraId="41DF245C">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不存在不同供应商的投标报价或者报价组成异常一致或者呈规律性变化的</w:t>
            </w:r>
            <w:r>
              <w:rPr>
                <w:rFonts w:hint="eastAsia" w:ascii="宋体" w:hAnsi="宋体" w:cs="宋体"/>
                <w:bCs/>
                <w:color w:val="auto"/>
                <w:kern w:val="2"/>
                <w:sz w:val="21"/>
                <w:szCs w:val="21"/>
                <w:highlight w:val="none"/>
                <w:vertAlign w:val="baseline"/>
                <w:lang w:val="en-US" w:eastAsia="zh-CN" w:bidi="ar"/>
              </w:rPr>
              <w:t>。</w:t>
            </w:r>
          </w:p>
        </w:tc>
      </w:tr>
      <w:tr w14:paraId="32E15F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399612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7603A0C9">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项目管理机构成员出现相同人员</w:t>
            </w:r>
          </w:p>
        </w:tc>
        <w:tc>
          <w:tcPr>
            <w:tcW w:w="5278" w:type="dxa"/>
            <w:tcBorders>
              <w:top w:val="single" w:color="auto" w:sz="4" w:space="0"/>
              <w:left w:val="single" w:color="auto" w:sz="4" w:space="0"/>
              <w:bottom w:val="single" w:color="auto" w:sz="4" w:space="0"/>
              <w:right w:val="single" w:color="auto" w:sz="4" w:space="0"/>
            </w:tcBorders>
            <w:vAlign w:val="center"/>
          </w:tcPr>
          <w:p w14:paraId="1498142F">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不存在不同供应商的响应文件载明的项目管理机构成员出现相同人员的</w:t>
            </w:r>
            <w:r>
              <w:rPr>
                <w:rFonts w:hint="eastAsia" w:ascii="宋体" w:hAnsi="宋体" w:cs="宋体"/>
                <w:bCs/>
                <w:color w:val="auto"/>
                <w:kern w:val="2"/>
                <w:sz w:val="21"/>
                <w:szCs w:val="21"/>
                <w:highlight w:val="none"/>
                <w:vertAlign w:val="baseline"/>
                <w:lang w:val="en-US" w:eastAsia="zh-CN" w:bidi="ar"/>
              </w:rPr>
              <w:t>。</w:t>
            </w:r>
          </w:p>
        </w:tc>
      </w:tr>
      <w:tr w14:paraId="44749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5705406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0228ED3E">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响应文件由同一台电脑编制</w:t>
            </w:r>
          </w:p>
        </w:tc>
        <w:tc>
          <w:tcPr>
            <w:tcW w:w="5278" w:type="dxa"/>
            <w:tcBorders>
              <w:top w:val="single" w:color="auto" w:sz="4" w:space="0"/>
              <w:left w:val="single" w:color="auto" w:sz="4" w:space="0"/>
              <w:bottom w:val="single" w:color="auto" w:sz="4" w:space="0"/>
              <w:right w:val="single" w:color="auto" w:sz="4" w:space="0"/>
            </w:tcBorders>
            <w:vAlign w:val="center"/>
          </w:tcPr>
          <w:p w14:paraId="42630EE3">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不存在不同供应商的响应文件由同一台电脑编制的</w:t>
            </w:r>
            <w:r>
              <w:rPr>
                <w:rFonts w:hint="eastAsia" w:ascii="宋体" w:hAnsi="宋体" w:cs="宋体"/>
                <w:bCs/>
                <w:color w:val="auto"/>
                <w:kern w:val="2"/>
                <w:sz w:val="21"/>
                <w:szCs w:val="21"/>
                <w:highlight w:val="none"/>
                <w:vertAlign w:val="baseline"/>
                <w:lang w:val="en-US" w:eastAsia="zh-CN" w:bidi="ar"/>
              </w:rPr>
              <w:t>。</w:t>
            </w:r>
          </w:p>
        </w:tc>
      </w:tr>
      <w:tr w14:paraId="16AAC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7" w:hRule="atLeast"/>
          <w:jc w:val="center"/>
        </w:trPr>
        <w:tc>
          <w:tcPr>
            <w:tcW w:w="1195" w:type="dxa"/>
            <w:vMerge w:val="continue"/>
            <w:tcBorders>
              <w:right w:val="single" w:color="auto" w:sz="4" w:space="0"/>
            </w:tcBorders>
            <w:vAlign w:val="center"/>
          </w:tcPr>
          <w:p w14:paraId="3167BAEF">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p>
        </w:tc>
        <w:tc>
          <w:tcPr>
            <w:tcW w:w="3875" w:type="dxa"/>
            <w:tcBorders>
              <w:top w:val="single" w:color="auto" w:sz="4" w:space="0"/>
              <w:left w:val="single" w:color="auto" w:sz="4" w:space="0"/>
              <w:bottom w:val="single" w:color="auto" w:sz="4" w:space="0"/>
              <w:right w:val="single" w:color="auto" w:sz="4" w:space="0"/>
            </w:tcBorders>
            <w:vAlign w:val="center"/>
          </w:tcPr>
          <w:p w14:paraId="268B1219">
            <w:pPr>
              <w:keepNext w:val="0"/>
              <w:keepLines w:val="0"/>
              <w:widowControl w:val="0"/>
              <w:suppressLineNumbers w:val="0"/>
              <w:adjustRightInd w:val="0"/>
              <w:spacing w:before="0" w:beforeAutospacing="0" w:after="0" w:afterAutospacing="0" w:line="360" w:lineRule="auto"/>
              <w:ind w:left="0" w:leftChars="0" w:right="0" w:rightChars="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国家、省、市相关法律法规</w:t>
            </w:r>
          </w:p>
        </w:tc>
        <w:tc>
          <w:tcPr>
            <w:tcW w:w="5278" w:type="dxa"/>
            <w:tcBorders>
              <w:top w:val="single" w:color="auto" w:sz="4" w:space="0"/>
              <w:left w:val="single" w:color="auto" w:sz="4" w:space="0"/>
              <w:bottom w:val="single" w:color="auto" w:sz="4" w:space="0"/>
              <w:right w:val="single" w:color="auto" w:sz="4" w:space="0"/>
            </w:tcBorders>
            <w:vAlign w:val="center"/>
          </w:tcPr>
          <w:p w14:paraId="39A70ADA">
            <w:pPr>
              <w:keepNext w:val="0"/>
              <w:keepLines w:val="0"/>
              <w:widowControl w:val="0"/>
              <w:suppressLineNumbers w:val="0"/>
              <w:adjustRightInd w:val="0"/>
              <w:spacing w:before="0" w:beforeAutospacing="0" w:after="0" w:afterAutospacing="0" w:line="360" w:lineRule="auto"/>
              <w:ind w:left="0" w:right="0"/>
              <w:jc w:val="center"/>
              <w:textAlignment w:val="baseline"/>
              <w:rPr>
                <w:rFonts w:hint="eastAsia" w:ascii="宋体" w:hAnsi="宋体"/>
                <w:color w:val="auto"/>
                <w:szCs w:val="21"/>
                <w:highlight w:val="none"/>
              </w:rPr>
            </w:pPr>
            <w:r>
              <w:rPr>
                <w:rFonts w:hint="eastAsia" w:ascii="宋体" w:hAnsi="宋体" w:eastAsia="宋体" w:cs="宋体"/>
                <w:bCs/>
                <w:color w:val="auto"/>
                <w:kern w:val="2"/>
                <w:sz w:val="21"/>
                <w:szCs w:val="21"/>
                <w:highlight w:val="none"/>
                <w:vertAlign w:val="baseline"/>
                <w:lang w:val="en-US" w:eastAsia="zh-CN" w:bidi="ar"/>
              </w:rPr>
              <w:t>不存在违反国家、省、市相关法律法规的</w:t>
            </w:r>
            <w:r>
              <w:rPr>
                <w:rFonts w:hint="eastAsia" w:ascii="宋体" w:hAnsi="宋体" w:cs="宋体"/>
                <w:bCs/>
                <w:color w:val="auto"/>
                <w:kern w:val="2"/>
                <w:sz w:val="21"/>
                <w:szCs w:val="21"/>
                <w:highlight w:val="none"/>
                <w:vertAlign w:val="baseline"/>
                <w:lang w:val="en-US" w:eastAsia="zh-CN" w:bidi="ar"/>
              </w:rPr>
              <w:t>。</w:t>
            </w:r>
          </w:p>
        </w:tc>
      </w:tr>
    </w:tbl>
    <w:p w14:paraId="1122DBC5">
      <w:pPr>
        <w:tabs>
          <w:tab w:val="left" w:pos="1560"/>
        </w:tabs>
        <w:spacing w:after="120" w:afterLines="50" w:line="360" w:lineRule="auto"/>
        <w:jc w:val="left"/>
        <w:rPr>
          <w:rFonts w:hint="eastAsia" w:ascii="宋体" w:hAnsi="宋体"/>
          <w:color w:val="auto"/>
          <w:szCs w:val="21"/>
          <w:highlight w:val="none"/>
        </w:rPr>
      </w:pPr>
    </w:p>
    <w:bookmarkEnd w:id="800"/>
    <w:bookmarkEnd w:id="801"/>
    <w:bookmarkEnd w:id="802"/>
    <w:p w14:paraId="0EF02D23">
      <w:pPr>
        <w:tabs>
          <w:tab w:val="left" w:pos="1560"/>
        </w:tabs>
        <w:spacing w:after="120" w:afterLines="50" w:line="360" w:lineRule="auto"/>
        <w:ind w:firstLine="420" w:firstLineChars="200"/>
        <w:jc w:val="left"/>
        <w:rPr>
          <w:rFonts w:hint="eastAsia" w:ascii="宋体" w:hAnsi="宋体"/>
          <w:color w:val="auto"/>
          <w:szCs w:val="21"/>
          <w:highlight w:val="none"/>
        </w:rPr>
      </w:pPr>
      <w:bookmarkStart w:id="803" w:name="_Toc152042387"/>
      <w:bookmarkStart w:id="804" w:name="_Toc152045609"/>
      <w:bookmarkStart w:id="805" w:name="_Toc144974577"/>
      <w:r>
        <w:rPr>
          <w:rFonts w:hint="eastAsia" w:ascii="宋体" w:hAnsi="宋体"/>
          <w:color w:val="auto"/>
          <w:szCs w:val="21"/>
          <w:highlight w:val="none"/>
        </w:rPr>
        <w:t>一、评审办法</w:t>
      </w:r>
    </w:p>
    <w:p w14:paraId="2F004E7D">
      <w:pPr>
        <w:widowControl/>
        <w:tabs>
          <w:tab w:val="left" w:pos="1560"/>
        </w:tabs>
        <w:spacing w:after="156"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本项目评审采用综合评分法，是指</w:t>
      </w:r>
      <w:r>
        <w:rPr>
          <w:rFonts w:hint="eastAsia" w:ascii="宋体" w:hAnsi="宋体"/>
          <w:color w:val="auto"/>
          <w:szCs w:val="21"/>
          <w:highlight w:val="none"/>
        </w:rPr>
        <w:t>响应文件满足竞争性磋商文件全部实质性要求，且按照评审因素的量化指标评审得分最高的供应商为成交候选人的评标方法</w:t>
      </w:r>
      <w:r>
        <w:rPr>
          <w:rFonts w:ascii="宋体" w:hAnsi="宋体"/>
          <w:color w:val="auto"/>
          <w:szCs w:val="21"/>
          <w:highlight w:val="none"/>
        </w:rPr>
        <w:t>。</w:t>
      </w:r>
    </w:p>
    <w:p w14:paraId="39CFE2C8">
      <w:pPr>
        <w:widowControl/>
        <w:tabs>
          <w:tab w:val="left" w:pos="1560"/>
        </w:tabs>
        <w:spacing w:after="156" w:line="360" w:lineRule="auto"/>
        <w:ind w:firstLine="420"/>
        <w:jc w:val="left"/>
        <w:rPr>
          <w:rFonts w:hint="eastAsia" w:ascii="宋体" w:hAnsi="宋体"/>
          <w:color w:val="auto"/>
          <w:szCs w:val="21"/>
          <w:highlight w:val="none"/>
        </w:rPr>
      </w:pPr>
      <w:r>
        <w:rPr>
          <w:rFonts w:hint="eastAsia" w:ascii="宋体" w:hAnsi="宋体"/>
          <w:color w:val="auto"/>
          <w:szCs w:val="21"/>
          <w:highlight w:val="none"/>
        </w:rPr>
        <w:t>2、磋商小组成员应当按照客观、公正、审慎的原则，根据磋商文件规定的评审程序、评审方法和评审标准进行独立评审。</w:t>
      </w:r>
    </w:p>
    <w:p w14:paraId="773BF688">
      <w:pPr>
        <w:tabs>
          <w:tab w:val="left" w:pos="1560"/>
        </w:tabs>
        <w:spacing w:after="120" w:after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3、评审过程中如遇特殊问题，由磋商小组根据有关法律、法规研究决定。</w:t>
      </w:r>
    </w:p>
    <w:p w14:paraId="526DC47A">
      <w:pPr>
        <w:tabs>
          <w:tab w:val="left" w:pos="1560"/>
        </w:tabs>
        <w:spacing w:after="120" w:after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4、评审（磋商）过程的保密</w:t>
      </w:r>
    </w:p>
    <w:p w14:paraId="58176CF0">
      <w:pPr>
        <w:tabs>
          <w:tab w:val="left" w:pos="1560"/>
        </w:tabs>
        <w:spacing w:after="120" w:after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4.1响应文件递交截止后，直至授予成交人合同为止，凡属于对响应文件的审查、澄清、评价和比较的有关资料以及成交候选人的推荐情况，与评审（磋商）有关的其他任何情况均严格保密。</w:t>
      </w:r>
    </w:p>
    <w:p w14:paraId="15BB0D41">
      <w:pPr>
        <w:tabs>
          <w:tab w:val="left" w:pos="1560"/>
        </w:tabs>
        <w:spacing w:after="120" w:after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4.2在响应文件的评审和比较、成交候选人推荐以及授予合同的过程中，供应商向采购人（代理机构）和磋商小组施加影响的任何行为，都将会导致其投标被拒绝。</w:t>
      </w:r>
    </w:p>
    <w:p w14:paraId="43F836D4">
      <w:pPr>
        <w:tabs>
          <w:tab w:val="left" w:pos="1560"/>
        </w:tabs>
        <w:spacing w:after="120" w:afterLines="50" w:line="360" w:lineRule="auto"/>
        <w:ind w:firstLine="420" w:firstLineChars="200"/>
        <w:jc w:val="left"/>
        <w:rPr>
          <w:color w:val="auto"/>
          <w:highlight w:val="none"/>
        </w:rPr>
      </w:pPr>
      <w:r>
        <w:rPr>
          <w:rFonts w:hint="eastAsia" w:ascii="宋体" w:hAnsi="宋体"/>
          <w:color w:val="auto"/>
          <w:szCs w:val="21"/>
          <w:highlight w:val="none"/>
        </w:rPr>
        <w:t>4.3成交人确定后，采购人（代理机构）不对未成交人就评审（磋商）过程以及未能中标原因作出任何解释。未成交人不得向磋商小组组成人员或其他有关人员索问评审（磋商）过程的情况和资料。</w:t>
      </w:r>
    </w:p>
    <w:p w14:paraId="245C300B">
      <w:pPr>
        <w:tabs>
          <w:tab w:val="left" w:pos="1560"/>
        </w:tabs>
        <w:spacing w:after="120" w:afterLines="5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二、</w:t>
      </w:r>
      <w:bookmarkStart w:id="806" w:name="_Toc214243399"/>
      <w:bookmarkStart w:id="807" w:name="_Toc347752808"/>
      <w:r>
        <w:rPr>
          <w:rFonts w:hint="eastAsia" w:ascii="宋体" w:hAnsi="宋体"/>
          <w:color w:val="auto"/>
          <w:szCs w:val="21"/>
          <w:highlight w:val="none"/>
        </w:rPr>
        <w:t>评审程序</w:t>
      </w:r>
      <w:bookmarkEnd w:id="806"/>
      <w:bookmarkEnd w:id="807"/>
    </w:p>
    <w:p w14:paraId="7FABE557">
      <w:pPr>
        <w:autoSpaceDE w:val="0"/>
        <w:autoSpaceDN w:val="0"/>
        <w:adjustRightInd w:val="0"/>
        <w:spacing w:line="360" w:lineRule="auto"/>
        <w:ind w:firstLine="420"/>
        <w:rPr>
          <w:rFonts w:hint="eastAsia" w:ascii="宋体" w:hAnsi="宋体"/>
          <w:b/>
          <w:color w:val="auto"/>
          <w:spacing w:val="6"/>
          <w:kern w:val="0"/>
          <w:szCs w:val="21"/>
          <w:highlight w:val="none"/>
        </w:rPr>
      </w:pPr>
      <w:r>
        <w:rPr>
          <w:rFonts w:hint="eastAsia" w:ascii="宋体" w:hAnsi="宋体"/>
          <w:b/>
          <w:color w:val="auto"/>
          <w:spacing w:val="6"/>
          <w:kern w:val="0"/>
          <w:szCs w:val="21"/>
          <w:highlight w:val="none"/>
        </w:rPr>
        <w:t>磋商小组首先按评审办法前附表的要求对供应商进行资格评审，通过资格评审者方可进入符合性审查，符合性审查通过后方可进入磋商环节。未实质性响应磋商文件的响应文件按无效响应处理，磋商小组应当告知提交响应文件的供应商。</w:t>
      </w:r>
    </w:p>
    <w:p w14:paraId="008A4886">
      <w:pPr>
        <w:autoSpaceDE w:val="0"/>
        <w:autoSpaceDN w:val="0"/>
        <w:adjustRightInd w:val="0"/>
        <w:spacing w:line="360" w:lineRule="auto"/>
        <w:ind w:firstLine="420"/>
        <w:rPr>
          <w:rFonts w:hint="eastAsia" w:ascii="宋体" w:hAnsi="宋体"/>
          <w:b/>
          <w:color w:val="auto"/>
          <w:spacing w:val="6"/>
          <w:kern w:val="0"/>
          <w:szCs w:val="21"/>
          <w:highlight w:val="none"/>
        </w:rPr>
      </w:pPr>
      <w:r>
        <w:rPr>
          <w:rFonts w:hint="eastAsia" w:ascii="宋体" w:hAnsi="宋体"/>
          <w:b/>
          <w:bCs/>
          <w:color w:val="auto"/>
          <w:szCs w:val="21"/>
          <w:highlight w:val="none"/>
          <w:lang w:val="zh-CN"/>
        </w:rPr>
        <w:t>磋商小组可以要求供应商对响应文件中含义不明确、同类问题表述不一致或者有明显文字和计算错误的内容等作出必要的澄清、说明或者更正。</w:t>
      </w:r>
    </w:p>
    <w:p w14:paraId="540CF15A">
      <w:pPr>
        <w:autoSpaceDE w:val="0"/>
        <w:autoSpaceDN w:val="0"/>
        <w:adjustRightInd w:val="0"/>
        <w:spacing w:line="360" w:lineRule="auto"/>
        <w:ind w:firstLine="437" w:firstLineChars="196"/>
        <w:rPr>
          <w:rFonts w:hint="eastAsia" w:ascii="宋体" w:hAnsi="宋体"/>
          <w:b/>
          <w:color w:val="auto"/>
          <w:spacing w:val="6"/>
          <w:kern w:val="0"/>
          <w:szCs w:val="21"/>
          <w:highlight w:val="none"/>
        </w:rPr>
      </w:pPr>
      <w:r>
        <w:rPr>
          <w:rFonts w:hint="eastAsia" w:ascii="宋体" w:hAnsi="宋体"/>
          <w:b/>
          <w:color w:val="auto"/>
          <w:spacing w:val="6"/>
          <w:kern w:val="0"/>
          <w:szCs w:val="21"/>
          <w:highlight w:val="none"/>
        </w:rPr>
        <w:t>技术部分评审和报价部分评审合计满分为100分，分值保留小数点后两位。</w:t>
      </w:r>
    </w:p>
    <w:p w14:paraId="0F93FE23">
      <w:pPr>
        <w:autoSpaceDE w:val="0"/>
        <w:autoSpaceDN w:val="0"/>
        <w:adjustRightInd w:val="0"/>
        <w:spacing w:line="360" w:lineRule="auto"/>
        <w:ind w:firstLine="437" w:firstLineChars="196"/>
        <w:rPr>
          <w:rFonts w:hint="eastAsia" w:ascii="宋体" w:hAnsi="宋体"/>
          <w:b/>
          <w:color w:val="auto"/>
          <w:spacing w:val="6"/>
          <w:kern w:val="0"/>
          <w:szCs w:val="21"/>
          <w:highlight w:val="none"/>
        </w:rPr>
      </w:pPr>
      <w:r>
        <w:rPr>
          <w:rFonts w:hint="eastAsia" w:ascii="宋体" w:hAnsi="宋体"/>
          <w:b/>
          <w:color w:val="auto"/>
          <w:spacing w:val="6"/>
          <w:kern w:val="0"/>
          <w:szCs w:val="21"/>
          <w:highlight w:val="none"/>
        </w:rPr>
        <w:t>1、资格评审标准</w:t>
      </w:r>
      <w:r>
        <w:rPr>
          <w:b/>
          <w:color w:val="auto"/>
          <w:szCs w:val="21"/>
          <w:highlight w:val="none"/>
        </w:rPr>
        <w:t>：见评审办法前附表。</w:t>
      </w:r>
    </w:p>
    <w:p w14:paraId="3B894DFF">
      <w:pPr>
        <w:autoSpaceDE w:val="0"/>
        <w:autoSpaceDN w:val="0"/>
        <w:adjustRightInd w:val="0"/>
        <w:spacing w:line="360" w:lineRule="auto"/>
        <w:ind w:firstLine="420"/>
        <w:rPr>
          <w:rFonts w:hint="eastAsia" w:ascii="宋体" w:hAnsi="宋体"/>
          <w:color w:val="auto"/>
          <w:spacing w:val="6"/>
          <w:kern w:val="0"/>
          <w:szCs w:val="21"/>
          <w:highlight w:val="none"/>
        </w:rPr>
      </w:pPr>
      <w:r>
        <w:rPr>
          <w:color w:val="auto"/>
          <w:szCs w:val="21"/>
          <w:highlight w:val="none"/>
        </w:rPr>
        <w:t>资格评审不能满足评审标准的供应商，不得通过资格评审，不得进入</w:t>
      </w:r>
      <w:r>
        <w:rPr>
          <w:rFonts w:hint="eastAsia"/>
          <w:color w:val="auto"/>
          <w:szCs w:val="21"/>
          <w:highlight w:val="none"/>
        </w:rPr>
        <w:t>符合性审查</w:t>
      </w:r>
      <w:r>
        <w:rPr>
          <w:color w:val="auto"/>
          <w:szCs w:val="21"/>
          <w:highlight w:val="none"/>
        </w:rPr>
        <w:t>。</w:t>
      </w:r>
    </w:p>
    <w:p w14:paraId="1D81FBD7">
      <w:pPr>
        <w:autoSpaceDE w:val="0"/>
        <w:autoSpaceDN w:val="0"/>
        <w:adjustRightInd w:val="0"/>
        <w:spacing w:line="360" w:lineRule="auto"/>
        <w:ind w:firstLine="437" w:firstLineChars="196"/>
        <w:rPr>
          <w:rFonts w:hint="eastAsia" w:ascii="宋体" w:hAnsi="宋体"/>
          <w:b/>
          <w:color w:val="auto"/>
          <w:spacing w:val="6"/>
          <w:kern w:val="0"/>
          <w:szCs w:val="21"/>
          <w:highlight w:val="none"/>
        </w:rPr>
      </w:pPr>
      <w:r>
        <w:rPr>
          <w:rFonts w:hint="eastAsia" w:ascii="宋体" w:hAnsi="宋体"/>
          <w:b/>
          <w:color w:val="auto"/>
          <w:spacing w:val="6"/>
          <w:kern w:val="0"/>
          <w:szCs w:val="21"/>
          <w:highlight w:val="none"/>
        </w:rPr>
        <w:t>2、</w:t>
      </w:r>
      <w:r>
        <w:rPr>
          <w:rFonts w:hint="eastAsia"/>
          <w:b/>
          <w:color w:val="auto"/>
          <w:szCs w:val="21"/>
          <w:highlight w:val="none"/>
        </w:rPr>
        <w:t>符合性审查标准</w:t>
      </w:r>
      <w:r>
        <w:rPr>
          <w:b/>
          <w:color w:val="auto"/>
          <w:szCs w:val="21"/>
          <w:highlight w:val="none"/>
        </w:rPr>
        <w:t>：见评审办法前附表</w:t>
      </w:r>
      <w:r>
        <w:rPr>
          <w:rFonts w:hint="eastAsia" w:ascii="宋体" w:hAnsi="宋体"/>
          <w:b/>
          <w:color w:val="auto"/>
          <w:spacing w:val="6"/>
          <w:kern w:val="0"/>
          <w:szCs w:val="21"/>
          <w:highlight w:val="none"/>
        </w:rPr>
        <w:t>。</w:t>
      </w:r>
    </w:p>
    <w:p w14:paraId="1EA73688">
      <w:pPr>
        <w:autoSpaceDE w:val="0"/>
        <w:autoSpaceDN w:val="0"/>
        <w:adjustRightInd w:val="0"/>
        <w:spacing w:line="360" w:lineRule="auto"/>
        <w:ind w:firstLine="420"/>
        <w:rPr>
          <w:rFonts w:hint="eastAsia" w:ascii="宋体" w:hAnsi="宋体"/>
          <w:b/>
          <w:color w:val="auto"/>
          <w:szCs w:val="21"/>
          <w:highlight w:val="none"/>
        </w:rPr>
      </w:pPr>
      <w:r>
        <w:rPr>
          <w:rFonts w:hint="eastAsia"/>
          <w:color w:val="auto"/>
          <w:szCs w:val="21"/>
          <w:highlight w:val="none"/>
        </w:rPr>
        <w:t>符合性审查</w:t>
      </w:r>
      <w:r>
        <w:rPr>
          <w:color w:val="auto"/>
          <w:szCs w:val="21"/>
          <w:highlight w:val="none"/>
        </w:rPr>
        <w:t>不能满足评审标准的供应商，不得通过</w:t>
      </w:r>
      <w:r>
        <w:rPr>
          <w:rFonts w:hint="eastAsia" w:ascii="宋体" w:hAnsi="宋体"/>
          <w:color w:val="auto"/>
          <w:szCs w:val="21"/>
          <w:highlight w:val="none"/>
        </w:rPr>
        <w:t>符合性审查</w:t>
      </w:r>
      <w:r>
        <w:rPr>
          <w:rFonts w:hint="eastAsia" w:ascii="宋体" w:hAnsi="宋体"/>
          <w:color w:val="auto"/>
          <w:spacing w:val="6"/>
          <w:kern w:val="0"/>
          <w:szCs w:val="21"/>
          <w:highlight w:val="none"/>
        </w:rPr>
        <w:t>。</w:t>
      </w:r>
      <w:bookmarkStart w:id="808" w:name="_Toc514943609"/>
      <w:bookmarkStart w:id="809" w:name="_Toc516066227"/>
      <w:bookmarkStart w:id="810" w:name="_Toc488158533"/>
    </w:p>
    <w:p w14:paraId="0FE3C791">
      <w:pPr>
        <w:autoSpaceDE w:val="0"/>
        <w:autoSpaceDN w:val="0"/>
        <w:adjustRightInd w:val="0"/>
        <w:spacing w:line="360" w:lineRule="auto"/>
        <w:ind w:firstLine="446" w:firstLineChars="200"/>
        <w:rPr>
          <w:rFonts w:hint="eastAsia" w:ascii="宋体" w:hAnsi="宋体"/>
          <w:b/>
          <w:color w:val="auto"/>
          <w:spacing w:val="6"/>
          <w:kern w:val="0"/>
          <w:szCs w:val="21"/>
          <w:highlight w:val="none"/>
        </w:rPr>
      </w:pPr>
      <w:r>
        <w:rPr>
          <w:rFonts w:hint="eastAsia" w:ascii="宋体" w:hAnsi="宋体"/>
          <w:b/>
          <w:color w:val="auto"/>
          <w:spacing w:val="6"/>
          <w:kern w:val="0"/>
          <w:szCs w:val="21"/>
          <w:highlight w:val="none"/>
        </w:rPr>
        <w:t>3、澄清</w:t>
      </w:r>
    </w:p>
    <w:p w14:paraId="306BB615">
      <w:pPr>
        <w:autoSpaceDE w:val="0"/>
        <w:autoSpaceDN w:val="0"/>
        <w:adjustRightInd w:val="0"/>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F350425">
      <w:pPr>
        <w:autoSpaceDE w:val="0"/>
        <w:autoSpaceDN w:val="0"/>
        <w:adjustRightInd w:val="0"/>
        <w:spacing w:line="360" w:lineRule="auto"/>
        <w:ind w:firstLine="420" w:firstLineChars="200"/>
        <w:rPr>
          <w:rFonts w:hint="eastAsia" w:ascii="宋体" w:hAnsi="宋体" w:cs="Arial"/>
          <w:color w:val="auto"/>
          <w:spacing w:val="8"/>
          <w:kern w:val="0"/>
          <w:szCs w:val="21"/>
          <w:highlight w:val="none"/>
        </w:rPr>
      </w:pPr>
      <w:r>
        <w:rPr>
          <w:rFonts w:hint="eastAsia" w:ascii="宋体" w:hAnsi="宋体"/>
          <w:color w:val="auto"/>
          <w:szCs w:val="21"/>
          <w:highlight w:val="none"/>
          <w:lang w:val="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hint="eastAsia" w:ascii="宋体" w:hAnsi="宋体" w:cs="Arial"/>
          <w:color w:val="auto"/>
          <w:spacing w:val="8"/>
          <w:kern w:val="0"/>
          <w:szCs w:val="21"/>
          <w:highlight w:val="none"/>
        </w:rPr>
        <w:t>。</w:t>
      </w:r>
    </w:p>
    <w:p w14:paraId="1FECC1FB">
      <w:pPr>
        <w:autoSpaceDE w:val="0"/>
        <w:autoSpaceDN w:val="0"/>
        <w:adjustRightInd w:val="0"/>
        <w:spacing w:line="360" w:lineRule="auto"/>
        <w:ind w:firstLine="446" w:firstLineChars="200"/>
        <w:rPr>
          <w:rFonts w:hint="eastAsia" w:ascii="宋体" w:hAnsi="宋体"/>
          <w:b/>
          <w:color w:val="auto"/>
          <w:spacing w:val="6"/>
          <w:kern w:val="0"/>
          <w:szCs w:val="21"/>
          <w:highlight w:val="none"/>
        </w:rPr>
      </w:pPr>
      <w:r>
        <w:rPr>
          <w:rFonts w:hint="eastAsia" w:ascii="宋体" w:hAnsi="宋体"/>
          <w:b/>
          <w:color w:val="auto"/>
          <w:spacing w:val="6"/>
          <w:kern w:val="0"/>
          <w:szCs w:val="21"/>
          <w:highlight w:val="none"/>
        </w:rPr>
        <w:t>4、磋商</w:t>
      </w:r>
      <w:bookmarkEnd w:id="808"/>
      <w:bookmarkEnd w:id="809"/>
      <w:bookmarkEnd w:id="810"/>
    </w:p>
    <w:p w14:paraId="12537435">
      <w:pPr>
        <w:spacing w:line="360" w:lineRule="auto"/>
        <w:ind w:firstLine="454" w:firstLineChars="200"/>
        <w:rPr>
          <w:rFonts w:hint="eastAsia" w:ascii="宋体" w:hAnsi="宋体" w:cs="宋体"/>
          <w:b/>
          <w:bCs/>
          <w:color w:val="auto"/>
          <w:spacing w:val="8"/>
          <w:szCs w:val="21"/>
          <w:highlight w:val="none"/>
        </w:rPr>
      </w:pPr>
      <w:r>
        <w:rPr>
          <w:rFonts w:hint="eastAsia" w:ascii="宋体" w:hAnsi="宋体" w:cs="宋体"/>
          <w:b/>
          <w:bCs/>
          <w:color w:val="auto"/>
          <w:spacing w:val="8"/>
          <w:szCs w:val="21"/>
          <w:highlight w:val="none"/>
        </w:rPr>
        <w:t>对通过符合性审查的供应商可进行磋商，由磋商小组组长通过“政采云”平台发出磋商函，磋商过程中，磋商小组可以根据磋商文件和磋商情况实质性变动文件中的技术、服务要求以及合同草案条款，但不得变动磋商文件中的其他内容。实质性变动的内容须经采购人代表确认。对磋商文件作出的实质性变动是磋商文件的有效组成部分，磋商小组及时在“政采云”平台同时通知所有参加磋商的供应商。供应商应当按照磋商文件的变动情况和磋商小组的要求重新提交响应文件，并由其法定代表人电子签章。由授权代表签字的，应当附法定代表人授权书。若为自然人的，电子签章后附自然人的身份证明。</w:t>
      </w:r>
    </w:p>
    <w:p w14:paraId="58DA790C">
      <w:pPr>
        <w:spacing w:line="360" w:lineRule="auto"/>
        <w:ind w:firstLine="454" w:firstLineChars="200"/>
        <w:rPr>
          <w:color w:val="auto"/>
          <w:spacing w:val="8"/>
          <w:szCs w:val="21"/>
          <w:highlight w:val="none"/>
        </w:rPr>
      </w:pPr>
      <w:r>
        <w:rPr>
          <w:rFonts w:hint="eastAsia" w:ascii="宋体" w:hAnsi="宋体" w:cs="宋体"/>
          <w:b/>
          <w:bCs/>
          <w:color w:val="auto"/>
          <w:spacing w:val="8"/>
          <w:szCs w:val="21"/>
          <w:highlight w:val="none"/>
        </w:rPr>
        <w:t>供应商应当在发出指令的30分钟以内按要求填报磋商函相关内容后提交（若供应商未在规定时间内提交的或未按要求进行响应的视为退出磋商），经磋商小组确认后，再向供应商发出最后报价指令，供应商应当在发出指令的30分钟以内提交最后报价相关内容，填写并签章完成后上传到平台，如供应商未在规定时间内提交最后报价的视为退出磋商。本次磋商及评审全程由采购人或采购代理机构进行记录，磋商的任何一方不得透露与磋商有关的其他供应商的技术资料、价格和其他信息。</w:t>
      </w:r>
    </w:p>
    <w:p w14:paraId="5062AA68">
      <w:pPr>
        <w:autoSpaceDE w:val="0"/>
        <w:autoSpaceDN w:val="0"/>
        <w:adjustRightInd w:val="0"/>
        <w:spacing w:line="360" w:lineRule="auto"/>
        <w:ind w:firstLine="420" w:firstLineChars="200"/>
        <w:rPr>
          <w:color w:val="auto"/>
          <w:highlight w:val="none"/>
        </w:rPr>
      </w:pPr>
      <w:r>
        <w:rPr>
          <w:rFonts w:hint="eastAsia"/>
          <w:color w:val="auto"/>
          <w:highlight w:val="none"/>
        </w:rPr>
        <w:t xml:space="preserve">磋商小组认为供应商提交的报价明显低于其他通过符合性审查供应商的报价，有可能影响产品质量或者不能诚信履约的，应当要求其在现场合理的时间内提供书面说明，必要时提交相关证明材料；供应商不能证明其报价合理性的，磋商小组应当将其作为无效投标处理。  </w:t>
      </w:r>
    </w:p>
    <w:p w14:paraId="6BB70AE1">
      <w:pPr>
        <w:shd w:val="clear"/>
        <w:spacing w:line="360" w:lineRule="auto"/>
        <w:ind w:firstLine="424" w:firstLineChars="202"/>
        <w:rPr>
          <w:rFonts w:hint="eastAsia"/>
          <w:color w:val="auto"/>
          <w:highlight w:val="none"/>
        </w:rPr>
      </w:pPr>
      <w:r>
        <w:rPr>
          <w:rFonts w:hint="eastAsia"/>
          <w:color w:val="auto"/>
          <w:highlight w:val="none"/>
        </w:rPr>
        <w:t>磋商结束后，所有实质性响应的供应商在规定时间内提交有效的最后报价，最后报价是供应商响应文件的有效组成部分。符合《政府采购竞争性磋商采购方式管理暂行办法》第三条第四项情形的或《财政部</w:t>
      </w:r>
      <w:r>
        <w:rPr>
          <w:rFonts w:hint="eastAsia" w:ascii="宋体" w:hAnsi="宋体" w:eastAsia="宋体" w:cs="宋体"/>
          <w:color w:val="auto"/>
          <w:highlight w:val="none"/>
        </w:rPr>
        <w:t>关于政府采购竞争性磋商采购方式管理暂行办法有关问题的补充通知》财库【2015】124 号文规定，提交最后报价的供应商可以为2家</w:t>
      </w:r>
      <w:r>
        <w:rPr>
          <w:rFonts w:hint="eastAsia"/>
          <w:color w:val="auto"/>
          <w:highlight w:val="none"/>
        </w:rPr>
        <w:t>。采购过程中符合要求的供应商只有1家的，采购人或采购代理机构应当终止竞争性磋商采购活动。</w:t>
      </w:r>
    </w:p>
    <w:p w14:paraId="5980FBBD">
      <w:pPr>
        <w:autoSpaceDE w:val="0"/>
        <w:autoSpaceDN w:val="0"/>
        <w:adjustRightInd w:val="0"/>
        <w:spacing w:line="360" w:lineRule="auto"/>
        <w:ind w:firstLine="446" w:firstLineChars="200"/>
        <w:rPr>
          <w:rFonts w:hint="default" w:ascii="宋体" w:hAnsi="宋体"/>
          <w:b/>
          <w:color w:val="auto"/>
          <w:spacing w:val="6"/>
          <w:kern w:val="0"/>
          <w:szCs w:val="21"/>
          <w:highlight w:val="none"/>
          <w:lang w:val="en-US" w:eastAsia="zh-CN"/>
        </w:rPr>
      </w:pPr>
      <w:r>
        <w:rPr>
          <w:rFonts w:hint="eastAsia" w:ascii="宋体" w:hAnsi="宋体"/>
          <w:b/>
          <w:color w:val="auto"/>
          <w:spacing w:val="6"/>
          <w:kern w:val="0"/>
          <w:szCs w:val="21"/>
          <w:highlight w:val="none"/>
          <w:lang w:val="en-US" w:eastAsia="zh-CN"/>
        </w:rPr>
        <w:t>5、关于报价修正及异常低价审查规则</w:t>
      </w:r>
    </w:p>
    <w:p w14:paraId="31DBE011">
      <w:pPr>
        <w:shd w:val="clear"/>
        <w:spacing w:line="360" w:lineRule="auto"/>
        <w:ind w:firstLine="424" w:firstLineChars="202"/>
        <w:rPr>
          <w:rFonts w:ascii="宋体" w:hAnsi="宋体"/>
          <w:color w:val="auto"/>
          <w:highlight w:val="none"/>
        </w:rPr>
      </w:pPr>
      <w:r>
        <w:rPr>
          <w:rFonts w:hint="eastAsia" w:ascii="宋体" w:hAnsi="宋体"/>
          <w:color w:val="auto"/>
          <w:highlight w:val="none"/>
          <w:lang w:val="en-US" w:eastAsia="zh-CN"/>
        </w:rPr>
        <w:t>5.1</w:t>
      </w:r>
      <w:r>
        <w:rPr>
          <w:rFonts w:hint="eastAsia" w:ascii="宋体" w:hAnsi="宋体"/>
          <w:color w:val="auto"/>
          <w:highlight w:val="none"/>
        </w:rPr>
        <w:t>投标文件报价出现前后不一致的，除招标文件另有规定外，按照下列规定修正：</w:t>
      </w:r>
    </w:p>
    <w:p w14:paraId="7FA04CB7">
      <w:pPr>
        <w:shd w:val="clear"/>
        <w:spacing w:line="360" w:lineRule="auto"/>
        <w:ind w:firstLine="424" w:firstLineChars="202"/>
        <w:rPr>
          <w:rFonts w:ascii="宋体" w:hAnsi="宋体"/>
          <w:color w:val="auto"/>
          <w:highlight w:val="none"/>
        </w:rPr>
      </w:pPr>
      <w:r>
        <w:rPr>
          <w:rFonts w:hint="eastAsia" w:ascii="宋体" w:hAnsi="宋体"/>
          <w:color w:val="auto"/>
          <w:highlight w:val="none"/>
        </w:rPr>
        <w:t>（</w:t>
      </w:r>
      <w:r>
        <w:rPr>
          <w:rFonts w:ascii="宋体" w:hAnsi="宋体"/>
          <w:color w:val="auto"/>
          <w:highlight w:val="none"/>
        </w:rPr>
        <w:t>1</w:t>
      </w:r>
      <w:r>
        <w:rPr>
          <w:rFonts w:hint="eastAsia" w:ascii="宋体" w:hAnsi="宋体"/>
          <w:color w:val="auto"/>
          <w:highlight w:val="none"/>
        </w:rPr>
        <w:t>）投标文件中开标一览表（报价表）内容与投标文件中相应内容不一致的，以软件端“开标一览表”的数据为准；</w:t>
      </w:r>
    </w:p>
    <w:p w14:paraId="415DAA01">
      <w:pPr>
        <w:shd w:val="clear"/>
        <w:spacing w:line="360" w:lineRule="auto"/>
        <w:ind w:firstLine="424" w:firstLineChars="202"/>
        <w:rPr>
          <w:rFonts w:ascii="宋体" w:hAnsi="宋体"/>
          <w:color w:val="auto"/>
          <w:highlight w:val="none"/>
        </w:rPr>
      </w:pPr>
      <w:r>
        <w:rPr>
          <w:rFonts w:hint="eastAsia" w:ascii="宋体" w:hAnsi="宋体"/>
          <w:color w:val="auto"/>
          <w:highlight w:val="none"/>
        </w:rPr>
        <w:t>（2）大写金额和小写金额不一致的，以大写金额为准；</w:t>
      </w:r>
    </w:p>
    <w:p w14:paraId="4EBDC5B1">
      <w:pPr>
        <w:shd w:val="clear"/>
        <w:spacing w:line="360" w:lineRule="auto"/>
        <w:ind w:firstLine="424" w:firstLineChars="202"/>
        <w:rPr>
          <w:rFonts w:ascii="宋体" w:hAnsi="宋体"/>
          <w:color w:val="auto"/>
          <w:highlight w:val="none"/>
        </w:rPr>
      </w:pPr>
      <w:r>
        <w:rPr>
          <w:rFonts w:hint="eastAsia" w:ascii="宋体" w:hAnsi="宋体"/>
          <w:color w:val="auto"/>
          <w:highlight w:val="none"/>
        </w:rPr>
        <w:t>（3）单价金额小数点或者百分比有明显错位的，以开标一览表的总价为准，并修改单价；</w:t>
      </w:r>
    </w:p>
    <w:p w14:paraId="780F8DC7">
      <w:pPr>
        <w:shd w:val="clear"/>
        <w:spacing w:line="360" w:lineRule="auto"/>
        <w:ind w:firstLine="424" w:firstLineChars="202"/>
        <w:rPr>
          <w:rFonts w:ascii="宋体" w:hAnsi="宋体"/>
          <w:color w:val="auto"/>
          <w:highlight w:val="none"/>
        </w:rPr>
      </w:pPr>
      <w:r>
        <w:rPr>
          <w:rFonts w:hint="eastAsia" w:ascii="宋体" w:hAnsi="宋体"/>
          <w:color w:val="auto"/>
          <w:highlight w:val="none"/>
        </w:rPr>
        <w:t>（4）总价金额与按单价汇总金额不一致的，以单价金额计算结果为准。</w:t>
      </w:r>
    </w:p>
    <w:p w14:paraId="16151A87">
      <w:pPr>
        <w:shd w:val="clear"/>
        <w:spacing w:line="360" w:lineRule="auto"/>
        <w:ind w:firstLine="424" w:firstLineChars="202"/>
        <w:rPr>
          <w:rFonts w:ascii="宋体" w:hAnsi="宋体"/>
          <w:color w:val="auto"/>
          <w:highlight w:val="none"/>
        </w:rPr>
      </w:pPr>
      <w:r>
        <w:rPr>
          <w:rFonts w:hint="eastAsia" w:ascii="宋体" w:hAnsi="宋体"/>
          <w:color w:val="auto"/>
          <w:highlight w:val="none"/>
        </w:rPr>
        <w:t>同时出现两种以上不一致的，按照前款规定的顺序修正。修正后的报价按照《政府采购货物和服务招标投标管理办法》（财政部第87号）第五十一条第二款的规定经投标人确认后产生约束力，投标人不确认的，其投标无效。</w:t>
      </w:r>
    </w:p>
    <w:p w14:paraId="6EA44FB8">
      <w:pPr>
        <w:shd w:val="clear"/>
        <w:autoSpaceDE w:val="0"/>
        <w:autoSpaceDN w:val="0"/>
        <w:adjustRightInd w:val="0"/>
        <w:spacing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5.2政府采购异常低价审查</w:t>
      </w:r>
    </w:p>
    <w:p w14:paraId="0E98DDCE">
      <w:pPr>
        <w:shd w:val="clear"/>
        <w:autoSpaceDE w:val="0"/>
        <w:autoSpaceDN w:val="0"/>
        <w:adjustRightInd w:val="0"/>
        <w:spacing w:line="360" w:lineRule="auto"/>
        <w:ind w:firstLine="420" w:firstLineChars="200"/>
        <w:rPr>
          <w:rFonts w:ascii="宋体" w:hAnsi="宋体" w:cs="Arial"/>
          <w:color w:val="auto"/>
          <w:spacing w:val="8"/>
          <w:kern w:val="0"/>
          <w:szCs w:val="21"/>
          <w:highlight w:val="none"/>
        </w:rPr>
      </w:pPr>
      <w:r>
        <w:rPr>
          <w:rFonts w:hint="eastAsia" w:ascii="宋体" w:hAnsi="宋体"/>
          <w:color w:val="auto"/>
          <w:highlight w:val="none"/>
          <w:lang w:val="en-US" w:eastAsia="zh-CN"/>
        </w:rPr>
        <w:t>5.2</w:t>
      </w:r>
      <w:r>
        <w:rPr>
          <w:rFonts w:hint="eastAsia" w:ascii="宋体" w:hAnsi="宋体" w:cs="Arial"/>
          <w:color w:val="auto"/>
          <w:spacing w:val="8"/>
          <w:kern w:val="0"/>
          <w:szCs w:val="21"/>
          <w:highlight w:val="none"/>
          <w:lang w:val="en-US" w:eastAsia="zh-CN"/>
        </w:rPr>
        <w:t>.1</w:t>
      </w:r>
      <w:r>
        <w:rPr>
          <w:rFonts w:ascii="宋体" w:hAnsi="宋体" w:cs="Arial"/>
          <w:color w:val="auto"/>
          <w:spacing w:val="8"/>
          <w:kern w:val="0"/>
          <w:szCs w:val="21"/>
          <w:highlight w:val="none"/>
        </w:rPr>
        <w:t>评审中出现下列情形之一的，评审委员会应当启动异常低价投标（响应）审查程序：</w:t>
      </w:r>
    </w:p>
    <w:p w14:paraId="4CDE15E4">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lang w:val="en-US" w:eastAsia="zh-CN"/>
        </w:rPr>
        <w:t>1</w:t>
      </w: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rPr>
        <w:t>投标（响应）报价低于全部通过符合性审查供应商投标（响应）报价平均值50%的，即投标（响应）报价&lt;全部通过符合性审查供应商投标（响应）报价平均值×50%；</w:t>
      </w:r>
    </w:p>
    <w:p w14:paraId="2A1A75AC">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lang w:val="en-US" w:eastAsia="zh-CN"/>
        </w:rPr>
        <w:t>2</w:t>
      </w: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rPr>
        <w:t>投标（响应）报价低于通过符合性审查的次低报价供应商投标（响应）报价50%的，即投标（响应）报价&lt;通过符合性审查的次低报价供应商投标（响应）报价×50%；</w:t>
      </w:r>
    </w:p>
    <w:p w14:paraId="6E40234B">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lang w:val="en-US" w:eastAsia="zh-CN"/>
        </w:rPr>
        <w:t>3</w:t>
      </w: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rPr>
        <w:t>投标（响应）报价低于采购项目最高限价45%的，即投标（响应）报价&lt;采购项目最高限价×45%；</w:t>
      </w:r>
    </w:p>
    <w:p w14:paraId="6FAEB326">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lang w:val="en-US" w:eastAsia="zh-CN"/>
        </w:rPr>
        <w:t>4</w:t>
      </w:r>
      <w:r>
        <w:rPr>
          <w:rFonts w:hint="eastAsia" w:ascii="宋体" w:hAnsi="宋体" w:cs="Arial"/>
          <w:color w:val="auto"/>
          <w:spacing w:val="8"/>
          <w:kern w:val="0"/>
          <w:szCs w:val="21"/>
          <w:highlight w:val="none"/>
          <w:lang w:eastAsia="zh-CN"/>
        </w:rPr>
        <w:t>）</w:t>
      </w:r>
      <w:r>
        <w:rPr>
          <w:rFonts w:hint="eastAsia" w:ascii="宋体" w:hAnsi="宋体" w:cs="Arial"/>
          <w:color w:val="auto"/>
          <w:spacing w:val="8"/>
          <w:kern w:val="0"/>
          <w:szCs w:val="21"/>
          <w:highlight w:val="none"/>
        </w:rPr>
        <w:t>评审委员会基于专业判断，认为供应商报价过低，有可能影响产品质量或者不能诚信履约的其他情形。</w:t>
      </w:r>
    </w:p>
    <w:p w14:paraId="043F5812">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ascii="宋体" w:hAnsi="宋体" w:cs="Arial"/>
          <w:color w:val="auto"/>
          <w:spacing w:val="8"/>
          <w:kern w:val="0"/>
          <w:szCs w:val="21"/>
          <w:highlight w:val="none"/>
        </w:rPr>
        <w:t>采购人可以结合具体项目实际情况，提高上述第1项至第3项中启动异常低价投标（响应）审查的数值标准，但是最高不得超过65%。</w:t>
      </w:r>
    </w:p>
    <w:p w14:paraId="70C12C15">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rPr>
        <w:t>相关法律法规对供应商报价有规定的，从其规定。</w:t>
      </w:r>
    </w:p>
    <w:p w14:paraId="658D5A54">
      <w:pPr>
        <w:shd w:val="clear"/>
        <w:autoSpaceDE w:val="0"/>
        <w:autoSpaceDN w:val="0"/>
        <w:adjustRightInd w:val="0"/>
        <w:spacing w:line="360" w:lineRule="auto"/>
        <w:ind w:firstLine="420" w:firstLineChars="200"/>
        <w:rPr>
          <w:rFonts w:ascii="宋体" w:hAnsi="宋体" w:cs="Arial"/>
          <w:color w:val="auto"/>
          <w:spacing w:val="8"/>
          <w:kern w:val="0"/>
          <w:szCs w:val="21"/>
          <w:highlight w:val="none"/>
        </w:rPr>
      </w:pPr>
      <w:r>
        <w:rPr>
          <w:rFonts w:hint="eastAsia" w:ascii="宋体" w:hAnsi="宋体"/>
          <w:color w:val="auto"/>
          <w:highlight w:val="none"/>
          <w:lang w:val="en-US" w:eastAsia="zh-CN"/>
        </w:rPr>
        <w:t>5.2</w:t>
      </w:r>
      <w:r>
        <w:rPr>
          <w:rFonts w:hint="eastAsia" w:ascii="宋体" w:hAnsi="宋体" w:cs="Arial"/>
          <w:color w:val="auto"/>
          <w:spacing w:val="8"/>
          <w:kern w:val="0"/>
          <w:szCs w:val="21"/>
          <w:highlight w:val="none"/>
          <w:lang w:val="en-US" w:eastAsia="zh-CN"/>
        </w:rPr>
        <w:t>.2</w:t>
      </w:r>
      <w:r>
        <w:rPr>
          <w:rFonts w:ascii="宋体" w:hAnsi="宋体" w:cs="Arial"/>
          <w:color w:val="auto"/>
          <w:spacing w:val="8"/>
          <w:kern w:val="0"/>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cs="Arial"/>
          <w:color w:val="auto"/>
          <w:spacing w:val="8"/>
          <w:kern w:val="0"/>
          <w:szCs w:val="21"/>
          <w:highlight w:val="none"/>
        </w:rPr>
        <w:t>不少于30分钟。其中，属于第3项情形，供应商已随投标（响应）文件一并提交相关书面说明及必要的证明材料的，在评审现场可不再重复提交。</w:t>
      </w:r>
    </w:p>
    <w:p w14:paraId="0D794185">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6A3404E">
      <w:pPr>
        <w:shd w:val="clear"/>
        <w:autoSpaceDE w:val="0"/>
        <w:autoSpaceDN w:val="0"/>
        <w:adjustRightInd w:val="0"/>
        <w:spacing w:line="360" w:lineRule="auto"/>
        <w:ind w:firstLine="452" w:firstLineChars="200"/>
        <w:rPr>
          <w:rFonts w:ascii="宋体" w:hAnsi="宋体" w:cs="Arial"/>
          <w:color w:val="auto"/>
          <w:spacing w:val="8"/>
          <w:kern w:val="0"/>
          <w:szCs w:val="21"/>
          <w:highlight w:val="none"/>
        </w:rPr>
      </w:pPr>
      <w:r>
        <w:rPr>
          <w:rFonts w:hint="eastAsia" w:ascii="宋体" w:hAnsi="宋体" w:cs="Arial"/>
          <w:color w:val="auto"/>
          <w:spacing w:val="8"/>
          <w:kern w:val="0"/>
          <w:szCs w:val="21"/>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77D1092">
      <w:pPr>
        <w:autoSpaceDE w:val="0"/>
        <w:autoSpaceDN w:val="0"/>
        <w:adjustRightInd w:val="0"/>
        <w:spacing w:line="360" w:lineRule="auto"/>
        <w:ind w:firstLine="452" w:firstLineChars="200"/>
        <w:rPr>
          <w:rFonts w:hint="eastAsia" w:ascii="宋体" w:hAnsi="宋体" w:cs="Arial"/>
          <w:bCs/>
          <w:color w:val="auto"/>
          <w:spacing w:val="8"/>
          <w:kern w:val="0"/>
          <w:szCs w:val="21"/>
          <w:highlight w:val="none"/>
        </w:rPr>
      </w:pPr>
      <w:r>
        <w:rPr>
          <w:rFonts w:hint="eastAsia" w:ascii="宋体" w:hAnsi="宋体" w:cs="Arial"/>
          <w:color w:val="auto"/>
          <w:spacing w:val="8"/>
          <w:kern w:val="0"/>
          <w:szCs w:val="21"/>
          <w:highlight w:val="none"/>
        </w:rPr>
        <w:t>异常低价投标（响应）审查的启动原因、审查意见和审查结果应当在评审报告中记录，并随供应商提供的相关书面说明及证明材料，以及评审委员会有关互联网浏览、查询历史一并归档。</w:t>
      </w:r>
    </w:p>
    <w:p w14:paraId="7BB806B8">
      <w:pPr>
        <w:tabs>
          <w:tab w:val="left" w:pos="1080"/>
        </w:tabs>
        <w:spacing w:line="360" w:lineRule="auto"/>
        <w:ind w:firstLine="573" w:firstLineChars="257"/>
        <w:rPr>
          <w:rFonts w:hint="eastAsia" w:ascii="宋体" w:hAnsi="宋体"/>
          <w:color w:val="auto"/>
          <w:highlight w:val="none"/>
        </w:rPr>
      </w:pPr>
      <w:r>
        <w:rPr>
          <w:rFonts w:hint="eastAsia" w:ascii="宋体" w:hAnsi="宋体"/>
          <w:b/>
          <w:color w:val="auto"/>
          <w:spacing w:val="6"/>
          <w:kern w:val="0"/>
          <w:szCs w:val="21"/>
          <w:highlight w:val="none"/>
          <w:lang w:val="en-US" w:eastAsia="zh-CN"/>
        </w:rPr>
        <w:t>6</w:t>
      </w:r>
      <w:r>
        <w:rPr>
          <w:rFonts w:hint="eastAsia" w:ascii="宋体" w:hAnsi="宋体"/>
          <w:b/>
          <w:color w:val="auto"/>
          <w:spacing w:val="6"/>
          <w:kern w:val="0"/>
          <w:szCs w:val="21"/>
          <w:highlight w:val="none"/>
        </w:rPr>
        <w:t>、技术</w:t>
      </w:r>
      <w:r>
        <w:rPr>
          <w:rFonts w:hint="eastAsia" w:ascii="宋体" w:hAnsi="宋体"/>
          <w:b/>
          <w:color w:val="auto"/>
          <w:spacing w:val="6"/>
          <w:kern w:val="0"/>
          <w:szCs w:val="21"/>
          <w:highlight w:val="none"/>
          <w:lang w:val="en-US" w:eastAsia="zh-CN"/>
        </w:rPr>
        <w:t>部分评审</w:t>
      </w:r>
      <w:r>
        <w:rPr>
          <w:rFonts w:hint="eastAsia" w:ascii="宋体" w:hAnsi="宋体"/>
          <w:b/>
          <w:color w:val="auto"/>
          <w:spacing w:val="6"/>
          <w:kern w:val="0"/>
          <w:szCs w:val="21"/>
          <w:highlight w:val="none"/>
          <w:lang w:eastAsia="zh-CN"/>
        </w:rPr>
        <w:t>（</w:t>
      </w:r>
      <w:r>
        <w:rPr>
          <w:rFonts w:hint="eastAsia" w:ascii="宋体" w:hAnsi="宋体"/>
          <w:b/>
          <w:color w:val="auto"/>
          <w:spacing w:val="6"/>
          <w:kern w:val="0"/>
          <w:szCs w:val="21"/>
          <w:highlight w:val="none"/>
          <w:lang w:val="en-US" w:eastAsia="zh-CN"/>
        </w:rPr>
        <w:t>满分85分</w:t>
      </w:r>
      <w:r>
        <w:rPr>
          <w:rFonts w:hint="eastAsia" w:ascii="宋体" w:hAnsi="宋体"/>
          <w:b/>
          <w:color w:val="auto"/>
          <w:spacing w:val="6"/>
          <w:kern w:val="0"/>
          <w:szCs w:val="21"/>
          <w:highlight w:val="none"/>
          <w:lang w:eastAsia="zh-CN"/>
        </w:rPr>
        <w:t>）</w:t>
      </w:r>
      <w:bookmarkStart w:id="811" w:name="_Toc29254"/>
    </w:p>
    <w:tbl>
      <w:tblPr>
        <w:tblStyle w:val="50"/>
        <w:tblW w:w="1028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92"/>
        <w:gridCol w:w="1701"/>
        <w:gridCol w:w="7593"/>
      </w:tblGrid>
      <w:tr w14:paraId="70C7699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37" w:hRule="atLeast"/>
          <w:tblHeader/>
          <w:jc w:val="center"/>
        </w:trPr>
        <w:tc>
          <w:tcPr>
            <w:tcW w:w="992" w:type="dxa"/>
            <w:vAlign w:val="center"/>
          </w:tcPr>
          <w:p w14:paraId="5DE6B4C2">
            <w:pPr>
              <w:keepNext w:val="0"/>
              <w:keepLines w:val="0"/>
              <w:suppressLineNumbers w:val="0"/>
              <w:spacing w:before="0" w:beforeAutospacing="0" w:after="0" w:afterAutospacing="0" w:line="360" w:lineRule="auto"/>
              <w:ind w:left="0" w:right="0"/>
              <w:jc w:val="center"/>
              <w:rPr>
                <w:rFonts w:hint="eastAsia" w:ascii="宋体" w:hAnsi="宋体" w:cs="宋体"/>
                <w:color w:val="auto"/>
                <w:spacing w:val="-11"/>
                <w:szCs w:val="21"/>
                <w:highlight w:val="none"/>
              </w:rPr>
            </w:pPr>
            <w:r>
              <w:rPr>
                <w:rFonts w:hint="eastAsia" w:ascii="宋体" w:hAnsi="宋体" w:cs="宋体"/>
                <w:b/>
                <w:color w:val="auto"/>
                <w:spacing w:val="-11"/>
                <w:szCs w:val="21"/>
                <w:highlight w:val="none"/>
              </w:rPr>
              <w:t>条款号</w:t>
            </w:r>
          </w:p>
        </w:tc>
        <w:tc>
          <w:tcPr>
            <w:tcW w:w="1701" w:type="dxa"/>
            <w:vAlign w:val="center"/>
          </w:tcPr>
          <w:p w14:paraId="76B15050">
            <w:pPr>
              <w:keepNext w:val="0"/>
              <w:keepLines w:val="0"/>
              <w:suppressLineNumbers w:val="0"/>
              <w:spacing w:before="0" w:beforeAutospacing="0" w:after="0" w:afterAutospacing="0" w:line="360" w:lineRule="auto"/>
              <w:ind w:left="0" w:right="0"/>
              <w:jc w:val="center"/>
              <w:rPr>
                <w:rFonts w:hint="eastAsia" w:ascii="宋体" w:hAnsi="宋体" w:cs="宋体"/>
                <w:b/>
                <w:color w:val="auto"/>
                <w:spacing w:val="-11"/>
                <w:szCs w:val="21"/>
                <w:highlight w:val="none"/>
              </w:rPr>
            </w:pPr>
            <w:r>
              <w:rPr>
                <w:rFonts w:hint="eastAsia" w:ascii="宋体" w:hAnsi="宋体" w:cs="宋体"/>
                <w:b/>
                <w:color w:val="auto"/>
                <w:spacing w:val="-11"/>
                <w:szCs w:val="21"/>
                <w:highlight w:val="none"/>
              </w:rPr>
              <w:t>评分因素</w:t>
            </w:r>
          </w:p>
        </w:tc>
        <w:tc>
          <w:tcPr>
            <w:tcW w:w="7593" w:type="dxa"/>
            <w:vAlign w:val="center"/>
          </w:tcPr>
          <w:p w14:paraId="0B63051A">
            <w:pPr>
              <w:keepNext w:val="0"/>
              <w:keepLines w:val="0"/>
              <w:suppressLineNumbers w:val="0"/>
              <w:spacing w:before="0" w:beforeAutospacing="0" w:after="0" w:afterAutospacing="0" w:line="360" w:lineRule="auto"/>
              <w:ind w:left="0" w:right="0"/>
              <w:jc w:val="center"/>
              <w:rPr>
                <w:rFonts w:hint="eastAsia" w:ascii="宋体" w:hAnsi="宋体" w:cs="宋体"/>
                <w:b/>
                <w:color w:val="auto"/>
                <w:spacing w:val="-11"/>
                <w:szCs w:val="21"/>
                <w:highlight w:val="none"/>
              </w:rPr>
            </w:pPr>
            <w:r>
              <w:rPr>
                <w:rFonts w:hint="eastAsia" w:ascii="宋体" w:hAnsi="宋体" w:cs="宋体"/>
                <w:b/>
                <w:color w:val="auto"/>
                <w:spacing w:val="-11"/>
                <w:szCs w:val="21"/>
                <w:highlight w:val="none"/>
              </w:rPr>
              <w:t>评分标准</w:t>
            </w:r>
          </w:p>
        </w:tc>
      </w:tr>
      <w:tr w14:paraId="3FAFB9E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272" w:hRule="atLeast"/>
          <w:jc w:val="center"/>
        </w:trPr>
        <w:tc>
          <w:tcPr>
            <w:tcW w:w="992" w:type="dxa"/>
            <w:vMerge w:val="restart"/>
            <w:vAlign w:val="center"/>
          </w:tcPr>
          <w:p w14:paraId="5E31E906">
            <w:pPr>
              <w:keepNext w:val="0"/>
              <w:keepLines w:val="0"/>
              <w:suppressLineNumbers w:val="0"/>
              <w:spacing w:before="0" w:beforeAutospacing="0" w:after="0" w:afterAutospacing="0" w:line="276" w:lineRule="auto"/>
              <w:ind w:left="0" w:right="0"/>
              <w:jc w:val="center"/>
              <w:rPr>
                <w:rFonts w:hint="eastAsia" w:ascii="宋体" w:hAnsi="宋体" w:cs="宋体"/>
                <w:b/>
                <w:bCs/>
                <w:color w:val="auto"/>
                <w:spacing w:val="-11"/>
                <w:szCs w:val="21"/>
                <w:highlight w:val="none"/>
              </w:rPr>
            </w:pPr>
            <w:r>
              <w:rPr>
                <w:rFonts w:hint="eastAsia" w:ascii="宋体" w:hAnsi="宋体" w:cs="宋体"/>
                <w:b/>
                <w:bCs/>
                <w:color w:val="auto"/>
                <w:spacing w:val="-11"/>
                <w:szCs w:val="21"/>
                <w:highlight w:val="none"/>
              </w:rPr>
              <w:t>技术部分</w:t>
            </w:r>
          </w:p>
          <w:p w14:paraId="63062D48">
            <w:pPr>
              <w:keepNext w:val="0"/>
              <w:keepLines w:val="0"/>
              <w:suppressLineNumbers w:val="0"/>
              <w:spacing w:before="0" w:beforeAutospacing="0" w:after="0" w:afterAutospacing="0" w:line="276" w:lineRule="auto"/>
              <w:ind w:left="0" w:right="0"/>
              <w:jc w:val="center"/>
              <w:rPr>
                <w:rFonts w:hint="eastAsia" w:ascii="宋体" w:hAnsi="宋体" w:eastAsia="宋体" w:cs="宋体"/>
                <w:b/>
                <w:bCs/>
                <w:color w:val="auto"/>
                <w:spacing w:val="-11"/>
                <w:szCs w:val="21"/>
                <w:highlight w:val="none"/>
                <w:lang w:eastAsia="zh-CN"/>
              </w:rPr>
            </w:pPr>
            <w:r>
              <w:rPr>
                <w:rFonts w:hint="eastAsia" w:ascii="宋体" w:hAnsi="宋体" w:cs="宋体"/>
                <w:b/>
                <w:bCs/>
                <w:color w:val="auto"/>
                <w:spacing w:val="-11"/>
                <w:szCs w:val="21"/>
                <w:highlight w:val="none"/>
              </w:rPr>
              <w:t>评分标准</w:t>
            </w:r>
            <w:r>
              <w:rPr>
                <w:rFonts w:hint="eastAsia" w:ascii="宋体" w:hAnsi="宋体" w:cs="宋体"/>
                <w:b/>
                <w:bCs/>
                <w:color w:val="auto"/>
                <w:spacing w:val="-11"/>
                <w:szCs w:val="21"/>
                <w:highlight w:val="none"/>
                <w:lang w:eastAsia="zh-CN"/>
              </w:rPr>
              <w:t>（</w:t>
            </w:r>
            <w:r>
              <w:rPr>
                <w:rFonts w:hint="eastAsia" w:ascii="宋体" w:hAnsi="宋体" w:cs="宋体"/>
                <w:b/>
                <w:bCs/>
                <w:color w:val="auto"/>
                <w:spacing w:val="-11"/>
                <w:szCs w:val="21"/>
                <w:highlight w:val="none"/>
                <w:lang w:val="en-US" w:eastAsia="zh-CN"/>
              </w:rPr>
              <w:t>85分</w:t>
            </w:r>
            <w:r>
              <w:rPr>
                <w:rFonts w:hint="eastAsia" w:ascii="宋体" w:hAnsi="宋体" w:cs="宋体"/>
                <w:b/>
                <w:bCs/>
                <w:color w:val="auto"/>
                <w:spacing w:val="-11"/>
                <w:szCs w:val="21"/>
                <w:highlight w:val="none"/>
                <w:lang w:eastAsia="zh-CN"/>
              </w:rPr>
              <w:t>）</w:t>
            </w:r>
          </w:p>
        </w:tc>
        <w:tc>
          <w:tcPr>
            <w:tcW w:w="1701" w:type="dxa"/>
            <w:vAlign w:val="center"/>
          </w:tcPr>
          <w:p w14:paraId="2890D1E4">
            <w:pPr>
              <w:keepNext w:val="0"/>
              <w:keepLines w:val="0"/>
              <w:widowControl w:val="0"/>
              <w:suppressLineNumbers w:val="0"/>
              <w:spacing w:before="0" w:beforeAutospacing="0" w:after="0" w:afterAutospacing="0" w:line="273" w:lineRule="auto"/>
              <w:ind w:left="0" w:leftChars="0" w:right="0" w:rightChars="0"/>
              <w:jc w:val="center"/>
              <w:rPr>
                <w:rFonts w:hint="default" w:ascii="宋体" w:hAnsi="宋体" w:cs="宋体"/>
                <w:bCs/>
                <w:color w:val="auto"/>
                <w:szCs w:val="21"/>
                <w:highlight w:val="none"/>
                <w:lang w:val="en-US" w:eastAsia="zh-CN"/>
              </w:rPr>
            </w:pPr>
            <w:r>
              <w:rPr>
                <w:rFonts w:hint="eastAsia" w:ascii="宋体" w:hAnsi="宋体" w:eastAsia="宋体" w:cs="宋体"/>
                <w:b/>
                <w:bCs/>
                <w:color w:val="auto"/>
                <w:szCs w:val="21"/>
                <w:highlight w:val="none"/>
                <w:lang w:val="en-US" w:eastAsia="zh-CN"/>
              </w:rPr>
              <w:t>对项目的认识理解及重难点分析（满分10分）</w:t>
            </w:r>
          </w:p>
        </w:tc>
        <w:tc>
          <w:tcPr>
            <w:tcW w:w="7593" w:type="dxa"/>
            <w:vAlign w:val="center"/>
          </w:tcPr>
          <w:p w14:paraId="7327CF76">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内容包括不限于：</w:t>
            </w:r>
          </w:p>
          <w:p w14:paraId="3B7101E9">
            <w:pPr>
              <w:keepNext w:val="0"/>
              <w:keepLines w:val="0"/>
              <w:widowControl w:val="0"/>
              <w:suppressLineNumbers w:val="0"/>
              <w:spacing w:before="0" w:beforeAutospacing="0" w:after="0" w:afterAutospacing="0" w:line="360" w:lineRule="auto"/>
              <w:ind w:left="0" w:leftChars="0" w:right="0" w:rightChars="0"/>
              <w:jc w:val="both"/>
              <w:rPr>
                <w:rFonts w:hint="default"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a.对本项目工作内容</w:t>
            </w:r>
            <w:r>
              <w:rPr>
                <w:rFonts w:hint="eastAsia" w:ascii="宋体" w:hAnsi="宋体" w:cs="宋体"/>
                <w:color w:val="auto"/>
                <w:kern w:val="2"/>
                <w:sz w:val="21"/>
                <w:szCs w:val="21"/>
                <w:highlight w:val="none"/>
                <w:lang w:val="en-US" w:eastAsia="zh-CN" w:bidi="ar"/>
              </w:rPr>
              <w:t>、项目背景、项目目标等</w:t>
            </w:r>
            <w:r>
              <w:rPr>
                <w:rFonts w:hint="eastAsia" w:ascii="宋体" w:hAnsi="宋体" w:eastAsia="宋体" w:cs="宋体"/>
                <w:color w:val="auto"/>
                <w:kern w:val="2"/>
                <w:sz w:val="21"/>
                <w:szCs w:val="21"/>
                <w:highlight w:val="none"/>
                <w:lang w:val="en-US" w:eastAsia="zh-CN" w:bidi="ar"/>
              </w:rPr>
              <w:t>的认识理解；b.对本项目实施过程的重难点、关键性技术问题</w:t>
            </w:r>
            <w:r>
              <w:rPr>
                <w:rFonts w:hint="eastAsia" w:ascii="宋体" w:hAnsi="宋体" w:cs="宋体"/>
                <w:color w:val="auto"/>
                <w:kern w:val="2"/>
                <w:sz w:val="21"/>
                <w:szCs w:val="21"/>
                <w:highlight w:val="none"/>
                <w:lang w:val="en-US" w:eastAsia="zh-CN" w:bidi="ar"/>
              </w:rPr>
              <w:t>及相关政策规定</w:t>
            </w:r>
            <w:r>
              <w:rPr>
                <w:rFonts w:hint="eastAsia" w:ascii="宋体" w:hAnsi="宋体" w:eastAsia="宋体" w:cs="宋体"/>
                <w:color w:val="auto"/>
                <w:kern w:val="2"/>
                <w:sz w:val="21"/>
                <w:szCs w:val="21"/>
                <w:highlight w:val="none"/>
                <w:lang w:val="en-US" w:eastAsia="zh-CN" w:bidi="ar"/>
              </w:rPr>
              <w:t>的分析</w:t>
            </w:r>
            <w:r>
              <w:rPr>
                <w:rFonts w:hint="eastAsia" w:ascii="宋体" w:hAnsi="宋体" w:cs="宋体"/>
                <w:color w:val="auto"/>
                <w:kern w:val="2"/>
                <w:sz w:val="21"/>
                <w:szCs w:val="21"/>
                <w:highlight w:val="none"/>
                <w:lang w:val="en-US" w:eastAsia="zh-CN" w:bidi="ar"/>
              </w:rPr>
              <w:t>、应对措施。</w:t>
            </w:r>
          </w:p>
          <w:p w14:paraId="2DE586CA">
            <w:pPr>
              <w:keepNext w:val="0"/>
              <w:keepLines w:val="0"/>
              <w:widowControl w:val="0"/>
              <w:suppressLineNumbers w:val="0"/>
              <w:shd w:val="clear"/>
              <w:spacing w:before="0" w:beforeAutospacing="0" w:after="0" w:afterAutospacing="0" w:line="360" w:lineRule="auto"/>
              <w:ind w:left="0" w:leftChars="0" w:right="0" w:rightChars="0"/>
              <w:jc w:val="both"/>
              <w:rPr>
                <w:rFonts w:hint="default" w:ascii="宋体" w:hAnsi="宋体" w:eastAsia="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上述指标内容完整、清楚明了、表述规范、含义准确，满足文件要求的得</w:t>
            </w:r>
            <w:r>
              <w:rPr>
                <w:rFonts w:hint="eastAsia" w:ascii="宋体" w:hAnsi="宋体" w:cs="宋体"/>
                <w:b w:val="0"/>
                <w:bCs w:val="0"/>
                <w:color w:val="auto"/>
                <w:szCs w:val="21"/>
                <w:highlight w:val="none"/>
                <w:lang w:val="en-US" w:eastAsia="zh-CN"/>
              </w:rPr>
              <w:t>10</w:t>
            </w:r>
            <w:r>
              <w:rPr>
                <w:rFonts w:hint="default" w:ascii="宋体" w:hAnsi="宋体" w:eastAsia="宋体" w:cs="宋体"/>
                <w:b w:val="0"/>
                <w:bCs w:val="0"/>
                <w:color w:val="auto"/>
                <w:szCs w:val="21"/>
                <w:highlight w:val="none"/>
                <w:lang w:val="en-US" w:eastAsia="zh-CN"/>
              </w:rPr>
              <w:t>分，每缺失一项指标扣</w:t>
            </w:r>
            <w:r>
              <w:rPr>
                <w:rFonts w:hint="eastAsia" w:ascii="宋体" w:hAnsi="宋体" w:cs="宋体"/>
                <w:b w:val="0"/>
                <w:bCs w:val="0"/>
                <w:color w:val="auto"/>
                <w:szCs w:val="21"/>
                <w:highlight w:val="none"/>
                <w:lang w:val="en-US" w:eastAsia="zh-CN"/>
              </w:rPr>
              <w:t>5</w:t>
            </w:r>
            <w:r>
              <w:rPr>
                <w:rFonts w:hint="default" w:ascii="宋体" w:hAnsi="宋体" w:eastAsia="宋体" w:cs="宋体"/>
                <w:b w:val="0"/>
                <w:bCs w:val="0"/>
                <w:color w:val="auto"/>
                <w:szCs w:val="21"/>
                <w:highlight w:val="none"/>
                <w:lang w:val="en-US" w:eastAsia="zh-CN"/>
              </w:rPr>
              <w:t>分，每一项指标中内容存在瑕疵的按照扣分标准评分。</w:t>
            </w:r>
          </w:p>
          <w:p w14:paraId="52DDD7D7">
            <w:pPr>
              <w:keepNext w:val="0"/>
              <w:keepLines w:val="0"/>
              <w:widowControl w:val="0"/>
              <w:suppressLineNumbers w:val="0"/>
              <w:spacing w:before="0" w:beforeAutospacing="0" w:after="0" w:afterAutospacing="0" w:line="360" w:lineRule="auto"/>
              <w:ind w:left="0" w:leftChars="0" w:right="0" w:rightChars="0"/>
              <w:jc w:val="both"/>
              <w:rPr>
                <w:rFonts w:hint="default" w:ascii="宋体" w:hAnsi="宋体" w:cs="宋体"/>
                <w:b w:val="0"/>
                <w:bCs w:val="0"/>
                <w:color w:val="auto"/>
                <w:szCs w:val="21"/>
                <w:highlight w:val="none"/>
                <w:lang w:val="en-US" w:eastAsia="zh-CN"/>
              </w:rPr>
            </w:pPr>
            <w:r>
              <w:rPr>
                <w:rFonts w:hint="default" w:ascii="宋体" w:hAnsi="宋体" w:eastAsia="宋体" w:cs="宋体"/>
                <w:b w:val="0"/>
                <w:bCs w:val="0"/>
                <w:color w:val="auto"/>
                <w:szCs w:val="21"/>
                <w:highlight w:val="none"/>
                <w:lang w:val="en-US" w:eastAsia="zh-CN"/>
              </w:rPr>
              <w:t>指标扣分标准：指标存在内容不完整或内容过于简略</w:t>
            </w:r>
            <w:r>
              <w:rPr>
                <w:rFonts w:hint="eastAsia" w:ascii="宋体" w:hAnsi="宋体" w:cs="宋体"/>
                <w:b w:val="0"/>
                <w:bCs w:val="0"/>
                <w:color w:val="auto"/>
                <w:szCs w:val="21"/>
                <w:highlight w:val="none"/>
                <w:lang w:val="en-US" w:eastAsia="zh-CN"/>
              </w:rPr>
              <w:t>，关键</w:t>
            </w:r>
            <w:r>
              <w:rPr>
                <w:rFonts w:hint="default" w:ascii="宋体" w:hAnsi="宋体" w:eastAsia="宋体" w:cs="宋体"/>
                <w:b w:val="0"/>
                <w:bCs w:val="0"/>
                <w:color w:val="auto"/>
                <w:szCs w:val="21"/>
                <w:highlight w:val="none"/>
                <w:lang w:val="en-US" w:eastAsia="zh-CN"/>
              </w:rPr>
              <w:t>细节缺失扣</w:t>
            </w:r>
            <w:r>
              <w:rPr>
                <w:rFonts w:hint="eastAsia" w:ascii="宋体" w:hAnsi="宋体" w:cs="宋体"/>
                <w:b w:val="0"/>
                <w:bCs w:val="0"/>
                <w:color w:val="auto"/>
                <w:szCs w:val="21"/>
                <w:highlight w:val="none"/>
                <w:lang w:val="en-US" w:eastAsia="zh-CN"/>
              </w:rPr>
              <w:t>1</w:t>
            </w:r>
            <w:r>
              <w:rPr>
                <w:rFonts w:hint="default" w:ascii="宋体" w:hAnsi="宋体" w:eastAsia="宋体" w:cs="宋体"/>
                <w:b w:val="0"/>
                <w:bCs w:val="0"/>
                <w:color w:val="auto"/>
                <w:szCs w:val="21"/>
                <w:highlight w:val="none"/>
                <w:lang w:val="en-US" w:eastAsia="zh-CN"/>
              </w:rPr>
              <w:t>分，</w:t>
            </w:r>
            <w:r>
              <w:rPr>
                <w:rFonts w:hint="eastAsia" w:ascii="宋体" w:hAnsi="宋体" w:cs="宋体"/>
                <w:b w:val="0"/>
                <w:bCs w:val="0"/>
                <w:color w:val="auto"/>
                <w:szCs w:val="21"/>
                <w:highlight w:val="none"/>
                <w:lang w:val="en-US" w:eastAsia="zh-CN"/>
              </w:rPr>
              <w:t>违反行业规范、标准的内容</w:t>
            </w:r>
            <w:r>
              <w:rPr>
                <w:rFonts w:hint="default" w:ascii="宋体" w:hAnsi="宋体" w:eastAsia="宋体" w:cs="宋体"/>
                <w:b w:val="0"/>
                <w:bCs w:val="0"/>
                <w:color w:val="auto"/>
                <w:szCs w:val="21"/>
                <w:highlight w:val="none"/>
                <w:lang w:val="en-US" w:eastAsia="zh-CN"/>
              </w:rPr>
              <w:t>的扣</w:t>
            </w:r>
            <w:r>
              <w:rPr>
                <w:rFonts w:hint="eastAsia" w:ascii="宋体" w:hAnsi="宋体" w:cs="宋体"/>
                <w:b w:val="0"/>
                <w:bCs w:val="0"/>
                <w:color w:val="auto"/>
                <w:szCs w:val="21"/>
                <w:highlight w:val="none"/>
                <w:lang w:val="en-US" w:eastAsia="zh-CN"/>
              </w:rPr>
              <w:t>1</w:t>
            </w:r>
            <w:r>
              <w:rPr>
                <w:rFonts w:hint="default" w:ascii="宋体" w:hAnsi="宋体" w:eastAsia="宋体" w:cs="宋体"/>
                <w:b w:val="0"/>
                <w:bCs w:val="0"/>
                <w:color w:val="auto"/>
                <w:szCs w:val="21"/>
                <w:highlight w:val="none"/>
                <w:lang w:val="en-US" w:eastAsia="zh-CN"/>
              </w:rPr>
              <w:t>分，存在</w:t>
            </w:r>
            <w:r>
              <w:rPr>
                <w:rFonts w:hint="eastAsia" w:ascii="宋体" w:hAnsi="宋体" w:cs="宋体"/>
                <w:b w:val="0"/>
                <w:bCs w:val="0"/>
                <w:color w:val="auto"/>
                <w:szCs w:val="21"/>
                <w:highlight w:val="none"/>
                <w:lang w:val="en-US" w:eastAsia="zh-CN"/>
              </w:rPr>
              <w:t>大量</w:t>
            </w:r>
            <w:r>
              <w:rPr>
                <w:rFonts w:hint="default" w:ascii="宋体" w:hAnsi="宋体" w:eastAsia="宋体" w:cs="宋体"/>
                <w:b w:val="0"/>
                <w:bCs w:val="0"/>
                <w:color w:val="auto"/>
                <w:szCs w:val="21"/>
                <w:highlight w:val="none"/>
                <w:lang w:val="en-US" w:eastAsia="zh-CN"/>
              </w:rPr>
              <w:t>与本项目实际不匹配</w:t>
            </w:r>
            <w:r>
              <w:rPr>
                <w:rFonts w:hint="eastAsia" w:ascii="宋体" w:hAnsi="宋体" w:cs="宋体"/>
                <w:b w:val="0"/>
                <w:bCs w:val="0"/>
                <w:color w:val="auto"/>
                <w:szCs w:val="21"/>
                <w:highlight w:val="none"/>
                <w:lang w:val="en-US" w:eastAsia="zh-CN"/>
              </w:rPr>
              <w:t>或无关的通用性、模板化内容</w:t>
            </w:r>
            <w:r>
              <w:rPr>
                <w:rFonts w:hint="default" w:ascii="宋体" w:hAnsi="宋体" w:eastAsia="宋体" w:cs="宋体"/>
                <w:b w:val="0"/>
                <w:bCs w:val="0"/>
                <w:color w:val="auto"/>
                <w:szCs w:val="21"/>
                <w:highlight w:val="none"/>
                <w:lang w:val="en-US" w:eastAsia="zh-CN"/>
              </w:rPr>
              <w:t>扣</w:t>
            </w:r>
            <w:r>
              <w:rPr>
                <w:rFonts w:hint="eastAsia" w:ascii="宋体" w:hAnsi="宋体" w:cs="宋体"/>
                <w:b w:val="0"/>
                <w:bCs w:val="0"/>
                <w:color w:val="auto"/>
                <w:szCs w:val="21"/>
                <w:highlight w:val="none"/>
                <w:lang w:val="en-US" w:eastAsia="zh-CN"/>
              </w:rPr>
              <w:t>1</w:t>
            </w:r>
            <w:r>
              <w:rPr>
                <w:rFonts w:hint="default" w:ascii="宋体" w:hAnsi="宋体" w:eastAsia="宋体" w:cs="宋体"/>
                <w:b w:val="0"/>
                <w:bCs w:val="0"/>
                <w:color w:val="auto"/>
                <w:szCs w:val="21"/>
                <w:highlight w:val="none"/>
                <w:lang w:val="en-US" w:eastAsia="zh-CN"/>
              </w:rPr>
              <w:t>分，前后相矛盾</w:t>
            </w:r>
            <w:r>
              <w:rPr>
                <w:rFonts w:hint="eastAsia" w:ascii="宋体" w:hAnsi="宋体" w:cs="宋体"/>
                <w:b w:val="0"/>
                <w:bCs w:val="0"/>
                <w:color w:val="auto"/>
                <w:szCs w:val="21"/>
                <w:highlight w:val="none"/>
                <w:lang w:val="en-US" w:eastAsia="zh-CN"/>
              </w:rPr>
              <w:t>，存在逻辑冲突或</w:t>
            </w:r>
            <w:r>
              <w:rPr>
                <w:rFonts w:hint="default" w:ascii="宋体" w:hAnsi="宋体" w:eastAsia="宋体" w:cs="宋体"/>
                <w:b w:val="0"/>
                <w:bCs w:val="0"/>
                <w:color w:val="auto"/>
                <w:szCs w:val="21"/>
                <w:highlight w:val="none"/>
                <w:lang w:val="en-US" w:eastAsia="zh-CN"/>
              </w:rPr>
              <w:t>存在内容</w:t>
            </w:r>
            <w:r>
              <w:rPr>
                <w:rFonts w:hint="eastAsia" w:ascii="宋体" w:hAnsi="宋体" w:cs="宋体"/>
                <w:b w:val="0"/>
                <w:bCs w:val="0"/>
                <w:color w:val="auto"/>
                <w:szCs w:val="21"/>
                <w:highlight w:val="none"/>
                <w:lang w:val="en-US" w:eastAsia="zh-CN"/>
              </w:rPr>
              <w:t>表述</w:t>
            </w:r>
            <w:r>
              <w:rPr>
                <w:rFonts w:hint="default" w:ascii="宋体" w:hAnsi="宋体" w:eastAsia="宋体" w:cs="宋体"/>
                <w:b w:val="0"/>
                <w:bCs w:val="0"/>
                <w:color w:val="auto"/>
                <w:szCs w:val="21"/>
                <w:highlight w:val="none"/>
                <w:lang w:val="en-US" w:eastAsia="zh-CN"/>
              </w:rPr>
              <w:t>错误扣</w:t>
            </w:r>
            <w:r>
              <w:rPr>
                <w:rFonts w:hint="eastAsia" w:ascii="宋体" w:hAnsi="宋体" w:cs="宋体"/>
                <w:b w:val="0"/>
                <w:bCs w:val="0"/>
                <w:color w:val="auto"/>
                <w:szCs w:val="21"/>
                <w:highlight w:val="none"/>
                <w:lang w:val="en-US" w:eastAsia="zh-CN"/>
              </w:rPr>
              <w:t>1</w:t>
            </w:r>
            <w:r>
              <w:rPr>
                <w:rFonts w:hint="default" w:ascii="宋体" w:hAnsi="宋体" w:eastAsia="宋体" w:cs="宋体"/>
                <w:b w:val="0"/>
                <w:bCs w:val="0"/>
                <w:color w:val="auto"/>
                <w:szCs w:val="21"/>
                <w:highlight w:val="none"/>
                <w:lang w:val="en-US" w:eastAsia="zh-CN"/>
              </w:rPr>
              <w:t>分，技术要点存在套用其他项目方案</w:t>
            </w:r>
            <w:r>
              <w:rPr>
                <w:rFonts w:hint="eastAsia" w:ascii="宋体" w:hAnsi="宋体" w:cs="宋体"/>
                <w:b w:val="0"/>
                <w:bCs w:val="0"/>
                <w:color w:val="auto"/>
                <w:szCs w:val="21"/>
                <w:highlight w:val="none"/>
                <w:lang w:val="en-US" w:eastAsia="zh-CN"/>
              </w:rPr>
              <w:t>或对本项目无针对性设置</w:t>
            </w:r>
            <w:r>
              <w:rPr>
                <w:rFonts w:hint="default" w:ascii="宋体" w:hAnsi="宋体" w:eastAsia="宋体" w:cs="宋体"/>
                <w:b w:val="0"/>
                <w:bCs w:val="0"/>
                <w:color w:val="auto"/>
                <w:szCs w:val="21"/>
                <w:highlight w:val="none"/>
                <w:lang w:val="en-US" w:eastAsia="zh-CN"/>
              </w:rPr>
              <w:t>扣</w:t>
            </w:r>
            <w:r>
              <w:rPr>
                <w:rFonts w:hint="eastAsia" w:ascii="宋体" w:hAnsi="宋体" w:cs="宋体"/>
                <w:b w:val="0"/>
                <w:bCs w:val="0"/>
                <w:color w:val="auto"/>
                <w:szCs w:val="21"/>
                <w:highlight w:val="none"/>
                <w:lang w:val="en-US" w:eastAsia="zh-CN"/>
              </w:rPr>
              <w:t>1</w:t>
            </w:r>
            <w:r>
              <w:rPr>
                <w:rFonts w:hint="default" w:ascii="宋体" w:hAnsi="宋体" w:eastAsia="宋体" w:cs="宋体"/>
                <w:b w:val="0"/>
                <w:bCs w:val="0"/>
                <w:color w:val="auto"/>
                <w:szCs w:val="21"/>
                <w:highlight w:val="none"/>
                <w:lang w:val="en-US" w:eastAsia="zh-CN"/>
              </w:rPr>
              <w:t>分，指标分数扣完为止。</w:t>
            </w:r>
          </w:p>
        </w:tc>
      </w:tr>
      <w:tr w14:paraId="6D705F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272" w:hRule="atLeast"/>
          <w:jc w:val="center"/>
        </w:trPr>
        <w:tc>
          <w:tcPr>
            <w:tcW w:w="992" w:type="dxa"/>
            <w:vMerge w:val="continue"/>
            <w:vAlign w:val="center"/>
          </w:tcPr>
          <w:p w14:paraId="0D70FAD4">
            <w:pPr>
              <w:keepNext w:val="0"/>
              <w:keepLines w:val="0"/>
              <w:suppressLineNumbers w:val="0"/>
              <w:spacing w:before="0" w:beforeAutospacing="0" w:after="0" w:afterAutospacing="0" w:line="276" w:lineRule="auto"/>
              <w:ind w:left="0" w:right="0"/>
              <w:jc w:val="center"/>
              <w:rPr>
                <w:rFonts w:hint="eastAsia" w:ascii="宋体" w:hAnsi="宋体" w:cs="宋体"/>
                <w:b/>
                <w:bCs/>
                <w:color w:val="auto"/>
                <w:spacing w:val="-11"/>
                <w:szCs w:val="21"/>
                <w:highlight w:val="none"/>
              </w:rPr>
            </w:pPr>
          </w:p>
        </w:tc>
        <w:tc>
          <w:tcPr>
            <w:tcW w:w="1701" w:type="dxa"/>
            <w:vAlign w:val="center"/>
          </w:tcPr>
          <w:p w14:paraId="0ECF83DB">
            <w:pPr>
              <w:keepNext w:val="0"/>
              <w:keepLines w:val="0"/>
              <w:widowControl w:val="0"/>
              <w:suppressLineNumbers w:val="0"/>
              <w:spacing w:before="0" w:beforeAutospacing="0" w:after="0" w:afterAutospacing="0" w:line="273" w:lineRule="auto"/>
              <w:ind w:left="0" w:leftChars="0" w:right="0" w:rightChars="0"/>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设计</w:t>
            </w:r>
            <w:r>
              <w:rPr>
                <w:rFonts w:hint="eastAsia" w:ascii="宋体" w:hAnsi="宋体" w:eastAsia="宋体" w:cs="宋体"/>
                <w:b/>
                <w:bCs/>
                <w:color w:val="auto"/>
                <w:szCs w:val="21"/>
                <w:highlight w:val="none"/>
                <w:lang w:val="en-US" w:eastAsia="zh-CN"/>
              </w:rPr>
              <w:t>方案</w:t>
            </w:r>
          </w:p>
          <w:p w14:paraId="505D984E">
            <w:pPr>
              <w:keepNext w:val="0"/>
              <w:keepLines w:val="0"/>
              <w:widowControl w:val="0"/>
              <w:suppressLineNumbers w:val="0"/>
              <w:spacing w:before="0" w:beforeAutospacing="0" w:after="0" w:afterAutospacing="0" w:line="273" w:lineRule="auto"/>
              <w:ind w:left="0" w:leftChars="0" w:right="0" w:rightChars="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（满分</w:t>
            </w:r>
            <w:r>
              <w:rPr>
                <w:rFonts w:hint="eastAsia" w:ascii="宋体" w:hAnsi="宋体" w:cs="宋体"/>
                <w:b/>
                <w:bCs/>
                <w:color w:val="auto"/>
                <w:szCs w:val="21"/>
                <w:highlight w:val="none"/>
                <w:lang w:val="en-US" w:eastAsia="zh-CN"/>
              </w:rPr>
              <w:t>25</w:t>
            </w:r>
            <w:r>
              <w:rPr>
                <w:rFonts w:hint="eastAsia" w:ascii="宋体" w:hAnsi="宋体" w:eastAsia="宋体" w:cs="宋体"/>
                <w:b/>
                <w:bCs/>
                <w:color w:val="auto"/>
                <w:szCs w:val="21"/>
                <w:highlight w:val="none"/>
                <w:lang w:val="en-US" w:eastAsia="zh-CN"/>
              </w:rPr>
              <w:t>分）</w:t>
            </w:r>
          </w:p>
        </w:tc>
        <w:tc>
          <w:tcPr>
            <w:tcW w:w="7593" w:type="dxa"/>
            <w:vAlign w:val="center"/>
          </w:tcPr>
          <w:p w14:paraId="7BF7651F">
            <w:pPr>
              <w:keepNext w:val="0"/>
              <w:keepLines w:val="0"/>
              <w:numPr>
                <w:ilvl w:val="0"/>
                <w:numId w:val="0"/>
              </w:numPr>
              <w:suppressLineNumbers w:val="0"/>
              <w:shd w:val="clear"/>
              <w:adjustRightInd w:val="0"/>
              <w:snapToGrid w:val="0"/>
              <w:spacing w:before="0" w:beforeAutospacing="0" w:after="0" w:afterAutospacing="0" w:line="360" w:lineRule="auto"/>
              <w:ind w:left="0" w:right="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内容包括不限于：</w:t>
            </w:r>
          </w:p>
          <w:p w14:paraId="1A91CDFE">
            <w:pPr>
              <w:keepNext w:val="0"/>
              <w:keepLines w:val="0"/>
              <w:numPr>
                <w:ilvl w:val="0"/>
                <w:numId w:val="0"/>
              </w:numPr>
              <w:suppressLineNumbers w:val="0"/>
              <w:shd w:val="clear"/>
              <w:adjustRightInd w:val="0"/>
              <w:snapToGrid w:val="0"/>
              <w:spacing w:before="0" w:beforeAutospacing="0" w:after="0" w:afterAutospacing="0" w:line="360" w:lineRule="auto"/>
              <w:ind w:left="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cs="宋体"/>
                <w:color w:val="auto"/>
                <w:kern w:val="2"/>
                <w:sz w:val="21"/>
                <w:szCs w:val="21"/>
                <w:highlight w:val="none"/>
                <w:lang w:val="en-US" w:eastAsia="zh-CN" w:bidi="ar"/>
              </w:rPr>
              <w:t>a.总体设计及规划思路</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b</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各专项工程设计方案</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c</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成果资料报审、移交及保密方案</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d</w:t>
            </w:r>
            <w:r>
              <w:rPr>
                <w:rFonts w:hint="eastAsia" w:ascii="宋体" w:hAnsi="宋体" w:eastAsia="宋体" w:cs="宋体"/>
                <w:color w:val="auto"/>
                <w:kern w:val="2"/>
                <w:sz w:val="21"/>
                <w:szCs w:val="21"/>
                <w:highlight w:val="none"/>
                <w:lang w:val="en-US" w:eastAsia="zh-CN" w:bidi="ar"/>
              </w:rPr>
              <w:t>.</w:t>
            </w:r>
            <w:r>
              <w:rPr>
                <w:rFonts w:hint="eastAsia" w:ascii="宋体" w:hAnsi="宋体" w:cs="宋体"/>
                <w:color w:val="auto"/>
                <w:kern w:val="2"/>
                <w:sz w:val="21"/>
                <w:szCs w:val="21"/>
                <w:highlight w:val="none"/>
                <w:lang w:val="en-US" w:eastAsia="zh-CN" w:bidi="ar"/>
              </w:rPr>
              <w:t>投资优化及创新节约设计方案；e.全过程配合及技术保障措施</w:t>
            </w:r>
            <w:r>
              <w:rPr>
                <w:rFonts w:hint="eastAsia" w:ascii="宋体" w:hAnsi="宋体" w:eastAsia="宋体" w:cs="宋体"/>
                <w:color w:val="auto"/>
                <w:kern w:val="2"/>
                <w:sz w:val="21"/>
                <w:szCs w:val="21"/>
                <w:highlight w:val="none"/>
                <w:lang w:val="en-US" w:eastAsia="zh-CN" w:bidi="ar"/>
              </w:rPr>
              <w:t>。</w:t>
            </w:r>
          </w:p>
          <w:p w14:paraId="65FB9EFD">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上述指标内容完整、清楚明了、表述规范、含义准确，满足文件要求的得25分，每缺失一项指标扣5分，每一项指标中内容存在瑕疵的按照扣分标准评分。</w:t>
            </w:r>
          </w:p>
          <w:p w14:paraId="751DD576">
            <w:pPr>
              <w:keepNext w:val="0"/>
              <w:keepLines w:val="0"/>
              <w:widowControl w:val="0"/>
              <w:suppressLineNumbers w:val="0"/>
              <w:spacing w:before="0" w:beforeAutospacing="0" w:after="0" w:afterAutospacing="0" w:line="360" w:lineRule="auto"/>
              <w:ind w:left="0" w:leftChars="0" w:right="0" w:rightChars="0"/>
              <w:jc w:val="both"/>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lang w:val="en-US" w:eastAsia="zh-CN"/>
              </w:rPr>
              <w:t>指标扣分标准：指标存在内容不完整或内容过于简略，关键细节缺失扣1分，违反行业规范、标准的内容的扣1分，存在大量与本项目实际不匹配或无关的通用性、模板化内容扣1分，前后相矛盾，存在逻辑冲突或存在内容表述错误扣1分，技术要点存在套用其他项目方案或对本项目无针对性设置扣1分，指标分数扣完为止。</w:t>
            </w:r>
          </w:p>
        </w:tc>
      </w:tr>
      <w:tr w14:paraId="009CE45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80" w:hRule="atLeast"/>
          <w:jc w:val="center"/>
        </w:trPr>
        <w:tc>
          <w:tcPr>
            <w:tcW w:w="992" w:type="dxa"/>
            <w:vMerge w:val="continue"/>
            <w:vAlign w:val="center"/>
          </w:tcPr>
          <w:p w14:paraId="7893384B">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p>
        </w:tc>
        <w:tc>
          <w:tcPr>
            <w:tcW w:w="1701" w:type="dxa"/>
            <w:vAlign w:val="center"/>
          </w:tcPr>
          <w:p w14:paraId="52ED247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设计进度</w:t>
            </w:r>
            <w:r>
              <w:rPr>
                <w:rFonts w:hint="eastAsia" w:ascii="宋体" w:hAnsi="宋体" w:eastAsia="宋体" w:cs="宋体"/>
                <w:b/>
                <w:bCs/>
                <w:color w:val="auto"/>
                <w:szCs w:val="21"/>
                <w:highlight w:val="none"/>
                <w:lang w:val="en-US" w:eastAsia="zh-CN"/>
              </w:rPr>
              <w:t>计划</w:t>
            </w:r>
          </w:p>
          <w:p w14:paraId="569CA5C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（满分</w:t>
            </w:r>
            <w:r>
              <w:rPr>
                <w:rFonts w:hint="eastAsia" w:ascii="宋体" w:hAnsi="宋体" w:cs="宋体"/>
                <w:b/>
                <w:bCs/>
                <w:color w:val="auto"/>
                <w:szCs w:val="21"/>
                <w:highlight w:val="none"/>
                <w:lang w:val="en-US" w:eastAsia="zh-CN"/>
              </w:rPr>
              <w:t>15</w:t>
            </w:r>
            <w:r>
              <w:rPr>
                <w:rFonts w:hint="eastAsia" w:ascii="宋体" w:hAnsi="宋体" w:eastAsia="宋体" w:cs="宋体"/>
                <w:b/>
                <w:bCs/>
                <w:color w:val="auto"/>
                <w:szCs w:val="21"/>
                <w:highlight w:val="none"/>
                <w:lang w:val="en-US" w:eastAsia="zh-CN"/>
              </w:rPr>
              <w:t>分）</w:t>
            </w:r>
          </w:p>
        </w:tc>
        <w:tc>
          <w:tcPr>
            <w:tcW w:w="7593" w:type="dxa"/>
            <w:vAlign w:val="center"/>
          </w:tcPr>
          <w:p w14:paraId="24C96A71">
            <w:pPr>
              <w:keepNext w:val="0"/>
              <w:keepLines w:val="0"/>
              <w:suppressLineNumbers w:val="0"/>
              <w:shd w:val="clear"/>
              <w:adjustRightInd w:val="0"/>
              <w:snapToGrid w:val="0"/>
              <w:spacing w:before="0" w:beforeAutospacing="0" w:after="0" w:afterAutospacing="0" w:line="360" w:lineRule="auto"/>
              <w:ind w:left="0" w:right="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内容包括不限于：</w:t>
            </w:r>
          </w:p>
          <w:p w14:paraId="2DD4619F">
            <w:pPr>
              <w:keepNext w:val="0"/>
              <w:keepLines w:val="0"/>
              <w:suppressLineNumbers w:val="0"/>
              <w:shd w:val="clear"/>
              <w:adjustRightInd w:val="0"/>
              <w:snapToGrid w:val="0"/>
              <w:spacing w:before="0" w:beforeAutospacing="0" w:after="0" w:afterAutospacing="0" w:line="360" w:lineRule="auto"/>
              <w:ind w:left="0" w:right="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a.设计进度计划</w:t>
            </w:r>
            <w:r>
              <w:rPr>
                <w:rFonts w:hint="eastAsia" w:ascii="宋体" w:hAnsi="宋体" w:cs="宋体"/>
                <w:color w:val="auto"/>
                <w:szCs w:val="21"/>
                <w:highlight w:val="none"/>
                <w:lang w:val="zh-TW" w:eastAsia="zh-CN"/>
              </w:rPr>
              <w:t>；</w:t>
            </w:r>
            <w:r>
              <w:rPr>
                <w:rFonts w:hint="eastAsia" w:ascii="宋体" w:hAnsi="宋体" w:cs="宋体"/>
                <w:color w:val="auto"/>
                <w:szCs w:val="21"/>
                <w:highlight w:val="none"/>
                <w:lang w:val="en-US" w:eastAsia="zh-CN"/>
              </w:rPr>
              <w:t>b.进度保障措施；c.</w:t>
            </w:r>
            <w:r>
              <w:rPr>
                <w:rFonts w:hint="eastAsia" w:ascii="宋体" w:hAnsi="宋体" w:cs="宋体"/>
                <w:color w:val="auto"/>
                <w:szCs w:val="21"/>
                <w:highlight w:val="none"/>
                <w:lang w:val="zh-TW" w:eastAsia="zh-TW"/>
              </w:rPr>
              <w:t>违约责任</w:t>
            </w:r>
            <w:r>
              <w:rPr>
                <w:rFonts w:hint="eastAsia" w:ascii="宋体" w:hAnsi="宋体" w:cs="宋体"/>
                <w:color w:val="auto"/>
                <w:szCs w:val="21"/>
                <w:highlight w:val="none"/>
                <w:lang w:val="en-US" w:eastAsia="zh-CN"/>
              </w:rPr>
              <w:t>及</w:t>
            </w:r>
            <w:r>
              <w:rPr>
                <w:rFonts w:hint="eastAsia" w:ascii="宋体" w:hAnsi="宋体" w:cs="宋体"/>
                <w:color w:val="auto"/>
                <w:szCs w:val="21"/>
                <w:highlight w:val="none"/>
                <w:lang w:val="zh-TW" w:eastAsia="zh-TW"/>
              </w:rPr>
              <w:t>处罚</w:t>
            </w:r>
            <w:r>
              <w:rPr>
                <w:rFonts w:hint="eastAsia" w:ascii="宋体" w:hAnsi="宋体" w:cs="宋体"/>
                <w:color w:val="auto"/>
                <w:szCs w:val="21"/>
                <w:highlight w:val="none"/>
                <w:lang w:val="en-US" w:eastAsia="zh-CN"/>
              </w:rPr>
              <w:t>措施。</w:t>
            </w:r>
          </w:p>
          <w:p w14:paraId="3E53B2DA">
            <w:pPr>
              <w:keepNext w:val="0"/>
              <w:keepLines w:val="0"/>
              <w:suppressLineNumbers w:val="0"/>
              <w:shd w:val="clear"/>
              <w:adjustRightInd w:val="0"/>
              <w:snapToGrid w:val="0"/>
              <w:spacing w:before="0" w:beforeAutospacing="0" w:after="0" w:afterAutospacing="0" w:line="360" w:lineRule="auto"/>
              <w:ind w:left="0" w:right="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上述指标内容完整、清楚明了、表述规范、含义准确，满足文件要求的得</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lang w:eastAsia="zh-CN"/>
              </w:rPr>
              <w:t>分，每缺失一项指标</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分，每一项指标中内容存在瑕疵的按照扣分标准评分。</w:t>
            </w:r>
          </w:p>
          <w:p w14:paraId="55B111F7">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cs="宋体"/>
                <w:b w:val="0"/>
                <w:bCs/>
                <w:color w:val="auto"/>
                <w:szCs w:val="21"/>
                <w:highlight w:val="none"/>
              </w:rPr>
            </w:pPr>
            <w:r>
              <w:rPr>
                <w:rFonts w:hint="eastAsia" w:ascii="宋体" w:hAnsi="宋体" w:cs="宋体"/>
                <w:color w:val="auto"/>
                <w:szCs w:val="21"/>
                <w:highlight w:val="none"/>
                <w:lang w:eastAsia="zh-CN"/>
              </w:rPr>
              <w:t>指标扣分标准：指标存在内容不完整或内容过于简略，关键细节缺失扣1分，违反行业规范、标准的内容的扣1分，存在大量与本项目实际不匹配或无关的通用性、模板化内容扣1分，前后相矛盾，存在逻辑冲突或存在内容表述错误扣1分，技术要点存在套用其他项目方案或对本项目无针对性设置扣1分，指标分数扣完为止。</w:t>
            </w:r>
          </w:p>
        </w:tc>
      </w:tr>
      <w:tr w14:paraId="251AFE3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335" w:hRule="atLeast"/>
          <w:jc w:val="center"/>
        </w:trPr>
        <w:tc>
          <w:tcPr>
            <w:tcW w:w="992" w:type="dxa"/>
            <w:vMerge w:val="continue"/>
            <w:vAlign w:val="center"/>
          </w:tcPr>
          <w:p w14:paraId="390A4DC3">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p>
        </w:tc>
        <w:tc>
          <w:tcPr>
            <w:tcW w:w="1701" w:type="dxa"/>
            <w:tcBorders>
              <w:bottom w:val="single" w:color="auto" w:sz="4" w:space="0"/>
            </w:tcBorders>
            <w:vAlign w:val="center"/>
          </w:tcPr>
          <w:p w14:paraId="67BDC504">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Times New Roman"/>
                <w:color w:val="auto"/>
                <w:kern w:val="2"/>
                <w:sz w:val="21"/>
                <w:szCs w:val="21"/>
                <w:highlight w:val="none"/>
              </w:rPr>
            </w:pPr>
            <w:r>
              <w:rPr>
                <w:rFonts w:hint="eastAsia" w:ascii="宋体" w:hAnsi="宋体" w:eastAsia="宋体" w:cs="宋体"/>
                <w:b/>
                <w:bCs/>
                <w:color w:val="auto"/>
                <w:szCs w:val="21"/>
                <w:highlight w:val="none"/>
              </w:rPr>
              <w:t>质量保障措施</w:t>
            </w:r>
            <w:r>
              <w:rPr>
                <w:rFonts w:hint="eastAsia" w:ascii="宋体" w:hAnsi="宋体" w:eastAsia="宋体" w:cs="宋体"/>
                <w:b/>
                <w:bCs/>
                <w:color w:val="auto"/>
                <w:szCs w:val="21"/>
                <w:highlight w:val="none"/>
                <w:lang w:val="en-US" w:eastAsia="zh-CN"/>
              </w:rPr>
              <w:t>（满分1</w:t>
            </w:r>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分）</w:t>
            </w:r>
          </w:p>
          <w:p w14:paraId="5C551135">
            <w:pPr>
              <w:keepNext w:val="0"/>
              <w:keepLines w:val="0"/>
              <w:widowControl w:val="0"/>
              <w:suppressLineNumbers w:val="0"/>
              <w:spacing w:before="0" w:beforeAutospacing="0" w:after="0" w:afterAutospacing="0" w:line="273" w:lineRule="auto"/>
              <w:ind w:left="0" w:leftChars="0" w:right="0" w:rightChars="0"/>
              <w:jc w:val="center"/>
              <w:rPr>
                <w:rFonts w:hint="eastAsia" w:ascii="宋体" w:hAnsi="宋体" w:cs="宋体"/>
                <w:color w:val="auto"/>
                <w:szCs w:val="21"/>
                <w:highlight w:val="none"/>
              </w:rPr>
            </w:pPr>
          </w:p>
        </w:tc>
        <w:tc>
          <w:tcPr>
            <w:tcW w:w="7593" w:type="dxa"/>
            <w:tcBorders>
              <w:bottom w:val="single" w:color="auto" w:sz="4" w:space="0"/>
            </w:tcBorders>
            <w:vAlign w:val="center"/>
          </w:tcPr>
          <w:p w14:paraId="7D4C3C9D">
            <w:pPr>
              <w:keepNext w:val="0"/>
              <w:keepLines w:val="0"/>
              <w:numPr>
                <w:ilvl w:val="0"/>
                <w:numId w:val="0"/>
              </w:numPr>
              <w:suppressLineNumbers w:val="0"/>
              <w:shd w:val="clear"/>
              <w:adjustRightInd w:val="0"/>
              <w:snapToGrid w:val="0"/>
              <w:spacing w:before="0" w:beforeAutospacing="0" w:after="0" w:afterAutospacing="0" w:line="360" w:lineRule="auto"/>
              <w:ind w:left="0" w:leftChars="0" w:right="0" w:righ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内容包括但不限于：</w:t>
            </w:r>
          </w:p>
          <w:p w14:paraId="31FA6F58">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a.</w:t>
            </w:r>
            <w:r>
              <w:rPr>
                <w:rFonts w:hint="eastAsia" w:ascii="宋体" w:hAnsi="宋体" w:cs="宋体"/>
                <w:color w:val="auto"/>
                <w:kern w:val="2"/>
                <w:sz w:val="21"/>
                <w:szCs w:val="21"/>
                <w:highlight w:val="none"/>
                <w:lang w:val="en-US" w:eastAsia="zh-CN" w:bidi="ar-SA"/>
              </w:rPr>
              <w:t>质量管理体系保障控制措施；b.成果终身售后负责制度及措施</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c</w:t>
            </w:r>
            <w:r>
              <w:rPr>
                <w:rFonts w:hint="eastAsia" w:ascii="宋体" w:hAnsi="宋体" w:eastAsia="宋体" w:cs="宋体"/>
                <w:color w:val="auto"/>
                <w:kern w:val="2"/>
                <w:sz w:val="21"/>
                <w:szCs w:val="21"/>
                <w:highlight w:val="none"/>
                <w:lang w:val="en-US" w:eastAsia="zh-CN" w:bidi="ar-SA"/>
              </w:rPr>
              <w:t>.违约责任及处罚措施。</w:t>
            </w:r>
          </w:p>
          <w:p w14:paraId="7ED28B24">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上述指标内容完整、清楚明了、表述规范、含义准确，满足文件要求的得1</w:t>
            </w:r>
            <w:r>
              <w:rPr>
                <w:rFonts w:hint="eastAsia" w:ascii="宋体"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分，每缺失一项指标5分，每一项指标中内容存在瑕疵的按照扣分标准评分。</w:t>
            </w:r>
          </w:p>
          <w:p w14:paraId="16D71E5D">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cs="宋体"/>
                <w:color w:val="auto"/>
                <w:szCs w:val="21"/>
                <w:highlight w:val="none"/>
              </w:rPr>
            </w:pPr>
            <w:r>
              <w:rPr>
                <w:rFonts w:hint="eastAsia" w:ascii="宋体" w:hAnsi="宋体" w:eastAsia="宋体" w:cs="宋体"/>
                <w:color w:val="auto"/>
                <w:kern w:val="2"/>
                <w:sz w:val="21"/>
                <w:szCs w:val="21"/>
                <w:highlight w:val="none"/>
                <w:lang w:val="en-US" w:eastAsia="zh-CN" w:bidi="ar-SA"/>
              </w:rPr>
              <w:t>指标扣分标准：指标存在内容不完整或内容过于简略，关键细节缺失扣1分，违反行业规范、标准的内容的扣1分，存在大量与本项目实际不匹配或无关的通用性、模板化内容扣1分，前后相矛盾，存在逻辑冲突或存在内容表述错误扣1分，技术要点存在套用其他项目方案或对本项目无针对性设置扣1分，指标分数扣完为止。</w:t>
            </w:r>
          </w:p>
        </w:tc>
      </w:tr>
      <w:tr w14:paraId="7718D68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055" w:hRule="atLeast"/>
          <w:jc w:val="center"/>
        </w:trPr>
        <w:tc>
          <w:tcPr>
            <w:tcW w:w="992" w:type="dxa"/>
            <w:vMerge w:val="continue"/>
            <w:vAlign w:val="center"/>
          </w:tcPr>
          <w:p w14:paraId="2B392D30">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p>
        </w:tc>
        <w:tc>
          <w:tcPr>
            <w:tcW w:w="1701" w:type="dxa"/>
            <w:vAlign w:val="center"/>
          </w:tcPr>
          <w:p w14:paraId="183EBB2D">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人员及管理机构</w:t>
            </w:r>
          </w:p>
          <w:p w14:paraId="0B672DB9">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10</w:t>
            </w:r>
            <w:r>
              <w:rPr>
                <w:rFonts w:hint="eastAsia" w:ascii="宋体" w:hAnsi="宋体" w:eastAsia="宋体" w:cs="宋体"/>
                <w:b/>
                <w:bCs/>
                <w:color w:val="auto"/>
                <w:szCs w:val="21"/>
                <w:highlight w:val="none"/>
                <w:lang w:val="en-US" w:eastAsia="zh-CN"/>
              </w:rPr>
              <w:t>分）</w:t>
            </w:r>
          </w:p>
        </w:tc>
        <w:tc>
          <w:tcPr>
            <w:tcW w:w="7593" w:type="dxa"/>
            <w:vAlign w:val="center"/>
          </w:tcPr>
          <w:p w14:paraId="08FB1491">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eastAsia="宋体" w:cs="宋体"/>
                <w:color w:val="auto"/>
                <w:kern w:val="2"/>
                <w:sz w:val="21"/>
                <w:szCs w:val="21"/>
                <w:highlight w:val="none"/>
                <w:vertAlign w:val="baseline"/>
                <w:lang w:val="en-US" w:eastAsia="zh-CN" w:bidi="ar"/>
              </w:rPr>
            </w:pPr>
            <w:r>
              <w:rPr>
                <w:rFonts w:hint="eastAsia" w:ascii="宋体" w:hAnsi="宋体" w:eastAsia="宋体" w:cs="宋体"/>
                <w:color w:val="auto"/>
                <w:kern w:val="2"/>
                <w:sz w:val="21"/>
                <w:szCs w:val="21"/>
                <w:highlight w:val="none"/>
                <w:vertAlign w:val="baseline"/>
                <w:lang w:val="en-US" w:eastAsia="zh-CN" w:bidi="ar"/>
              </w:rPr>
              <w:t>项目组织机构管理体系及程序（</w:t>
            </w:r>
            <w:r>
              <w:rPr>
                <w:rFonts w:hint="eastAsia" w:ascii="宋体" w:hAnsi="宋体" w:cs="宋体"/>
                <w:color w:val="auto"/>
                <w:kern w:val="2"/>
                <w:sz w:val="21"/>
                <w:szCs w:val="21"/>
                <w:highlight w:val="none"/>
                <w:vertAlign w:val="baseline"/>
                <w:lang w:val="en-US" w:eastAsia="zh-CN" w:bidi="ar"/>
              </w:rPr>
              <w:t>10</w:t>
            </w:r>
            <w:r>
              <w:rPr>
                <w:rFonts w:hint="eastAsia" w:ascii="宋体" w:hAnsi="宋体" w:eastAsia="宋体" w:cs="宋体"/>
                <w:color w:val="auto"/>
                <w:kern w:val="2"/>
                <w:sz w:val="21"/>
                <w:szCs w:val="21"/>
                <w:highlight w:val="none"/>
                <w:vertAlign w:val="baseline"/>
                <w:lang w:val="en-US" w:eastAsia="zh-CN" w:bidi="ar"/>
              </w:rPr>
              <w:t>分）</w:t>
            </w:r>
          </w:p>
          <w:p w14:paraId="403CCE9C">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eastAsia="宋体" w:cs="宋体"/>
                <w:color w:val="auto"/>
                <w:kern w:val="2"/>
                <w:sz w:val="21"/>
                <w:szCs w:val="21"/>
                <w:highlight w:val="none"/>
                <w:vertAlign w:val="baseline"/>
                <w:lang w:val="en-US" w:eastAsia="zh-CN" w:bidi="ar"/>
              </w:rPr>
            </w:pPr>
            <w:r>
              <w:rPr>
                <w:rFonts w:hint="eastAsia" w:ascii="宋体" w:hAnsi="宋体" w:eastAsia="宋体" w:cs="宋体"/>
                <w:color w:val="auto"/>
                <w:kern w:val="2"/>
                <w:sz w:val="21"/>
                <w:szCs w:val="21"/>
                <w:highlight w:val="none"/>
                <w:vertAlign w:val="baseline"/>
                <w:lang w:val="en-US" w:eastAsia="zh-CN" w:bidi="ar"/>
              </w:rPr>
              <w:t>a.项目组织机构管理体系完善，</w:t>
            </w:r>
            <w:r>
              <w:rPr>
                <w:rFonts w:hint="eastAsia" w:ascii="宋体" w:hAnsi="宋体" w:cs="宋体"/>
                <w:color w:val="auto"/>
                <w:kern w:val="2"/>
                <w:sz w:val="21"/>
                <w:szCs w:val="21"/>
                <w:highlight w:val="none"/>
                <w:vertAlign w:val="baseline"/>
                <w:lang w:val="en-US" w:eastAsia="zh-CN" w:bidi="ar"/>
              </w:rPr>
              <w:t>分工合理</w:t>
            </w:r>
            <w:r>
              <w:rPr>
                <w:rFonts w:hint="eastAsia" w:ascii="宋体" w:hAnsi="宋体" w:eastAsia="宋体" w:cs="宋体"/>
                <w:color w:val="auto"/>
                <w:kern w:val="2"/>
                <w:sz w:val="21"/>
                <w:szCs w:val="21"/>
                <w:highlight w:val="none"/>
                <w:vertAlign w:val="baseline"/>
                <w:lang w:val="en-US" w:eastAsia="zh-CN" w:bidi="ar"/>
              </w:rPr>
              <w:t>，管理程序科学合理，人员安排的专业，配置合理齐全，能够保障项目</w:t>
            </w:r>
            <w:r>
              <w:rPr>
                <w:rFonts w:hint="eastAsia" w:ascii="宋体" w:hAnsi="宋体" w:cs="宋体"/>
                <w:color w:val="auto"/>
                <w:kern w:val="2"/>
                <w:sz w:val="21"/>
                <w:szCs w:val="21"/>
                <w:highlight w:val="none"/>
                <w:vertAlign w:val="baseline"/>
                <w:lang w:val="en-US" w:eastAsia="zh-CN" w:bidi="ar"/>
              </w:rPr>
              <w:t>服务</w:t>
            </w:r>
            <w:r>
              <w:rPr>
                <w:rFonts w:hint="eastAsia" w:ascii="宋体" w:hAnsi="宋体" w:eastAsia="宋体" w:cs="宋体"/>
                <w:color w:val="auto"/>
                <w:kern w:val="2"/>
                <w:sz w:val="21"/>
                <w:szCs w:val="21"/>
                <w:highlight w:val="none"/>
                <w:vertAlign w:val="baseline"/>
                <w:lang w:val="en-US" w:eastAsia="zh-CN" w:bidi="ar"/>
              </w:rPr>
              <w:t>要求的得</w:t>
            </w:r>
            <w:r>
              <w:rPr>
                <w:rFonts w:hint="eastAsia" w:ascii="宋体" w:hAnsi="宋体" w:cs="宋体"/>
                <w:color w:val="auto"/>
                <w:kern w:val="2"/>
                <w:sz w:val="21"/>
                <w:szCs w:val="21"/>
                <w:highlight w:val="none"/>
                <w:vertAlign w:val="baseline"/>
                <w:lang w:val="en-US" w:eastAsia="zh-CN" w:bidi="ar"/>
              </w:rPr>
              <w:t>10</w:t>
            </w:r>
            <w:r>
              <w:rPr>
                <w:rFonts w:hint="eastAsia" w:ascii="宋体" w:hAnsi="宋体" w:eastAsia="宋体" w:cs="宋体"/>
                <w:color w:val="auto"/>
                <w:kern w:val="2"/>
                <w:sz w:val="21"/>
                <w:szCs w:val="21"/>
                <w:highlight w:val="none"/>
                <w:vertAlign w:val="baseline"/>
                <w:lang w:val="en-US" w:eastAsia="zh-CN" w:bidi="ar"/>
              </w:rPr>
              <w:t>分；</w:t>
            </w:r>
          </w:p>
          <w:p w14:paraId="351BA305">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eastAsia="宋体" w:cs="宋体"/>
                <w:color w:val="auto"/>
                <w:kern w:val="2"/>
                <w:sz w:val="21"/>
                <w:szCs w:val="21"/>
                <w:highlight w:val="none"/>
                <w:vertAlign w:val="baseline"/>
                <w:lang w:val="en-US" w:eastAsia="zh-CN" w:bidi="ar"/>
              </w:rPr>
            </w:pPr>
            <w:r>
              <w:rPr>
                <w:rFonts w:hint="eastAsia" w:ascii="宋体" w:hAnsi="宋体" w:eastAsia="宋体" w:cs="宋体"/>
                <w:color w:val="auto"/>
                <w:kern w:val="2"/>
                <w:sz w:val="21"/>
                <w:szCs w:val="21"/>
                <w:highlight w:val="none"/>
                <w:vertAlign w:val="baseline"/>
                <w:lang w:val="en-US" w:eastAsia="zh-CN" w:bidi="ar"/>
              </w:rPr>
              <w:t>b.项目组织机构管理体系基本完善，</w:t>
            </w:r>
            <w:r>
              <w:rPr>
                <w:rFonts w:hint="eastAsia" w:ascii="宋体" w:hAnsi="宋体" w:cs="宋体"/>
                <w:color w:val="auto"/>
                <w:kern w:val="2"/>
                <w:sz w:val="21"/>
                <w:szCs w:val="21"/>
                <w:highlight w:val="none"/>
                <w:vertAlign w:val="baseline"/>
                <w:lang w:val="en-US" w:eastAsia="zh-CN" w:bidi="ar"/>
              </w:rPr>
              <w:t>分工基本合理</w:t>
            </w:r>
            <w:r>
              <w:rPr>
                <w:rFonts w:hint="eastAsia" w:ascii="宋体" w:hAnsi="宋体" w:eastAsia="宋体" w:cs="宋体"/>
                <w:color w:val="auto"/>
                <w:kern w:val="2"/>
                <w:sz w:val="21"/>
                <w:szCs w:val="21"/>
                <w:highlight w:val="none"/>
                <w:vertAlign w:val="baseline"/>
                <w:lang w:val="en-US" w:eastAsia="zh-CN" w:bidi="ar"/>
              </w:rPr>
              <w:t>，管理程序合理，人员安排的专业，配置基本齐全，能够保障项目</w:t>
            </w:r>
            <w:r>
              <w:rPr>
                <w:rFonts w:hint="eastAsia" w:ascii="宋体" w:hAnsi="宋体" w:cs="宋体"/>
                <w:color w:val="auto"/>
                <w:kern w:val="2"/>
                <w:sz w:val="21"/>
                <w:szCs w:val="21"/>
                <w:highlight w:val="none"/>
                <w:vertAlign w:val="baseline"/>
                <w:lang w:val="en-US" w:eastAsia="zh-CN" w:bidi="ar"/>
              </w:rPr>
              <w:t>服务</w:t>
            </w:r>
            <w:r>
              <w:rPr>
                <w:rFonts w:hint="eastAsia" w:ascii="宋体" w:hAnsi="宋体" w:eastAsia="宋体" w:cs="宋体"/>
                <w:color w:val="auto"/>
                <w:kern w:val="2"/>
                <w:sz w:val="21"/>
                <w:szCs w:val="21"/>
                <w:highlight w:val="none"/>
                <w:vertAlign w:val="baseline"/>
                <w:lang w:val="en-US" w:eastAsia="zh-CN" w:bidi="ar"/>
              </w:rPr>
              <w:t>要求的得</w:t>
            </w:r>
            <w:r>
              <w:rPr>
                <w:rFonts w:hint="eastAsia" w:ascii="宋体" w:hAnsi="宋体" w:cs="宋体"/>
                <w:color w:val="auto"/>
                <w:kern w:val="2"/>
                <w:sz w:val="21"/>
                <w:szCs w:val="21"/>
                <w:highlight w:val="none"/>
                <w:vertAlign w:val="baseline"/>
                <w:lang w:val="en-US" w:eastAsia="zh-CN" w:bidi="ar"/>
              </w:rPr>
              <w:t>7</w:t>
            </w:r>
            <w:r>
              <w:rPr>
                <w:rFonts w:hint="eastAsia" w:ascii="宋体" w:hAnsi="宋体" w:eastAsia="宋体" w:cs="宋体"/>
                <w:color w:val="auto"/>
                <w:kern w:val="2"/>
                <w:sz w:val="21"/>
                <w:szCs w:val="21"/>
                <w:highlight w:val="none"/>
                <w:vertAlign w:val="baseline"/>
                <w:lang w:val="en-US" w:eastAsia="zh-CN" w:bidi="ar"/>
              </w:rPr>
              <w:t>分；</w:t>
            </w:r>
          </w:p>
          <w:p w14:paraId="04ECE2DD">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eastAsia="宋体" w:cs="宋体"/>
                <w:color w:val="auto"/>
                <w:kern w:val="2"/>
                <w:sz w:val="21"/>
                <w:szCs w:val="21"/>
                <w:highlight w:val="none"/>
                <w:vertAlign w:val="baseline"/>
                <w:lang w:val="en-US" w:eastAsia="zh-CN" w:bidi="ar"/>
              </w:rPr>
            </w:pPr>
            <w:r>
              <w:rPr>
                <w:rFonts w:hint="eastAsia" w:ascii="宋体" w:hAnsi="宋体" w:eastAsia="宋体" w:cs="宋体"/>
                <w:color w:val="auto"/>
                <w:kern w:val="2"/>
                <w:sz w:val="21"/>
                <w:szCs w:val="21"/>
                <w:highlight w:val="none"/>
                <w:vertAlign w:val="baseline"/>
                <w:lang w:val="en-US" w:eastAsia="zh-CN" w:bidi="ar"/>
              </w:rPr>
              <w:t>c.项目组织机构管理体系不完善，</w:t>
            </w:r>
            <w:r>
              <w:rPr>
                <w:rFonts w:hint="eastAsia" w:ascii="宋体" w:hAnsi="宋体" w:cs="宋体"/>
                <w:color w:val="auto"/>
                <w:kern w:val="2"/>
                <w:sz w:val="21"/>
                <w:szCs w:val="21"/>
                <w:highlight w:val="none"/>
                <w:vertAlign w:val="baseline"/>
                <w:lang w:val="en-US" w:eastAsia="zh-CN" w:bidi="ar"/>
              </w:rPr>
              <w:t>分工不合理</w:t>
            </w:r>
            <w:r>
              <w:rPr>
                <w:rFonts w:hint="eastAsia" w:ascii="宋体" w:hAnsi="宋体" w:eastAsia="宋体" w:cs="宋体"/>
                <w:color w:val="auto"/>
                <w:kern w:val="2"/>
                <w:sz w:val="21"/>
                <w:szCs w:val="21"/>
                <w:highlight w:val="none"/>
                <w:vertAlign w:val="baseline"/>
                <w:lang w:val="en-US" w:eastAsia="zh-CN" w:bidi="ar"/>
              </w:rPr>
              <w:t>，管理程序混乱，人员安排的专业，配置不齐全，无法保障项目</w:t>
            </w:r>
            <w:r>
              <w:rPr>
                <w:rFonts w:hint="eastAsia" w:ascii="宋体" w:hAnsi="宋体" w:cs="宋体"/>
                <w:color w:val="auto"/>
                <w:kern w:val="2"/>
                <w:sz w:val="21"/>
                <w:szCs w:val="21"/>
                <w:highlight w:val="none"/>
                <w:vertAlign w:val="baseline"/>
                <w:lang w:val="en-US" w:eastAsia="zh-CN" w:bidi="ar"/>
              </w:rPr>
              <w:t>服务</w:t>
            </w:r>
            <w:r>
              <w:rPr>
                <w:rFonts w:hint="eastAsia" w:ascii="宋体" w:hAnsi="宋体" w:eastAsia="宋体" w:cs="宋体"/>
                <w:color w:val="auto"/>
                <w:kern w:val="2"/>
                <w:sz w:val="21"/>
                <w:szCs w:val="21"/>
                <w:highlight w:val="none"/>
                <w:vertAlign w:val="baseline"/>
                <w:lang w:val="en-US" w:eastAsia="zh-CN" w:bidi="ar"/>
              </w:rPr>
              <w:t>要求的得</w:t>
            </w:r>
            <w:r>
              <w:rPr>
                <w:rFonts w:hint="eastAsia" w:ascii="宋体" w:hAnsi="宋体" w:cs="宋体"/>
                <w:color w:val="auto"/>
                <w:kern w:val="2"/>
                <w:sz w:val="21"/>
                <w:szCs w:val="21"/>
                <w:highlight w:val="none"/>
                <w:vertAlign w:val="baseline"/>
                <w:lang w:val="en-US" w:eastAsia="zh-CN" w:bidi="ar"/>
              </w:rPr>
              <w:t>3</w:t>
            </w:r>
            <w:r>
              <w:rPr>
                <w:rFonts w:hint="eastAsia" w:ascii="宋体" w:hAnsi="宋体" w:eastAsia="宋体" w:cs="宋体"/>
                <w:color w:val="auto"/>
                <w:kern w:val="2"/>
                <w:sz w:val="21"/>
                <w:szCs w:val="21"/>
                <w:highlight w:val="none"/>
                <w:vertAlign w:val="baseline"/>
                <w:lang w:val="en-US" w:eastAsia="zh-CN" w:bidi="ar"/>
              </w:rPr>
              <w:t>分；</w:t>
            </w:r>
          </w:p>
          <w:p w14:paraId="13B10013">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cs="宋体"/>
                <w:color w:val="auto"/>
                <w:szCs w:val="21"/>
                <w:highlight w:val="none"/>
              </w:rPr>
            </w:pPr>
            <w:r>
              <w:rPr>
                <w:rFonts w:hint="eastAsia" w:ascii="宋体" w:hAnsi="宋体" w:eastAsia="宋体" w:cs="宋体"/>
                <w:color w:val="auto"/>
                <w:kern w:val="2"/>
                <w:sz w:val="21"/>
                <w:szCs w:val="21"/>
                <w:highlight w:val="none"/>
                <w:vertAlign w:val="baseline"/>
                <w:lang w:val="en-US" w:eastAsia="zh-CN" w:bidi="ar"/>
              </w:rPr>
              <w:t>d.未提供的不得分。</w:t>
            </w:r>
          </w:p>
        </w:tc>
      </w:tr>
      <w:tr w14:paraId="19A3C6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055" w:hRule="atLeast"/>
          <w:jc w:val="center"/>
        </w:trPr>
        <w:tc>
          <w:tcPr>
            <w:tcW w:w="992" w:type="dxa"/>
            <w:vMerge w:val="continue"/>
            <w:vAlign w:val="center"/>
          </w:tcPr>
          <w:p w14:paraId="01C7B4C5">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p>
        </w:tc>
        <w:tc>
          <w:tcPr>
            <w:tcW w:w="1701" w:type="dxa"/>
            <w:vAlign w:val="center"/>
          </w:tcPr>
          <w:p w14:paraId="5CEF92F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企业业绩评审</w:t>
            </w:r>
          </w:p>
          <w:p w14:paraId="78CD48DD">
            <w:pPr>
              <w:keepNext w:val="0"/>
              <w:keepLines w:val="0"/>
              <w:widowControl w:val="0"/>
              <w:suppressLineNumbers w:val="0"/>
              <w:spacing w:before="0" w:beforeAutospacing="0" w:after="0" w:afterAutospacing="0" w:line="360"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（10分）</w:t>
            </w:r>
          </w:p>
        </w:tc>
        <w:tc>
          <w:tcPr>
            <w:tcW w:w="7593" w:type="dxa"/>
            <w:vAlign w:val="center"/>
          </w:tcPr>
          <w:p w14:paraId="602BEBCE">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eastAsia="宋体" w:cs="宋体"/>
                <w:color w:val="auto"/>
                <w:kern w:val="2"/>
                <w:sz w:val="21"/>
                <w:szCs w:val="21"/>
                <w:highlight w:val="none"/>
                <w:vertAlign w:val="baseline"/>
                <w:lang w:val="en-US" w:eastAsia="zh-CN" w:bidi="ar"/>
              </w:rPr>
            </w:pPr>
            <w:r>
              <w:rPr>
                <w:rFonts w:hint="eastAsia" w:ascii="宋体" w:hAnsi="宋体" w:cs="宋体"/>
                <w:color w:val="auto"/>
                <w:kern w:val="2"/>
                <w:sz w:val="21"/>
                <w:szCs w:val="21"/>
                <w:highlight w:val="none"/>
                <w:vertAlign w:val="baseline"/>
                <w:lang w:val="en-US" w:eastAsia="zh-CN" w:bidi="ar"/>
              </w:rPr>
              <w:t>供应商</w:t>
            </w:r>
            <w:r>
              <w:rPr>
                <w:rFonts w:hint="eastAsia" w:ascii="宋体" w:hAnsi="宋体" w:eastAsia="宋体" w:cs="宋体"/>
                <w:color w:val="auto"/>
                <w:kern w:val="2"/>
                <w:sz w:val="21"/>
                <w:szCs w:val="21"/>
                <w:highlight w:val="none"/>
                <w:vertAlign w:val="baseline"/>
                <w:lang w:val="en-US" w:eastAsia="zh-CN" w:bidi="ar"/>
              </w:rPr>
              <w:t>每承担过1个</w:t>
            </w:r>
            <w:r>
              <w:rPr>
                <w:rFonts w:hint="eastAsia" w:ascii="宋体" w:hAnsi="宋体" w:cs="宋体"/>
                <w:color w:val="auto"/>
                <w:kern w:val="2"/>
                <w:sz w:val="21"/>
                <w:szCs w:val="21"/>
                <w:highlight w:val="none"/>
                <w:vertAlign w:val="baseline"/>
                <w:lang w:val="en-US" w:eastAsia="zh-CN" w:bidi="ar"/>
              </w:rPr>
              <w:t>设计</w:t>
            </w:r>
            <w:r>
              <w:rPr>
                <w:rFonts w:hint="eastAsia" w:ascii="宋体" w:hAnsi="宋体" w:eastAsia="宋体" w:cs="宋体"/>
                <w:color w:val="auto"/>
                <w:kern w:val="2"/>
                <w:sz w:val="21"/>
                <w:szCs w:val="21"/>
                <w:highlight w:val="none"/>
                <w:vertAlign w:val="baseline"/>
                <w:lang w:val="en-US" w:eastAsia="zh-CN" w:bidi="ar"/>
              </w:rPr>
              <w:t>服务类似业绩的得</w:t>
            </w:r>
            <w:r>
              <w:rPr>
                <w:rFonts w:hint="eastAsia" w:ascii="宋体" w:hAnsi="宋体" w:cs="宋体"/>
                <w:color w:val="auto"/>
                <w:kern w:val="2"/>
                <w:sz w:val="21"/>
                <w:szCs w:val="21"/>
                <w:highlight w:val="none"/>
                <w:vertAlign w:val="baseline"/>
                <w:lang w:val="en-US" w:eastAsia="zh-CN" w:bidi="ar"/>
              </w:rPr>
              <w:t>2</w:t>
            </w:r>
            <w:r>
              <w:rPr>
                <w:rFonts w:hint="eastAsia" w:ascii="宋体" w:hAnsi="宋体" w:eastAsia="宋体" w:cs="宋体"/>
                <w:color w:val="auto"/>
                <w:kern w:val="2"/>
                <w:sz w:val="21"/>
                <w:szCs w:val="21"/>
                <w:highlight w:val="none"/>
                <w:vertAlign w:val="baseline"/>
                <w:lang w:val="en-US" w:eastAsia="zh-CN" w:bidi="ar"/>
              </w:rPr>
              <w:t>分，满分</w:t>
            </w:r>
            <w:r>
              <w:rPr>
                <w:rFonts w:hint="eastAsia" w:ascii="宋体" w:hAnsi="宋体" w:cs="宋体"/>
                <w:color w:val="auto"/>
                <w:kern w:val="2"/>
                <w:sz w:val="21"/>
                <w:szCs w:val="21"/>
                <w:highlight w:val="none"/>
                <w:vertAlign w:val="baseline"/>
                <w:lang w:val="en-US" w:eastAsia="zh-CN" w:bidi="ar"/>
              </w:rPr>
              <w:t>10</w:t>
            </w:r>
            <w:r>
              <w:rPr>
                <w:rFonts w:hint="eastAsia" w:ascii="宋体" w:hAnsi="宋体" w:eastAsia="宋体" w:cs="宋体"/>
                <w:color w:val="auto"/>
                <w:kern w:val="2"/>
                <w:sz w:val="21"/>
                <w:szCs w:val="21"/>
                <w:highlight w:val="none"/>
                <w:vertAlign w:val="baseline"/>
                <w:lang w:val="en-US" w:eastAsia="zh-CN" w:bidi="ar"/>
              </w:rPr>
              <w:t>分。</w:t>
            </w:r>
          </w:p>
          <w:p w14:paraId="4010E874">
            <w:pPr>
              <w:keepNext w:val="0"/>
              <w:keepLines w:val="0"/>
              <w:widowControl w:val="0"/>
              <w:suppressLineNumbers w:val="0"/>
              <w:snapToGrid w:val="0"/>
              <w:spacing w:before="0" w:beforeAutospacing="0" w:after="0" w:afterAutospacing="0" w:line="360" w:lineRule="auto"/>
              <w:ind w:left="0" w:leftChars="0" w:right="0" w:rightChars="0"/>
              <w:jc w:val="left"/>
              <w:textAlignment w:val="baseline"/>
              <w:rPr>
                <w:rFonts w:hint="eastAsia" w:ascii="宋体" w:hAnsi="宋体" w:eastAsia="宋体" w:cs="宋体"/>
                <w:color w:val="auto"/>
                <w:kern w:val="2"/>
                <w:sz w:val="21"/>
                <w:szCs w:val="21"/>
                <w:highlight w:val="none"/>
                <w:vertAlign w:val="baseline"/>
                <w:lang w:val="en-US" w:eastAsia="zh-CN" w:bidi="ar"/>
              </w:rPr>
            </w:pPr>
            <w:r>
              <w:rPr>
                <w:rFonts w:hint="eastAsia" w:ascii="宋体" w:hAnsi="宋体" w:eastAsia="宋体" w:cs="宋体"/>
                <w:color w:val="auto"/>
                <w:kern w:val="2"/>
                <w:sz w:val="21"/>
                <w:szCs w:val="21"/>
                <w:highlight w:val="none"/>
                <w:vertAlign w:val="baseline"/>
                <w:lang w:val="en-US" w:eastAsia="zh-CN" w:bidi="ar"/>
              </w:rPr>
              <w:t>类似业绩证明材料须提供中标（成交）通知书或合同协议书等有效证明文件，未提供有效业绩证明材料的不得分。联合体双方根据各自承担任务情况分别提供符合要求的业绩。</w:t>
            </w:r>
          </w:p>
        </w:tc>
      </w:tr>
    </w:tbl>
    <w:p w14:paraId="6C330CDD">
      <w:pPr>
        <w:tabs>
          <w:tab w:val="left" w:pos="1080"/>
        </w:tabs>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lang w:val="en-US" w:eastAsia="zh-CN"/>
        </w:rPr>
        <w:t>7</w:t>
      </w:r>
      <w:r>
        <w:rPr>
          <w:rFonts w:hint="eastAsia" w:ascii="宋体" w:hAnsi="宋体"/>
          <w:b/>
          <w:bCs/>
          <w:color w:val="auto"/>
          <w:szCs w:val="21"/>
          <w:highlight w:val="none"/>
        </w:rPr>
        <w:t>、报价符合性审查</w:t>
      </w:r>
    </w:p>
    <w:p w14:paraId="7D816BA6">
      <w:pPr>
        <w:tabs>
          <w:tab w:val="left" w:pos="108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报价符合性审查不能满足评审标准的供应商，不得通过报价符合性审查，不得进入报价评审。</w:t>
      </w:r>
    </w:p>
    <w:tbl>
      <w:tblPr>
        <w:tblStyle w:val="50"/>
        <w:tblW w:w="10074" w:type="dxa"/>
        <w:tblInd w:w="-881"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757"/>
        <w:gridCol w:w="3042"/>
        <w:gridCol w:w="4275"/>
      </w:tblGrid>
      <w:tr w14:paraId="469DC0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757" w:type="dxa"/>
            <w:vAlign w:val="center"/>
          </w:tcPr>
          <w:p w14:paraId="690BB8C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条款号</w:t>
            </w:r>
          </w:p>
        </w:tc>
        <w:tc>
          <w:tcPr>
            <w:tcW w:w="3042" w:type="dxa"/>
            <w:vAlign w:val="center"/>
          </w:tcPr>
          <w:p w14:paraId="01BBFB9E">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评审因素</w:t>
            </w:r>
          </w:p>
        </w:tc>
        <w:tc>
          <w:tcPr>
            <w:tcW w:w="4275" w:type="dxa"/>
            <w:vAlign w:val="center"/>
          </w:tcPr>
          <w:p w14:paraId="23B089A8">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
                <w:color w:val="auto"/>
                <w:szCs w:val="21"/>
                <w:highlight w:val="none"/>
              </w:rPr>
            </w:pPr>
            <w:r>
              <w:rPr>
                <w:rFonts w:hint="default" w:ascii="宋体" w:hAnsi="宋体"/>
                <w:b/>
                <w:color w:val="auto"/>
                <w:szCs w:val="21"/>
                <w:highlight w:val="none"/>
              </w:rPr>
              <w:t>评审标准</w:t>
            </w:r>
          </w:p>
        </w:tc>
      </w:tr>
      <w:tr w14:paraId="371624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757" w:type="dxa"/>
            <w:vMerge w:val="restart"/>
            <w:vAlign w:val="center"/>
          </w:tcPr>
          <w:p w14:paraId="2CF9A5D4">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szCs w:val="21"/>
                <w:highlight w:val="none"/>
              </w:rPr>
            </w:pPr>
            <w:r>
              <w:rPr>
                <w:rFonts w:hint="eastAsia" w:ascii="宋体" w:hAnsi="宋体"/>
                <w:bCs/>
                <w:color w:val="auto"/>
                <w:highlight w:val="none"/>
              </w:rPr>
              <w:t>报价符合性审查</w:t>
            </w:r>
            <w:r>
              <w:rPr>
                <w:rFonts w:hint="eastAsia" w:ascii="宋体" w:hAnsi="宋体"/>
                <w:bCs/>
                <w:color w:val="auto"/>
                <w:szCs w:val="21"/>
                <w:highlight w:val="none"/>
              </w:rPr>
              <w:t>标准</w:t>
            </w:r>
          </w:p>
        </w:tc>
        <w:tc>
          <w:tcPr>
            <w:tcW w:w="3042" w:type="dxa"/>
            <w:vAlign w:val="center"/>
          </w:tcPr>
          <w:p w14:paraId="005B827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szCs w:val="21"/>
                <w:highlight w:val="none"/>
              </w:rPr>
            </w:pPr>
            <w:r>
              <w:rPr>
                <w:rFonts w:hint="eastAsia" w:ascii="宋体" w:hAnsi="宋体"/>
                <w:bCs/>
                <w:color w:val="auto"/>
                <w:highlight w:val="none"/>
              </w:rPr>
              <w:t>报价</w:t>
            </w:r>
          </w:p>
        </w:tc>
        <w:tc>
          <w:tcPr>
            <w:tcW w:w="4275" w:type="dxa"/>
            <w:vAlign w:val="center"/>
          </w:tcPr>
          <w:p w14:paraId="51A80D6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eastAsia" w:ascii="宋体" w:hAnsi="宋体"/>
                <w:color w:val="auto"/>
                <w:szCs w:val="21"/>
                <w:highlight w:val="none"/>
              </w:rPr>
              <w:t>磋商报价符合竞争性磋商文件要求，按照竞争性磋商文件规定形式进行报价，未超过拦标价，或低于成本报价的。</w:t>
            </w:r>
          </w:p>
        </w:tc>
      </w:tr>
      <w:tr w14:paraId="4426CF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2757" w:type="dxa"/>
            <w:vMerge w:val="continue"/>
            <w:vAlign w:val="center"/>
          </w:tcPr>
          <w:p w14:paraId="677F1CF7">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p>
        </w:tc>
        <w:tc>
          <w:tcPr>
            <w:tcW w:w="3042" w:type="dxa"/>
            <w:vAlign w:val="center"/>
          </w:tcPr>
          <w:p w14:paraId="12872D9D">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default" w:ascii="宋体" w:hAnsi="宋体"/>
                <w:color w:val="auto"/>
                <w:szCs w:val="21"/>
                <w:highlight w:val="none"/>
              </w:rPr>
              <w:t>报价唯一</w:t>
            </w:r>
          </w:p>
        </w:tc>
        <w:tc>
          <w:tcPr>
            <w:tcW w:w="4275" w:type="dxa"/>
            <w:vAlign w:val="center"/>
          </w:tcPr>
          <w:p w14:paraId="66ED9981">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default" w:ascii="宋体" w:hAnsi="宋体"/>
                <w:color w:val="auto"/>
                <w:szCs w:val="21"/>
                <w:highlight w:val="none"/>
              </w:rPr>
              <w:t>只能有一个有效报价</w:t>
            </w:r>
            <w:r>
              <w:rPr>
                <w:rFonts w:hint="eastAsia" w:ascii="宋体" w:hAnsi="宋体"/>
                <w:color w:val="auto"/>
                <w:szCs w:val="21"/>
                <w:highlight w:val="none"/>
              </w:rPr>
              <w:t>。</w:t>
            </w:r>
          </w:p>
        </w:tc>
      </w:tr>
      <w:tr w14:paraId="45A0A1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5" w:hRule="atLeast"/>
        </w:trPr>
        <w:tc>
          <w:tcPr>
            <w:tcW w:w="2757" w:type="dxa"/>
            <w:vMerge w:val="continue"/>
            <w:vAlign w:val="center"/>
          </w:tcPr>
          <w:p w14:paraId="20032CFC">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p>
        </w:tc>
        <w:tc>
          <w:tcPr>
            <w:tcW w:w="3042" w:type="dxa"/>
            <w:vAlign w:val="center"/>
          </w:tcPr>
          <w:p w14:paraId="34E18562">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eastAsia" w:ascii="宋体" w:hAnsi="宋体"/>
                <w:bCs/>
                <w:color w:val="auto"/>
                <w:highlight w:val="none"/>
              </w:rPr>
              <w:t>内容格式</w:t>
            </w:r>
          </w:p>
        </w:tc>
        <w:tc>
          <w:tcPr>
            <w:tcW w:w="4275" w:type="dxa"/>
            <w:vAlign w:val="center"/>
          </w:tcPr>
          <w:p w14:paraId="4AC6BF2B">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eastAsia" w:ascii="宋体" w:hAnsi="宋体"/>
                <w:bCs/>
                <w:color w:val="auto"/>
                <w:highlight w:val="none"/>
              </w:rPr>
              <w:t>报价文件按照竞争性磋商文件规定的格式、内容填写，字迹清晰可辨，内容齐全完整：</w:t>
            </w:r>
          </w:p>
        </w:tc>
      </w:tr>
      <w:tr w14:paraId="584609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2757" w:type="dxa"/>
            <w:vMerge w:val="continue"/>
            <w:vAlign w:val="center"/>
          </w:tcPr>
          <w:p w14:paraId="3E6BEC65">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p>
        </w:tc>
        <w:tc>
          <w:tcPr>
            <w:tcW w:w="3042" w:type="dxa"/>
            <w:vAlign w:val="center"/>
          </w:tcPr>
          <w:p w14:paraId="4D58BE00">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default" w:ascii="宋体" w:hAnsi="宋体"/>
                <w:color w:val="auto"/>
                <w:szCs w:val="21"/>
                <w:highlight w:val="none"/>
              </w:rPr>
              <w:t>响应文件签字盖章</w:t>
            </w:r>
          </w:p>
        </w:tc>
        <w:tc>
          <w:tcPr>
            <w:tcW w:w="4275" w:type="dxa"/>
            <w:vAlign w:val="center"/>
          </w:tcPr>
          <w:p w14:paraId="607DE1A3">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bCs/>
                <w:color w:val="auto"/>
                <w:highlight w:val="none"/>
              </w:rPr>
            </w:pPr>
            <w:r>
              <w:rPr>
                <w:rFonts w:hint="default" w:ascii="宋体" w:hAnsi="宋体"/>
                <w:color w:val="auto"/>
                <w:szCs w:val="21"/>
                <w:highlight w:val="none"/>
              </w:rPr>
              <w:t>符合供应商须知前附表3.6.3项要求。</w:t>
            </w:r>
          </w:p>
        </w:tc>
      </w:tr>
    </w:tbl>
    <w:p w14:paraId="11EDF510">
      <w:pPr>
        <w:autoSpaceDE w:val="0"/>
        <w:autoSpaceDN w:val="0"/>
        <w:adjustRightInd w:val="0"/>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注：响应文件报价出现前后不一致的，除竞争性磋商文件另有规定外，按照下列规定修正：</w:t>
      </w:r>
    </w:p>
    <w:p w14:paraId="70DF17AA">
      <w:pPr>
        <w:autoSpaceDE w:val="0"/>
        <w:autoSpaceDN w:val="0"/>
        <w:adjustRightInd w:val="0"/>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w:t>
      </w:r>
      <w:r>
        <w:rPr>
          <w:rFonts w:ascii="宋体" w:hAnsi="宋体"/>
          <w:color w:val="auto"/>
          <w:szCs w:val="21"/>
          <w:highlight w:val="none"/>
          <w:lang w:val="zh-CN"/>
        </w:rPr>
        <w:t>1</w:t>
      </w:r>
      <w:r>
        <w:rPr>
          <w:rFonts w:hint="eastAsia" w:ascii="宋体" w:hAnsi="宋体"/>
          <w:color w:val="auto"/>
          <w:szCs w:val="21"/>
          <w:highlight w:val="none"/>
          <w:lang w:val="zh-CN"/>
        </w:rPr>
        <w:t>）响应文件中开标一览表（报价表）内容与响应文件中相应内容不一致的，以开标一览表（报价表）为准；</w:t>
      </w:r>
    </w:p>
    <w:p w14:paraId="399BBF15">
      <w:pPr>
        <w:autoSpaceDE w:val="0"/>
        <w:autoSpaceDN w:val="0"/>
        <w:adjustRightInd w:val="0"/>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（2）大写金额和小写金额不一致的，以大写金额为准；</w:t>
      </w:r>
    </w:p>
    <w:p w14:paraId="26FE58E1">
      <w:pPr>
        <w:autoSpaceDE w:val="0"/>
        <w:autoSpaceDN w:val="0"/>
        <w:adjustRightInd w:val="0"/>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（3）单价金额小数点或者百分比有明显错位的，以开标一览表的总价为准，并修改单价；</w:t>
      </w:r>
    </w:p>
    <w:p w14:paraId="06A477D3">
      <w:pPr>
        <w:autoSpaceDE w:val="0"/>
        <w:autoSpaceDN w:val="0"/>
        <w:adjustRightInd w:val="0"/>
        <w:spacing w:line="360" w:lineRule="auto"/>
        <w:ind w:firstLine="420" w:firstLineChars="200"/>
        <w:rPr>
          <w:rFonts w:hint="eastAsia" w:ascii="宋体" w:hAnsi="宋体"/>
          <w:color w:val="auto"/>
          <w:szCs w:val="21"/>
          <w:highlight w:val="none"/>
          <w:lang w:val="zh-CN"/>
        </w:rPr>
      </w:pPr>
      <w:r>
        <w:rPr>
          <w:rFonts w:hint="eastAsia" w:ascii="宋体" w:hAnsi="宋体"/>
          <w:color w:val="auto"/>
          <w:szCs w:val="21"/>
          <w:highlight w:val="none"/>
          <w:lang w:val="zh-CN"/>
        </w:rPr>
        <w:t>（4）总价金额与按单价汇总金额不一致的，以单价金额计算结果为准。</w:t>
      </w:r>
    </w:p>
    <w:p w14:paraId="6E958316">
      <w:pPr>
        <w:autoSpaceDE w:val="0"/>
        <w:autoSpaceDN w:val="0"/>
        <w:adjustRightInd w:val="0"/>
        <w:spacing w:line="360" w:lineRule="auto"/>
        <w:ind w:firstLine="420" w:firstLineChars="200"/>
        <w:jc w:val="left"/>
        <w:rPr>
          <w:rFonts w:hint="eastAsia" w:ascii="宋体" w:hAnsi="宋体"/>
          <w:b/>
          <w:bCs/>
          <w:color w:val="auto"/>
          <w:szCs w:val="21"/>
          <w:highlight w:val="none"/>
        </w:rPr>
      </w:pPr>
      <w:r>
        <w:rPr>
          <w:rFonts w:hint="eastAsia" w:ascii="宋体" w:hAnsi="宋体"/>
          <w:color w:val="auto"/>
          <w:szCs w:val="21"/>
          <w:highlight w:val="none"/>
          <w:lang w:val="zh-CN"/>
        </w:rPr>
        <w:t>同时出现两种以上不一致的，按照前款规定的顺序修正。修正后的报价按照《政府采购货物和服务招标投标管理办法》（财政部第87号）第五十一条第二款的规定经供应商确认后产生约束力，供应商不确认的，其响应文件无效。</w:t>
      </w:r>
    </w:p>
    <w:p w14:paraId="78D2CDFD">
      <w:pPr>
        <w:autoSpaceDE w:val="0"/>
        <w:autoSpaceDN w:val="0"/>
        <w:adjustRightInd w:val="0"/>
        <w:spacing w:line="360" w:lineRule="auto"/>
        <w:ind w:firstLine="422" w:firstLineChars="200"/>
        <w:jc w:val="left"/>
        <w:rPr>
          <w:rFonts w:hint="eastAsia" w:ascii="宋体" w:hAnsi="宋体" w:eastAsia="宋体"/>
          <w:b/>
          <w:bCs/>
          <w:color w:val="auto"/>
          <w:spacing w:val="6"/>
          <w:kern w:val="0"/>
          <w:szCs w:val="21"/>
          <w:highlight w:val="none"/>
          <w:lang w:eastAsia="zh-CN"/>
        </w:rPr>
      </w:pPr>
      <w:r>
        <w:rPr>
          <w:rFonts w:hint="eastAsia" w:ascii="宋体" w:hAnsi="宋体"/>
          <w:b/>
          <w:bCs/>
          <w:color w:val="auto"/>
          <w:szCs w:val="21"/>
          <w:highlight w:val="none"/>
          <w:lang w:val="en-US" w:eastAsia="zh-CN"/>
        </w:rPr>
        <w:t>8</w:t>
      </w:r>
      <w:r>
        <w:rPr>
          <w:rFonts w:hint="eastAsia" w:ascii="宋体" w:hAnsi="宋体"/>
          <w:b/>
          <w:bCs/>
          <w:color w:val="auto"/>
          <w:szCs w:val="21"/>
          <w:highlight w:val="none"/>
        </w:rPr>
        <w:t>、</w:t>
      </w:r>
      <w:r>
        <w:rPr>
          <w:rFonts w:hint="eastAsia" w:ascii="宋体" w:hAnsi="宋体"/>
          <w:b/>
          <w:bCs/>
          <w:color w:val="auto"/>
          <w:szCs w:val="21"/>
          <w:highlight w:val="none"/>
          <w:lang w:val="en-US" w:eastAsia="zh-CN"/>
        </w:rPr>
        <w:t>商务部分</w:t>
      </w:r>
      <w:r>
        <w:rPr>
          <w:rFonts w:hint="eastAsia" w:ascii="宋体" w:hAnsi="宋体"/>
          <w:b/>
          <w:bCs/>
          <w:color w:val="auto"/>
          <w:szCs w:val="21"/>
          <w:highlight w:val="none"/>
        </w:rPr>
        <w:t>评审</w:t>
      </w: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满分15分</w:t>
      </w:r>
      <w:r>
        <w:rPr>
          <w:rFonts w:hint="eastAsia" w:ascii="宋体" w:hAnsi="宋体"/>
          <w:b/>
          <w:bCs/>
          <w:color w:val="auto"/>
          <w:szCs w:val="21"/>
          <w:highlight w:val="none"/>
          <w:lang w:eastAsia="zh-CN"/>
        </w:rPr>
        <w:t>）</w:t>
      </w:r>
    </w:p>
    <w:tbl>
      <w:tblPr>
        <w:tblStyle w:val="50"/>
        <w:tblW w:w="9592"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1180"/>
        <w:gridCol w:w="1212"/>
        <w:gridCol w:w="7200"/>
      </w:tblGrid>
      <w:tr w14:paraId="67A13D2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37" w:hRule="atLeast"/>
          <w:tblHeader/>
          <w:jc w:val="center"/>
        </w:trPr>
        <w:tc>
          <w:tcPr>
            <w:tcW w:w="1180" w:type="dxa"/>
            <w:vAlign w:val="center"/>
          </w:tcPr>
          <w:p w14:paraId="4A354B6F">
            <w:pPr>
              <w:keepNext w:val="0"/>
              <w:keepLines w:val="0"/>
              <w:suppressLineNumbers w:val="0"/>
              <w:spacing w:before="0" w:beforeAutospacing="0" w:after="0" w:afterAutospacing="0" w:line="360" w:lineRule="auto"/>
              <w:ind w:left="0" w:right="0"/>
              <w:jc w:val="center"/>
              <w:rPr>
                <w:rFonts w:hint="eastAsia" w:ascii="宋体" w:hAnsi="宋体" w:cs="宋体"/>
                <w:color w:val="auto"/>
                <w:spacing w:val="-11"/>
                <w:szCs w:val="21"/>
                <w:highlight w:val="none"/>
              </w:rPr>
            </w:pPr>
            <w:r>
              <w:rPr>
                <w:rFonts w:hint="eastAsia" w:ascii="宋体" w:hAnsi="宋体" w:cs="宋体"/>
                <w:b/>
                <w:color w:val="auto"/>
                <w:spacing w:val="-11"/>
                <w:szCs w:val="21"/>
                <w:highlight w:val="none"/>
              </w:rPr>
              <w:t>条款号</w:t>
            </w:r>
          </w:p>
        </w:tc>
        <w:tc>
          <w:tcPr>
            <w:tcW w:w="1212" w:type="dxa"/>
            <w:vAlign w:val="center"/>
          </w:tcPr>
          <w:p w14:paraId="799BCA25">
            <w:pPr>
              <w:keepNext w:val="0"/>
              <w:keepLines w:val="0"/>
              <w:suppressLineNumbers w:val="0"/>
              <w:spacing w:before="0" w:beforeAutospacing="0" w:after="0" w:afterAutospacing="0" w:line="360" w:lineRule="auto"/>
              <w:ind w:left="0" w:right="0"/>
              <w:jc w:val="center"/>
              <w:rPr>
                <w:rFonts w:hint="eastAsia" w:ascii="宋体" w:hAnsi="宋体" w:cs="宋体"/>
                <w:b/>
                <w:color w:val="auto"/>
                <w:spacing w:val="-11"/>
                <w:szCs w:val="21"/>
                <w:highlight w:val="none"/>
              </w:rPr>
            </w:pPr>
            <w:r>
              <w:rPr>
                <w:rFonts w:hint="eastAsia" w:ascii="宋体" w:hAnsi="宋体" w:cs="宋体"/>
                <w:b/>
                <w:color w:val="auto"/>
                <w:spacing w:val="-11"/>
                <w:szCs w:val="21"/>
                <w:highlight w:val="none"/>
              </w:rPr>
              <w:t>评分因素</w:t>
            </w:r>
          </w:p>
        </w:tc>
        <w:tc>
          <w:tcPr>
            <w:tcW w:w="7200" w:type="dxa"/>
            <w:vAlign w:val="center"/>
          </w:tcPr>
          <w:p w14:paraId="68A6F210">
            <w:pPr>
              <w:keepNext w:val="0"/>
              <w:keepLines w:val="0"/>
              <w:suppressLineNumbers w:val="0"/>
              <w:spacing w:before="0" w:beforeAutospacing="0" w:after="0" w:afterAutospacing="0" w:line="360" w:lineRule="auto"/>
              <w:ind w:left="0" w:right="0"/>
              <w:jc w:val="center"/>
              <w:rPr>
                <w:rFonts w:hint="eastAsia" w:ascii="宋体" w:hAnsi="宋体" w:cs="宋体"/>
                <w:b/>
                <w:color w:val="auto"/>
                <w:spacing w:val="-11"/>
                <w:szCs w:val="21"/>
                <w:highlight w:val="none"/>
              </w:rPr>
            </w:pPr>
            <w:r>
              <w:rPr>
                <w:rFonts w:hint="eastAsia" w:ascii="宋体" w:hAnsi="宋体" w:cs="宋体"/>
                <w:b/>
                <w:color w:val="auto"/>
                <w:spacing w:val="-11"/>
                <w:szCs w:val="21"/>
                <w:highlight w:val="none"/>
              </w:rPr>
              <w:t>评分标准</w:t>
            </w:r>
          </w:p>
        </w:tc>
      </w:tr>
      <w:tr w14:paraId="45CD8A3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0" w:hRule="atLeast"/>
          <w:jc w:val="center"/>
        </w:trPr>
        <w:tc>
          <w:tcPr>
            <w:tcW w:w="1180" w:type="dxa"/>
            <w:vAlign w:val="center"/>
          </w:tcPr>
          <w:p w14:paraId="2FB31BB7">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r>
              <w:rPr>
                <w:rFonts w:hint="eastAsia" w:ascii="宋体" w:hAnsi="宋体" w:cs="宋体"/>
                <w:color w:val="auto"/>
                <w:spacing w:val="-11"/>
                <w:szCs w:val="21"/>
                <w:highlight w:val="none"/>
              </w:rPr>
              <w:t>商务部分</w:t>
            </w:r>
          </w:p>
          <w:p w14:paraId="053B1792">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r>
              <w:rPr>
                <w:rFonts w:hint="eastAsia" w:ascii="宋体" w:hAnsi="宋体" w:cs="宋体"/>
                <w:color w:val="auto"/>
                <w:spacing w:val="-11"/>
                <w:szCs w:val="21"/>
                <w:highlight w:val="none"/>
              </w:rPr>
              <w:t>评分标准</w:t>
            </w:r>
          </w:p>
        </w:tc>
        <w:tc>
          <w:tcPr>
            <w:tcW w:w="1212" w:type="dxa"/>
            <w:vAlign w:val="center"/>
          </w:tcPr>
          <w:p w14:paraId="4703F895">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r>
              <w:rPr>
                <w:rFonts w:hint="eastAsia" w:ascii="宋体" w:hAnsi="宋体" w:cs="宋体"/>
                <w:color w:val="auto"/>
                <w:spacing w:val="-11"/>
                <w:szCs w:val="21"/>
                <w:highlight w:val="none"/>
              </w:rPr>
              <w:t>磋商报价</w:t>
            </w:r>
          </w:p>
          <w:p w14:paraId="7E643CF9">
            <w:pPr>
              <w:keepNext w:val="0"/>
              <w:keepLines w:val="0"/>
              <w:suppressLineNumbers w:val="0"/>
              <w:spacing w:before="0" w:beforeAutospacing="0" w:after="0" w:afterAutospacing="0" w:line="276" w:lineRule="auto"/>
              <w:ind w:left="0" w:right="0"/>
              <w:jc w:val="center"/>
              <w:rPr>
                <w:rFonts w:hint="eastAsia" w:ascii="宋体" w:hAnsi="宋体" w:cs="宋体"/>
                <w:color w:val="auto"/>
                <w:spacing w:val="-11"/>
                <w:szCs w:val="21"/>
                <w:highlight w:val="none"/>
              </w:rPr>
            </w:pPr>
            <w:r>
              <w:rPr>
                <w:rFonts w:hint="eastAsia" w:ascii="宋体" w:hAnsi="宋体" w:cs="宋体"/>
                <w:color w:val="auto"/>
                <w:spacing w:val="-11"/>
                <w:szCs w:val="21"/>
                <w:highlight w:val="none"/>
              </w:rPr>
              <w:t>（</w:t>
            </w:r>
            <w:r>
              <w:rPr>
                <w:rFonts w:hint="eastAsia" w:ascii="宋体" w:hAnsi="宋体" w:cs="宋体"/>
                <w:color w:val="auto"/>
                <w:spacing w:val="-11"/>
                <w:szCs w:val="21"/>
                <w:highlight w:val="none"/>
                <w:lang w:val="en-US" w:eastAsia="zh-CN"/>
              </w:rPr>
              <w:t>15</w:t>
            </w:r>
            <w:r>
              <w:rPr>
                <w:rFonts w:hint="eastAsia" w:ascii="宋体" w:hAnsi="宋体" w:cs="宋体"/>
                <w:color w:val="auto"/>
                <w:spacing w:val="-11"/>
                <w:szCs w:val="21"/>
                <w:highlight w:val="none"/>
              </w:rPr>
              <w:t>分）</w:t>
            </w:r>
          </w:p>
        </w:tc>
        <w:tc>
          <w:tcPr>
            <w:tcW w:w="7200" w:type="dxa"/>
            <w:vAlign w:val="center"/>
          </w:tcPr>
          <w:p w14:paraId="66841C48">
            <w:pPr>
              <w:keepNext w:val="0"/>
              <w:keepLines w:val="0"/>
              <w:suppressLineNumbers w:val="0"/>
              <w:autoSpaceDE w:val="0"/>
              <w:autoSpaceDN w:val="0"/>
              <w:adjustRightInd w:val="0"/>
              <w:spacing w:before="0" w:beforeAutospacing="0" w:after="0" w:afterAutospacing="0" w:line="360" w:lineRule="auto"/>
              <w:ind w:left="0" w:right="0"/>
              <w:rPr>
                <w:rFonts w:hint="default"/>
                <w:color w:val="auto"/>
                <w:highlight w:val="none"/>
              </w:rPr>
            </w:pPr>
            <w:r>
              <w:rPr>
                <w:rFonts w:hint="eastAsia"/>
                <w:color w:val="auto"/>
                <w:highlight w:val="none"/>
              </w:rPr>
              <w:t>所有有效磋商</w:t>
            </w:r>
            <w:r>
              <w:rPr>
                <w:rFonts w:hint="eastAsia"/>
                <w:color w:val="auto"/>
                <w:highlight w:val="none"/>
                <w:lang w:val="en-US" w:eastAsia="zh-CN"/>
              </w:rPr>
              <w:t>最后</w:t>
            </w:r>
            <w:r>
              <w:rPr>
                <w:rFonts w:hint="eastAsia"/>
                <w:color w:val="auto"/>
                <w:highlight w:val="none"/>
              </w:rPr>
              <w:t>报价的最低价为评</w:t>
            </w:r>
            <w:r>
              <w:rPr>
                <w:rFonts w:hint="eastAsia"/>
                <w:color w:val="auto"/>
                <w:highlight w:val="none"/>
                <w:lang w:val="en-US" w:eastAsia="zh-CN"/>
              </w:rPr>
              <w:t>审</w:t>
            </w:r>
            <w:r>
              <w:rPr>
                <w:rFonts w:hint="eastAsia"/>
                <w:color w:val="auto"/>
                <w:highlight w:val="none"/>
              </w:rPr>
              <w:t>基准价，其磋商报价分值为</w:t>
            </w:r>
            <w:r>
              <w:rPr>
                <w:rFonts w:hint="eastAsia"/>
                <w:color w:val="auto"/>
                <w:highlight w:val="none"/>
                <w:lang w:val="en-US" w:eastAsia="zh-CN"/>
              </w:rPr>
              <w:t>10</w:t>
            </w:r>
            <w:r>
              <w:rPr>
                <w:rFonts w:hint="eastAsia"/>
                <w:color w:val="auto"/>
                <w:highlight w:val="none"/>
              </w:rPr>
              <w:t xml:space="preserve">分。其他供应商的磋商报价得分统一按照下列公式计算： </w:t>
            </w:r>
          </w:p>
          <w:p w14:paraId="753DF1DC">
            <w:pPr>
              <w:keepNext w:val="0"/>
              <w:keepLines w:val="0"/>
              <w:suppressLineNumbers w:val="0"/>
              <w:autoSpaceDE w:val="0"/>
              <w:autoSpaceDN w:val="0"/>
              <w:adjustRightInd w:val="0"/>
              <w:spacing w:before="0" w:beforeAutospacing="0" w:after="0" w:afterAutospacing="0" w:line="360" w:lineRule="auto"/>
              <w:ind w:left="0" w:right="0"/>
              <w:rPr>
                <w:rFonts w:hint="default" w:eastAsia="宋体"/>
                <w:color w:val="auto"/>
                <w:highlight w:val="none"/>
                <w:lang w:val="en-US" w:eastAsia="zh-CN"/>
              </w:rPr>
            </w:pPr>
            <w:r>
              <w:rPr>
                <w:rFonts w:hint="eastAsia"/>
                <w:color w:val="auto"/>
                <w:highlight w:val="none"/>
              </w:rPr>
              <w:t>磋商报价得分=(评审基准价／最后报价)×</w:t>
            </w:r>
            <w:r>
              <w:rPr>
                <w:rFonts w:hint="eastAsia"/>
                <w:color w:val="auto"/>
                <w:highlight w:val="none"/>
                <w:lang w:val="en-US" w:eastAsia="zh-CN"/>
              </w:rPr>
              <w:t>15</w:t>
            </w:r>
          </w:p>
          <w:p w14:paraId="0EAE034B">
            <w:pPr>
              <w:keepNext w:val="0"/>
              <w:keepLines w:val="0"/>
              <w:suppressLineNumbers w:val="0"/>
              <w:autoSpaceDE w:val="0"/>
              <w:autoSpaceDN w:val="0"/>
              <w:adjustRightInd w:val="0"/>
              <w:spacing w:before="0" w:beforeAutospacing="0" w:after="0" w:afterAutospacing="0" w:line="360" w:lineRule="auto"/>
              <w:ind w:left="0" w:right="0"/>
              <w:rPr>
                <w:rFonts w:hint="eastAsia"/>
                <w:color w:val="auto"/>
                <w:highlight w:val="none"/>
              </w:rPr>
            </w:pPr>
            <w:r>
              <w:rPr>
                <w:rFonts w:hint="eastAsia"/>
                <w:color w:val="auto"/>
                <w:highlight w:val="none"/>
              </w:rPr>
              <w:t>(小数点后保留两位)</w:t>
            </w:r>
          </w:p>
          <w:p w14:paraId="121B84C4">
            <w:pPr>
              <w:keepNext w:val="0"/>
              <w:keepLines w:val="0"/>
              <w:suppressLineNumbers w:val="0"/>
              <w:autoSpaceDE w:val="0"/>
              <w:autoSpaceDN w:val="0"/>
              <w:adjustRightInd w:val="0"/>
              <w:spacing w:before="0" w:beforeAutospacing="0" w:after="0" w:afterAutospacing="0" w:line="360" w:lineRule="auto"/>
              <w:ind w:left="0" w:right="0"/>
              <w:rPr>
                <w:rFonts w:hint="default"/>
                <w:color w:val="auto"/>
                <w:highlight w:val="none"/>
              </w:rPr>
            </w:pPr>
            <w:r>
              <w:rPr>
                <w:rFonts w:hint="eastAsia"/>
                <w:color w:val="auto"/>
                <w:highlight w:val="none"/>
              </w:rPr>
              <w:t>评</w:t>
            </w:r>
            <w:r>
              <w:rPr>
                <w:rFonts w:hint="eastAsia"/>
                <w:color w:val="auto"/>
                <w:highlight w:val="none"/>
                <w:lang w:val="en-US" w:eastAsia="zh-CN"/>
              </w:rPr>
              <w:t>审</w:t>
            </w:r>
            <w:r>
              <w:rPr>
                <w:rFonts w:hint="eastAsia"/>
                <w:color w:val="auto"/>
                <w:highlight w:val="none"/>
              </w:rPr>
              <w:t>过程中，不得去掉报价中的最高报价和最低报价。</w:t>
            </w:r>
          </w:p>
        </w:tc>
      </w:tr>
    </w:tbl>
    <w:p w14:paraId="097054F1">
      <w:pPr>
        <w:tabs>
          <w:tab w:val="left" w:pos="1080"/>
        </w:tabs>
        <w:spacing w:line="360" w:lineRule="auto"/>
        <w:ind w:firstLine="422" w:firstLineChars="200"/>
        <w:rPr>
          <w:rFonts w:hint="eastAsia" w:ascii="宋体" w:hAnsi="宋体"/>
          <w:b/>
          <w:color w:val="auto"/>
          <w:szCs w:val="21"/>
          <w:highlight w:val="none"/>
        </w:rPr>
      </w:pPr>
    </w:p>
    <w:p w14:paraId="793B7CB3">
      <w:pPr>
        <w:tabs>
          <w:tab w:val="left" w:pos="1080"/>
        </w:tabs>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lang w:val="en-US" w:eastAsia="zh-CN"/>
        </w:rPr>
        <w:t>9</w:t>
      </w:r>
      <w:r>
        <w:rPr>
          <w:rFonts w:hint="eastAsia" w:ascii="宋体" w:hAnsi="宋体"/>
          <w:b/>
          <w:color w:val="auto"/>
          <w:szCs w:val="21"/>
          <w:highlight w:val="none"/>
        </w:rPr>
        <w:t>、评分要求和统计分数原则</w:t>
      </w:r>
    </w:p>
    <w:p w14:paraId="7A2BC560">
      <w:pPr>
        <w:tabs>
          <w:tab w:val="left" w:pos="1080"/>
        </w:tabs>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磋商小组对各供应商的响应文件进行评审，并按竞争性磋商文件规定分值评分。</w:t>
      </w:r>
    </w:p>
    <w:p w14:paraId="4B48E3C8">
      <w:pPr>
        <w:autoSpaceDE w:val="0"/>
        <w:autoSpaceDN w:val="0"/>
        <w:adjustRightInd w:val="0"/>
        <w:spacing w:line="360" w:lineRule="auto"/>
        <w:ind w:firstLine="420" w:firstLineChars="200"/>
        <w:rPr>
          <w:color w:val="auto"/>
          <w:szCs w:val="21"/>
          <w:highlight w:val="none"/>
        </w:rPr>
      </w:pPr>
      <w:r>
        <w:rPr>
          <w:rFonts w:hint="eastAsia" w:ascii="宋体" w:hAnsi="宋体"/>
          <w:color w:val="auto"/>
          <w:szCs w:val="21"/>
          <w:highlight w:val="none"/>
        </w:rPr>
        <w:t>统计分数原则：磋商小组各成员独立对每个供应商的响应文件进行评价，并汇总每个供应商的得分。</w:t>
      </w:r>
      <w:r>
        <w:rPr>
          <w:color w:val="auto"/>
          <w:szCs w:val="21"/>
          <w:highlight w:val="none"/>
        </w:rPr>
        <w:t>磋商小组成员应当按照评审办法的规定，独立评分并签署。磋商小组应当按照综合得分由高到低的顺序对供应商进行排名。</w:t>
      </w:r>
      <w:r>
        <w:rPr>
          <w:rFonts w:hint="eastAsia" w:ascii="宋体" w:hAnsi="宋体" w:cs="宋体"/>
          <w:color w:val="auto"/>
          <w:kern w:val="0"/>
          <w:szCs w:val="21"/>
          <w:highlight w:val="none"/>
        </w:rPr>
        <w:t>评审得分相同的，按照最后报价由低到高的顺序推荐。评审得分且最后报价相同的，按照技术指标优劣顺序推荐</w:t>
      </w:r>
      <w:r>
        <w:rPr>
          <w:color w:val="auto"/>
          <w:szCs w:val="21"/>
          <w:highlight w:val="none"/>
        </w:rPr>
        <w:t>。</w:t>
      </w:r>
      <w:bookmarkStart w:id="812" w:name="_Toc1901"/>
      <w:bookmarkStart w:id="813" w:name="_Toc20041"/>
      <w:bookmarkStart w:id="814" w:name="_Toc23602"/>
      <w:bookmarkStart w:id="815" w:name="_Toc30761"/>
      <w:bookmarkStart w:id="816" w:name="_Toc2949"/>
    </w:p>
    <w:bookmarkEnd w:id="812"/>
    <w:bookmarkEnd w:id="813"/>
    <w:bookmarkEnd w:id="814"/>
    <w:bookmarkEnd w:id="815"/>
    <w:bookmarkEnd w:id="816"/>
    <w:p w14:paraId="3D3B6CBC">
      <w:pPr>
        <w:autoSpaceDE w:val="0"/>
        <w:autoSpaceDN w:val="0"/>
        <w:adjustRightInd w:val="0"/>
        <w:spacing w:line="360" w:lineRule="auto"/>
        <w:ind w:firstLine="422" w:firstLineChars="200"/>
        <w:rPr>
          <w:rFonts w:hint="eastAsia" w:ascii="宋体" w:hAnsi="宋体"/>
          <w:b/>
          <w:color w:val="auto"/>
          <w:spacing w:val="6"/>
          <w:kern w:val="0"/>
          <w:szCs w:val="21"/>
          <w:highlight w:val="none"/>
        </w:rPr>
      </w:pPr>
      <w:r>
        <w:rPr>
          <w:rFonts w:hint="eastAsia" w:ascii="宋体" w:hAnsi="宋体" w:cs="宋体"/>
          <w:b/>
          <w:bCs/>
          <w:color w:val="auto"/>
          <w:szCs w:val="21"/>
          <w:highlight w:val="none"/>
          <w:lang w:val="en-US" w:eastAsia="zh-CN"/>
        </w:rPr>
        <w:t>10</w:t>
      </w:r>
      <w:r>
        <w:rPr>
          <w:rFonts w:hint="eastAsia" w:ascii="宋体" w:hAnsi="宋体" w:cs="宋体"/>
          <w:b/>
          <w:bCs/>
          <w:color w:val="auto"/>
          <w:szCs w:val="21"/>
          <w:highlight w:val="none"/>
        </w:rPr>
        <w:t>、</w:t>
      </w:r>
      <w:bookmarkStart w:id="817" w:name="_Toc488158535"/>
      <w:bookmarkStart w:id="818" w:name="_Toc487791192"/>
      <w:bookmarkStart w:id="819" w:name="_Toc485978532"/>
      <w:bookmarkStart w:id="820" w:name="_Toc333829334"/>
      <w:bookmarkStart w:id="821" w:name="_Toc514943611"/>
      <w:bookmarkStart w:id="822" w:name="_Toc516066229"/>
      <w:r>
        <w:rPr>
          <w:rFonts w:hint="eastAsia" w:ascii="宋体" w:hAnsi="宋体"/>
          <w:b/>
          <w:color w:val="auto"/>
          <w:spacing w:val="6"/>
          <w:kern w:val="0"/>
          <w:szCs w:val="21"/>
          <w:highlight w:val="none"/>
        </w:rPr>
        <w:t>竞争性磋商结果确定</w:t>
      </w:r>
      <w:bookmarkEnd w:id="817"/>
      <w:bookmarkEnd w:id="818"/>
      <w:bookmarkEnd w:id="819"/>
      <w:bookmarkEnd w:id="820"/>
      <w:bookmarkEnd w:id="821"/>
      <w:bookmarkEnd w:id="822"/>
    </w:p>
    <w:p w14:paraId="07DA298E">
      <w:pPr>
        <w:spacing w:line="360" w:lineRule="auto"/>
        <w:ind w:firstLine="452" w:firstLineChars="200"/>
        <w:rPr>
          <w:rFonts w:hint="eastAsia" w:ascii="宋体" w:hAnsi="宋体" w:cs="Arial"/>
          <w:color w:val="auto"/>
          <w:spacing w:val="8"/>
          <w:kern w:val="0"/>
          <w:szCs w:val="21"/>
          <w:highlight w:val="none"/>
        </w:rPr>
      </w:pPr>
      <w:r>
        <w:rPr>
          <w:rFonts w:hint="eastAsia" w:ascii="宋体" w:hAnsi="宋体" w:cs="Arial"/>
          <w:color w:val="auto"/>
          <w:spacing w:val="8"/>
          <w:kern w:val="0"/>
          <w:szCs w:val="21"/>
          <w:highlight w:val="none"/>
          <w:lang w:val="en-US" w:eastAsia="zh-CN"/>
        </w:rPr>
        <w:t>评审结束</w:t>
      </w:r>
      <w:r>
        <w:rPr>
          <w:rFonts w:hint="eastAsia" w:ascii="宋体" w:hAnsi="宋体" w:cs="Arial"/>
          <w:color w:val="auto"/>
          <w:spacing w:val="8"/>
          <w:kern w:val="0"/>
          <w:szCs w:val="21"/>
          <w:highlight w:val="none"/>
        </w:rPr>
        <w:t>后，竞争性磋商小组应当向采购人提交书面评审报告，按照得分由高到低的顺序推荐</w:t>
      </w:r>
      <w:r>
        <w:rPr>
          <w:rFonts w:hint="eastAsia" w:ascii="宋体" w:hAnsi="宋体" w:cs="Arial"/>
          <w:color w:val="auto"/>
          <w:spacing w:val="8"/>
          <w:kern w:val="0"/>
          <w:szCs w:val="21"/>
          <w:highlight w:val="none"/>
          <w:lang w:val="en-US" w:eastAsia="zh-CN"/>
        </w:rPr>
        <w:t>3</w:t>
      </w:r>
      <w:r>
        <w:rPr>
          <w:rFonts w:hint="eastAsia" w:ascii="宋体" w:hAnsi="宋体" w:cs="Arial"/>
          <w:color w:val="auto"/>
          <w:spacing w:val="8"/>
          <w:kern w:val="0"/>
          <w:szCs w:val="21"/>
          <w:highlight w:val="none"/>
        </w:rPr>
        <w:t>名成交候选供应商，符合《政府采购竞争性磋商采购方式管理暂行办法》第三条第四项情形的或《财政部关于政府采购竞争性磋商采购方式管理暂行办法有关问题的补充通知》财库【2015】124 号文规定，磋商小组按照评审得分由高到低顺序可推荐2名成交候选供应商。</w:t>
      </w:r>
    </w:p>
    <w:p w14:paraId="43F35A5B">
      <w:pPr>
        <w:spacing w:line="360" w:lineRule="auto"/>
        <w:ind w:firstLine="452" w:firstLineChars="200"/>
        <w:rPr>
          <w:rFonts w:hint="eastAsia" w:ascii="宋体" w:hAnsi="宋体" w:cs="Arial"/>
          <w:color w:val="auto"/>
          <w:spacing w:val="8"/>
          <w:kern w:val="0"/>
          <w:szCs w:val="21"/>
          <w:highlight w:val="none"/>
        </w:rPr>
      </w:pPr>
      <w:bookmarkStart w:id="823" w:name="_Toc18528"/>
      <w:bookmarkStart w:id="824" w:name="_Toc23236"/>
      <w:bookmarkStart w:id="825" w:name="_Toc8549"/>
      <w:bookmarkStart w:id="826" w:name="_Toc24567"/>
      <w:bookmarkStart w:id="827" w:name="_Toc4222"/>
      <w:r>
        <w:rPr>
          <w:rFonts w:hint="eastAsia" w:ascii="宋体" w:hAnsi="宋体" w:cs="Arial"/>
          <w:color w:val="auto"/>
          <w:spacing w:val="8"/>
          <w:kern w:val="0"/>
          <w:szCs w:val="21"/>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823"/>
      <w:bookmarkEnd w:id="824"/>
      <w:bookmarkEnd w:id="825"/>
      <w:bookmarkEnd w:id="826"/>
      <w:bookmarkEnd w:id="827"/>
    </w:p>
    <w:bookmarkEnd w:id="803"/>
    <w:bookmarkEnd w:id="804"/>
    <w:bookmarkEnd w:id="805"/>
    <w:bookmarkEnd w:id="811"/>
    <w:p w14:paraId="17F5F6BB">
      <w:pPr>
        <w:pStyle w:val="3"/>
        <w:pageBreakBefore/>
        <w:spacing w:before="120" w:after="120" w:line="360" w:lineRule="auto"/>
        <w:jc w:val="center"/>
        <w:rPr>
          <w:rFonts w:hint="eastAsia" w:ascii="宋体" w:hAnsi="宋体"/>
          <w:bCs w:val="0"/>
          <w:color w:val="auto"/>
          <w:kern w:val="2"/>
          <w:sz w:val="32"/>
          <w:szCs w:val="32"/>
          <w:highlight w:val="none"/>
        </w:rPr>
      </w:pPr>
      <w:bookmarkStart w:id="828" w:name="_Toc13362"/>
      <w:bookmarkStart w:id="829" w:name="_Toc4617"/>
      <w:bookmarkStart w:id="830" w:name="_Toc21166"/>
      <w:bookmarkStart w:id="831" w:name="_Toc152042575"/>
      <w:bookmarkStart w:id="832" w:name="_Toc144974855"/>
      <w:bookmarkStart w:id="833" w:name="_Toc152045786"/>
      <w:r>
        <w:rPr>
          <w:rFonts w:hint="eastAsia" w:ascii="宋体" w:hAnsi="宋体"/>
          <w:bCs w:val="0"/>
          <w:color w:val="auto"/>
          <w:kern w:val="2"/>
          <w:sz w:val="32"/>
          <w:szCs w:val="32"/>
          <w:highlight w:val="none"/>
        </w:rPr>
        <w:t>第四章</w:t>
      </w:r>
      <w:bookmarkStart w:id="834" w:name="_Toc152045785"/>
      <w:bookmarkStart w:id="835" w:name="_Toc152042574"/>
      <w:bookmarkStart w:id="836" w:name="_Toc144974854"/>
      <w:r>
        <w:rPr>
          <w:rFonts w:hint="eastAsia" w:ascii="宋体" w:hAnsi="宋体"/>
          <w:bCs w:val="0"/>
          <w:color w:val="auto"/>
          <w:kern w:val="2"/>
          <w:sz w:val="32"/>
          <w:szCs w:val="32"/>
          <w:highlight w:val="none"/>
        </w:rPr>
        <w:t xml:space="preserve"> 合同条款及格式</w:t>
      </w:r>
      <w:bookmarkEnd w:id="828"/>
      <w:bookmarkEnd w:id="829"/>
    </w:p>
    <w:p w14:paraId="520730BC">
      <w:pPr>
        <w:spacing w:line="360" w:lineRule="auto"/>
        <w:rPr>
          <w:color w:val="auto"/>
          <w:highlight w:val="none"/>
        </w:rPr>
      </w:pPr>
    </w:p>
    <w:p w14:paraId="78E57D1A">
      <w:pPr>
        <w:jc w:val="center"/>
        <w:rPr>
          <w:rFonts w:ascii="Calibri" w:hAnsi="Calibri"/>
          <w:b/>
          <w:color w:val="auto"/>
          <w:sz w:val="32"/>
          <w:szCs w:val="32"/>
          <w:highlight w:val="none"/>
        </w:rPr>
      </w:pPr>
      <w:r>
        <w:rPr>
          <w:rFonts w:hint="eastAsia" w:ascii="宋体" w:hAnsi="宋体"/>
          <w:b/>
          <w:bCs/>
          <w:color w:val="auto"/>
          <w:sz w:val="24"/>
          <w:szCs w:val="22"/>
          <w:highlight w:val="none"/>
        </w:rPr>
        <w:t>（供应商参与磋商前应认真阅读本合同条款，如参与磋商的，则视为同意本合同条款内容，采购人保留调整本合同条款的权利）</w:t>
      </w:r>
    </w:p>
    <w:bookmarkEnd w:id="834"/>
    <w:bookmarkEnd w:id="835"/>
    <w:bookmarkEnd w:id="836"/>
    <w:p w14:paraId="16FD425D">
      <w:pPr>
        <w:spacing w:line="360" w:lineRule="auto"/>
        <w:rPr>
          <w:color w:val="auto"/>
          <w:sz w:val="28"/>
          <w:szCs w:val="28"/>
          <w:highlight w:val="none"/>
        </w:rPr>
      </w:pPr>
    </w:p>
    <w:p w14:paraId="577F7BF2">
      <w:pPr>
        <w:spacing w:line="360" w:lineRule="auto"/>
        <w:jc w:val="center"/>
        <w:rPr>
          <w:rFonts w:ascii="宋体" w:hAnsi="宋体" w:eastAsia="宋体" w:cs="Times New Roman"/>
          <w:b/>
          <w:bCs/>
          <w:color w:val="auto"/>
          <w:sz w:val="44"/>
          <w:szCs w:val="44"/>
          <w:highlight w:val="none"/>
        </w:rPr>
      </w:pPr>
    </w:p>
    <w:p w14:paraId="3BEB0D88">
      <w:pPr>
        <w:spacing w:line="360" w:lineRule="auto"/>
        <w:rPr>
          <w:rFonts w:ascii="仿宋_GB2312" w:hAnsi="宋体" w:eastAsia="仿宋_GB2312" w:cs="Times New Roman"/>
          <w:b/>
          <w:bCs/>
          <w:color w:val="auto"/>
          <w:sz w:val="30"/>
          <w:szCs w:val="30"/>
          <w:highlight w:val="none"/>
        </w:rPr>
      </w:pPr>
      <w:r>
        <w:rPr>
          <w:rFonts w:hint="eastAsia" w:ascii="仿宋_GB2312" w:hAnsi="Times New Roman" w:eastAsia="仿宋_GB2312" w:cs="Times New Roman"/>
          <w:b/>
          <w:color w:val="auto"/>
          <w:sz w:val="32"/>
          <w:szCs w:val="32"/>
          <w:highlight w:val="none"/>
        </w:rPr>
        <w:t>（ＧＦ－2012－0202）</w:t>
      </w:r>
    </w:p>
    <w:p w14:paraId="6559CAE0">
      <w:pPr>
        <w:spacing w:line="360" w:lineRule="auto"/>
        <w:jc w:val="center"/>
        <w:rPr>
          <w:rFonts w:ascii="仿宋_GB2312" w:hAnsi="宋体" w:eastAsia="仿宋_GB2312" w:cs="Times New Roman"/>
          <w:b/>
          <w:bCs/>
          <w:color w:val="auto"/>
          <w:sz w:val="52"/>
          <w:szCs w:val="52"/>
          <w:highlight w:val="none"/>
        </w:rPr>
      </w:pPr>
    </w:p>
    <w:p w14:paraId="150315EA">
      <w:pPr>
        <w:spacing w:line="360" w:lineRule="auto"/>
        <w:jc w:val="both"/>
        <w:rPr>
          <w:rFonts w:ascii="华文中宋" w:hAnsi="华文中宋" w:eastAsia="华文中宋" w:cs="Times New Roman"/>
          <w:b/>
          <w:bCs/>
          <w:color w:val="auto"/>
          <w:sz w:val="48"/>
          <w:szCs w:val="48"/>
          <w:highlight w:val="none"/>
        </w:rPr>
      </w:pPr>
    </w:p>
    <w:p w14:paraId="5044EA2E">
      <w:pPr>
        <w:jc w:val="center"/>
        <w:rPr>
          <w:rFonts w:ascii="宋体" w:hAnsi="宋体" w:cs="宋体"/>
          <w:b/>
          <w:color w:val="auto"/>
          <w:sz w:val="40"/>
          <w:szCs w:val="40"/>
          <w:highlight w:val="none"/>
        </w:rPr>
      </w:pPr>
      <w:r>
        <w:rPr>
          <w:rFonts w:hint="eastAsia" w:ascii="宋体" w:hAnsi="宋体" w:cs="宋体"/>
          <w:b/>
          <w:color w:val="auto"/>
          <w:sz w:val="40"/>
          <w:szCs w:val="40"/>
          <w:highlight w:val="none"/>
          <w:lang w:eastAsia="zh-CN"/>
        </w:rPr>
        <w:t>2026年度东川区高标准农田建设项目设计服务</w:t>
      </w:r>
      <w:r>
        <w:rPr>
          <w:rFonts w:hint="eastAsia" w:ascii="宋体" w:hAnsi="宋体" w:cs="宋体"/>
          <w:b/>
          <w:color w:val="auto"/>
          <w:sz w:val="40"/>
          <w:szCs w:val="40"/>
          <w:highlight w:val="none"/>
        </w:rPr>
        <w:t>设计合同</w:t>
      </w:r>
    </w:p>
    <w:p w14:paraId="3A759ED3">
      <w:pPr>
        <w:jc w:val="center"/>
        <w:rPr>
          <w:rFonts w:ascii="宋体" w:hAnsi="宋体" w:cs="宋体"/>
          <w:b/>
          <w:color w:val="auto"/>
          <w:sz w:val="48"/>
          <w:szCs w:val="48"/>
          <w:highlight w:val="none"/>
        </w:rPr>
      </w:pPr>
    </w:p>
    <w:p w14:paraId="6B060271">
      <w:pPr>
        <w:jc w:val="center"/>
        <w:rPr>
          <w:rFonts w:ascii="宋体" w:hAnsi="宋体" w:cs="宋体"/>
          <w:b/>
          <w:color w:val="auto"/>
          <w:sz w:val="48"/>
          <w:szCs w:val="48"/>
          <w:highlight w:val="none"/>
        </w:rPr>
      </w:pPr>
    </w:p>
    <w:p w14:paraId="024AC976">
      <w:pPr>
        <w:ind w:left="2238" w:leftChars="399" w:hanging="1400" w:hangingChars="500"/>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u w:val="single"/>
          <w:lang w:eastAsia="zh-CN"/>
        </w:rPr>
        <w:t>2026年度东川区高标准农田建设项目设计服务</w:t>
      </w:r>
    </w:p>
    <w:p w14:paraId="222A221F">
      <w:pPr>
        <w:ind w:firstLine="840" w:firstLineChars="300"/>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rPr>
        <w:t>工程地点：</w:t>
      </w:r>
      <w:r>
        <w:rPr>
          <w:rFonts w:hint="eastAsia" w:ascii="宋体" w:hAnsi="宋体" w:cs="宋体"/>
          <w:color w:val="auto"/>
          <w:sz w:val="28"/>
          <w:szCs w:val="28"/>
          <w:highlight w:val="none"/>
          <w:u w:val="single"/>
          <w:lang w:val="en-US" w:eastAsia="zh-CN"/>
        </w:rPr>
        <w:t>云南省昆明市东川区</w:t>
      </w:r>
    </w:p>
    <w:p w14:paraId="7C48556B">
      <w:pPr>
        <w:ind w:firstLine="840" w:firstLineChars="300"/>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发包人：</w:t>
      </w:r>
      <w:r>
        <w:rPr>
          <w:rFonts w:hint="eastAsia" w:ascii="宋体" w:hAnsi="宋体" w:cs="宋体"/>
          <w:color w:val="auto"/>
          <w:sz w:val="28"/>
          <w:szCs w:val="28"/>
          <w:highlight w:val="none"/>
          <w:u w:val="single"/>
          <w:lang w:eastAsia="zh-CN"/>
        </w:rPr>
        <w:t>昆明市东川区农业农村局</w:t>
      </w:r>
    </w:p>
    <w:p w14:paraId="36BD49F5">
      <w:pPr>
        <w:ind w:firstLine="840" w:firstLineChars="300"/>
        <w:rPr>
          <w:rFonts w:ascii="宋体" w:hAnsi="宋体" w:cs="宋体"/>
          <w:color w:val="auto"/>
          <w:sz w:val="28"/>
          <w:szCs w:val="28"/>
          <w:highlight w:val="none"/>
        </w:rPr>
      </w:pPr>
      <w:r>
        <w:rPr>
          <w:rFonts w:hint="eastAsia" w:ascii="宋体" w:hAnsi="宋体" w:cs="宋体"/>
          <w:color w:val="auto"/>
          <w:sz w:val="28"/>
          <w:szCs w:val="28"/>
          <w:highlight w:val="none"/>
        </w:rPr>
        <w:t>设计人：</w:t>
      </w:r>
      <w:r>
        <w:rPr>
          <w:rFonts w:hint="eastAsia" w:ascii="宋体" w:hAnsi="宋体" w:cs="宋体"/>
          <w:color w:val="auto"/>
          <w:sz w:val="28"/>
          <w:szCs w:val="28"/>
          <w:highlight w:val="none"/>
          <w:u w:val="single"/>
        </w:rPr>
        <w:t xml:space="preserve">                           </w:t>
      </w:r>
    </w:p>
    <w:p w14:paraId="1DB03DD1">
      <w:pPr>
        <w:rPr>
          <w:rFonts w:ascii="宋体" w:hAnsi="宋体" w:cs="宋体"/>
          <w:b/>
          <w:color w:val="auto"/>
          <w:sz w:val="24"/>
          <w:highlight w:val="none"/>
        </w:rPr>
      </w:pPr>
    </w:p>
    <w:p w14:paraId="027E5C34">
      <w:pPr>
        <w:rPr>
          <w:rFonts w:ascii="宋体" w:hAnsi="宋体" w:cs="宋体"/>
          <w:b/>
          <w:color w:val="auto"/>
          <w:sz w:val="24"/>
          <w:highlight w:val="none"/>
        </w:rPr>
      </w:pPr>
    </w:p>
    <w:p w14:paraId="7B351478">
      <w:pPr>
        <w:rPr>
          <w:rFonts w:ascii="宋体" w:hAnsi="宋体" w:cs="宋体"/>
          <w:b/>
          <w:color w:val="auto"/>
          <w:sz w:val="24"/>
          <w:highlight w:val="none"/>
        </w:rPr>
      </w:pPr>
    </w:p>
    <w:p w14:paraId="58D83195">
      <w:pPr>
        <w:rPr>
          <w:rFonts w:ascii="宋体" w:hAnsi="宋体" w:cs="宋体"/>
          <w:b/>
          <w:color w:val="auto"/>
          <w:sz w:val="24"/>
          <w:highlight w:val="none"/>
        </w:rPr>
      </w:pPr>
    </w:p>
    <w:p w14:paraId="1FF99314">
      <w:pPr>
        <w:rPr>
          <w:rFonts w:ascii="宋体" w:hAnsi="宋体" w:cs="宋体"/>
          <w:b/>
          <w:color w:val="auto"/>
          <w:sz w:val="24"/>
          <w:highlight w:val="none"/>
        </w:rPr>
      </w:pPr>
    </w:p>
    <w:p w14:paraId="09482D04">
      <w:pPr>
        <w:rPr>
          <w:rFonts w:ascii="宋体" w:hAnsi="宋体" w:cs="宋体"/>
          <w:b/>
          <w:color w:val="auto"/>
          <w:sz w:val="24"/>
          <w:highlight w:val="none"/>
        </w:rPr>
      </w:pPr>
    </w:p>
    <w:p w14:paraId="0EFAD296">
      <w:pPr>
        <w:rPr>
          <w:rFonts w:ascii="宋体" w:hAnsi="宋体" w:cs="宋体"/>
          <w:b/>
          <w:color w:val="auto"/>
          <w:sz w:val="24"/>
          <w:highlight w:val="none"/>
        </w:rPr>
      </w:pPr>
    </w:p>
    <w:p w14:paraId="1AE9867F">
      <w:pPr>
        <w:rPr>
          <w:rFonts w:ascii="宋体" w:hAnsi="宋体" w:cs="宋体"/>
          <w:b/>
          <w:color w:val="auto"/>
          <w:sz w:val="24"/>
          <w:highlight w:val="none"/>
        </w:rPr>
      </w:pPr>
    </w:p>
    <w:p w14:paraId="5DCF6103">
      <w:pPr>
        <w:ind w:right="3360" w:rightChars="1600" w:firstLine="1987" w:firstLineChars="1104"/>
        <w:jc w:val="distribute"/>
        <w:rPr>
          <w:rFonts w:ascii="宋体" w:hAnsi="宋体" w:cs="宋体"/>
          <w:b/>
          <w:color w:val="auto"/>
          <w:sz w:val="28"/>
          <w:highlight w:val="none"/>
        </w:rPr>
      </w:pPr>
      <w:r>
        <w:rPr>
          <w:rFonts w:ascii="宋体" w:hAnsi="宋体" w:cs="宋体"/>
          <w:color w:val="auto"/>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4406900</wp:posOffset>
                </wp:positionH>
                <wp:positionV relativeFrom="paragraph">
                  <wp:posOffset>181610</wp:posOffset>
                </wp:positionV>
                <wp:extent cx="723900" cy="457200"/>
                <wp:effectExtent l="4445" t="4445" r="18415" b="10795"/>
                <wp:wrapNone/>
                <wp:docPr id="9"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7E31D735">
                            <w:pPr>
                              <w:rPr>
                                <w:rFonts w:ascii="Times New Roman" w:hAnsi="Times New Roman" w:cs="Times New Roman"/>
                                <w:b/>
                                <w:bCs/>
                                <w:sz w:val="28"/>
                                <w:szCs w:val="18"/>
                              </w:rPr>
                            </w:pPr>
                            <w:r>
                              <w:rPr>
                                <w:rFonts w:hint="eastAsia" w:ascii="Times New Roman" w:hAnsi="Times New Roman" w:cs="Times New Roman"/>
                                <w:b/>
                                <w:bCs/>
                                <w:sz w:val="28"/>
                                <w:szCs w:val="18"/>
                              </w:rPr>
                              <w:t>制定</w:t>
                            </w:r>
                          </w:p>
                        </w:txbxContent>
                      </wps:txbx>
                      <wps:bodyPr vert="horz" wrap="square" anchor="t" anchorCtr="0" upright="1"/>
                    </wps:wsp>
                  </a:graphicData>
                </a:graphic>
              </wp:anchor>
            </w:drawing>
          </mc:Choice>
          <mc:Fallback>
            <w:pict>
              <v:shape id="文本框 1" o:spid="_x0000_s1026" o:spt="202" type="#_x0000_t202" style="position:absolute;left:0pt;margin-left:347pt;margin-top:14.3pt;height:36pt;width:57pt;z-index:251660288;mso-width-relative:page;mso-height-relative:page;" filled="f" stroked="t" coordsize="21600,21600" o:gfxdata="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C66kg1wAAAAoBAAAPAAAAAAAAAAEAIAAAACIAAABkcnMvZG93bnJldi54bWxQSwECFAAUAAAA&#10;CACHTuJAqEa58SgCAABNBAAADgAAAAAAAAABACAAAAAmAQAAZHJzL2Uyb0RvYy54bWxQSwUGAAAA&#10;AAYABgBZAQAAwAUAAAAA&#10;">
                <v:fill on="f" focussize="0,0"/>
                <v:stroke color="#FFFFFF" joinstyle="miter"/>
                <v:imagedata o:title=""/>
                <o:lock v:ext="edit" aspectratio="f"/>
                <v:textbox>
                  <w:txbxContent>
                    <w:p w14:paraId="7E31D735">
                      <w:pPr>
                        <w:rPr>
                          <w:rFonts w:ascii="Times New Roman" w:hAnsi="Times New Roman" w:cs="Times New Roman"/>
                          <w:b/>
                          <w:bCs/>
                          <w:sz w:val="28"/>
                          <w:szCs w:val="18"/>
                        </w:rPr>
                      </w:pPr>
                      <w:r>
                        <w:rPr>
                          <w:rFonts w:hint="eastAsia" w:ascii="Times New Roman" w:hAnsi="Times New Roman" w:cs="Times New Roman"/>
                          <w:b/>
                          <w:bCs/>
                          <w:sz w:val="28"/>
                          <w:szCs w:val="18"/>
                        </w:rPr>
                        <w:t>制定</w:t>
                      </w:r>
                    </w:p>
                  </w:txbxContent>
                </v:textbox>
              </v:shape>
            </w:pict>
          </mc:Fallback>
        </mc:AlternateContent>
      </w:r>
      <w:r>
        <w:rPr>
          <w:rFonts w:hint="eastAsia" w:ascii="宋体" w:hAnsi="宋体" w:cs="宋体"/>
          <w:b/>
          <w:color w:val="auto"/>
          <w:sz w:val="28"/>
          <w:highlight w:val="none"/>
        </w:rPr>
        <w:t>住房和城乡建设部</w:t>
      </w:r>
    </w:p>
    <w:p w14:paraId="066E037C">
      <w:pPr>
        <w:ind w:right="3139" w:rightChars="1495"/>
        <w:jc w:val="center"/>
        <w:rPr>
          <w:rFonts w:ascii="宋体" w:hAnsi="宋体" w:cs="宋体"/>
          <w:b/>
          <w:color w:val="auto"/>
          <w:sz w:val="28"/>
          <w:highlight w:val="none"/>
        </w:rPr>
      </w:pPr>
      <w:r>
        <w:rPr>
          <w:rFonts w:hint="eastAsia" w:ascii="宋体" w:hAnsi="宋体" w:cs="宋体"/>
          <w:b/>
          <w:color w:val="auto"/>
          <w:sz w:val="28"/>
          <w:highlight w:val="none"/>
        </w:rPr>
        <w:t xml:space="preserve"> </w:t>
      </w:r>
      <w:r>
        <w:rPr>
          <w:rFonts w:ascii="宋体" w:hAnsi="宋体" w:cs="宋体"/>
          <w:b/>
          <w:color w:val="auto"/>
          <w:sz w:val="28"/>
          <w:highlight w:val="none"/>
        </w:rPr>
        <w:t xml:space="preserve">            </w:t>
      </w:r>
      <w:r>
        <w:rPr>
          <w:rFonts w:hint="eastAsia" w:ascii="宋体" w:hAnsi="宋体" w:cs="宋体"/>
          <w:b/>
          <w:color w:val="auto"/>
          <w:sz w:val="28"/>
          <w:highlight w:val="none"/>
        </w:rPr>
        <w:t>国家工商行政管理总局</w:t>
      </w:r>
    </w:p>
    <w:p w14:paraId="3247C703">
      <w:pPr>
        <w:rPr>
          <w:rFonts w:ascii="宋体" w:hAnsi="宋体" w:cs="宋体"/>
          <w:b/>
          <w:color w:val="auto"/>
          <w:highlight w:val="none"/>
        </w:rPr>
      </w:pPr>
    </w:p>
    <w:p w14:paraId="45B79144">
      <w:pPr>
        <w:keepNext/>
        <w:keepLines/>
        <w:widowControl w:val="0"/>
        <w:spacing w:before="260" w:after="260" w:line="416" w:lineRule="auto"/>
        <w:jc w:val="center"/>
        <w:outlineLvl w:val="1"/>
        <w:rPr>
          <w:rFonts w:ascii="宋体" w:hAnsi="宋体" w:eastAsia="黑体" w:cs="宋体"/>
          <w:b/>
          <w:bCs/>
          <w:color w:val="auto"/>
          <w:kern w:val="0"/>
          <w:sz w:val="36"/>
          <w:szCs w:val="36"/>
          <w:highlight w:val="none"/>
          <w:lang w:val="en-US" w:eastAsia="zh-CN" w:bidi="ar-SA"/>
        </w:rPr>
      </w:pPr>
      <w:bookmarkStart w:id="837" w:name="_Toc917"/>
      <w:bookmarkStart w:id="838" w:name="_Toc296503025"/>
      <w:bookmarkStart w:id="839" w:name="_Toc296890982"/>
      <w:r>
        <w:rPr>
          <w:rFonts w:hint="eastAsia" w:ascii="宋体" w:hAnsi="宋体" w:eastAsia="黑体" w:cs="宋体"/>
          <w:b/>
          <w:bCs/>
          <w:color w:val="auto"/>
          <w:kern w:val="0"/>
          <w:sz w:val="36"/>
          <w:szCs w:val="36"/>
          <w:highlight w:val="none"/>
          <w:lang w:val="en-US" w:eastAsia="zh-CN" w:bidi="ar-SA"/>
        </w:rPr>
        <w:t>第一部分 合同协议书</w:t>
      </w:r>
      <w:bookmarkEnd w:id="837"/>
      <w:bookmarkEnd w:id="838"/>
      <w:bookmarkEnd w:id="839"/>
    </w:p>
    <w:p w14:paraId="6E120EB5">
      <w:pPr>
        <w:spacing w:line="480" w:lineRule="auto"/>
        <w:rPr>
          <w:rFonts w:hint="eastAsia" w:ascii="宋体" w:hAnsi="宋体" w:eastAsia="宋体" w:cs="宋体"/>
          <w:b/>
          <w:color w:val="auto"/>
          <w:szCs w:val="21"/>
          <w:highlight w:val="none"/>
          <w:u w:val="single"/>
          <w:lang w:eastAsia="zh-CN"/>
        </w:rPr>
      </w:pPr>
      <w:r>
        <w:rPr>
          <w:rFonts w:hint="eastAsia" w:ascii="宋体" w:hAnsi="宋体" w:cs="宋体"/>
          <w:b/>
          <w:color w:val="auto"/>
          <w:szCs w:val="21"/>
          <w:highlight w:val="none"/>
        </w:rPr>
        <w:t>发包人（全称）：</w:t>
      </w:r>
      <w:r>
        <w:rPr>
          <w:rFonts w:hint="eastAsia" w:ascii="宋体" w:hAnsi="宋体" w:cs="宋体"/>
          <w:b w:val="0"/>
          <w:bCs/>
          <w:color w:val="auto"/>
          <w:szCs w:val="21"/>
          <w:highlight w:val="none"/>
          <w:u w:val="single"/>
          <w:lang w:eastAsia="zh-CN"/>
        </w:rPr>
        <w:t>昆明市东川区农业农村局</w:t>
      </w:r>
    </w:p>
    <w:p w14:paraId="1AB4451B">
      <w:pPr>
        <w:spacing w:line="360" w:lineRule="auto"/>
        <w:rPr>
          <w:rFonts w:ascii="宋体" w:hAnsi="宋体" w:cs="宋体"/>
          <w:b/>
          <w:color w:val="auto"/>
          <w:szCs w:val="21"/>
          <w:highlight w:val="none"/>
          <w:u w:val="single"/>
        </w:rPr>
      </w:pPr>
      <w:r>
        <w:rPr>
          <w:rFonts w:hint="eastAsia" w:ascii="宋体" w:hAnsi="宋体" w:cs="宋体"/>
          <w:b/>
          <w:color w:val="auto"/>
          <w:szCs w:val="21"/>
          <w:highlight w:val="none"/>
        </w:rPr>
        <w:t>设计人（全称）：</w:t>
      </w:r>
      <w:r>
        <w:rPr>
          <w:rFonts w:hint="eastAsia" w:ascii="宋体" w:hAnsi="宋体" w:cs="宋体"/>
          <w:b/>
          <w:color w:val="auto"/>
          <w:szCs w:val="21"/>
          <w:highlight w:val="none"/>
          <w:u w:val="single"/>
        </w:rPr>
        <w:t xml:space="preserve">                              </w:t>
      </w:r>
    </w:p>
    <w:p w14:paraId="477867BC">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根据《中华人民共和国民典法》、《中华人民共和国建筑法》及有关法律规定，遵循平等、自愿、公平和诚实信用的原则，双方就</w:t>
      </w:r>
      <w:r>
        <w:rPr>
          <w:rFonts w:hint="eastAsia" w:ascii="宋体" w:hAnsi="宋体" w:cs="宋体"/>
          <w:color w:val="auto"/>
          <w:szCs w:val="21"/>
          <w:highlight w:val="none"/>
          <w:u w:val="single"/>
          <w:lang w:eastAsia="zh-CN"/>
        </w:rPr>
        <w:t>2026年度东川区高标准农田建设项目设计服务</w:t>
      </w:r>
      <w:r>
        <w:rPr>
          <w:rFonts w:hint="eastAsia" w:ascii="宋体" w:hAnsi="宋体" w:cs="宋体"/>
          <w:color w:val="auto"/>
          <w:szCs w:val="21"/>
          <w:highlight w:val="none"/>
        </w:rPr>
        <w:t>工程设计及有关事项协商一致，共同达成如下协议：</w:t>
      </w:r>
      <w:bookmarkStart w:id="840" w:name="_Toc1234"/>
      <w:bookmarkStart w:id="841" w:name="_Toc351203481"/>
    </w:p>
    <w:p w14:paraId="19F1ED13">
      <w:pPr>
        <w:spacing w:line="360" w:lineRule="auto"/>
        <w:ind w:firstLine="422" w:firstLineChars="200"/>
        <w:outlineLvl w:val="3"/>
        <w:rPr>
          <w:rFonts w:ascii="宋体" w:hAnsi="宋体" w:cs="宋体"/>
          <w:b/>
          <w:color w:val="auto"/>
          <w:szCs w:val="21"/>
          <w:highlight w:val="none"/>
        </w:rPr>
      </w:pPr>
      <w:r>
        <w:rPr>
          <w:rFonts w:hint="eastAsia" w:ascii="宋体" w:hAnsi="宋体" w:cs="宋体"/>
          <w:b/>
          <w:color w:val="auto"/>
          <w:szCs w:val="21"/>
          <w:highlight w:val="none"/>
        </w:rPr>
        <w:t>一、工程概况</w:t>
      </w:r>
      <w:bookmarkEnd w:id="840"/>
      <w:bookmarkEnd w:id="841"/>
    </w:p>
    <w:p w14:paraId="1686ADFC">
      <w:pPr>
        <w:spacing w:line="360" w:lineRule="auto"/>
        <w:ind w:firstLine="411" w:firstLineChars="196"/>
        <w:rPr>
          <w:rFonts w:ascii="宋体" w:hAnsi="宋体" w:cs="宋体"/>
          <w:color w:val="auto"/>
          <w:szCs w:val="21"/>
          <w:highlight w:val="non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u w:val="single"/>
          <w:lang w:eastAsia="zh-CN"/>
        </w:rPr>
        <w:t>2026年度东川区高标准农田建设项目设计服务</w:t>
      </w:r>
      <w:r>
        <w:rPr>
          <w:rFonts w:hint="eastAsia" w:ascii="宋体" w:hAnsi="宋体" w:cs="宋体"/>
          <w:color w:val="auto"/>
          <w:szCs w:val="21"/>
          <w:highlight w:val="none"/>
        </w:rPr>
        <w:t>。</w:t>
      </w:r>
    </w:p>
    <w:p w14:paraId="4D38BFAA">
      <w:pPr>
        <w:spacing w:line="360" w:lineRule="auto"/>
        <w:ind w:firstLine="411" w:firstLineChars="196"/>
        <w:rPr>
          <w:rFonts w:ascii="宋体" w:hAnsi="宋体" w:cs="宋体"/>
          <w:color w:val="auto"/>
          <w:szCs w:val="21"/>
          <w:highlight w:val="none"/>
        </w:rPr>
      </w:pPr>
      <w:r>
        <w:rPr>
          <w:rFonts w:hint="eastAsia" w:ascii="宋体" w:hAnsi="宋体" w:cs="宋体"/>
          <w:bCs/>
          <w:color w:val="auto"/>
          <w:szCs w:val="21"/>
          <w:highlight w:val="none"/>
        </w:rPr>
        <w:t>2.</w:t>
      </w:r>
      <w:r>
        <w:rPr>
          <w:rFonts w:hint="eastAsia" w:ascii="宋体" w:hAnsi="宋体" w:cs="宋体"/>
          <w:color w:val="auto"/>
          <w:szCs w:val="21"/>
          <w:highlight w:val="none"/>
        </w:rPr>
        <w:t>工程内容及规模：</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w:t>
      </w:r>
    </w:p>
    <w:p w14:paraId="5E116F83">
      <w:pPr>
        <w:spacing w:line="360" w:lineRule="auto"/>
        <w:ind w:firstLine="411" w:firstLineChars="196"/>
        <w:rPr>
          <w:rFonts w:ascii="宋体" w:hAnsi="宋体" w:cs="宋体"/>
          <w:color w:val="auto"/>
          <w:szCs w:val="21"/>
          <w:highlight w:val="none"/>
          <w:u w:val="single"/>
        </w:rPr>
      </w:pPr>
      <w:r>
        <w:rPr>
          <w:rFonts w:hint="eastAsia" w:ascii="宋体" w:hAnsi="宋体" w:cs="宋体"/>
          <w:color w:val="auto"/>
          <w:szCs w:val="21"/>
          <w:highlight w:val="none"/>
        </w:rPr>
        <w:t>3.</w:t>
      </w:r>
      <w:r>
        <w:rPr>
          <w:rFonts w:hint="eastAsia" w:ascii="宋体" w:hAnsi="宋体" w:cs="宋体"/>
          <w:bCs/>
          <w:color w:val="auto"/>
          <w:szCs w:val="21"/>
          <w:highlight w:val="none"/>
        </w:rPr>
        <w:t>工程所在地详细地址：</w:t>
      </w:r>
      <w:r>
        <w:rPr>
          <w:rFonts w:hint="eastAsia" w:ascii="宋体" w:hAnsi="宋体" w:cs="宋体"/>
          <w:bCs/>
          <w:color w:val="auto"/>
          <w:szCs w:val="21"/>
          <w:highlight w:val="none"/>
          <w:u w:val="single"/>
          <w:lang w:val="en-US" w:eastAsia="zh-CN"/>
        </w:rPr>
        <w:t>云南省昆明市东川区</w:t>
      </w:r>
      <w:r>
        <w:rPr>
          <w:rFonts w:hint="eastAsia" w:ascii="宋体" w:hAnsi="宋体" w:cs="宋体"/>
          <w:color w:val="auto"/>
          <w:szCs w:val="21"/>
          <w:highlight w:val="none"/>
        </w:rPr>
        <w:t>。</w:t>
      </w:r>
    </w:p>
    <w:p w14:paraId="40BAA928">
      <w:pPr>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4.工程投资估算：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7624F3B">
      <w:pPr>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5.工程进度安排：</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3C309E3">
      <w:pPr>
        <w:spacing w:line="360" w:lineRule="auto"/>
        <w:ind w:firstLine="411" w:firstLineChars="196"/>
        <w:rPr>
          <w:rFonts w:ascii="宋体" w:hAnsi="宋体" w:cs="宋体"/>
          <w:color w:val="auto"/>
          <w:szCs w:val="21"/>
          <w:highlight w:val="none"/>
        </w:rPr>
      </w:pPr>
      <w:r>
        <w:rPr>
          <w:rFonts w:hint="eastAsia" w:ascii="宋体" w:hAnsi="宋体" w:cs="宋体"/>
          <w:color w:val="auto"/>
          <w:szCs w:val="21"/>
          <w:highlight w:val="none"/>
        </w:rPr>
        <w:t>6.工程主要技术标准：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BF6E9BE">
      <w:pPr>
        <w:spacing w:line="360" w:lineRule="auto"/>
        <w:ind w:firstLine="413" w:firstLineChars="196"/>
        <w:outlineLvl w:val="3"/>
        <w:rPr>
          <w:rFonts w:ascii="宋体" w:hAnsi="宋体" w:cs="宋体"/>
          <w:b/>
          <w:color w:val="auto"/>
          <w:szCs w:val="21"/>
          <w:highlight w:val="none"/>
        </w:rPr>
      </w:pPr>
      <w:r>
        <w:rPr>
          <w:rFonts w:hint="eastAsia" w:ascii="宋体" w:hAnsi="宋体" w:cs="宋体"/>
          <w:b/>
          <w:color w:val="auto"/>
          <w:szCs w:val="21"/>
          <w:highlight w:val="none"/>
        </w:rPr>
        <w:t>二、工程设计范围</w:t>
      </w:r>
    </w:p>
    <w:p w14:paraId="7293F52E">
      <w:pPr>
        <w:spacing w:line="360" w:lineRule="auto"/>
        <w:ind w:firstLine="411" w:firstLineChars="196"/>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u w:val="single"/>
        </w:rPr>
        <w:t>完成</w:t>
      </w:r>
      <w:r>
        <w:rPr>
          <w:rFonts w:hint="eastAsia" w:ascii="宋体" w:hAnsi="宋体" w:cs="宋体"/>
          <w:bCs/>
          <w:color w:val="auto"/>
          <w:szCs w:val="21"/>
          <w:highlight w:val="none"/>
          <w:u w:val="single"/>
          <w:lang w:eastAsia="zh-CN"/>
        </w:rPr>
        <w:t>2026年度东川区高标准农田建设项目设计服务</w:t>
      </w:r>
      <w:r>
        <w:rPr>
          <w:rFonts w:hint="eastAsia" w:ascii="宋体" w:hAnsi="宋体" w:cs="宋体"/>
          <w:bCs/>
          <w:color w:val="auto"/>
          <w:szCs w:val="21"/>
          <w:highlight w:val="none"/>
          <w:u w:val="single"/>
        </w:rPr>
        <w:t>，包括但不限于完成本项目初步设计及初步设计概算编制工作</w:t>
      </w:r>
      <w:r>
        <w:rPr>
          <w:rFonts w:hint="eastAsia" w:ascii="宋体" w:hAnsi="宋体" w:cs="宋体"/>
          <w:bCs/>
          <w:color w:val="auto"/>
          <w:szCs w:val="21"/>
          <w:highlight w:val="none"/>
          <w:u w:val="single"/>
          <w:lang w:eastAsia="zh-CN"/>
        </w:rPr>
        <w:t>、</w:t>
      </w:r>
      <w:r>
        <w:rPr>
          <w:rFonts w:hint="eastAsia" w:ascii="宋体" w:hAnsi="宋体" w:cs="宋体"/>
          <w:bCs/>
          <w:color w:val="auto"/>
          <w:szCs w:val="21"/>
          <w:highlight w:val="none"/>
          <w:u w:val="single"/>
          <w:lang w:val="en-US" w:eastAsia="zh-CN"/>
        </w:rPr>
        <w:t>施工图设计工作，配合发包人取得初步设计批复或主管部门审核意见</w:t>
      </w:r>
      <w:r>
        <w:rPr>
          <w:rFonts w:hint="eastAsia" w:ascii="宋体" w:hAnsi="宋体" w:cs="宋体"/>
          <w:bCs/>
          <w:color w:val="auto"/>
          <w:szCs w:val="21"/>
          <w:highlight w:val="none"/>
          <w:u w:val="single"/>
          <w:lang w:eastAsia="zh-CN"/>
        </w:rPr>
        <w:t>；</w:t>
      </w:r>
      <w:r>
        <w:rPr>
          <w:rFonts w:hint="eastAsia" w:ascii="宋体" w:hAnsi="宋体" w:cs="宋体"/>
          <w:bCs/>
          <w:color w:val="auto"/>
          <w:szCs w:val="21"/>
          <w:highlight w:val="none"/>
          <w:u w:val="single"/>
        </w:rPr>
        <w:t>施工图</w:t>
      </w:r>
      <w:r>
        <w:rPr>
          <w:rFonts w:hint="eastAsia" w:ascii="宋体" w:hAnsi="宋体" w:cs="宋体"/>
          <w:bCs/>
          <w:color w:val="auto"/>
          <w:szCs w:val="21"/>
          <w:highlight w:val="none"/>
          <w:u w:val="single"/>
          <w:lang w:val="en-US" w:eastAsia="zh-CN"/>
        </w:rPr>
        <w:t>满足施工需要，</w:t>
      </w:r>
      <w:r>
        <w:rPr>
          <w:rFonts w:hint="eastAsia" w:ascii="宋体" w:hAnsi="宋体" w:cs="宋体"/>
          <w:bCs/>
          <w:color w:val="auto"/>
          <w:szCs w:val="21"/>
          <w:highlight w:val="none"/>
          <w:u w:val="single"/>
        </w:rPr>
        <w:t>成果资料须经</w:t>
      </w:r>
      <w:r>
        <w:rPr>
          <w:rFonts w:hint="eastAsia" w:ascii="宋体" w:hAnsi="宋体" w:cs="宋体"/>
          <w:bCs/>
          <w:color w:val="auto"/>
          <w:szCs w:val="21"/>
          <w:highlight w:val="none"/>
          <w:u w:val="single"/>
          <w:lang w:val="en-US" w:eastAsia="zh-CN"/>
        </w:rPr>
        <w:t>发包人</w:t>
      </w:r>
      <w:r>
        <w:rPr>
          <w:rFonts w:hint="eastAsia" w:ascii="宋体" w:hAnsi="宋体" w:cs="宋体"/>
          <w:bCs/>
          <w:color w:val="auto"/>
          <w:szCs w:val="21"/>
          <w:highlight w:val="none"/>
          <w:u w:val="single"/>
        </w:rPr>
        <w:t>认可并通过专家评审，</w:t>
      </w:r>
      <w:r>
        <w:rPr>
          <w:rFonts w:hint="eastAsia" w:ascii="宋体" w:hAnsi="宋体" w:cs="宋体"/>
          <w:bCs/>
          <w:color w:val="auto"/>
          <w:szCs w:val="21"/>
          <w:highlight w:val="none"/>
          <w:u w:val="single"/>
          <w:lang w:val="en-US" w:eastAsia="zh-CN"/>
        </w:rPr>
        <w:t>完成</w:t>
      </w:r>
      <w:r>
        <w:rPr>
          <w:rFonts w:hint="eastAsia" w:ascii="宋体" w:hAnsi="宋体" w:cs="宋体"/>
          <w:bCs/>
          <w:color w:val="auto"/>
          <w:szCs w:val="21"/>
          <w:highlight w:val="none"/>
          <w:u w:val="single"/>
        </w:rPr>
        <w:t>高标准农田上图入库服务</w:t>
      </w:r>
      <w:r>
        <w:rPr>
          <w:rFonts w:hint="eastAsia" w:ascii="宋体" w:hAnsi="宋体" w:cs="宋体"/>
          <w:bCs/>
          <w:color w:val="auto"/>
          <w:szCs w:val="21"/>
          <w:highlight w:val="none"/>
          <w:u w:val="single"/>
          <w:lang w:eastAsia="zh-CN"/>
        </w:rPr>
        <w:t>，</w:t>
      </w:r>
      <w:r>
        <w:rPr>
          <w:rFonts w:hint="eastAsia" w:ascii="宋体" w:hAnsi="宋体" w:cs="宋体"/>
          <w:bCs/>
          <w:color w:val="auto"/>
          <w:szCs w:val="21"/>
          <w:highlight w:val="none"/>
          <w:u w:val="single"/>
        </w:rPr>
        <w:t>同时提供相关后续服务。</w:t>
      </w:r>
      <w:r>
        <w:rPr>
          <w:rFonts w:hint="eastAsia" w:ascii="宋体" w:hAnsi="宋体" w:cs="宋体"/>
          <w:bCs/>
          <w:color w:val="auto"/>
          <w:szCs w:val="21"/>
          <w:highlight w:val="none"/>
          <w:u w:val="single"/>
          <w:lang w:val="en-US" w:eastAsia="zh-CN"/>
        </w:rPr>
        <w:t>最终</w:t>
      </w:r>
      <w:r>
        <w:rPr>
          <w:rFonts w:hint="eastAsia" w:ascii="宋体" w:hAnsi="宋体" w:cs="宋体"/>
          <w:bCs/>
          <w:color w:val="auto"/>
          <w:szCs w:val="21"/>
          <w:highlight w:val="none"/>
          <w:u w:val="single"/>
        </w:rPr>
        <w:t>以</w:t>
      </w:r>
      <w:r>
        <w:rPr>
          <w:rFonts w:hint="eastAsia" w:ascii="宋体" w:hAnsi="宋体" w:cs="宋体"/>
          <w:bCs/>
          <w:color w:val="auto"/>
          <w:szCs w:val="21"/>
          <w:highlight w:val="none"/>
          <w:u w:val="single"/>
          <w:lang w:val="en-US" w:eastAsia="zh-CN"/>
        </w:rPr>
        <w:t>发包</w:t>
      </w:r>
      <w:r>
        <w:rPr>
          <w:rFonts w:hint="eastAsia" w:ascii="宋体" w:hAnsi="宋体" w:cs="宋体"/>
          <w:bCs/>
          <w:color w:val="auto"/>
          <w:szCs w:val="21"/>
          <w:highlight w:val="none"/>
          <w:u w:val="single"/>
        </w:rPr>
        <w:t>人实际委托为准</w:t>
      </w:r>
      <w:r>
        <w:rPr>
          <w:rFonts w:hint="eastAsia" w:ascii="宋体" w:hAnsi="宋体" w:cs="宋体"/>
          <w:bCs/>
          <w:color w:val="auto"/>
          <w:szCs w:val="21"/>
          <w:highlight w:val="none"/>
          <w:u w:val="single"/>
          <w:lang w:eastAsia="zh-CN"/>
        </w:rPr>
        <w:t>。</w:t>
      </w:r>
    </w:p>
    <w:p w14:paraId="4AEAA30F">
      <w:pPr>
        <w:spacing w:line="360" w:lineRule="auto"/>
        <w:ind w:firstLine="422" w:firstLineChars="200"/>
        <w:outlineLvl w:val="3"/>
        <w:rPr>
          <w:rFonts w:ascii="宋体" w:hAnsi="宋体" w:cs="宋体"/>
          <w:bCs/>
          <w:color w:val="auto"/>
          <w:szCs w:val="21"/>
          <w:highlight w:val="none"/>
        </w:rPr>
      </w:pPr>
      <w:bookmarkStart w:id="842" w:name="_Toc351203482"/>
      <w:bookmarkStart w:id="843" w:name="_Toc9289"/>
      <w:r>
        <w:rPr>
          <w:rFonts w:hint="eastAsia" w:ascii="宋体" w:hAnsi="宋体" w:cs="宋体"/>
          <w:b/>
          <w:color w:val="auto"/>
          <w:szCs w:val="21"/>
          <w:highlight w:val="none"/>
        </w:rPr>
        <w:t>三、</w:t>
      </w:r>
      <w:bookmarkEnd w:id="842"/>
      <w:r>
        <w:rPr>
          <w:rFonts w:hint="eastAsia" w:ascii="宋体" w:hAnsi="宋体" w:cs="宋体"/>
          <w:b/>
          <w:color w:val="auto"/>
          <w:szCs w:val="21"/>
          <w:highlight w:val="none"/>
        </w:rPr>
        <w:t>工程设计周期</w:t>
      </w:r>
      <w:bookmarkEnd w:id="843"/>
    </w:p>
    <w:p w14:paraId="37E80A30">
      <w:pPr>
        <w:spacing w:line="360" w:lineRule="auto"/>
        <w:rPr>
          <w:rFonts w:hint="default" w:ascii="宋体" w:hAnsi="宋体" w:eastAsia="宋体" w:cs="宋体"/>
          <w:b/>
          <w:color w:val="auto"/>
          <w:szCs w:val="21"/>
          <w:highlight w:val="none"/>
          <w:u w:val="single"/>
          <w:lang w:val="en-US" w:eastAsia="zh-CN"/>
        </w:rPr>
      </w:pPr>
      <w:bookmarkStart w:id="844" w:name="_Toc31948"/>
      <w:bookmarkStart w:id="845" w:name="_Toc351203484"/>
      <w:r>
        <w:rPr>
          <w:rFonts w:hint="eastAsia" w:ascii="宋体" w:hAnsi="宋体" w:cs="宋体"/>
          <w:b/>
          <w:color w:val="auto"/>
          <w:szCs w:val="21"/>
          <w:highlight w:val="none"/>
          <w:u w:val="single"/>
          <w:lang w:val="en-US" w:eastAsia="zh-CN"/>
        </w:rPr>
        <w:t xml:space="preserve">                                                     </w:t>
      </w:r>
    </w:p>
    <w:p w14:paraId="2291B99F">
      <w:pPr>
        <w:spacing w:line="360" w:lineRule="auto"/>
        <w:ind w:firstLine="422" w:firstLineChars="200"/>
        <w:outlineLvl w:val="3"/>
        <w:rPr>
          <w:rFonts w:ascii="宋体" w:hAnsi="宋体" w:cs="宋体"/>
          <w:bCs/>
          <w:color w:val="auto"/>
          <w:szCs w:val="21"/>
          <w:highlight w:val="none"/>
        </w:rPr>
      </w:pPr>
      <w:r>
        <w:rPr>
          <w:rFonts w:hint="eastAsia" w:ascii="宋体" w:hAnsi="宋体" w:cs="宋体"/>
          <w:b/>
          <w:color w:val="auto"/>
          <w:szCs w:val="21"/>
          <w:highlight w:val="none"/>
        </w:rPr>
        <w:t>四、合同价格形式与签约合同价</w:t>
      </w:r>
      <w:bookmarkEnd w:id="844"/>
      <w:bookmarkEnd w:id="845"/>
      <w:r>
        <w:rPr>
          <w:rFonts w:hint="eastAsia" w:ascii="宋体" w:hAnsi="宋体" w:cs="宋体"/>
          <w:b/>
          <w:color w:val="auto"/>
          <w:szCs w:val="21"/>
          <w:highlight w:val="none"/>
        </w:rPr>
        <w:tab/>
      </w:r>
    </w:p>
    <w:p w14:paraId="2B31EBFA">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本合同价（含税包干价）共计人民币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       元）。该合同价包含完成本项目所有工作内容所需的费用，包括但不限于：调研费、编制费、资料费、专家评审费、人员工资、差旅费、印刷费、食宿费、保险费、利润、税费等，以及合同文件明示或未明示的完成本合同的所有责任、义务和风险，超出部分，委托人不再支付。在合同实施期间，</w:t>
      </w:r>
      <w:r>
        <w:rPr>
          <w:rFonts w:hint="eastAsia" w:ascii="宋体" w:hAnsi="宋体" w:cs="宋体"/>
          <w:color w:val="auto"/>
          <w:szCs w:val="21"/>
          <w:highlight w:val="none"/>
          <w:lang w:val="en-US" w:eastAsia="zh-CN"/>
        </w:rPr>
        <w:t>合同价</w:t>
      </w:r>
      <w:r>
        <w:rPr>
          <w:rFonts w:hint="eastAsia" w:ascii="宋体" w:hAnsi="宋体" w:cs="宋体"/>
          <w:color w:val="auto"/>
          <w:szCs w:val="21"/>
          <w:highlight w:val="none"/>
        </w:rPr>
        <w:t>不因国家政策或法规、标准的变化而变化。</w:t>
      </w:r>
    </w:p>
    <w:p w14:paraId="2941AA21">
      <w:pPr>
        <w:spacing w:line="360" w:lineRule="auto"/>
        <w:ind w:firstLine="422" w:firstLineChars="200"/>
        <w:outlineLvl w:val="3"/>
        <w:rPr>
          <w:rFonts w:ascii="宋体" w:hAnsi="宋体" w:cs="宋体"/>
          <w:b/>
          <w:color w:val="auto"/>
          <w:szCs w:val="21"/>
          <w:highlight w:val="none"/>
        </w:rPr>
      </w:pPr>
      <w:r>
        <w:rPr>
          <w:rFonts w:hint="eastAsia" w:ascii="宋体" w:hAnsi="宋体" w:cs="宋体"/>
          <w:b/>
          <w:color w:val="auto"/>
          <w:szCs w:val="21"/>
          <w:highlight w:val="none"/>
        </w:rPr>
        <w:t>五、组成合同的文件及合同文件及解释合同文件的优先顺序如下</w:t>
      </w:r>
    </w:p>
    <w:p w14:paraId="7A116086">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组成本合同的文件包括：</w:t>
      </w:r>
    </w:p>
    <w:p w14:paraId="1C44F645">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1.本合同协议书</w:t>
      </w:r>
    </w:p>
    <w:p w14:paraId="0D602D12">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2.中标通知书（成交通知书）</w:t>
      </w:r>
    </w:p>
    <w:p w14:paraId="08A84371">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3.投标书及其附件</w:t>
      </w:r>
    </w:p>
    <w:p w14:paraId="29317CAD">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文件及</w:t>
      </w:r>
      <w:r>
        <w:rPr>
          <w:rFonts w:hint="eastAsia" w:ascii="宋体" w:hAnsi="宋体" w:cs="宋体"/>
          <w:color w:val="auto"/>
          <w:szCs w:val="21"/>
          <w:highlight w:val="none"/>
          <w:lang w:val="en-US" w:eastAsia="zh-CN"/>
        </w:rPr>
        <w:t>招标</w:t>
      </w:r>
      <w:r>
        <w:rPr>
          <w:rFonts w:hint="eastAsia" w:ascii="宋体" w:hAnsi="宋体" w:cs="宋体"/>
          <w:color w:val="auto"/>
          <w:szCs w:val="21"/>
          <w:highlight w:val="none"/>
        </w:rPr>
        <w:t>答疑</w:t>
      </w:r>
    </w:p>
    <w:p w14:paraId="6FDC2F41">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5.本合同专用条款</w:t>
      </w:r>
    </w:p>
    <w:p w14:paraId="11461348">
      <w:pPr>
        <w:spacing w:beforeLines="50" w:afterLines="50" w:line="360" w:lineRule="auto"/>
        <w:ind w:left="482"/>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6.本合同通用条款</w:t>
      </w:r>
    </w:p>
    <w:p w14:paraId="51E04D54">
      <w:pPr>
        <w:spacing w:beforeLines="50" w:afterLines="50"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7.标准、规范及有关技术文件，标准、规范以新版者为准</w:t>
      </w:r>
    </w:p>
    <w:p w14:paraId="7883D471">
      <w:pPr>
        <w:spacing w:beforeLines="50" w:afterLines="50" w:line="360" w:lineRule="auto"/>
        <w:ind w:firstLine="420" w:firstLineChars="200"/>
        <w:contextualSpacing/>
        <w:rPr>
          <w:rFonts w:hint="eastAsia" w:ascii="宋体" w:hAnsi="宋体" w:eastAsia="宋体" w:cs="宋体"/>
          <w:color w:val="auto"/>
          <w:szCs w:val="21"/>
          <w:highlight w:val="none"/>
        </w:rPr>
      </w:pPr>
      <w:r>
        <w:rPr>
          <w:rFonts w:hint="eastAsia" w:ascii="宋体" w:hAnsi="宋体" w:eastAsia="宋体" w:cs="宋体"/>
          <w:color w:val="auto"/>
          <w:szCs w:val="21"/>
          <w:highlight w:val="none"/>
        </w:rPr>
        <w:t>8.图纸 、设计变更、签证、洽商及履行合同过程中双方确认的对合同有影响的会议纪要等相关资料。</w:t>
      </w:r>
    </w:p>
    <w:p w14:paraId="6774E6E6">
      <w:pPr>
        <w:spacing w:beforeLines="50" w:afterLines="5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9.承包方向发包方承诺按照合同约定进行施工、竣工并在质量保修期内承担工程质量保修责任。</w:t>
      </w:r>
    </w:p>
    <w:p w14:paraId="6A562459">
      <w:pPr>
        <w:spacing w:beforeLines="50" w:afterLines="5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双方有关工程的洽商、变更等书面协议或文件视为本合同的组成部分。上述各项合同文件包括合同当事人就该项合同文件所作出的补充和修改，属于同一类内容的文件，应以最新签署的为准。专用合同条款及其附件须经合同当事人签字或盖章。</w:t>
      </w:r>
    </w:p>
    <w:p w14:paraId="24A8BED3">
      <w:pPr>
        <w:keepNext/>
        <w:spacing w:beforeLines="50" w:afterLines="50" w:line="360" w:lineRule="auto"/>
        <w:ind w:left="482"/>
        <w:contextualSpacing/>
        <w:outlineLvl w:val="3"/>
        <w:rPr>
          <w:rFonts w:ascii="宋体" w:hAnsi="宋体" w:cs="宋体"/>
          <w:b/>
          <w:color w:val="auto"/>
          <w:szCs w:val="21"/>
          <w:highlight w:val="none"/>
        </w:rPr>
      </w:pPr>
      <w:r>
        <w:rPr>
          <w:rFonts w:hint="eastAsia" w:ascii="宋体" w:hAnsi="宋体" w:cs="宋体"/>
          <w:b/>
          <w:color w:val="auto"/>
          <w:szCs w:val="21"/>
          <w:highlight w:val="none"/>
        </w:rPr>
        <w:t>六、承诺</w:t>
      </w:r>
    </w:p>
    <w:p w14:paraId="7679AB3B">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1.发包人承诺按照法律规定履行项目审批手续、筹集工程建设资金并按照合同约定的期限和方式支付合同价款。</w:t>
      </w:r>
    </w:p>
    <w:p w14:paraId="0635F5C6">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2.发包人和承包人通过招投标形式签订合同的，双方理解并承诺不再就同一工程另行签订与合同实质性内容相背离的协议。</w:t>
      </w:r>
    </w:p>
    <w:p w14:paraId="45664804">
      <w:pPr>
        <w:spacing w:beforeLines="50" w:afterLines="50" w:line="360" w:lineRule="auto"/>
        <w:ind w:left="482"/>
        <w:contextualSpacing/>
        <w:outlineLvl w:val="3"/>
        <w:rPr>
          <w:rFonts w:ascii="宋体" w:hAnsi="宋体" w:cs="宋体"/>
          <w:b/>
          <w:color w:val="auto"/>
          <w:szCs w:val="21"/>
          <w:highlight w:val="none"/>
        </w:rPr>
      </w:pPr>
      <w:r>
        <w:rPr>
          <w:rFonts w:hint="eastAsia" w:ascii="宋体" w:hAnsi="宋体" w:cs="宋体"/>
          <w:b/>
          <w:color w:val="auto"/>
          <w:szCs w:val="21"/>
          <w:highlight w:val="none"/>
        </w:rPr>
        <w:t>七、词语含义</w:t>
      </w:r>
    </w:p>
    <w:p w14:paraId="336910EE">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1、本协议书中有关词语含义与本合同第二部分《通用条款》中分别赋予它们的定义相同。</w:t>
      </w:r>
    </w:p>
    <w:p w14:paraId="1637B567">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2、本合同中“承包人”一词同指“设计人”。</w:t>
      </w:r>
    </w:p>
    <w:p w14:paraId="3DEC0837">
      <w:pPr>
        <w:spacing w:beforeLines="50" w:afterLines="50" w:line="360" w:lineRule="auto"/>
        <w:ind w:left="482"/>
        <w:contextualSpacing/>
        <w:outlineLvl w:val="3"/>
        <w:rPr>
          <w:rFonts w:ascii="宋体" w:hAnsi="宋体" w:cs="宋体"/>
          <w:b/>
          <w:color w:val="auto"/>
          <w:szCs w:val="21"/>
          <w:highlight w:val="none"/>
        </w:rPr>
      </w:pPr>
      <w:r>
        <w:rPr>
          <w:rFonts w:hint="eastAsia" w:ascii="宋体" w:hAnsi="宋体" w:cs="宋体"/>
          <w:b/>
          <w:color w:val="auto"/>
          <w:szCs w:val="21"/>
          <w:highlight w:val="none"/>
        </w:rPr>
        <w:t>八、签订时间</w:t>
      </w:r>
    </w:p>
    <w:p w14:paraId="4C9A9DB3">
      <w:pPr>
        <w:widowControl w:val="0"/>
        <w:spacing w:line="360" w:lineRule="auto"/>
        <w:ind w:firstLine="420" w:firstLineChars="200"/>
        <w:contextualSpacing/>
        <w:jc w:val="both"/>
        <w:rPr>
          <w:rFonts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本合同于</w:t>
      </w:r>
      <w:r>
        <w:rPr>
          <w:rFonts w:hint="eastAsia" w:ascii="宋体" w:hAnsi="宋体" w:eastAsia="宋体" w:cs="宋体"/>
          <w:bCs/>
          <w:color w:val="auto"/>
          <w:kern w:val="2"/>
          <w:sz w:val="21"/>
          <w:szCs w:val="21"/>
          <w:highlight w:val="none"/>
          <w:u w:val="single"/>
          <w:lang w:val="en-US" w:eastAsia="zh-CN" w:bidi="ar-SA"/>
        </w:rPr>
        <w:t xml:space="preserve">     </w:t>
      </w:r>
      <w:r>
        <w:rPr>
          <w:rFonts w:hint="eastAsia" w:ascii="宋体" w:hAnsi="宋体" w:eastAsia="宋体" w:cs="宋体"/>
          <w:bCs/>
          <w:color w:val="auto"/>
          <w:kern w:val="2"/>
          <w:sz w:val="21"/>
          <w:szCs w:val="21"/>
          <w:highlight w:val="none"/>
          <w:lang w:val="en-US" w:eastAsia="zh-CN" w:bidi="ar-SA"/>
        </w:rPr>
        <w:t>年</w:t>
      </w:r>
      <w:r>
        <w:rPr>
          <w:rFonts w:hint="eastAsia" w:ascii="宋体" w:hAnsi="宋体" w:eastAsia="宋体" w:cs="宋体"/>
          <w:bCs/>
          <w:color w:val="auto"/>
          <w:kern w:val="2"/>
          <w:sz w:val="21"/>
          <w:szCs w:val="21"/>
          <w:highlight w:val="none"/>
          <w:u w:val="single"/>
          <w:lang w:val="en-US" w:eastAsia="zh-CN" w:bidi="ar-SA"/>
        </w:rPr>
        <w:t xml:space="preserve">   </w:t>
      </w:r>
      <w:r>
        <w:rPr>
          <w:rFonts w:hint="eastAsia" w:ascii="宋体" w:hAnsi="宋体" w:eastAsia="宋体" w:cs="宋体"/>
          <w:bCs/>
          <w:color w:val="auto"/>
          <w:kern w:val="2"/>
          <w:sz w:val="21"/>
          <w:szCs w:val="21"/>
          <w:highlight w:val="none"/>
          <w:lang w:val="en-US" w:eastAsia="zh-CN" w:bidi="ar-SA"/>
        </w:rPr>
        <w:t>月</w:t>
      </w:r>
      <w:r>
        <w:rPr>
          <w:rFonts w:hint="eastAsia" w:ascii="宋体" w:hAnsi="宋体" w:eastAsia="宋体" w:cs="宋体"/>
          <w:bCs/>
          <w:color w:val="auto"/>
          <w:kern w:val="2"/>
          <w:sz w:val="21"/>
          <w:szCs w:val="21"/>
          <w:highlight w:val="none"/>
          <w:u w:val="single"/>
          <w:lang w:val="en-US" w:eastAsia="zh-CN" w:bidi="ar-SA"/>
        </w:rPr>
        <w:t xml:space="preserve">  </w:t>
      </w:r>
      <w:r>
        <w:rPr>
          <w:rFonts w:hint="eastAsia" w:ascii="宋体" w:hAnsi="宋体" w:eastAsia="宋体" w:cs="宋体"/>
          <w:bCs/>
          <w:color w:val="auto"/>
          <w:kern w:val="2"/>
          <w:sz w:val="21"/>
          <w:szCs w:val="21"/>
          <w:highlight w:val="none"/>
          <w:lang w:val="en-US" w:eastAsia="zh-CN" w:bidi="ar-SA"/>
        </w:rPr>
        <w:t>日签订。</w:t>
      </w:r>
      <w:bookmarkStart w:id="846" w:name="_Toc351203490"/>
    </w:p>
    <w:p w14:paraId="30B0DA68">
      <w:pPr>
        <w:spacing w:beforeLines="50" w:afterLines="50" w:line="360" w:lineRule="auto"/>
        <w:ind w:left="482"/>
        <w:contextualSpacing/>
        <w:outlineLvl w:val="3"/>
        <w:rPr>
          <w:rFonts w:ascii="宋体" w:hAnsi="宋体" w:cs="宋体"/>
          <w:b/>
          <w:color w:val="auto"/>
          <w:szCs w:val="21"/>
          <w:highlight w:val="none"/>
        </w:rPr>
      </w:pPr>
      <w:r>
        <w:rPr>
          <w:rFonts w:hint="eastAsia" w:ascii="宋体" w:hAnsi="宋体" w:cs="宋体"/>
          <w:b/>
          <w:color w:val="auto"/>
          <w:szCs w:val="21"/>
          <w:highlight w:val="none"/>
        </w:rPr>
        <w:t>九、签订地点</w:t>
      </w:r>
      <w:bookmarkEnd w:id="846"/>
    </w:p>
    <w:p w14:paraId="06949B89">
      <w:pPr>
        <w:widowControl w:val="0"/>
        <w:spacing w:line="360" w:lineRule="auto"/>
        <w:ind w:firstLine="420" w:firstLineChars="200"/>
        <w:contextualSpacing/>
        <w:jc w:val="both"/>
        <w:rPr>
          <w:rFonts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本合同在</w:t>
      </w:r>
      <w:r>
        <w:rPr>
          <w:rFonts w:ascii="Times New Roman" w:hAnsi="Times New Roman" w:eastAsia="宋体" w:cs="Times New Roman"/>
          <w:color w:val="auto"/>
          <w:kern w:val="2"/>
          <w:sz w:val="21"/>
          <w:szCs w:val="22"/>
          <w:highlight w:val="none"/>
          <w:u w:val="single"/>
          <w:lang w:val="en-US" w:eastAsia="zh-CN" w:bidi="ar-SA"/>
        </w:rPr>
        <w:t xml:space="preserve">              </w:t>
      </w:r>
      <w:r>
        <w:rPr>
          <w:rFonts w:hint="eastAsia" w:ascii="宋体" w:hAnsi="宋体" w:eastAsia="宋体" w:cs="宋体"/>
          <w:bCs/>
          <w:color w:val="auto"/>
          <w:kern w:val="2"/>
          <w:sz w:val="21"/>
          <w:szCs w:val="21"/>
          <w:highlight w:val="none"/>
          <w:lang w:val="en-US" w:eastAsia="zh-CN" w:bidi="ar-SA"/>
        </w:rPr>
        <w:t>签订。</w:t>
      </w:r>
    </w:p>
    <w:p w14:paraId="7B70AFC5">
      <w:pPr>
        <w:spacing w:after="120" w:line="360" w:lineRule="auto"/>
        <w:ind w:firstLine="422" w:firstLineChars="200"/>
        <w:contextualSpacing/>
        <w:outlineLvl w:val="3"/>
        <w:rPr>
          <w:rFonts w:ascii="宋体" w:hAnsi="宋体" w:cs="宋体"/>
          <w:b/>
          <w:color w:val="auto"/>
          <w:szCs w:val="21"/>
          <w:highlight w:val="none"/>
        </w:rPr>
      </w:pPr>
      <w:r>
        <w:rPr>
          <w:rFonts w:hint="eastAsia" w:ascii="宋体" w:hAnsi="宋体" w:cs="宋体"/>
          <w:b/>
          <w:color w:val="auto"/>
          <w:szCs w:val="21"/>
          <w:highlight w:val="none"/>
        </w:rPr>
        <w:t>十、履约担保</w:t>
      </w:r>
    </w:p>
    <w:p w14:paraId="2F7B63B0">
      <w:pPr>
        <w:widowControl w:val="0"/>
        <w:spacing w:line="360" w:lineRule="auto"/>
        <w:ind w:firstLine="420" w:firstLineChars="200"/>
        <w:contextualSpacing/>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不收取。</w:t>
      </w:r>
    </w:p>
    <w:p w14:paraId="7F386B9F">
      <w:pPr>
        <w:keepNext/>
        <w:spacing w:after="120" w:line="360" w:lineRule="auto"/>
        <w:ind w:firstLine="422" w:firstLineChars="200"/>
        <w:contextualSpacing/>
        <w:outlineLvl w:val="3"/>
        <w:rPr>
          <w:rFonts w:ascii="宋体" w:hAnsi="宋体" w:cs="宋体"/>
          <w:b/>
          <w:color w:val="auto"/>
          <w:szCs w:val="21"/>
          <w:highlight w:val="none"/>
        </w:rPr>
      </w:pPr>
      <w:r>
        <w:rPr>
          <w:rFonts w:hint="eastAsia" w:ascii="宋体" w:hAnsi="宋体" w:cs="宋体"/>
          <w:b/>
          <w:color w:val="auto"/>
          <w:szCs w:val="21"/>
          <w:highlight w:val="none"/>
        </w:rPr>
        <w:t>十一、补充协议</w:t>
      </w:r>
    </w:p>
    <w:p w14:paraId="7A203ECC">
      <w:pPr>
        <w:widowControl w:val="0"/>
        <w:spacing w:line="360" w:lineRule="auto"/>
        <w:ind w:firstLine="420" w:firstLineChars="200"/>
        <w:contextualSpacing/>
        <w:jc w:val="both"/>
        <w:rPr>
          <w:rFonts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合同未尽事宜，合同当事人另行签订补充协议，补充协议是合同的组成部分。</w:t>
      </w:r>
    </w:p>
    <w:p w14:paraId="72D811D8">
      <w:pPr>
        <w:spacing w:beforeLines="50" w:afterLines="50" w:line="360" w:lineRule="auto"/>
        <w:ind w:left="482"/>
        <w:contextualSpacing/>
        <w:outlineLvl w:val="3"/>
        <w:rPr>
          <w:rFonts w:ascii="宋体" w:hAnsi="宋体" w:cs="宋体"/>
          <w:b/>
          <w:color w:val="auto"/>
          <w:szCs w:val="21"/>
          <w:highlight w:val="none"/>
        </w:rPr>
      </w:pPr>
      <w:r>
        <w:rPr>
          <w:rFonts w:hint="eastAsia" w:ascii="宋体" w:hAnsi="宋体" w:cs="宋体"/>
          <w:b/>
          <w:color w:val="auto"/>
          <w:szCs w:val="21"/>
          <w:highlight w:val="none"/>
        </w:rPr>
        <w:t>十二、合同生效</w:t>
      </w:r>
    </w:p>
    <w:p w14:paraId="223B0DFF">
      <w:pPr>
        <w:spacing w:beforeLines="50" w:afterLines="50" w:line="360" w:lineRule="auto"/>
        <w:ind w:left="482"/>
        <w:contextualSpacing/>
        <w:rPr>
          <w:rFonts w:ascii="宋体" w:hAnsi="宋体" w:cs="宋体"/>
          <w:color w:val="auto"/>
          <w:szCs w:val="21"/>
          <w:highlight w:val="none"/>
        </w:rPr>
      </w:pPr>
      <w:r>
        <w:rPr>
          <w:rFonts w:hint="eastAsia" w:ascii="宋体" w:hAnsi="宋体" w:cs="宋体"/>
          <w:color w:val="auto"/>
          <w:szCs w:val="21"/>
          <w:highlight w:val="none"/>
        </w:rPr>
        <w:t>本合同在</w:t>
      </w:r>
      <w:r>
        <w:rPr>
          <w:rFonts w:hint="eastAsia" w:ascii="宋体" w:hAnsi="宋体" w:cs="宋体"/>
          <w:color w:val="auto"/>
          <w:szCs w:val="21"/>
          <w:highlight w:val="none"/>
          <w:u w:val="single"/>
        </w:rPr>
        <w:t>双方签字盖章后</w:t>
      </w:r>
      <w:r>
        <w:rPr>
          <w:rFonts w:hint="eastAsia" w:ascii="宋体" w:hAnsi="宋体" w:cs="宋体"/>
          <w:color w:val="auto"/>
          <w:szCs w:val="21"/>
          <w:highlight w:val="none"/>
        </w:rPr>
        <w:t>生效。</w:t>
      </w:r>
    </w:p>
    <w:p w14:paraId="1B7B4501">
      <w:pPr>
        <w:spacing w:beforeLines="50" w:afterLines="50" w:line="360" w:lineRule="auto"/>
        <w:ind w:left="482"/>
        <w:contextualSpacing/>
        <w:outlineLvl w:val="3"/>
        <w:rPr>
          <w:rFonts w:ascii="宋体" w:hAnsi="宋体" w:cs="宋体"/>
          <w:b/>
          <w:color w:val="auto"/>
          <w:szCs w:val="21"/>
          <w:highlight w:val="none"/>
        </w:rPr>
      </w:pPr>
      <w:r>
        <w:rPr>
          <w:rFonts w:hint="eastAsia" w:ascii="宋体" w:hAnsi="宋体" w:cs="宋体"/>
          <w:b/>
          <w:color w:val="auto"/>
          <w:szCs w:val="21"/>
          <w:highlight w:val="none"/>
        </w:rPr>
        <w:t>十三、合同份数</w:t>
      </w:r>
    </w:p>
    <w:p w14:paraId="735DE83B">
      <w:pPr>
        <w:spacing w:beforeLines="50" w:afterLines="50" w:line="360" w:lineRule="auto"/>
        <w:ind w:left="482"/>
        <w:contextualSpacing/>
        <w:rPr>
          <w:rFonts w:ascii="宋体" w:hAnsi="宋体" w:cs="宋体"/>
          <w:color w:val="auto"/>
          <w:szCs w:val="21"/>
          <w:highlight w:val="none"/>
        </w:rPr>
      </w:pPr>
      <w:r>
        <w:rPr>
          <w:rFonts w:hint="eastAsia" w:ascii="宋体" w:hAnsi="宋体" w:cs="宋体"/>
          <w:bCs/>
          <w:color w:val="auto"/>
          <w:szCs w:val="21"/>
          <w:highlight w:val="none"/>
        </w:rPr>
        <w:t>本合同一式</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w:t>
      </w:r>
      <w:r>
        <w:rPr>
          <w:rFonts w:hint="eastAsia" w:ascii="宋体" w:hAnsi="宋体" w:cs="宋体"/>
          <w:color w:val="auto"/>
          <w:szCs w:val="21"/>
          <w:highlight w:val="none"/>
        </w:rPr>
        <w:t>。</w:t>
      </w:r>
    </w:p>
    <w:p w14:paraId="71D7FB86">
      <w:pPr>
        <w:spacing w:line="440" w:lineRule="exact"/>
        <w:ind w:left="4620" w:leftChars="200" w:hanging="4200" w:hangingChars="2000"/>
        <w:contextualSpacing/>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391AB232">
      <w:pPr>
        <w:spacing w:line="440" w:lineRule="exact"/>
        <w:ind w:left="4620" w:leftChars="200" w:hanging="4200" w:hangingChars="2000"/>
        <w:contextualSpacing/>
        <w:rPr>
          <w:rFonts w:hint="eastAsia" w:ascii="宋体" w:hAnsi="宋体" w:cs="宋体"/>
          <w:color w:val="auto"/>
          <w:szCs w:val="21"/>
          <w:highlight w:val="none"/>
        </w:rPr>
      </w:pPr>
    </w:p>
    <w:p w14:paraId="7A3D0685">
      <w:pPr>
        <w:spacing w:line="440" w:lineRule="exact"/>
        <w:ind w:left="4620" w:leftChars="200" w:hanging="4200" w:hangingChars="2000"/>
        <w:contextualSpacing/>
        <w:rPr>
          <w:rFonts w:hint="eastAsia" w:ascii="宋体" w:hAnsi="宋体" w:cs="宋体"/>
          <w:color w:val="auto"/>
          <w:szCs w:val="21"/>
          <w:highlight w:val="none"/>
        </w:rPr>
      </w:pPr>
    </w:p>
    <w:p w14:paraId="5F59D27E">
      <w:pPr>
        <w:spacing w:line="440" w:lineRule="exact"/>
        <w:ind w:left="4620" w:leftChars="200" w:hanging="4200" w:hangingChars="2000"/>
        <w:contextualSpacing/>
        <w:rPr>
          <w:rFonts w:ascii="宋体" w:hAnsi="宋体" w:cs="宋体"/>
          <w:color w:val="auto"/>
          <w:szCs w:val="21"/>
          <w:highlight w:val="none"/>
        </w:rPr>
      </w:pPr>
      <w:r>
        <w:rPr>
          <w:rFonts w:hint="eastAsia" w:ascii="宋体" w:hAnsi="宋体" w:cs="宋体"/>
          <w:color w:val="auto"/>
          <w:szCs w:val="21"/>
          <w:highlight w:val="none"/>
        </w:rPr>
        <w:t xml:space="preserve">         </w:t>
      </w:r>
    </w:p>
    <w:tbl>
      <w:tblPr>
        <w:tblStyle w:val="50"/>
        <w:tblW w:w="0" w:type="auto"/>
        <w:jc w:val="center"/>
        <w:tblLayout w:type="autofit"/>
        <w:tblCellMar>
          <w:top w:w="0" w:type="dxa"/>
          <w:left w:w="108" w:type="dxa"/>
          <w:bottom w:w="0" w:type="dxa"/>
          <w:right w:w="108" w:type="dxa"/>
        </w:tblCellMar>
      </w:tblPr>
      <w:tblGrid>
        <w:gridCol w:w="4169"/>
        <w:gridCol w:w="4170"/>
      </w:tblGrid>
      <w:tr w14:paraId="2CC60084">
        <w:tblPrEx>
          <w:tblCellMar>
            <w:top w:w="0" w:type="dxa"/>
            <w:left w:w="108" w:type="dxa"/>
            <w:bottom w:w="0" w:type="dxa"/>
            <w:right w:w="108" w:type="dxa"/>
          </w:tblCellMar>
        </w:tblPrEx>
        <w:trPr>
          <w:trHeight w:val="1096" w:hRule="atLeast"/>
          <w:jc w:val="center"/>
        </w:trPr>
        <w:tc>
          <w:tcPr>
            <w:tcW w:w="4169" w:type="dxa"/>
          </w:tcPr>
          <w:p w14:paraId="750411E0">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发包人：(公章或合同专用章)</w:t>
            </w:r>
          </w:p>
        </w:tc>
        <w:tc>
          <w:tcPr>
            <w:tcW w:w="4170" w:type="dxa"/>
          </w:tcPr>
          <w:p w14:paraId="6AD6FD72">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 xml:space="preserve">承包人：  (公章或合同专用章) </w:t>
            </w:r>
          </w:p>
        </w:tc>
      </w:tr>
      <w:tr w14:paraId="6660ACF1">
        <w:tblPrEx>
          <w:tblCellMar>
            <w:top w:w="0" w:type="dxa"/>
            <w:left w:w="108" w:type="dxa"/>
            <w:bottom w:w="0" w:type="dxa"/>
            <w:right w:w="108" w:type="dxa"/>
          </w:tblCellMar>
        </w:tblPrEx>
        <w:trPr>
          <w:trHeight w:val="1096" w:hRule="atLeast"/>
          <w:jc w:val="center"/>
        </w:trPr>
        <w:tc>
          <w:tcPr>
            <w:tcW w:w="4169" w:type="dxa"/>
          </w:tcPr>
          <w:p w14:paraId="46BBA323">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法定代表人或委托代理人：(签字)</w:t>
            </w:r>
          </w:p>
        </w:tc>
        <w:tc>
          <w:tcPr>
            <w:tcW w:w="4170" w:type="dxa"/>
          </w:tcPr>
          <w:p w14:paraId="289D8B95">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法定代表人或委托代理人：(签字)</w:t>
            </w:r>
          </w:p>
        </w:tc>
      </w:tr>
      <w:tr w14:paraId="34B8D70F">
        <w:tblPrEx>
          <w:tblCellMar>
            <w:top w:w="0" w:type="dxa"/>
            <w:left w:w="108" w:type="dxa"/>
            <w:bottom w:w="0" w:type="dxa"/>
            <w:right w:w="108" w:type="dxa"/>
          </w:tblCellMar>
        </w:tblPrEx>
        <w:trPr>
          <w:trHeight w:val="1096" w:hRule="atLeast"/>
          <w:jc w:val="center"/>
        </w:trPr>
        <w:tc>
          <w:tcPr>
            <w:tcW w:w="4169" w:type="dxa"/>
          </w:tcPr>
          <w:p w14:paraId="57BB1B54">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地址：</w:t>
            </w:r>
          </w:p>
        </w:tc>
        <w:tc>
          <w:tcPr>
            <w:tcW w:w="4170" w:type="dxa"/>
          </w:tcPr>
          <w:p w14:paraId="2EB3B211">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地址：</w:t>
            </w:r>
          </w:p>
        </w:tc>
      </w:tr>
      <w:tr w14:paraId="0667D50A">
        <w:tblPrEx>
          <w:tblCellMar>
            <w:top w:w="0" w:type="dxa"/>
            <w:left w:w="108" w:type="dxa"/>
            <w:bottom w:w="0" w:type="dxa"/>
            <w:right w:w="108" w:type="dxa"/>
          </w:tblCellMar>
        </w:tblPrEx>
        <w:trPr>
          <w:trHeight w:val="1096" w:hRule="atLeast"/>
          <w:jc w:val="center"/>
        </w:trPr>
        <w:tc>
          <w:tcPr>
            <w:tcW w:w="4169" w:type="dxa"/>
          </w:tcPr>
          <w:p w14:paraId="36AEC34A">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经办人：</w:t>
            </w:r>
          </w:p>
          <w:p w14:paraId="6EFC94AB">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p>
        </w:tc>
        <w:tc>
          <w:tcPr>
            <w:tcW w:w="4170" w:type="dxa"/>
          </w:tcPr>
          <w:p w14:paraId="0EDE7950">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经办人：</w:t>
            </w:r>
          </w:p>
          <w:p w14:paraId="174E2EFF">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p>
        </w:tc>
      </w:tr>
      <w:tr w14:paraId="40280AEC">
        <w:tblPrEx>
          <w:tblCellMar>
            <w:top w:w="0" w:type="dxa"/>
            <w:left w:w="108" w:type="dxa"/>
            <w:bottom w:w="0" w:type="dxa"/>
            <w:right w:w="108" w:type="dxa"/>
          </w:tblCellMar>
        </w:tblPrEx>
        <w:trPr>
          <w:trHeight w:val="649" w:hRule="atLeast"/>
          <w:jc w:val="center"/>
        </w:trPr>
        <w:tc>
          <w:tcPr>
            <w:tcW w:w="4169" w:type="dxa"/>
          </w:tcPr>
          <w:p w14:paraId="6ECBB992">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电　　话：</w:t>
            </w:r>
          </w:p>
        </w:tc>
        <w:tc>
          <w:tcPr>
            <w:tcW w:w="4170" w:type="dxa"/>
          </w:tcPr>
          <w:p w14:paraId="2D1FDF5E">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电　　话：</w:t>
            </w:r>
          </w:p>
        </w:tc>
      </w:tr>
      <w:tr w14:paraId="0E852DB3">
        <w:tblPrEx>
          <w:tblCellMar>
            <w:top w:w="0" w:type="dxa"/>
            <w:left w:w="108" w:type="dxa"/>
            <w:bottom w:w="0" w:type="dxa"/>
            <w:right w:w="108" w:type="dxa"/>
          </w:tblCellMar>
        </w:tblPrEx>
        <w:trPr>
          <w:trHeight w:val="649" w:hRule="atLeast"/>
          <w:jc w:val="center"/>
        </w:trPr>
        <w:tc>
          <w:tcPr>
            <w:tcW w:w="4169" w:type="dxa"/>
          </w:tcPr>
          <w:p w14:paraId="7217C314">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传　　真：</w:t>
            </w:r>
          </w:p>
        </w:tc>
        <w:tc>
          <w:tcPr>
            <w:tcW w:w="4170" w:type="dxa"/>
          </w:tcPr>
          <w:p w14:paraId="2F6041AD">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传　　真：</w:t>
            </w:r>
          </w:p>
        </w:tc>
      </w:tr>
      <w:tr w14:paraId="4D00D30B">
        <w:tblPrEx>
          <w:tblCellMar>
            <w:top w:w="0" w:type="dxa"/>
            <w:left w:w="108" w:type="dxa"/>
            <w:bottom w:w="0" w:type="dxa"/>
            <w:right w:w="108" w:type="dxa"/>
          </w:tblCellMar>
        </w:tblPrEx>
        <w:trPr>
          <w:trHeight w:val="1096" w:hRule="atLeast"/>
          <w:jc w:val="center"/>
        </w:trPr>
        <w:tc>
          <w:tcPr>
            <w:tcW w:w="4169" w:type="dxa"/>
          </w:tcPr>
          <w:p w14:paraId="5B6FC572">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 xml:space="preserve">电子邮箱： </w:t>
            </w:r>
          </w:p>
          <w:p w14:paraId="140755E4">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p>
        </w:tc>
        <w:tc>
          <w:tcPr>
            <w:tcW w:w="4170" w:type="dxa"/>
          </w:tcPr>
          <w:p w14:paraId="6A532819">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 xml:space="preserve">电子邮箱： </w:t>
            </w:r>
          </w:p>
          <w:p w14:paraId="7C5DEB6E">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p>
        </w:tc>
      </w:tr>
      <w:tr w14:paraId="2CD884D0">
        <w:tblPrEx>
          <w:tblCellMar>
            <w:top w:w="0" w:type="dxa"/>
            <w:left w:w="108" w:type="dxa"/>
            <w:bottom w:w="0" w:type="dxa"/>
            <w:right w:w="108" w:type="dxa"/>
          </w:tblCellMar>
        </w:tblPrEx>
        <w:trPr>
          <w:trHeight w:val="1096" w:hRule="atLeast"/>
          <w:jc w:val="center"/>
        </w:trPr>
        <w:tc>
          <w:tcPr>
            <w:tcW w:w="4169" w:type="dxa"/>
          </w:tcPr>
          <w:p w14:paraId="23AB953C">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开户银行：</w:t>
            </w:r>
          </w:p>
        </w:tc>
        <w:tc>
          <w:tcPr>
            <w:tcW w:w="4170" w:type="dxa"/>
          </w:tcPr>
          <w:p w14:paraId="124A5DC2">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开户银行：</w:t>
            </w:r>
          </w:p>
        </w:tc>
      </w:tr>
      <w:tr w14:paraId="6626ABA7">
        <w:tblPrEx>
          <w:tblCellMar>
            <w:top w:w="0" w:type="dxa"/>
            <w:left w:w="108" w:type="dxa"/>
            <w:bottom w:w="0" w:type="dxa"/>
            <w:right w:w="108" w:type="dxa"/>
          </w:tblCellMar>
        </w:tblPrEx>
        <w:trPr>
          <w:trHeight w:val="1096" w:hRule="atLeast"/>
          <w:jc w:val="center"/>
        </w:trPr>
        <w:tc>
          <w:tcPr>
            <w:tcW w:w="4169" w:type="dxa"/>
          </w:tcPr>
          <w:p w14:paraId="3BECB51C">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账　　号：</w:t>
            </w:r>
          </w:p>
        </w:tc>
        <w:tc>
          <w:tcPr>
            <w:tcW w:w="4170" w:type="dxa"/>
          </w:tcPr>
          <w:p w14:paraId="0CA59B95">
            <w:pPr>
              <w:keepNext w:val="0"/>
              <w:keepLines w:val="0"/>
              <w:suppressLineNumbers w:val="0"/>
              <w:spacing w:before="0" w:beforeAutospacing="0" w:after="0" w:afterAutospacing="0" w:line="440" w:lineRule="exact"/>
              <w:ind w:left="0" w:right="0"/>
              <w:contextualSpacing/>
              <w:rPr>
                <w:rFonts w:hint="default" w:ascii="宋体" w:hAnsi="宋体" w:cs="宋体"/>
                <w:color w:val="auto"/>
                <w:szCs w:val="21"/>
                <w:highlight w:val="none"/>
              </w:rPr>
            </w:pPr>
            <w:r>
              <w:rPr>
                <w:rFonts w:hint="eastAsia" w:ascii="宋体" w:hAnsi="宋体" w:cs="宋体"/>
                <w:color w:val="auto"/>
                <w:szCs w:val="21"/>
                <w:highlight w:val="none"/>
              </w:rPr>
              <w:t>账　　号：</w:t>
            </w:r>
          </w:p>
        </w:tc>
      </w:tr>
    </w:tbl>
    <w:p w14:paraId="4C3F3F3D">
      <w:pPr>
        <w:spacing w:line="360" w:lineRule="auto"/>
        <w:ind w:firstLine="440" w:firstLineChars="200"/>
        <w:rPr>
          <w:rFonts w:ascii="宋体" w:hAnsi="宋体" w:cs="宋体"/>
          <w:bCs/>
          <w:color w:val="auto"/>
          <w:sz w:val="22"/>
          <w:szCs w:val="18"/>
          <w:highlight w:val="none"/>
        </w:rPr>
      </w:pPr>
    </w:p>
    <w:p w14:paraId="2FBE4F23">
      <w:pPr>
        <w:keepNext/>
        <w:keepLines/>
        <w:widowControl w:val="0"/>
        <w:spacing w:before="260" w:after="260" w:line="416" w:lineRule="auto"/>
        <w:jc w:val="center"/>
        <w:outlineLvl w:val="1"/>
        <w:rPr>
          <w:rFonts w:ascii="宋体" w:hAnsi="宋体" w:eastAsia="黑体" w:cs="宋体"/>
          <w:b/>
          <w:bCs/>
          <w:color w:val="auto"/>
          <w:kern w:val="0"/>
          <w:sz w:val="40"/>
          <w:szCs w:val="40"/>
          <w:highlight w:val="none"/>
          <w:lang w:val="en-US" w:eastAsia="zh-CN" w:bidi="ar-SA"/>
        </w:rPr>
      </w:pPr>
      <w:bookmarkStart w:id="847" w:name="_Toc4009"/>
      <w:r>
        <w:rPr>
          <w:rFonts w:hint="eastAsia" w:ascii="宋体" w:hAnsi="宋体" w:eastAsia="黑体" w:cs="宋体"/>
          <w:b/>
          <w:bCs/>
          <w:color w:val="auto"/>
          <w:kern w:val="0"/>
          <w:sz w:val="40"/>
          <w:szCs w:val="40"/>
          <w:highlight w:val="none"/>
          <w:lang w:val="en-US" w:eastAsia="zh-CN" w:bidi="ar-SA"/>
        </w:rPr>
        <w:br w:type="page"/>
      </w:r>
      <w:r>
        <w:rPr>
          <w:rFonts w:hint="eastAsia" w:ascii="宋体" w:hAnsi="宋体" w:eastAsia="黑体" w:cs="宋体"/>
          <w:b/>
          <w:bCs/>
          <w:color w:val="auto"/>
          <w:kern w:val="0"/>
          <w:sz w:val="32"/>
          <w:szCs w:val="32"/>
          <w:highlight w:val="none"/>
          <w:lang w:val="en-US" w:eastAsia="zh-CN" w:bidi="ar-SA"/>
        </w:rPr>
        <w:t>第二部分 通用合同条款</w:t>
      </w:r>
      <w:bookmarkEnd w:id="847"/>
      <w:bookmarkStart w:id="848" w:name="_Toc337558727"/>
    </w:p>
    <w:bookmarkEnd w:id="848"/>
    <w:p w14:paraId="2C29E616">
      <w:pPr>
        <w:spacing w:line="360" w:lineRule="auto"/>
        <w:ind w:firstLine="420" w:firstLineChars="200"/>
        <w:contextualSpacing/>
        <w:outlineLvl w:val="2"/>
        <w:rPr>
          <w:rFonts w:ascii="宋体" w:hAnsi="宋体" w:cs="宋体"/>
          <w:bCs/>
          <w:color w:val="auto"/>
          <w:szCs w:val="21"/>
          <w:highlight w:val="none"/>
        </w:rPr>
      </w:pPr>
      <w:bookmarkStart w:id="849" w:name="_Toc351203495"/>
      <w:r>
        <w:rPr>
          <w:rFonts w:hint="eastAsia" w:ascii="宋体" w:hAnsi="宋体" w:cs="宋体"/>
          <w:bCs/>
          <w:color w:val="auto"/>
          <w:szCs w:val="21"/>
          <w:highlight w:val="none"/>
        </w:rPr>
        <w:t>1.</w:t>
      </w:r>
      <w:bookmarkStart w:id="850" w:name="_Toc303538972"/>
      <w:bookmarkEnd w:id="850"/>
      <w:bookmarkStart w:id="851" w:name="_Toc303538973"/>
      <w:bookmarkEnd w:id="851"/>
      <w:bookmarkStart w:id="852" w:name="_Toc303538975"/>
      <w:bookmarkEnd w:id="852"/>
      <w:bookmarkStart w:id="853" w:name="_Toc303538974"/>
      <w:bookmarkEnd w:id="853"/>
      <w:bookmarkStart w:id="854" w:name="_Toc303538976"/>
      <w:bookmarkEnd w:id="854"/>
      <w:bookmarkStart w:id="855" w:name="_Toc296503027"/>
      <w:bookmarkStart w:id="856" w:name="_Toc296346528"/>
      <w:r>
        <w:rPr>
          <w:rFonts w:hint="eastAsia" w:ascii="宋体" w:hAnsi="宋体" w:cs="宋体"/>
          <w:bCs/>
          <w:color w:val="auto"/>
          <w:szCs w:val="21"/>
          <w:highlight w:val="none"/>
        </w:rPr>
        <w:t xml:space="preserve"> 一般约定</w:t>
      </w:r>
      <w:bookmarkEnd w:id="849"/>
      <w:bookmarkEnd w:id="855"/>
      <w:bookmarkEnd w:id="856"/>
    </w:p>
    <w:p w14:paraId="38C486A9">
      <w:pPr>
        <w:spacing w:line="360" w:lineRule="auto"/>
        <w:ind w:firstLine="420" w:firstLineChars="200"/>
        <w:contextualSpacing/>
        <w:outlineLvl w:val="3"/>
        <w:rPr>
          <w:rFonts w:ascii="宋体" w:hAnsi="宋体" w:cs="宋体"/>
          <w:bCs/>
          <w:color w:val="auto"/>
          <w:szCs w:val="21"/>
          <w:highlight w:val="none"/>
        </w:rPr>
      </w:pPr>
      <w:bookmarkStart w:id="857" w:name="_Toc337558728"/>
      <w:bookmarkStart w:id="858" w:name="_Toc296346529"/>
      <w:bookmarkStart w:id="859" w:name="_Toc296503028"/>
      <w:bookmarkStart w:id="860" w:name="_Toc351203496"/>
      <w:r>
        <w:rPr>
          <w:rFonts w:hint="eastAsia" w:ascii="宋体" w:hAnsi="宋体" w:cs="宋体"/>
          <w:bCs/>
          <w:color w:val="auto"/>
          <w:szCs w:val="21"/>
          <w:highlight w:val="none"/>
        </w:rPr>
        <w:t>1.1 词语定义</w:t>
      </w:r>
      <w:bookmarkEnd w:id="857"/>
      <w:bookmarkEnd w:id="858"/>
      <w:bookmarkEnd w:id="859"/>
      <w:r>
        <w:rPr>
          <w:rFonts w:hint="eastAsia" w:ascii="宋体" w:hAnsi="宋体" w:cs="宋体"/>
          <w:bCs/>
          <w:color w:val="auto"/>
          <w:szCs w:val="21"/>
          <w:highlight w:val="none"/>
        </w:rPr>
        <w:t>与解释</w:t>
      </w:r>
      <w:bookmarkEnd w:id="860"/>
    </w:p>
    <w:p w14:paraId="3296548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合同协议书、通用合同条款中的下列词语具有本款所赋予的含义：</w:t>
      </w:r>
    </w:p>
    <w:p w14:paraId="395A990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 合同</w:t>
      </w:r>
    </w:p>
    <w:p w14:paraId="6EADA6C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1.1.1.1 合同：是指根据法律规定和合同当事人约定具有约束力的文件，构成合同的文件包括合同协议书、合同条款及其附件、通用合同条款、中标通知书（如果有）、投标函及其附录（如果有）、发包人要求、技术标准、发包人提供的上一阶段图纸（如果有）以及其他合同文件。</w:t>
      </w:r>
    </w:p>
    <w:p w14:paraId="314A620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1.1.1.2 合同协议书：是指构成合同的由发包人和设计人共同签署的称为“合同协议书”的书面文件。</w:t>
      </w:r>
    </w:p>
    <w:p w14:paraId="1309E5D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1.1.1.3 中标通知书：是指构成合同的由发包人通知设计人中标的书面文件。</w:t>
      </w:r>
    </w:p>
    <w:p w14:paraId="6108C75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1.1.1.4 投标函：是指构成合同的由设计人填写并签署的用于投标的称为“投标函”的文件。</w:t>
      </w:r>
    </w:p>
    <w:p w14:paraId="10ADED6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1.1.1.5 投标函附录：是指构成合同的附在投标函后的称为“投标函附录”的文件。</w:t>
      </w:r>
    </w:p>
    <w:p w14:paraId="0FCDC48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1.1.1.6 发包人要求：是指构成合同文件组成部分的，由发包人就工程项目的目的、范围、功能要求及工程设计文件审查的范围和内容等提出相应要求的书面文件，又称设计任务书。</w:t>
      </w:r>
    </w:p>
    <w:p w14:paraId="72C6B53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1.1.1.7 技术标准：是指构成合同的设计应当遵守的或指导设计的国家、行业或地方的技术标准和要求，以及合同约定的技术标准和要求。</w:t>
      </w:r>
    </w:p>
    <w:p w14:paraId="57AD53B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1.1.1.8 其他合同文件：是指经合同当事人约定的与工程设计有关的具有合同约束力的文件或书面协议。合同当事人可以在合同条款中进行约定。</w:t>
      </w:r>
    </w:p>
    <w:p w14:paraId="6899DA5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 合同当事人及其他相关方</w:t>
      </w:r>
    </w:p>
    <w:p w14:paraId="26800FB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1.1.2.1 合同当事人：是指发包人和（或）设计人。</w:t>
      </w:r>
    </w:p>
    <w:p w14:paraId="7CCCC28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1.1.2.2 发包人：是指与设计人签订合同协议书的当事人及取得该当事人资格的合法继承人。</w:t>
      </w:r>
    </w:p>
    <w:p w14:paraId="55D3DCC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1.1.2.3 设计人：是指与发包人签订合同协议书的，具有相应工程设计资质的当事人及取得该当事人资格的合法继承人。</w:t>
      </w:r>
    </w:p>
    <w:p w14:paraId="665C7B6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1.1.2.4 分包人：</w:t>
      </w:r>
      <w:bookmarkStart w:id="861" w:name="#go5"/>
      <w:bookmarkEnd w:id="861"/>
      <w:r>
        <w:rPr>
          <w:rFonts w:hint="eastAsia" w:ascii="宋体" w:hAnsi="宋体" w:cs="宋体"/>
          <w:bCs/>
          <w:color w:val="auto"/>
          <w:szCs w:val="21"/>
          <w:highlight w:val="none"/>
        </w:rPr>
        <w:t>是指按照法律规定和合同约定，分包部分工程设计工作，并与设计人签订分包合同的具有相应资质的法人。</w:t>
      </w:r>
    </w:p>
    <w:p w14:paraId="1605098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1.1.2.5 发包人代表：是指由发包人指定负责工程设计方面在发包人授权范围内行使发包人权利的人。</w:t>
      </w:r>
    </w:p>
    <w:p w14:paraId="4727000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1.1.2.6 项目负责人：是指由设计人任命负责工程设计，在设计人授权范围内负责合同履行，且按照法律规定具有相应资格的项目主持人。</w:t>
      </w:r>
    </w:p>
    <w:p w14:paraId="4B5050A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1.1.2.7 联合体：是指两个以上设计人联合，以一个设计人身份为发包人提供工程设计服务的临时性组织。</w:t>
      </w:r>
    </w:p>
    <w:p w14:paraId="45E3849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 工程设计服务、资料与文件</w:t>
      </w:r>
    </w:p>
    <w:p w14:paraId="31D1522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1.1.3.1 工程设计服务：是指设计人按照合同约定履行的服务，包括工程设计基本服务、工程设计其他服务。</w:t>
      </w:r>
    </w:p>
    <w:p w14:paraId="0BC9FD1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1.1.3.2 工程设计基本服务：是指设计人根据发包人的委托，提供编制专业建设工程初步设计文件（含初步设计概算）服务，并相应提供设计技术交底、解决施工中的设计技术问题、参加试车（试运行）考核和竣工验收等服务。基本服务费用包含在设计费中。</w:t>
      </w:r>
    </w:p>
    <w:p w14:paraId="7175936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1.1.3.3 工程设计其他服务：是指发包人根据工程设计实际需要，要求设计人另行提供且发包人应当单独支付费用的服务，包括总体设计服务、主体设计协调服务、采用标准设计和复用设计服务、非标准设备设计文件编制服务、竣工图编制服务等。</w:t>
      </w:r>
    </w:p>
    <w:p w14:paraId="25B3DA5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1.1.3.4 暂停设计：是指发生设计人不能按照合同约定履行全部或部分义务情形而暂时中断工程设计服务的行为业主有权要求原中标设计单位暂停服务，并有另一标段设计单位接替设计工作。</w:t>
      </w:r>
    </w:p>
    <w:p w14:paraId="1CE8BE5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1.1.3.5 工程设计资料：是指根据合同约定，发包人向设计人提供的用于完成工程设计范围与内容所需要的资料。工程设计资料包括项目基础资料和现场障碍资料。项目基础资料包括经有关部门对项目批准、核准或备案的文件、报告（如选址报告、资源报告、勘察报告、专项评估报告等）、资料（如气象、水文、地质等）、协议（如燃料、水、电、气、运输等）和有关数据等其他基础资料。现场障碍资料包括地上和地下已有的建筑物、构筑物、线缆、管道、受保护的古建筑、古树木等坐标方位、数据和其他相关资料。</w:t>
      </w:r>
    </w:p>
    <w:p w14:paraId="23672AC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1.1.3.6 工程设计文件：指按照合同约定和技术要求，由设计人向发包人提供的阶段性成果、最终工作成果等，且应当采用合同中约定的载体。</w:t>
      </w:r>
    </w:p>
    <w:p w14:paraId="311B958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1.1.4 日期和期限</w:t>
      </w:r>
    </w:p>
    <w:p w14:paraId="65A8B19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1.1.4.1 开始设计日期：包括计划开始设计日期和实际开始设计日期。计划开始设计日期是指合同协议书约定的开始设计日期；实际开始设计日期是指发包人发出的开始设计通知中载明的开始设计日期。</w:t>
      </w:r>
    </w:p>
    <w:p w14:paraId="1E2D485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1.1.4.2 完成设计日期：包括计划完成设计日期和实际完成设计日期。计划完成设计日期是指合同协议书约定的完成设计及相关服务的日期；实际完成设计日期是指设计人交付全部或阶段性设计成果及提供相关服务日期。 </w:t>
      </w:r>
    </w:p>
    <w:p w14:paraId="3F56DA0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1.1.4.3 设计周期又称设计工期：是指在合同协议书约定的设计人完成工程设计及相关服务所需的期限，包括按照合同约定所作的期限变更。</w:t>
      </w:r>
    </w:p>
    <w:p w14:paraId="6AAB505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1.1.4.4 基准日期：招标发包的工程设计以投标截止日前28天的日期为基准日期，直接发包的工程设计以合同签订日前28天的日期为基准日期。</w:t>
      </w:r>
    </w:p>
    <w:p w14:paraId="305E7B6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1.1.4.5 天：除特别指明外，均指日历天。合同中按天计算时间的，开始当天不计入，从次日开始计算，期限最后一天的截止时间为当天24:00时。</w:t>
      </w:r>
    </w:p>
    <w:p w14:paraId="3BA1F81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1.1.5 合同价格</w:t>
      </w:r>
    </w:p>
    <w:p w14:paraId="4455DB7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1.1.5.1 签约合同价：是指发包人和设计人在合同协议书中确定的总金额。</w:t>
      </w:r>
    </w:p>
    <w:p w14:paraId="6020D14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1.1.5.2 合同价格又称设计费：是指发包人用于支付设计人按照合同约定完成工程设计范围内全部工作的金额，包括合同履行过程中按合同约定发生的价格变化。</w:t>
      </w:r>
    </w:p>
    <w:p w14:paraId="1EBF794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1.1.6 其他</w:t>
      </w:r>
    </w:p>
    <w:p w14:paraId="0ECAA32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1.1.6.1 书面形式：是指合同书、信件和数据电文（包括电报、电传、传真、电子数据交换和电子邮件）等可以有形地表现所载内容的形式。</w:t>
      </w:r>
    </w:p>
    <w:p w14:paraId="58C187EB">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 xml:space="preserve"> </w:t>
      </w:r>
      <w:bookmarkStart w:id="862" w:name="_Toc296346530"/>
      <w:bookmarkStart w:id="863" w:name="_Toc337558729"/>
      <w:bookmarkStart w:id="864" w:name="_Toc296503029"/>
      <w:bookmarkStart w:id="865" w:name="_Toc351203497"/>
      <w:r>
        <w:rPr>
          <w:rFonts w:hint="eastAsia" w:ascii="宋体" w:hAnsi="宋体" w:cs="宋体"/>
          <w:bCs/>
          <w:color w:val="auto"/>
          <w:szCs w:val="21"/>
          <w:highlight w:val="none"/>
        </w:rPr>
        <w:t>1.2 语言文字</w:t>
      </w:r>
      <w:bookmarkEnd w:id="862"/>
      <w:bookmarkEnd w:id="863"/>
      <w:bookmarkEnd w:id="864"/>
      <w:bookmarkEnd w:id="865"/>
    </w:p>
    <w:p w14:paraId="327BAD0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合同以中国的汉语简体文字编写、解释和说明。合同当事人在合同条款中约定使用两种以上语言时，汉语为优先解释和说明合同的语言。</w:t>
      </w:r>
    </w:p>
    <w:p w14:paraId="78CF2348">
      <w:pPr>
        <w:spacing w:line="360" w:lineRule="auto"/>
        <w:ind w:firstLine="420" w:firstLineChars="200"/>
        <w:contextualSpacing/>
        <w:outlineLvl w:val="3"/>
        <w:rPr>
          <w:rFonts w:ascii="宋体" w:hAnsi="宋体" w:cs="宋体"/>
          <w:bCs/>
          <w:color w:val="auto"/>
          <w:szCs w:val="21"/>
          <w:highlight w:val="none"/>
        </w:rPr>
      </w:pPr>
      <w:bookmarkStart w:id="866" w:name="_Toc296346531"/>
      <w:bookmarkStart w:id="867" w:name="_Toc337558730"/>
      <w:bookmarkStart w:id="868" w:name="_Toc296503030"/>
      <w:bookmarkStart w:id="869" w:name="_Toc351203498"/>
      <w:r>
        <w:rPr>
          <w:rFonts w:hint="eastAsia" w:ascii="宋体" w:hAnsi="宋体" w:cs="宋体"/>
          <w:bCs/>
          <w:color w:val="auto"/>
          <w:szCs w:val="21"/>
          <w:highlight w:val="none"/>
        </w:rPr>
        <w:t>1.3 法律</w:t>
      </w:r>
      <w:bookmarkEnd w:id="866"/>
      <w:bookmarkEnd w:id="867"/>
      <w:bookmarkEnd w:id="868"/>
      <w:bookmarkEnd w:id="869"/>
    </w:p>
    <w:p w14:paraId="1B891E2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合同所称法律是指中华人民共和国法律、行政法规、部门规章，以及工程所在地的地方性法规、自治条例、单行条例和地方政府规章等。</w:t>
      </w:r>
    </w:p>
    <w:p w14:paraId="6EC28E9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合同当事人可以在合同条款中约定合同适用的其他规范性文件。</w:t>
      </w:r>
    </w:p>
    <w:p w14:paraId="25A25E3C">
      <w:pPr>
        <w:spacing w:line="360" w:lineRule="auto"/>
        <w:ind w:firstLine="420" w:firstLineChars="200"/>
        <w:contextualSpacing/>
        <w:outlineLvl w:val="3"/>
        <w:rPr>
          <w:rFonts w:ascii="宋体" w:hAnsi="宋体" w:cs="宋体"/>
          <w:bCs/>
          <w:color w:val="auto"/>
          <w:szCs w:val="21"/>
          <w:highlight w:val="none"/>
        </w:rPr>
      </w:pPr>
      <w:bookmarkStart w:id="870" w:name="_Toc351203499"/>
      <w:r>
        <w:rPr>
          <w:rFonts w:hint="eastAsia" w:ascii="宋体" w:hAnsi="宋体" w:cs="宋体"/>
          <w:bCs/>
          <w:color w:val="auto"/>
          <w:szCs w:val="21"/>
          <w:highlight w:val="none"/>
        </w:rPr>
        <w:t>1.4 技术标准</w:t>
      </w:r>
      <w:bookmarkEnd w:id="870"/>
    </w:p>
    <w:p w14:paraId="1126262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1.4.1 适用于工程的现行有效的国家标准、行业标准、工程所在地的地方性标准，以及相应的规范、规程等，合同当事人有特别要求的，应在合同条款中约定。</w:t>
      </w:r>
    </w:p>
    <w:p w14:paraId="60F8555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1.4.2 发包人要求使用国外技术标准的，发包人与设计人在合同条款中约定原文版本和中文译本提供方及提供标准的名称、份数、时间及费用承担等事项。</w:t>
      </w:r>
    </w:p>
    <w:p w14:paraId="10CE0B4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1.4.3 发包人对工程的技术标准、功能要求高于或严于现行国家、行业或地方标准的，应当在合同条款中予以明确。除合同条款另有约定外，应视为设计人在签订合同前已充分预见前述技术标准和功能要求的复杂程度，签约合同价中已包含由此产生的设计费用。</w:t>
      </w:r>
    </w:p>
    <w:p w14:paraId="38F3FA31">
      <w:pPr>
        <w:spacing w:line="360" w:lineRule="auto"/>
        <w:ind w:firstLine="420" w:firstLineChars="200"/>
        <w:contextualSpacing/>
        <w:outlineLvl w:val="3"/>
        <w:rPr>
          <w:rFonts w:ascii="宋体" w:hAnsi="宋体" w:cs="宋体"/>
          <w:bCs/>
          <w:color w:val="auto"/>
          <w:szCs w:val="21"/>
          <w:highlight w:val="none"/>
        </w:rPr>
      </w:pPr>
      <w:bookmarkStart w:id="871" w:name="_Toc351203500"/>
      <w:r>
        <w:rPr>
          <w:rFonts w:hint="eastAsia" w:ascii="宋体" w:hAnsi="宋体" w:cs="宋体"/>
          <w:bCs/>
          <w:color w:val="auto"/>
          <w:szCs w:val="21"/>
          <w:highlight w:val="none"/>
        </w:rPr>
        <w:t>1</w:t>
      </w:r>
      <w:bookmarkStart w:id="872" w:name="_Toc296503031"/>
      <w:bookmarkStart w:id="873" w:name="_Toc296346532"/>
      <w:bookmarkStart w:id="874" w:name="_Toc337558731"/>
      <w:r>
        <w:rPr>
          <w:rFonts w:hint="eastAsia" w:ascii="宋体" w:hAnsi="宋体" w:cs="宋体"/>
          <w:bCs/>
          <w:color w:val="auto"/>
          <w:szCs w:val="21"/>
          <w:highlight w:val="none"/>
        </w:rPr>
        <w:t>.5 合同文件的优先顺序</w:t>
      </w:r>
      <w:bookmarkEnd w:id="871"/>
    </w:p>
    <w:bookmarkEnd w:id="872"/>
    <w:bookmarkEnd w:id="873"/>
    <w:bookmarkEnd w:id="874"/>
    <w:p w14:paraId="12D53F4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组成合同的各项文件应互相解释，互为说明。除合同条款另有约定外，解释合同文件的优先顺序如下：</w:t>
      </w:r>
    </w:p>
    <w:p w14:paraId="2077175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（1）合同协议书；</w:t>
      </w:r>
    </w:p>
    <w:p w14:paraId="64C731A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（2）通用合同条款； </w:t>
      </w:r>
    </w:p>
    <w:p w14:paraId="4861A8B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（3）中标通知书（如果有）；</w:t>
      </w:r>
    </w:p>
    <w:p w14:paraId="50AAFBF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（4）投标函及其附录（如果有）；</w:t>
      </w:r>
    </w:p>
    <w:p w14:paraId="4D2871E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（5）发包人要求；</w:t>
      </w:r>
    </w:p>
    <w:p w14:paraId="1965455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（6）技术标准；</w:t>
      </w:r>
    </w:p>
    <w:p w14:paraId="230625D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（7）发包人提供的上一阶段图纸（如果有）；</w:t>
      </w:r>
    </w:p>
    <w:p w14:paraId="75ABBCE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（8）其他合同文件。</w:t>
      </w:r>
    </w:p>
    <w:p w14:paraId="69DF3CF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上述各项合同文件包括合同当事人就该项合同文件所作出的补充和修改，属于同一类内容的文件，应以最新签署的为准。</w:t>
      </w:r>
    </w:p>
    <w:p w14:paraId="1D1A882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在合同履行过程中形成的与合同有关的文件均构成合同文件组成部分，并根据其性质确定优先解释顺序。</w:t>
      </w:r>
    </w:p>
    <w:p w14:paraId="3DEEBD9F">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1.6 联络</w:t>
      </w:r>
    </w:p>
    <w:p w14:paraId="60C0A95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1.6.1 与合同有关的通知、批准、证明、证书、指示、指令、要求、请求、同意、确定和决定等，均应采用书面形式，并应在合同约定的期限内送达接收人和送达地点。</w:t>
      </w:r>
    </w:p>
    <w:p w14:paraId="51C8B8F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1.6.2 发包人和设计人应在合同条款中约定各自的送达接收人、送达地点、电子邮箱。任何一方合同当事人指定的接收人或送达地点或电子邮箱发生变动的，应提前3天以书面形式通知对方，否则视为未发生变动。</w:t>
      </w:r>
    </w:p>
    <w:p w14:paraId="681594C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1.6.3 发包人和设计人应当及时签收另一方送达至送达地点和指定接收人的来往信函，如确有充分证据证明一方无正当理由拒不签收的，视为拒绝签收一方认可往来信函的内容。</w:t>
      </w:r>
    </w:p>
    <w:p w14:paraId="67002CF2">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1.7 严禁贿赂</w:t>
      </w:r>
    </w:p>
    <w:p w14:paraId="256C7C7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合同当事人不得以贿赂或变相贿赂的方式，谋取非法利益或损害对方权益。因一方合同当事人的贿赂造成对方损失的，应赔偿损失，并承担相应的法律责任。</w:t>
      </w:r>
    </w:p>
    <w:p w14:paraId="34F81B05">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1.8 保密</w:t>
      </w:r>
    </w:p>
    <w:p w14:paraId="02601DE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除法律规定或合同另有约定外，未经发包人同意，设计人不得将发包人提供的图纸、文件以及声明需要保密的资料信息等商业秘密泄露给第</w:t>
      </w:r>
      <w:r>
        <w:rPr>
          <w:rFonts w:hint="eastAsia" w:ascii="宋体" w:hAnsi="宋体" w:cs="宋体"/>
          <w:bCs/>
          <w:color w:val="auto"/>
          <w:szCs w:val="21"/>
          <w:highlight w:val="none"/>
          <w:u w:val="single"/>
        </w:rPr>
        <w:t>三</w:t>
      </w:r>
      <w:r>
        <w:rPr>
          <w:rFonts w:hint="eastAsia" w:ascii="宋体" w:hAnsi="宋体" w:cs="宋体"/>
          <w:bCs/>
          <w:color w:val="auto"/>
          <w:szCs w:val="21"/>
          <w:highlight w:val="none"/>
        </w:rPr>
        <w:t>方。</w:t>
      </w:r>
    </w:p>
    <w:p w14:paraId="1C062D5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除法律规定或合同另有约定外，未经设计人同意，发包人不得将设计人提供的技术文件、技术成果、技术秘密及声明需要保密的资料信息等商业秘密泄露给第</w:t>
      </w:r>
      <w:r>
        <w:rPr>
          <w:rFonts w:hint="eastAsia" w:ascii="宋体" w:hAnsi="宋体" w:cs="宋体"/>
          <w:bCs/>
          <w:color w:val="auto"/>
          <w:szCs w:val="21"/>
          <w:highlight w:val="none"/>
          <w:u w:val="single"/>
        </w:rPr>
        <w:t>三</w:t>
      </w:r>
      <w:r>
        <w:rPr>
          <w:rFonts w:hint="eastAsia" w:ascii="宋体" w:hAnsi="宋体" w:cs="宋体"/>
          <w:bCs/>
          <w:color w:val="auto"/>
          <w:szCs w:val="21"/>
          <w:highlight w:val="none"/>
        </w:rPr>
        <w:t>方。</w:t>
      </w:r>
    </w:p>
    <w:p w14:paraId="73E0079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保密期限由发包人与设计人在合同条款中约定。</w:t>
      </w:r>
      <w:bookmarkStart w:id="875" w:name="_Toc351203509"/>
    </w:p>
    <w:p w14:paraId="54DAD354">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2</w:t>
      </w:r>
      <w:bookmarkStart w:id="876" w:name="_Toc296503038"/>
      <w:bookmarkStart w:id="877" w:name="_Toc337558739"/>
      <w:bookmarkStart w:id="878" w:name="_Toc296346539"/>
      <w:r>
        <w:rPr>
          <w:rFonts w:hint="eastAsia" w:ascii="宋体" w:hAnsi="宋体" w:cs="宋体"/>
          <w:bCs/>
          <w:color w:val="auto"/>
          <w:szCs w:val="21"/>
          <w:highlight w:val="none"/>
        </w:rPr>
        <w:t>. 发包人</w:t>
      </w:r>
      <w:bookmarkEnd w:id="875"/>
    </w:p>
    <w:bookmarkEnd w:id="876"/>
    <w:bookmarkEnd w:id="877"/>
    <w:bookmarkEnd w:id="878"/>
    <w:p w14:paraId="15A12D92">
      <w:pPr>
        <w:spacing w:line="360" w:lineRule="auto"/>
        <w:ind w:firstLine="420" w:firstLineChars="200"/>
        <w:contextualSpacing/>
        <w:outlineLvl w:val="3"/>
        <w:rPr>
          <w:rFonts w:ascii="宋体" w:hAnsi="宋体" w:cs="宋体"/>
          <w:bCs/>
          <w:color w:val="auto"/>
          <w:szCs w:val="21"/>
          <w:highlight w:val="none"/>
        </w:rPr>
      </w:pPr>
      <w:bookmarkStart w:id="879" w:name="_Toc351203510"/>
      <w:r>
        <w:rPr>
          <w:rFonts w:hint="eastAsia" w:ascii="宋体" w:hAnsi="宋体" w:cs="宋体"/>
          <w:bCs/>
          <w:color w:val="auto"/>
          <w:szCs w:val="21"/>
          <w:highlight w:val="none"/>
        </w:rPr>
        <w:t>2</w:t>
      </w:r>
      <w:bookmarkStart w:id="880" w:name="_Toc296503039"/>
      <w:bookmarkStart w:id="881" w:name="_Toc296346540"/>
      <w:bookmarkStart w:id="882" w:name="_Toc337558740"/>
      <w:r>
        <w:rPr>
          <w:rFonts w:hint="eastAsia" w:ascii="宋体" w:hAnsi="宋体" w:cs="宋体"/>
          <w:bCs/>
          <w:color w:val="auto"/>
          <w:szCs w:val="21"/>
          <w:highlight w:val="none"/>
        </w:rPr>
        <w:t xml:space="preserve">.1 </w:t>
      </w:r>
      <w:bookmarkEnd w:id="879"/>
      <w:r>
        <w:rPr>
          <w:rFonts w:hint="eastAsia" w:ascii="宋体" w:hAnsi="宋体" w:cs="宋体"/>
          <w:bCs/>
          <w:color w:val="auto"/>
          <w:szCs w:val="21"/>
          <w:highlight w:val="none"/>
        </w:rPr>
        <w:t>发包人一般义务</w:t>
      </w:r>
    </w:p>
    <w:p w14:paraId="78F9FC8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2.1.1 发包人应遵守法律，并办理法律规定由其办理的许可、核准或备案，包括但不限于建设用地规划许可证、建设工程规划许可证等许可、核准或备案。</w:t>
      </w:r>
    </w:p>
    <w:p w14:paraId="1B932BA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负责本项目各阶段设计文件向有关管理部门的送审报批工作，并负责将报批结果书面通知设计人。因发包人原因未能及时办理完毕前述许可、核准或备案手续，导致设计工作量增加和（或）设计周期延长时，由发包人承担由此增加的设计费用和（或）延长的设计周期。</w:t>
      </w:r>
    </w:p>
    <w:p w14:paraId="3378431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2.1.2 发包人应当负责工程设计的所有外部关系的协调（包括但不限于当地政府主管部门等），为设计人履行合同提供必要的外部条件。</w:t>
      </w:r>
    </w:p>
    <w:p w14:paraId="6D2C842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2.1.3 合同条款约定的其他义务。</w:t>
      </w:r>
    </w:p>
    <w:p w14:paraId="120DA9C2">
      <w:pPr>
        <w:spacing w:line="360" w:lineRule="auto"/>
        <w:ind w:firstLine="420" w:firstLineChars="200"/>
        <w:contextualSpacing/>
        <w:outlineLvl w:val="3"/>
        <w:rPr>
          <w:rFonts w:ascii="宋体" w:hAnsi="宋体" w:cs="宋体"/>
          <w:bCs/>
          <w:color w:val="auto"/>
          <w:szCs w:val="21"/>
          <w:highlight w:val="none"/>
        </w:rPr>
      </w:pPr>
      <w:bookmarkStart w:id="883" w:name="_Toc351203511"/>
      <w:r>
        <w:rPr>
          <w:rFonts w:hint="eastAsia" w:ascii="宋体" w:hAnsi="宋体" w:cs="宋体"/>
          <w:bCs/>
          <w:color w:val="auto"/>
          <w:szCs w:val="21"/>
          <w:highlight w:val="none"/>
        </w:rPr>
        <w:t>2.2 发包人代表</w:t>
      </w:r>
      <w:bookmarkEnd w:id="883"/>
    </w:p>
    <w:p w14:paraId="5A49B5D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在合同条款中明确其负责工程设计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在合同条款约定的期限内提前书面通知设计人。</w:t>
      </w:r>
    </w:p>
    <w:p w14:paraId="7337801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发包人代表不能按照合同约定履行其职责及义务，并导致合同无法继续正常履行的，设计人可以要求发包人撤换发包人代表。</w:t>
      </w:r>
    </w:p>
    <w:p w14:paraId="1886B401">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2.3 发包人决定</w:t>
      </w:r>
    </w:p>
    <w:p w14:paraId="70ECF5A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2.3.1 发包人在法律允许的范围内有权对设计人的设计工作、设计项目和/或设计文件作出处理决定，设计人应按照发包人的决定执行，涉及设计周期或设计费用等问题按本合同〔工程设计变更与索赔〕的约定处理。</w:t>
      </w:r>
    </w:p>
    <w:p w14:paraId="742291A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2.3.2 发包人应在合同条款约定的期限内对设计人书面提出的事项作出书面决定，如发包人不在确定时间内作出书面决定，设计人的设计周期相应延长。</w:t>
      </w:r>
    </w:p>
    <w:bookmarkEnd w:id="880"/>
    <w:bookmarkEnd w:id="881"/>
    <w:bookmarkEnd w:id="882"/>
    <w:p w14:paraId="760EFF28">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2</w:t>
      </w:r>
      <w:bookmarkStart w:id="884" w:name="_Toc296503042"/>
      <w:bookmarkStart w:id="885" w:name="_Toc296346543"/>
      <w:bookmarkStart w:id="886" w:name="_Toc337558745"/>
      <w:r>
        <w:rPr>
          <w:rFonts w:hint="eastAsia" w:ascii="宋体" w:hAnsi="宋体" w:cs="宋体"/>
          <w:bCs/>
          <w:color w:val="auto"/>
          <w:szCs w:val="21"/>
          <w:highlight w:val="none"/>
        </w:rPr>
        <w:t xml:space="preserve">.4 </w:t>
      </w:r>
      <w:bookmarkEnd w:id="884"/>
      <w:bookmarkEnd w:id="885"/>
      <w:bookmarkEnd w:id="886"/>
      <w:bookmarkStart w:id="887" w:name="_Toc351203515"/>
      <w:r>
        <w:rPr>
          <w:rFonts w:hint="eastAsia" w:ascii="宋体" w:hAnsi="宋体" w:cs="宋体"/>
          <w:bCs/>
          <w:color w:val="auto"/>
          <w:szCs w:val="21"/>
          <w:highlight w:val="none"/>
        </w:rPr>
        <w:t>支付合同价款</w:t>
      </w:r>
      <w:bookmarkEnd w:id="887"/>
    </w:p>
    <w:p w14:paraId="56687DD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发包人应按合同约定向设计人及时足额支付合同价款。</w:t>
      </w:r>
    </w:p>
    <w:p w14:paraId="6E51C544">
      <w:pPr>
        <w:spacing w:line="360" w:lineRule="auto"/>
        <w:ind w:firstLine="420" w:firstLineChars="200"/>
        <w:contextualSpacing/>
        <w:outlineLvl w:val="3"/>
        <w:rPr>
          <w:rFonts w:ascii="宋体" w:hAnsi="宋体" w:cs="宋体"/>
          <w:bCs/>
          <w:color w:val="auto"/>
          <w:szCs w:val="21"/>
          <w:highlight w:val="none"/>
        </w:rPr>
      </w:pPr>
      <w:bookmarkStart w:id="888" w:name="_Toc351203516"/>
      <w:r>
        <w:rPr>
          <w:rFonts w:hint="eastAsia" w:ascii="宋体" w:hAnsi="宋体" w:cs="宋体"/>
          <w:bCs/>
          <w:color w:val="auto"/>
          <w:szCs w:val="21"/>
          <w:highlight w:val="none"/>
        </w:rPr>
        <w:t xml:space="preserve">2.5 </w:t>
      </w:r>
      <w:bookmarkEnd w:id="888"/>
      <w:r>
        <w:rPr>
          <w:rFonts w:hint="eastAsia" w:ascii="宋体" w:hAnsi="宋体" w:cs="宋体"/>
          <w:bCs/>
          <w:color w:val="auto"/>
          <w:szCs w:val="21"/>
          <w:highlight w:val="none"/>
        </w:rPr>
        <w:t>设计文件接收</w:t>
      </w:r>
    </w:p>
    <w:p w14:paraId="20BE60F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发包人应按合同约定及时接收设计人提交的工程设计文件。</w:t>
      </w:r>
    </w:p>
    <w:p w14:paraId="7F1E2C5A">
      <w:pPr>
        <w:spacing w:line="360" w:lineRule="auto"/>
        <w:ind w:firstLine="420" w:firstLineChars="200"/>
        <w:contextualSpacing/>
        <w:outlineLvl w:val="2"/>
        <w:rPr>
          <w:rFonts w:ascii="宋体" w:hAnsi="宋体" w:cs="宋体"/>
          <w:bCs/>
          <w:color w:val="auto"/>
          <w:szCs w:val="21"/>
          <w:highlight w:val="none"/>
        </w:rPr>
      </w:pPr>
      <w:bookmarkStart w:id="889" w:name="_Toc351203518"/>
      <w:r>
        <w:rPr>
          <w:rFonts w:hint="eastAsia" w:ascii="宋体" w:hAnsi="宋体" w:cs="宋体"/>
          <w:bCs/>
          <w:color w:val="auto"/>
          <w:szCs w:val="21"/>
          <w:highlight w:val="none"/>
        </w:rPr>
        <w:t>3</w:t>
      </w:r>
      <w:bookmarkStart w:id="890" w:name="_Toc296503045"/>
      <w:bookmarkStart w:id="891" w:name="_Toc296346546"/>
      <w:bookmarkStart w:id="892" w:name="_Toc337558746"/>
      <w:r>
        <w:rPr>
          <w:rFonts w:hint="eastAsia" w:ascii="宋体" w:hAnsi="宋体" w:cs="宋体"/>
          <w:bCs/>
          <w:color w:val="auto"/>
          <w:szCs w:val="21"/>
          <w:highlight w:val="none"/>
        </w:rPr>
        <w:t>. 设计人</w:t>
      </w:r>
      <w:bookmarkEnd w:id="889"/>
    </w:p>
    <w:bookmarkEnd w:id="890"/>
    <w:bookmarkEnd w:id="891"/>
    <w:bookmarkEnd w:id="892"/>
    <w:p w14:paraId="68EAE1F2">
      <w:pPr>
        <w:spacing w:line="360" w:lineRule="auto"/>
        <w:ind w:firstLine="420" w:firstLineChars="200"/>
        <w:contextualSpacing/>
        <w:outlineLvl w:val="3"/>
        <w:rPr>
          <w:rFonts w:ascii="宋体" w:hAnsi="宋体" w:cs="宋体"/>
          <w:bCs/>
          <w:color w:val="auto"/>
          <w:szCs w:val="21"/>
          <w:highlight w:val="none"/>
        </w:rPr>
      </w:pPr>
      <w:bookmarkStart w:id="893" w:name="_Toc351203519"/>
      <w:r>
        <w:rPr>
          <w:rFonts w:hint="eastAsia" w:ascii="宋体" w:hAnsi="宋体" w:cs="宋体"/>
          <w:bCs/>
          <w:color w:val="auto"/>
          <w:szCs w:val="21"/>
          <w:highlight w:val="none"/>
        </w:rPr>
        <w:t>3</w:t>
      </w:r>
      <w:bookmarkStart w:id="894" w:name="_Toc337558747"/>
      <w:bookmarkStart w:id="895" w:name="_Toc296503046"/>
      <w:bookmarkStart w:id="896" w:name="_Toc296346547"/>
      <w:r>
        <w:rPr>
          <w:rFonts w:hint="eastAsia" w:ascii="宋体" w:hAnsi="宋体" w:cs="宋体"/>
          <w:bCs/>
          <w:color w:val="auto"/>
          <w:szCs w:val="21"/>
          <w:highlight w:val="none"/>
        </w:rPr>
        <w:t>.1 设计人一般义务</w:t>
      </w:r>
      <w:bookmarkEnd w:id="893"/>
    </w:p>
    <w:bookmarkEnd w:id="894"/>
    <w:bookmarkEnd w:id="895"/>
    <w:bookmarkEnd w:id="896"/>
    <w:p w14:paraId="25B46BD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3.1.1 设计人应遵守法律和有关技术标准的强制性规定，完成合同约定范围内的专业建设工程初步设计，提供符合技术标准及合同要求的工程设计文件，提供施工配合服务。</w:t>
      </w:r>
    </w:p>
    <w:p w14:paraId="062DBCB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应当按照合同条款约定配合发包人办理有关许可、核准或备案手续的，因设计人原因造成发包人未能及时办理许可、核准或备案手续，导致设计工作量增加和（或）设计周期延长时，由设计人自行承担由此增加的设计费用和（或）设计周期延长的责任。</w:t>
      </w:r>
    </w:p>
    <w:p w14:paraId="0054D9D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3.1.2 设计人应当完成合同约定的工程设计其他服务。</w:t>
      </w:r>
    </w:p>
    <w:p w14:paraId="31E7EBB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3.1.3 合同条款约定的其他义务。</w:t>
      </w:r>
    </w:p>
    <w:p w14:paraId="577BA7A8">
      <w:pPr>
        <w:spacing w:line="360" w:lineRule="auto"/>
        <w:ind w:firstLine="420" w:firstLineChars="200"/>
        <w:contextualSpacing/>
        <w:outlineLvl w:val="3"/>
        <w:rPr>
          <w:rFonts w:ascii="宋体" w:hAnsi="宋体" w:cs="宋体"/>
          <w:bCs/>
          <w:color w:val="auto"/>
          <w:szCs w:val="21"/>
          <w:highlight w:val="none"/>
        </w:rPr>
      </w:pPr>
      <w:bookmarkStart w:id="897" w:name="_Toc351203520"/>
      <w:r>
        <w:rPr>
          <w:rFonts w:hint="eastAsia" w:ascii="宋体" w:hAnsi="宋体" w:cs="宋体"/>
          <w:bCs/>
          <w:color w:val="auto"/>
          <w:szCs w:val="21"/>
          <w:highlight w:val="none"/>
        </w:rPr>
        <w:t>3</w:t>
      </w:r>
      <w:bookmarkStart w:id="898" w:name="_Toc296503047"/>
      <w:bookmarkStart w:id="899" w:name="_Toc337558748"/>
      <w:bookmarkStart w:id="900" w:name="_Toc296346548"/>
      <w:r>
        <w:rPr>
          <w:rFonts w:hint="eastAsia" w:ascii="宋体" w:hAnsi="宋体" w:cs="宋体"/>
          <w:bCs/>
          <w:color w:val="auto"/>
          <w:szCs w:val="21"/>
          <w:highlight w:val="none"/>
        </w:rPr>
        <w:t xml:space="preserve">.2 </w:t>
      </w:r>
      <w:bookmarkEnd w:id="897"/>
      <w:r>
        <w:rPr>
          <w:rFonts w:hint="eastAsia" w:ascii="宋体" w:hAnsi="宋体" w:cs="宋体"/>
          <w:bCs/>
          <w:color w:val="auto"/>
          <w:szCs w:val="21"/>
          <w:highlight w:val="none"/>
        </w:rPr>
        <w:t>项目负责人</w:t>
      </w:r>
    </w:p>
    <w:bookmarkEnd w:id="898"/>
    <w:bookmarkEnd w:id="899"/>
    <w:bookmarkEnd w:id="900"/>
    <w:p w14:paraId="4AE6EB6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3.2.1 项目负责人应为合同当事人所确认的人选，并在合同条款中明确项目负责人的姓名、执业资格及等级与注册执业证书编号或职称、联系方式及授权范围等事项，项目负责人经设计人授权后代表设计人负责履行合同。</w:t>
      </w:r>
    </w:p>
    <w:p w14:paraId="0B1309A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3.2.2 设计人需要更换项目负责人的，应在合同条款约定的期限内提前书面通知发包人，并征得发包人书面同意。通知中应当载明继任项目负责人的注册执业资格或职称、管理经验等资料，继任项目负责人继续履行约定的职责。未经发包人书面同意，设计人不得擅自更换项目负责人。设计人擅自更换项目负责人的，应按照合同条款的约定承担违约责任。对于设计人项目负责人确因患病、与设计人解除或终止劳动关系、工伤等原因更换项目负责人的，发包人无正当理由不得拒绝更换。</w:t>
      </w:r>
    </w:p>
    <w:p w14:paraId="566B047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3.2.3 发包人有权书面通知设计人更换其认为不称职的项目负责人，通知中应当载明要求更换的理由。对于发包人有理由的更换要求，设计人应在收到书面更换通知后在合同条款约定的期限内进行更换，并将新任命的项目负责人的注册执业资格或职称、管理经验等资料书面通知发包人。继任项目负责人继续履行第3.2.1项约定的职责。设计人无正当理由拒绝更换项目负责人的，应按照合同条款的约定承担违约责任。</w:t>
      </w:r>
    </w:p>
    <w:p w14:paraId="0C52A070">
      <w:pPr>
        <w:spacing w:line="360" w:lineRule="auto"/>
        <w:ind w:firstLine="420" w:firstLineChars="200"/>
        <w:contextualSpacing/>
        <w:outlineLvl w:val="3"/>
        <w:rPr>
          <w:rFonts w:ascii="宋体" w:hAnsi="宋体" w:cs="宋体"/>
          <w:bCs/>
          <w:color w:val="auto"/>
          <w:szCs w:val="21"/>
          <w:highlight w:val="none"/>
        </w:rPr>
      </w:pPr>
      <w:bookmarkStart w:id="901" w:name="_Toc351203521"/>
      <w:r>
        <w:rPr>
          <w:rFonts w:hint="eastAsia" w:ascii="宋体" w:hAnsi="宋体" w:cs="宋体"/>
          <w:bCs/>
          <w:color w:val="auto"/>
          <w:szCs w:val="21"/>
          <w:highlight w:val="none"/>
        </w:rPr>
        <w:t>3</w:t>
      </w:r>
      <w:bookmarkStart w:id="902" w:name="_Toc296503048"/>
      <w:bookmarkStart w:id="903" w:name="_Toc296346549"/>
      <w:bookmarkStart w:id="904" w:name="_Toc337558749"/>
      <w:r>
        <w:rPr>
          <w:rFonts w:hint="eastAsia" w:ascii="宋体" w:hAnsi="宋体" w:cs="宋体"/>
          <w:bCs/>
          <w:color w:val="auto"/>
          <w:szCs w:val="21"/>
          <w:highlight w:val="none"/>
        </w:rPr>
        <w:t xml:space="preserve">.3 </w:t>
      </w:r>
      <w:bookmarkEnd w:id="902"/>
      <w:bookmarkEnd w:id="903"/>
      <w:r>
        <w:rPr>
          <w:rFonts w:hint="eastAsia" w:ascii="宋体" w:hAnsi="宋体" w:cs="宋体"/>
          <w:bCs/>
          <w:color w:val="auto"/>
          <w:szCs w:val="21"/>
          <w:highlight w:val="none"/>
        </w:rPr>
        <w:t>设计人人员</w:t>
      </w:r>
      <w:bookmarkEnd w:id="901"/>
    </w:p>
    <w:bookmarkEnd w:id="904"/>
    <w:p w14:paraId="5E8C2B7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3.3.1 除合同条款对期限另有约定外，设计人应在接到开始设计通知后7天内，向发包人提交设计人项目管理机构及人员安排的报告，其内容应包括工艺、土建、设备等专业负责人名单及其岗位、注册执业资格或职称等。</w:t>
      </w:r>
    </w:p>
    <w:p w14:paraId="7F4FA67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3.3.2 设计人委派到工程设计中的设计人员应相对稳定。设计过程中如有变动，设计人应及时向发包人提交工程设计人员变动情况的报告。设计人更换专业负责人时，应提前7天书面通知发包人，除专业负责人无法正常履职情形外，还应征得发包人书面同意。通知中应当载明继任人员的注册执业资格或职称、执业经验等资料。</w:t>
      </w:r>
    </w:p>
    <w:p w14:paraId="11E0409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3.3.3 发包人对于设计人主要设计人员的资格或能力有异议的，设计人应提供资料证明被质疑人员有能力完成其岗位工作或不存在发包人所质疑的情形。发包人要求撤换不能按照合同约定履行职责及义务的主要设计人员的，设计人认为发包人有理由的，应当撤换。设计人无正当理由拒绝撤换的，应按照合同条款的约定承担违约责任。</w:t>
      </w:r>
    </w:p>
    <w:p w14:paraId="45F1364C">
      <w:pPr>
        <w:spacing w:line="360" w:lineRule="auto"/>
        <w:ind w:firstLine="420" w:firstLineChars="200"/>
        <w:contextualSpacing/>
        <w:outlineLvl w:val="3"/>
        <w:rPr>
          <w:rFonts w:ascii="宋体" w:hAnsi="宋体" w:cs="宋体"/>
          <w:bCs/>
          <w:color w:val="auto"/>
          <w:szCs w:val="21"/>
          <w:highlight w:val="none"/>
        </w:rPr>
      </w:pPr>
      <w:bookmarkStart w:id="905" w:name="_Toc351203523"/>
      <w:r>
        <w:rPr>
          <w:rFonts w:hint="eastAsia" w:ascii="宋体" w:hAnsi="宋体" w:cs="宋体"/>
          <w:bCs/>
          <w:color w:val="auto"/>
          <w:szCs w:val="21"/>
          <w:highlight w:val="none"/>
        </w:rPr>
        <w:t>3</w:t>
      </w:r>
      <w:bookmarkStart w:id="906" w:name="_Toc337558751"/>
      <w:bookmarkStart w:id="907" w:name="_Toc296503051"/>
      <w:bookmarkStart w:id="908" w:name="_Toc296346552"/>
      <w:r>
        <w:rPr>
          <w:rFonts w:hint="eastAsia" w:ascii="宋体" w:hAnsi="宋体" w:cs="宋体"/>
          <w:bCs/>
          <w:color w:val="auto"/>
          <w:szCs w:val="21"/>
          <w:highlight w:val="none"/>
        </w:rPr>
        <w:t>.4 设计分包</w:t>
      </w:r>
      <w:bookmarkEnd w:id="905"/>
    </w:p>
    <w:bookmarkEnd w:id="906"/>
    <w:bookmarkEnd w:id="907"/>
    <w:bookmarkEnd w:id="908"/>
    <w:p w14:paraId="6FDB2C5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3.4.1 设计分包的一般约定</w:t>
      </w:r>
    </w:p>
    <w:p w14:paraId="4DA2ABC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不得将其承包的全部工程设计转包给第四人，或将其承包的全部工程设计肢解后以分包的名义转包给第四人。设计人不得将工程主体结构、关键性工作及合同条款中禁止分包的工程设计分包给第四人，工程主体结构、关键性工作的范围由合同当事人按照法律规定在合同条款中予以明确。设计人不得进行违法分包。</w:t>
      </w:r>
    </w:p>
    <w:p w14:paraId="5EF2168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3.4.2 设计分包的确定</w:t>
      </w:r>
    </w:p>
    <w:p w14:paraId="1C898A9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应按合同条款的约定或经过发包人书面同意后进行分包，确定分包人。按照合同约定或经过发包人书面同意后进行分包的，设计人应确保分包人具有相应的资质和能力。工程设计分包不减轻或免除设计人的责任和义务，设计人和分包人就分包工程设计向发包人承担连带责任。</w:t>
      </w:r>
    </w:p>
    <w:p w14:paraId="050510B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3.4.3 设计分包管理</w:t>
      </w:r>
    </w:p>
    <w:p w14:paraId="01C5925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设计人应按照合同条款的约定向发包人提交分包人的主要工程设计人员名单、注册执业资格或职称及执业经历等。</w:t>
      </w:r>
    </w:p>
    <w:p w14:paraId="7098CCE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3.4.4 分包工程设计费</w:t>
      </w:r>
    </w:p>
    <w:p w14:paraId="22FA48F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（1）除本项第（2）目约定的情况或合同条款另有约定外，分包工程设计费由设计人与分包人结算，未经设计人同意，发包人不得向分包人支付分包工程设计费；</w:t>
      </w:r>
    </w:p>
    <w:p w14:paraId="16EBE9A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（2）生效的法院判决书或仲裁裁决书要求发包人向分包人支付分包工程设计费的，发包人有权从应付设计人合同价款中扣除该部分费用。</w:t>
      </w:r>
    </w:p>
    <w:p w14:paraId="3F20F74C">
      <w:pPr>
        <w:spacing w:line="360" w:lineRule="auto"/>
        <w:ind w:firstLine="420" w:firstLineChars="200"/>
        <w:contextualSpacing/>
        <w:outlineLvl w:val="3"/>
        <w:rPr>
          <w:rFonts w:ascii="宋体" w:hAnsi="宋体" w:cs="宋体"/>
          <w:bCs/>
          <w:color w:val="auto"/>
          <w:szCs w:val="21"/>
          <w:highlight w:val="none"/>
        </w:rPr>
      </w:pPr>
      <w:bookmarkStart w:id="909" w:name="_Toc351203526"/>
      <w:r>
        <w:rPr>
          <w:rFonts w:hint="eastAsia" w:ascii="宋体" w:hAnsi="宋体" w:cs="宋体"/>
          <w:bCs/>
          <w:color w:val="auto"/>
          <w:szCs w:val="21"/>
          <w:highlight w:val="none"/>
        </w:rPr>
        <w:t>3.5 联合体</w:t>
      </w:r>
      <w:bookmarkEnd w:id="909"/>
    </w:p>
    <w:p w14:paraId="232B3E7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3.5.1 联合体各方应共同与发包人签订合同协议书。联合体各方应为履行合同向发包人承担连带责任。</w:t>
      </w:r>
    </w:p>
    <w:p w14:paraId="1B74492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3.5.2 联合体协议，应当约定联合体各成员工作分工，经发包人确认后作为合同附件。在履行合同过程中，未经发包人同意，不得修改联合体协议。</w:t>
      </w:r>
    </w:p>
    <w:p w14:paraId="6550A21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3.5.3 联合体牵头人负责与发包人联系，并接受指示，负责组织联合体各成员全面履行合同。</w:t>
      </w:r>
    </w:p>
    <w:p w14:paraId="668F850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3.5.4 发包人向联合体支付设计费用的方式在合同条款中约定。</w:t>
      </w:r>
    </w:p>
    <w:p w14:paraId="7E993A96">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3.6履约保证金</w:t>
      </w:r>
    </w:p>
    <w:p w14:paraId="479F198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履约保证金的形式：银行保函/现金/支票/汇款/保险保函</w:t>
      </w:r>
    </w:p>
    <w:p w14:paraId="580D804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履约保证金的金额：暂定合同金额的10%。</w:t>
      </w:r>
    </w:p>
    <w:p w14:paraId="77A3B5F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中标人提交履约保证金的时间：合同签订后十个日历天内。</w:t>
      </w:r>
    </w:p>
    <w:p w14:paraId="2596566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履约保证金的退还：按进度款支付比例同比例返还。</w:t>
      </w:r>
    </w:p>
    <w:p w14:paraId="066E59C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不按规定时间缴纳履约保证金的视为放弃中标。</w:t>
      </w:r>
    </w:p>
    <w:p w14:paraId="1276D9C7">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4. 工程设计资料</w:t>
      </w:r>
    </w:p>
    <w:p w14:paraId="54267F1B">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4.1 提供工程设计资料</w:t>
      </w:r>
    </w:p>
    <w:p w14:paraId="0E3AA95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发包人应当在工程设计前或合同条款附件约定的时间向设计人提供工程设计所必需的工程设计资料，并对所提供资料的真实性、准确性和完整性负责。</w:t>
      </w:r>
    </w:p>
    <w:p w14:paraId="4B48211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按照法律规定确需在工程设计开始后方能提供的设计资料，发包人应及时地在相应工程设计文件提交给发包人前的合理期限内提供，合理期限应以不影响设计人的正常设计为限。</w:t>
      </w:r>
    </w:p>
    <w:p w14:paraId="4D11E6ED">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4.2 逾期提供的责任</w:t>
      </w:r>
    </w:p>
    <w:p w14:paraId="2AE497B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提交上述文件和资料超过约定期限的，超过约定期限15天以内，设计人按本合同约定的交付工程设计文件时间相应顺延；超过约定期限15天以外时，设计人有权重新确定提交工程设计文件的时间。工程设计资料逾期提供导致增加了设计工作量的，设计人可以要求发包人另行支付相应设计费用，并相应延长设计周期。</w:t>
      </w:r>
    </w:p>
    <w:p w14:paraId="6FD0EF43">
      <w:pPr>
        <w:spacing w:line="360" w:lineRule="auto"/>
        <w:ind w:firstLine="420" w:firstLineChars="200"/>
        <w:contextualSpacing/>
        <w:outlineLvl w:val="2"/>
        <w:rPr>
          <w:rFonts w:ascii="宋体" w:hAnsi="宋体" w:cs="宋体"/>
          <w:bCs/>
          <w:color w:val="auto"/>
          <w:szCs w:val="21"/>
          <w:highlight w:val="none"/>
        </w:rPr>
      </w:pPr>
      <w:bookmarkStart w:id="910" w:name="_Toc351203532"/>
      <w:bookmarkStart w:id="911" w:name="_Toc337558758"/>
      <w:r>
        <w:rPr>
          <w:rFonts w:hint="eastAsia" w:ascii="宋体" w:hAnsi="宋体" w:cs="宋体"/>
          <w:bCs/>
          <w:color w:val="auto"/>
          <w:szCs w:val="21"/>
          <w:highlight w:val="none"/>
        </w:rPr>
        <w:t xml:space="preserve">5. </w:t>
      </w:r>
      <w:bookmarkEnd w:id="910"/>
      <w:r>
        <w:rPr>
          <w:rFonts w:hint="eastAsia" w:ascii="宋体" w:hAnsi="宋体" w:cs="宋体"/>
          <w:bCs/>
          <w:color w:val="auto"/>
          <w:szCs w:val="21"/>
          <w:highlight w:val="none"/>
        </w:rPr>
        <w:t>工程设计要求</w:t>
      </w:r>
    </w:p>
    <w:bookmarkEnd w:id="911"/>
    <w:p w14:paraId="7A993410">
      <w:pPr>
        <w:spacing w:line="360" w:lineRule="auto"/>
        <w:ind w:firstLine="420" w:firstLineChars="200"/>
        <w:contextualSpacing/>
        <w:outlineLvl w:val="3"/>
        <w:rPr>
          <w:rFonts w:ascii="宋体" w:hAnsi="宋体" w:cs="宋体"/>
          <w:bCs/>
          <w:color w:val="auto"/>
          <w:szCs w:val="21"/>
          <w:highlight w:val="none"/>
        </w:rPr>
      </w:pPr>
      <w:bookmarkStart w:id="912" w:name="_Toc351203533"/>
      <w:bookmarkStart w:id="913" w:name="_Toc337558759"/>
      <w:r>
        <w:rPr>
          <w:rFonts w:hint="eastAsia" w:ascii="宋体" w:hAnsi="宋体" w:cs="宋体"/>
          <w:bCs/>
          <w:color w:val="auto"/>
          <w:szCs w:val="21"/>
          <w:highlight w:val="none"/>
        </w:rPr>
        <w:t>5.1 工程设计一般要求</w:t>
      </w:r>
    </w:p>
    <w:p w14:paraId="5F1A5AD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5.1.1 对发包人的要求</w:t>
      </w:r>
    </w:p>
    <w:p w14:paraId="6882825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当遵守法律和技术标准，发包人提出的有关安全、质量、环境保护和职业健康的要求应当符合法律和技术标准的规定，不得以任何理由要求设计人违反法律、技术标准进行设计。发包人鼓励设计人使用可靠的创新技术和新材料。</w:t>
      </w:r>
    </w:p>
    <w:p w14:paraId="717648F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5.1.2 对设计人的要求</w:t>
      </w:r>
    </w:p>
    <w:p w14:paraId="0CC8C74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5.1.2.1设计人应当按法律和技术标准的强制性规定及发包人要求进行工程设计。有关工程设计的特殊标准或要求由合同当事人在合同条款中约定。</w:t>
      </w:r>
      <w:bookmarkEnd w:id="912"/>
      <w:r>
        <w:rPr>
          <w:rFonts w:hint="eastAsia" w:ascii="宋体" w:hAnsi="宋体" w:cs="宋体"/>
          <w:bCs/>
          <w:color w:val="auto"/>
          <w:szCs w:val="21"/>
          <w:highlight w:val="none"/>
        </w:rPr>
        <w:t>设计人发现发包人提供的工程设计资料有问题的，设计人应当及时通知发包人并经发包人确认。</w:t>
      </w:r>
    </w:p>
    <w:bookmarkEnd w:id="913"/>
    <w:p w14:paraId="52A97AC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5.1.2.2  除合同另有约定外，设计人完成设计工作所应遵守的法律以及技术标准，均应视为在基准日期适用的版本。基准日期之后，前述版本发生重大变化，或者有新的法律以及技术标准实施的，设计人应就推荐性标准向发包人提出遵守新标准的建议，对强制性的规定或标准应当遵照执行。因发包人采纳设计人的建议或遵守基准日期后新的强制性的规定或标准，导致增加设计费用和（或）设计周期延长的，由发包人承担。</w:t>
      </w:r>
    </w:p>
    <w:p w14:paraId="338E414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5.1.2.3 设计人在工程设计中应当采用合同约定的技术、工艺和设备，满足质量、安全、节能、环保等要求。</w:t>
      </w:r>
    </w:p>
    <w:p w14:paraId="64AC557D">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5.2 工程设计保证措施</w:t>
      </w:r>
    </w:p>
    <w:p w14:paraId="3270A67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5.2.1 发包人的保证措施</w:t>
      </w:r>
    </w:p>
    <w:p w14:paraId="404C0F0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发包人应按照法律规定及合同约定完成与工程设计有关的各项工作。</w:t>
      </w:r>
    </w:p>
    <w:p w14:paraId="25F75EA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5.2.2 设计人的保证措施</w:t>
      </w:r>
    </w:p>
    <w:p w14:paraId="723BA56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设计人应做好工程设计的质量与技术管理工作，建立健全工程设计质量保证体系，加强工程设计全过程的质量控制，建立完整的设计文件的设计、复核、审核、会签和批准制度，明确各阶段的责任人。</w:t>
      </w:r>
    </w:p>
    <w:p w14:paraId="2093172F">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5.3 工程设计文件的要求</w:t>
      </w:r>
    </w:p>
    <w:p w14:paraId="74CD718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5.3.1 工程设计文件的编制应符合法律、技术标准的强制性规定及合同的要求。</w:t>
      </w:r>
    </w:p>
    <w:p w14:paraId="10F452D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5.3.2 工程设计依据应完整、准确、可靠，设计方案论证充分，计算成果可靠，并能够实施。</w:t>
      </w:r>
    </w:p>
    <w:p w14:paraId="2F4CF55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5.3.3 工程设计文件的深度应满足本合同相应设计阶段的规定要求，并符合国家和行业现行有效的相关规定。</w:t>
      </w:r>
    </w:p>
    <w:p w14:paraId="001D579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5.3.4 工程设计文件应当保证工程施工及投产后安全性要求，满足工程经济性包括节约投资及降低生产成本要求、合理布局要求，按照有关法律规定在工程设计文件中提出保障施工作业人员安全和预防生产安全事故的措施建议，安全设施应当按规定同步设计。 </w:t>
      </w:r>
    </w:p>
    <w:p w14:paraId="4443DAB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5.3.5 应根据法律、技术标准要求，保证专业建设工程的合理使用寿命年限，并应在工程设计文件中注明相应的合理使用寿命年限。</w:t>
      </w:r>
    </w:p>
    <w:p w14:paraId="4CF088BB">
      <w:pPr>
        <w:spacing w:line="360" w:lineRule="auto"/>
        <w:ind w:firstLine="420" w:firstLineChars="200"/>
        <w:contextualSpacing/>
        <w:outlineLvl w:val="2"/>
        <w:rPr>
          <w:rFonts w:ascii="宋体" w:hAnsi="宋体" w:cs="宋体"/>
          <w:bCs/>
          <w:color w:val="auto"/>
          <w:szCs w:val="21"/>
          <w:highlight w:val="none"/>
        </w:rPr>
      </w:pPr>
      <w:bookmarkStart w:id="914" w:name="_Toc351203536"/>
      <w:bookmarkStart w:id="915" w:name="_Toc337558762"/>
      <w:r>
        <w:rPr>
          <w:rFonts w:hint="eastAsia" w:ascii="宋体" w:hAnsi="宋体" w:cs="宋体"/>
          <w:bCs/>
          <w:color w:val="auto"/>
          <w:szCs w:val="21"/>
          <w:highlight w:val="none"/>
        </w:rPr>
        <w:t>5.4 不合格工程设计文件的处理</w:t>
      </w:r>
      <w:bookmarkEnd w:id="914"/>
    </w:p>
    <w:bookmarkEnd w:id="915"/>
    <w:p w14:paraId="4ACDC15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5.4.1 因设计人原因造成工程设计文件不合格的，发包人有权要求设计人采取补救措施，直至达到合同要求的质量标准，并按〔设计人违约责任〕的约定承担责任。 </w:t>
      </w:r>
    </w:p>
    <w:p w14:paraId="21EFB3C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5.4.2 因发包人原因造成工程设计文件不合格的，设计人应当采取补救措施，直至达到合同要求的质量标准，由此增加的设计费用和（或）设计周期的延长由发包人承担。</w:t>
      </w:r>
    </w:p>
    <w:p w14:paraId="557F155C">
      <w:pPr>
        <w:spacing w:line="360" w:lineRule="auto"/>
        <w:ind w:firstLine="420" w:firstLineChars="200"/>
        <w:contextualSpacing/>
        <w:outlineLvl w:val="1"/>
        <w:rPr>
          <w:rFonts w:ascii="宋体" w:hAnsi="宋体" w:cs="宋体"/>
          <w:bCs/>
          <w:color w:val="auto"/>
          <w:szCs w:val="21"/>
          <w:highlight w:val="none"/>
        </w:rPr>
      </w:pPr>
      <w:bookmarkStart w:id="916" w:name="_Toc351203542"/>
      <w:bookmarkStart w:id="917" w:name="_Toc337558767"/>
      <w:r>
        <w:rPr>
          <w:rFonts w:hint="eastAsia" w:ascii="宋体" w:hAnsi="宋体" w:cs="宋体"/>
          <w:bCs/>
          <w:color w:val="auto"/>
          <w:szCs w:val="21"/>
          <w:highlight w:val="none"/>
        </w:rPr>
        <w:t>6. 工程设计进度</w:t>
      </w:r>
      <w:bookmarkEnd w:id="916"/>
      <w:r>
        <w:rPr>
          <w:rFonts w:hint="eastAsia" w:ascii="宋体" w:hAnsi="宋体" w:cs="宋体"/>
          <w:bCs/>
          <w:color w:val="auto"/>
          <w:szCs w:val="21"/>
          <w:highlight w:val="none"/>
        </w:rPr>
        <w:t>与周期</w:t>
      </w:r>
    </w:p>
    <w:bookmarkEnd w:id="917"/>
    <w:p w14:paraId="066D029F">
      <w:pPr>
        <w:spacing w:line="360" w:lineRule="auto"/>
        <w:ind w:firstLine="420" w:firstLineChars="200"/>
        <w:contextualSpacing/>
        <w:outlineLvl w:val="2"/>
        <w:rPr>
          <w:rFonts w:ascii="宋体" w:hAnsi="宋体" w:cs="宋体"/>
          <w:bCs/>
          <w:color w:val="auto"/>
          <w:szCs w:val="21"/>
          <w:highlight w:val="none"/>
        </w:rPr>
      </w:pPr>
      <w:bookmarkStart w:id="918" w:name="_Toc351203544"/>
      <w:bookmarkStart w:id="919" w:name="_Toc337558769"/>
      <w:bookmarkStart w:id="920" w:name="_Toc296503066"/>
      <w:bookmarkStart w:id="921" w:name="_Toc296346567"/>
      <w:r>
        <w:rPr>
          <w:rFonts w:hint="eastAsia" w:ascii="宋体" w:hAnsi="宋体" w:cs="宋体"/>
          <w:bCs/>
          <w:color w:val="auto"/>
          <w:szCs w:val="21"/>
          <w:highlight w:val="none"/>
        </w:rPr>
        <w:t>6.1 工程设计进度计划</w:t>
      </w:r>
      <w:bookmarkEnd w:id="918"/>
    </w:p>
    <w:bookmarkEnd w:id="919"/>
    <w:p w14:paraId="2A18303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6.1.1 工程设计进度计划的编制</w:t>
      </w:r>
    </w:p>
    <w:p w14:paraId="7268E83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应按照合同条款约定提交工程设计进度计划，工程设计进度计划的编制应当符合法律规定和一般工程设计实践惯例，工程设计进度计划经发包人批准后实施。工程设计进度计划是控制工程设计进度的依据，发包人有权按照工程设计进度计划中列明的关键性控制节点检查工程设计进度情况。</w:t>
      </w:r>
    </w:p>
    <w:p w14:paraId="1F6C2E5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工程设计进度计划中的设计周期应由发包人与设计人协商确定，明确约定各阶段设计任务的完成时间区间，包括各阶段设计过程中设计人与发包人的交流时间，但不包括相关政府部门对设计成果的审批时间及发包人的审查时间。</w:t>
      </w:r>
    </w:p>
    <w:p w14:paraId="78DA8B0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6.1.2 工程设计进度计划的修订</w:t>
      </w:r>
    </w:p>
    <w:p w14:paraId="44967F0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工程设计进度计划不符合合同要求或与工程设计的实际进度不一致的，设计人应向发包人提交修订的工程设计进度计划，并附具有关措施和相关资料。除合同条款对期限另有约定外，发包人应在收到修订的工程设计进度计划后5天内完成审核和批准或提出修改意见，否则视为发包人同意设计人提交的修订的工程设计进度计划。</w:t>
      </w:r>
    </w:p>
    <w:p w14:paraId="0BD5F601">
      <w:pPr>
        <w:spacing w:line="360" w:lineRule="auto"/>
        <w:ind w:firstLine="420" w:firstLineChars="200"/>
        <w:contextualSpacing/>
        <w:outlineLvl w:val="2"/>
        <w:rPr>
          <w:rFonts w:ascii="宋体" w:hAnsi="宋体" w:cs="宋体"/>
          <w:bCs/>
          <w:color w:val="auto"/>
          <w:szCs w:val="21"/>
          <w:highlight w:val="none"/>
        </w:rPr>
      </w:pPr>
      <w:bookmarkStart w:id="922" w:name="_Toc351203545"/>
      <w:bookmarkStart w:id="923" w:name="_Toc337558770"/>
      <w:r>
        <w:rPr>
          <w:rFonts w:hint="eastAsia" w:ascii="宋体" w:hAnsi="宋体" w:cs="宋体"/>
          <w:bCs/>
          <w:color w:val="auto"/>
          <w:szCs w:val="21"/>
          <w:highlight w:val="none"/>
        </w:rPr>
        <w:t xml:space="preserve">6.2 </w:t>
      </w:r>
      <w:bookmarkEnd w:id="922"/>
      <w:r>
        <w:rPr>
          <w:rFonts w:hint="eastAsia" w:ascii="宋体" w:hAnsi="宋体" w:cs="宋体"/>
          <w:bCs/>
          <w:color w:val="auto"/>
          <w:szCs w:val="21"/>
          <w:highlight w:val="none"/>
        </w:rPr>
        <w:t>工程设计开始</w:t>
      </w:r>
    </w:p>
    <w:bookmarkEnd w:id="923"/>
    <w:p w14:paraId="5587314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应按照法律规定获得工程设计所需的许可。发包人发出的开始设计通知应符合法律规定，一般应在计划开始设计日期7天前向设计人发出开始工程设计工作通知，工程设计周期自开始设计通知中载明的开始设计的日期起算。</w:t>
      </w:r>
    </w:p>
    <w:p w14:paraId="3440909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设计人应当在收到发包人提供的工程设计资料及合同条款约定的定金或预付款后，开始工程设计工作。</w:t>
      </w:r>
    </w:p>
    <w:p w14:paraId="426E206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各设计阶段的开始时间均以设计人收到的发包人发出开始设计工作的书面通知书中载明的开始设计的日期起算。</w:t>
      </w:r>
    </w:p>
    <w:bookmarkEnd w:id="920"/>
    <w:bookmarkEnd w:id="921"/>
    <w:p w14:paraId="04F59613">
      <w:pPr>
        <w:spacing w:line="360" w:lineRule="auto"/>
        <w:ind w:firstLine="420" w:firstLineChars="200"/>
        <w:contextualSpacing/>
        <w:outlineLvl w:val="2"/>
        <w:rPr>
          <w:rFonts w:ascii="宋体" w:hAnsi="宋体" w:cs="宋体"/>
          <w:bCs/>
          <w:color w:val="auto"/>
          <w:szCs w:val="21"/>
          <w:highlight w:val="none"/>
        </w:rPr>
      </w:pPr>
      <w:bookmarkStart w:id="924" w:name="_Toc351203547"/>
      <w:bookmarkStart w:id="925" w:name="_Toc296346574"/>
      <w:bookmarkStart w:id="926" w:name="_Toc337558772"/>
      <w:bookmarkStart w:id="927" w:name="_Toc296503073"/>
      <w:r>
        <w:rPr>
          <w:rFonts w:hint="eastAsia" w:ascii="宋体" w:hAnsi="宋体" w:cs="宋体"/>
          <w:bCs/>
          <w:color w:val="auto"/>
          <w:szCs w:val="21"/>
          <w:highlight w:val="none"/>
        </w:rPr>
        <w:t>6.3 工程设计进度延误</w:t>
      </w:r>
      <w:bookmarkEnd w:id="924"/>
    </w:p>
    <w:bookmarkEnd w:id="925"/>
    <w:bookmarkEnd w:id="926"/>
    <w:bookmarkEnd w:id="927"/>
    <w:p w14:paraId="4CAEDAF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6.3.1 因发包人原因导致工程设计进度延误</w:t>
      </w:r>
    </w:p>
    <w:p w14:paraId="512410D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在合同履行过程中，发包人导致工程设计进度延误的情形主要有： </w:t>
      </w:r>
    </w:p>
    <w:p w14:paraId="501145B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（1）发包人未能按合同约定提供工程设计资料或所提供的工程设计资料不符合合同约定或存在错误或疏漏的；</w:t>
      </w:r>
    </w:p>
    <w:p w14:paraId="7F51F83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（2）发包人未能按合同约定日期足额支付定金或预付款、进度款的；</w:t>
      </w:r>
    </w:p>
    <w:p w14:paraId="6BCF66E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（3）发包人提出影响设计周期的设计变更要求的；</w:t>
      </w:r>
    </w:p>
    <w:p w14:paraId="5F17BBB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（4）合同条款中约定的其他情形。</w:t>
      </w:r>
    </w:p>
    <w:p w14:paraId="3687A3D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因发包人原因未按计划开始设计日期开始设计的，发包人应按实际开始设计日期顺延完成设计日期。</w:t>
      </w:r>
    </w:p>
    <w:p w14:paraId="3BE5044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除合同条款对期限另有约定外，设计人应在发生上述情况后5天内向发包人发出要求延期的书面通知，在发生上述情况后10天内提交要求延期的详细说明供发包人审查。除合同条款对期限另有约定外，发包人收到设计人要求延期的详细说明后，应在5天内进行审查并就是否延长设计周期及延期天数向设计人进行书面答复。</w:t>
      </w:r>
    </w:p>
    <w:p w14:paraId="2EB7622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如果发包人在收到设计人提交要求延期的详细说明后，在约定的期限内未予答复，则视为设计人要求的延期已被发包人批准。如果设计人未能按本款约定的时间内发出要求延期的通知并提交详细资料，则发包人可拒绝作出任何延期的决定。</w:t>
      </w:r>
    </w:p>
    <w:p w14:paraId="1312352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发包人上述工程设计进度延误情形导致增加了设计工作量的，发包人应当另行支付相应设计费用。</w:t>
      </w:r>
    </w:p>
    <w:p w14:paraId="2E3EF4C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6.3.2 因设计人原因导致工程设计进度延误</w:t>
      </w:r>
    </w:p>
    <w:p w14:paraId="10AC2CF8">
      <w:pPr>
        <w:spacing w:line="360" w:lineRule="auto"/>
        <w:ind w:firstLine="420" w:firstLineChars="200"/>
        <w:contextualSpacing/>
        <w:rPr>
          <w:rFonts w:ascii="宋体" w:hAnsi="宋体" w:cs="宋体"/>
          <w:bCs/>
          <w:color w:val="auto"/>
          <w:szCs w:val="21"/>
          <w:highlight w:val="none"/>
        </w:rPr>
      </w:pPr>
      <w:bookmarkStart w:id="928" w:name="_Toc296503076"/>
      <w:bookmarkStart w:id="929" w:name="_Toc296346577"/>
      <w:r>
        <w:rPr>
          <w:rFonts w:hint="eastAsia" w:ascii="宋体" w:hAnsi="宋体" w:cs="宋体"/>
          <w:bCs/>
          <w:color w:val="auto"/>
          <w:szCs w:val="21"/>
          <w:highlight w:val="none"/>
        </w:rPr>
        <w:t>因</w:t>
      </w:r>
      <w:bookmarkEnd w:id="928"/>
      <w:bookmarkEnd w:id="929"/>
      <w:r>
        <w:rPr>
          <w:rFonts w:hint="eastAsia" w:ascii="宋体" w:hAnsi="宋体" w:cs="宋体"/>
          <w:bCs/>
          <w:color w:val="auto"/>
          <w:szCs w:val="21"/>
          <w:highlight w:val="none"/>
        </w:rPr>
        <w:t>设计人原因导致工程设计进度延误的，设计人应当按照第按〔设计人违约责任〕承担责任。设计人支付逾期完成工程设计违约金后，并由另一标段设计单位接替设计工作。。</w:t>
      </w:r>
    </w:p>
    <w:p w14:paraId="7881B204">
      <w:pPr>
        <w:spacing w:line="360" w:lineRule="auto"/>
        <w:ind w:firstLine="420" w:firstLineChars="200"/>
        <w:contextualSpacing/>
        <w:outlineLvl w:val="2"/>
        <w:rPr>
          <w:rFonts w:ascii="宋体" w:hAnsi="宋体" w:cs="宋体"/>
          <w:bCs/>
          <w:color w:val="auto"/>
          <w:szCs w:val="21"/>
          <w:highlight w:val="none"/>
        </w:rPr>
      </w:pPr>
      <w:bookmarkStart w:id="930" w:name="_Toc351203550"/>
      <w:bookmarkStart w:id="931" w:name="_Toc296503077"/>
      <w:bookmarkStart w:id="932" w:name="_Toc337558775"/>
      <w:bookmarkStart w:id="933" w:name="_Toc296346578"/>
      <w:r>
        <w:rPr>
          <w:rFonts w:hint="eastAsia" w:ascii="宋体" w:hAnsi="宋体" w:cs="宋体"/>
          <w:bCs/>
          <w:color w:val="auto"/>
          <w:szCs w:val="21"/>
          <w:highlight w:val="none"/>
        </w:rPr>
        <w:t>6.4 暂停</w:t>
      </w:r>
      <w:bookmarkEnd w:id="930"/>
      <w:r>
        <w:rPr>
          <w:rFonts w:hint="eastAsia" w:ascii="宋体" w:hAnsi="宋体" w:cs="宋体"/>
          <w:bCs/>
          <w:color w:val="auto"/>
          <w:szCs w:val="21"/>
          <w:highlight w:val="none"/>
        </w:rPr>
        <w:t>设计</w:t>
      </w:r>
    </w:p>
    <w:bookmarkEnd w:id="931"/>
    <w:bookmarkEnd w:id="932"/>
    <w:bookmarkEnd w:id="933"/>
    <w:p w14:paraId="3336FCB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6.4.1 发包人原因引起的暂停设计</w:t>
      </w:r>
    </w:p>
    <w:p w14:paraId="2F28259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因发包人原因引起暂停设计的，发包人应及时下达暂停设计指示。</w:t>
      </w:r>
    </w:p>
    <w:p w14:paraId="75C5F5A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因发包人原因引起的暂停设计，发包人应承担由此增加的设计费用和（或）延长的设计周期。</w:t>
      </w:r>
    </w:p>
    <w:p w14:paraId="2B3561B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6.4.2 设计人原因引起的暂停设计</w:t>
      </w:r>
    </w:p>
    <w:p w14:paraId="3E77B13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设计人原因引起的暂停设计，设计人应当尽快向发包人发出书面通知并按〔设计人违约责任〕承担责任，且设计人在收到发包人复工指示后15天内仍未复工的，视为设计人无法继续履行合同的情形，设计人应按〔合同解除〕的约定承担责任。并由另一标段设计单位接替设计工作。</w:t>
      </w:r>
    </w:p>
    <w:p w14:paraId="4AA1870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6.4.3 其他原因引起的暂停设计</w:t>
      </w:r>
    </w:p>
    <w:p w14:paraId="54E045E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当出现非设计人原因造成的暂停设计，设计人应当尽快向发包人发出书面通知。</w:t>
      </w:r>
    </w:p>
    <w:p w14:paraId="53A95BA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在上述情形下设计人的设计服务暂停，设计人的设计周期应当相应延长，复工应有发包人与设计人共同确认的合理期限。</w:t>
      </w:r>
    </w:p>
    <w:p w14:paraId="4B1E0CE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当发生本项约定的情况，导致设计人增加设计工作量的，发包人应当另行支付相应设计费用。</w:t>
      </w:r>
    </w:p>
    <w:p w14:paraId="6F2D57F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6.4.4 暂停设计后的复工</w:t>
      </w:r>
    </w:p>
    <w:p w14:paraId="22F951C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暂停设计后，发包人和设计人应采取有效措施积极消除暂停设计的影响。当工程具备复工条件时，发包人向设计人发出复工通知，设计人应按照复工通知要求复工。</w:t>
      </w:r>
    </w:p>
    <w:p w14:paraId="7E55334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除设计人原因导致暂停设计外，设计人暂停设计后复工所增加的设计工作量，发包人应当另行支付相应设计费用。</w:t>
      </w:r>
    </w:p>
    <w:p w14:paraId="6D8817AD">
      <w:pPr>
        <w:spacing w:line="360" w:lineRule="auto"/>
        <w:ind w:firstLine="420" w:firstLineChars="200"/>
        <w:contextualSpacing/>
        <w:outlineLvl w:val="2"/>
        <w:rPr>
          <w:rFonts w:ascii="宋体" w:hAnsi="宋体" w:cs="宋体"/>
          <w:bCs/>
          <w:color w:val="auto"/>
          <w:szCs w:val="21"/>
          <w:highlight w:val="none"/>
        </w:rPr>
      </w:pPr>
      <w:bookmarkStart w:id="934" w:name="_Toc351203551"/>
      <w:r>
        <w:rPr>
          <w:rFonts w:hint="eastAsia" w:ascii="宋体" w:hAnsi="宋体" w:cs="宋体"/>
          <w:bCs/>
          <w:color w:val="auto"/>
          <w:szCs w:val="21"/>
          <w:highlight w:val="none"/>
        </w:rPr>
        <w:t>6.5 提前</w:t>
      </w:r>
      <w:bookmarkEnd w:id="934"/>
      <w:r>
        <w:rPr>
          <w:rFonts w:hint="eastAsia" w:ascii="宋体" w:hAnsi="宋体" w:cs="宋体"/>
          <w:bCs/>
          <w:color w:val="auto"/>
          <w:szCs w:val="21"/>
          <w:highlight w:val="none"/>
        </w:rPr>
        <w:t>交付工程设计文件</w:t>
      </w:r>
    </w:p>
    <w:p w14:paraId="70FB7DB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6.5.1 发包人要求设计人提前交付工程设计文件的，发包人应向设计人下达提前交付工程设计文件指示，设计人应向发包人提交提前交付工程设计文件建议书，提前交付工程设计文件建议书应包括实施的方案、缩短的时间、增加的合同价格等内容。发包人接受该提前交付工程设计文件建议书的，发包人和设计人协商采取加快工程设计进度的措施，并修订工程设计进度计划，由此增加的设计费用由发包人承担。设计人认为提前交付工程设计文件的指示无法执行的，应向发包人提出书面异议，发包人应在收到异议后7天内予以答复。任何情况下，发包人不得压缩合理设计周期。</w:t>
      </w:r>
    </w:p>
    <w:p w14:paraId="2ABE5C8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6.5.2 发包人要求设计人提前交付工程设计文件，或设计人提出提前交付工程设计文件的建议能够给发包人带来效益的，合同当事人可以在合同条款中约定提前交付工程设计文件的奖励。</w:t>
      </w:r>
    </w:p>
    <w:p w14:paraId="03F3AF9B">
      <w:pPr>
        <w:spacing w:line="360" w:lineRule="auto"/>
        <w:ind w:firstLine="420" w:firstLineChars="200"/>
        <w:contextualSpacing/>
        <w:outlineLvl w:val="1"/>
        <w:rPr>
          <w:rFonts w:ascii="宋体" w:hAnsi="宋体" w:cs="宋体"/>
          <w:bCs/>
          <w:color w:val="auto"/>
          <w:szCs w:val="21"/>
          <w:highlight w:val="none"/>
        </w:rPr>
      </w:pPr>
      <w:bookmarkStart w:id="935" w:name="_Toc296346584"/>
      <w:bookmarkStart w:id="936" w:name="_Toc296503083"/>
      <w:r>
        <w:rPr>
          <w:rFonts w:hint="eastAsia" w:ascii="宋体" w:hAnsi="宋体" w:cs="宋体"/>
          <w:bCs/>
          <w:color w:val="auto"/>
          <w:szCs w:val="21"/>
          <w:highlight w:val="none"/>
        </w:rPr>
        <w:t>7. 工程设计文件交付</w:t>
      </w:r>
    </w:p>
    <w:p w14:paraId="344F358E">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7.1 工程设计文件交付的内容</w:t>
      </w:r>
    </w:p>
    <w:p w14:paraId="6D3E8EA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7.1.1 工程设计图纸及设计说明。</w:t>
      </w:r>
    </w:p>
    <w:p w14:paraId="238DC0D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7.1.2 发包人可以要求设计人提交合同条款约定的具体形式的电子版设计文件。</w:t>
      </w:r>
    </w:p>
    <w:p w14:paraId="494ACFD3">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7.2 工程设计文件的交付方式</w:t>
      </w:r>
    </w:p>
    <w:p w14:paraId="5930B95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设计人交付工程设计文件给发包人，发包人应当出具书面签收单，内容包括图纸名称、图纸内容、图纸形式、份数、提交和签收日期、提交人与接收人的亲笔签名。</w:t>
      </w:r>
    </w:p>
    <w:p w14:paraId="4CBBC3FD">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7.3 工程设计文件交付的时间和份数</w:t>
      </w:r>
    </w:p>
    <w:p w14:paraId="3250CC9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工程设计文件交付的名称、时间和份数在合同条款中约定。</w:t>
      </w:r>
    </w:p>
    <w:p w14:paraId="600DDA56">
      <w:pPr>
        <w:spacing w:line="360" w:lineRule="auto"/>
        <w:ind w:firstLine="420" w:firstLineChars="200"/>
        <w:contextualSpacing/>
        <w:outlineLvl w:val="1"/>
        <w:rPr>
          <w:rFonts w:ascii="宋体" w:hAnsi="宋体" w:cs="宋体"/>
          <w:bCs/>
          <w:color w:val="auto"/>
          <w:szCs w:val="21"/>
          <w:highlight w:val="none"/>
        </w:rPr>
      </w:pPr>
      <w:r>
        <w:rPr>
          <w:rFonts w:hint="eastAsia" w:ascii="宋体" w:hAnsi="宋体" w:cs="宋体"/>
          <w:bCs/>
          <w:color w:val="auto"/>
          <w:szCs w:val="21"/>
          <w:highlight w:val="none"/>
        </w:rPr>
        <w:t>8. 工程设计文件审查</w:t>
      </w:r>
    </w:p>
    <w:p w14:paraId="2E226211">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8.1 设计人的工程设计文件应报发包人审查同意。审查的范围和内容在发包人要求中约定。审查的具体标准应符合法律规定、技术标准要求和本合同约定。</w:t>
      </w:r>
    </w:p>
    <w:p w14:paraId="206D713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除合同条款对期限另有约定外，自发包人收到设计人的工程设计文件以及设计人的通知之日起，发包人对设计人的工程设计文件审查期不超过15天。</w:t>
      </w:r>
    </w:p>
    <w:p w14:paraId="590949B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发包人不同意工程设计文件的，应以书面形式通知设计人，并说明不符合合同要求的具体内容。设计人应根据发包人的书面说明，对工程设计文件进行修改后重新报送发包人审查，审查期重新起算。</w:t>
      </w:r>
    </w:p>
    <w:p w14:paraId="147F5E6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合同约定的审查期满，发包人没有做出审查结论也没有提出异议的，视为设计人的工程设计文件已获发包人同意。</w:t>
      </w:r>
    </w:p>
    <w:p w14:paraId="68040049">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8.2 设计人的工程设计文件不需要政府有关部门审查或批准的，设计人应当严格按照经发包人审查同意的工程设计文件进行修改，如果发包人的修改意见超出或更改了发包人要求，发包人应当根据〔工程设计变更与索赔〕的约定，向设计人另行支付费用。</w:t>
      </w:r>
    </w:p>
    <w:p w14:paraId="3A307298">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8.3 工程（设计文件需政府有关部门审查或批准的，发包人应在审查同意设计人的工程设计文件后在合同条款约定的期限内，向政府有关部门报送工程设计文件，设计人应予以协助。</w:t>
      </w:r>
    </w:p>
    <w:p w14:paraId="5B954FB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对于政府有关部门的审查意见，不需要修改发包人要求的，设计人需按该审查意见修改设计人的工程设计文件；需要修改发包人要求的，发包人应重新提出发包人要求，设计人应根据新提出的发包人要求修改设计人的工程设计文件，发包人应当根据第11条〔工程设计变更与索赔〕的约定，向设计人另行支付费用。</w:t>
      </w:r>
    </w:p>
    <w:p w14:paraId="17915EC7">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8.4 发包人需要组织审查会议对工程设计文件进行审查的，审查会议的审查形式和时间安排，在合同条款中约定。发包人负责组织工程设计文件审查会议，并承担会议费用及发包人的上级单位、政府有关部门参加的审查会议的费用。</w:t>
      </w:r>
    </w:p>
    <w:p w14:paraId="0398116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设计人按〔工程设计文件交付〕的约定向发包人提交工程设计文件，有义务参加发包人组织的设计审查会议，向审查者介绍、解答、解释其工程设计文件，并提供有关补充资料。</w:t>
      </w:r>
    </w:p>
    <w:p w14:paraId="25C1C96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发包人有义务向设计人提供设计审查会议的批准文件和纪要。设计人有义务按照相关设计审查会议批准的文件和纪要，并依据合同约定及相关技术标准，对工程设计文件进行修改、补充和完善。</w:t>
      </w:r>
    </w:p>
    <w:p w14:paraId="092A2CC0">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8.5 因设计人原因，未能按〔工程设计文件交付〕约定的时间向发包人提交工程设计文件，致使工程设计文件审查无法进行或无法按期进行，造成设计周期延长、窝工损失及发包人增加费用的，设计人按〔设计人违约责任〕的约定承担责任。</w:t>
      </w:r>
    </w:p>
    <w:p w14:paraId="6761E77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因发包人原因，致使工程设计文件审查无法进行或无法按期进行，造成设计周期延长、窝工损失及设计人增加的费用，由发包人承担。</w:t>
      </w:r>
    </w:p>
    <w:p w14:paraId="7FCA4617">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 xml:space="preserve">8.6 因设计人原因造成工程设计文件不合格致使工程设计文件审查无法通过的，发包人有权要求设计人采取补救措施，直至达到合同要求的质量标准，并按〔设计人违约责任〕的约定承担责任。 </w:t>
      </w:r>
    </w:p>
    <w:p w14:paraId="241F632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因发包人原因造成工程设计文件不合格致使工程设计文件审查无法通过的，由此增加的设计费用和（或）延长的设计周期由发包人承担。</w:t>
      </w:r>
    </w:p>
    <w:p w14:paraId="4BDC4B9F">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8.7 工程设计文件的审查，不减轻或免除设计人依据法律应当承担的责任。</w:t>
      </w:r>
    </w:p>
    <w:p w14:paraId="788DF4DF">
      <w:pPr>
        <w:spacing w:line="360" w:lineRule="auto"/>
        <w:ind w:firstLine="420" w:firstLineChars="200"/>
        <w:contextualSpacing/>
        <w:outlineLvl w:val="1"/>
        <w:rPr>
          <w:rFonts w:ascii="宋体" w:hAnsi="宋体" w:cs="宋体"/>
          <w:bCs/>
          <w:color w:val="auto"/>
          <w:szCs w:val="21"/>
          <w:highlight w:val="none"/>
        </w:rPr>
      </w:pPr>
      <w:r>
        <w:rPr>
          <w:rFonts w:hint="eastAsia" w:ascii="宋体" w:hAnsi="宋体" w:cs="宋体"/>
          <w:bCs/>
          <w:color w:val="auto"/>
          <w:szCs w:val="21"/>
          <w:highlight w:val="none"/>
        </w:rPr>
        <w:t>9. 施工现场配合服务</w:t>
      </w:r>
    </w:p>
    <w:p w14:paraId="6A149334">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9.1 除合同条款另有约定外，发包人应为设计人派赴现场的工作人员提供工作、生活及交通等方面的便利条件。</w:t>
      </w:r>
    </w:p>
    <w:p w14:paraId="6B02AF7A">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9.2 设计人应当提供设计技术交底、解决施工中设计技术问题和参加试车（试运行）考核和竣工验收服务。如果发包人在合同条款约定的施工现场服务时限外仍要求设计人负责上述工作的，发包人应按所需工作量向设计人另行支付服务费用。</w:t>
      </w:r>
    </w:p>
    <w:p w14:paraId="1A0102A4">
      <w:pPr>
        <w:spacing w:line="360" w:lineRule="auto"/>
        <w:ind w:firstLine="420" w:firstLineChars="200"/>
        <w:contextualSpacing/>
        <w:outlineLvl w:val="1"/>
        <w:rPr>
          <w:rFonts w:ascii="宋体" w:hAnsi="宋体" w:cs="宋体"/>
          <w:bCs/>
          <w:color w:val="auto"/>
          <w:szCs w:val="21"/>
          <w:highlight w:val="none"/>
        </w:rPr>
      </w:pPr>
      <w:bookmarkStart w:id="937" w:name="_Toc351203567"/>
      <w:r>
        <w:rPr>
          <w:rFonts w:hint="eastAsia" w:ascii="宋体" w:hAnsi="宋体" w:cs="宋体"/>
          <w:bCs/>
          <w:color w:val="auto"/>
          <w:szCs w:val="21"/>
          <w:highlight w:val="none"/>
        </w:rPr>
        <w:t>10. 合同价款与支付</w:t>
      </w:r>
    </w:p>
    <w:p w14:paraId="3B7C145E">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10.1 合同价款组成</w:t>
      </w:r>
    </w:p>
    <w:p w14:paraId="7323023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发包人和设计人应当在合同条款中明确约定合同价款各组成部分的具体数额，主要包括：</w:t>
      </w:r>
    </w:p>
    <w:p w14:paraId="1086B43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（1）工程设计基本服务费用；</w:t>
      </w:r>
    </w:p>
    <w:p w14:paraId="60A1E7E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（2）工程设计其他服务费用；</w:t>
      </w:r>
    </w:p>
    <w:p w14:paraId="16E808F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（3）在未签订合同前发包人已经同意或接受或已使用的设计人为发包人所做的各项工作的相应费用等。</w:t>
      </w:r>
    </w:p>
    <w:p w14:paraId="3B2A4FB1">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10.2 合同价格形式</w:t>
      </w:r>
    </w:p>
    <w:p w14:paraId="1BA112A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发包人和设计人应在合同协议书中选择下列一种合同价格形式： </w:t>
      </w:r>
    </w:p>
    <w:p w14:paraId="708BF46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（1）单价合同</w:t>
      </w:r>
    </w:p>
    <w:p w14:paraId="0DBD980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单价合同是指合同当事人约定以建筑面积（包括地上建筑面积和地下建筑面积）每平方米单价或实际投资总额的一定比例等双方认可方式进行合同价格计算、调整和确认的建设工程设计合同，在约定的范围内合同单价不作调整。合同当事人应在合同条款中约定单价包含的风险范围和风险费用的计算方法，并约定风险范围以外的合同价格的调整方法。</w:t>
      </w:r>
    </w:p>
    <w:p w14:paraId="63ABD8F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（2）总价合同</w:t>
      </w:r>
    </w:p>
    <w:p w14:paraId="3C5EBF5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总价合同是指合同当事人约定以发包人提供的上一阶段工程设计文件及有关条件进行合同价格计算、调整和确认的建设工程设计合同，在约定的范围内合同总价不作调整。合同当事人应在合同条款中约定总价包含的风险范围和风险费用的计算方法，并约定风险范围以外的合同价格的调整方法。</w:t>
      </w:r>
    </w:p>
    <w:p w14:paraId="4FF3C8C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（3）其它价格形式</w:t>
      </w:r>
    </w:p>
    <w:p w14:paraId="5BC1649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合同当事人可在合同条款中约定其他合同价格形式。</w:t>
      </w:r>
    </w:p>
    <w:p w14:paraId="3E42E73A">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10.3 定金或预付款</w:t>
      </w:r>
    </w:p>
    <w:p w14:paraId="2F8B0CD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10.3.1 定金或预付款的比例</w:t>
      </w:r>
    </w:p>
    <w:p w14:paraId="096DE69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定金的比例不应超过合同总价款的20%。预付款的比例由发包人与设计人协商确定，一般不低于合同总价款的20%。</w:t>
      </w:r>
    </w:p>
    <w:p w14:paraId="7725EFB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10.3.2 定金或预付款的支付</w:t>
      </w:r>
    </w:p>
    <w:p w14:paraId="256D356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定金或预付款的支付按照合同条款约定执行，但最迟应在开始设计通知载明的开始设计日期前合同条款约定的期限内支付。</w:t>
      </w:r>
    </w:p>
    <w:p w14:paraId="6F4674E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发包人逾期支付定金或预付款超合同条款约定的期限的，设计人有权向发包人发出要求支付定金或预付款的催告通知，发包人收到通知后7天内仍未支付的，设计人有权不开始设计工作或暂停设计工作。</w:t>
      </w:r>
    </w:p>
    <w:p w14:paraId="4A4EEFAA">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10.4 进度款支付</w:t>
      </w:r>
    </w:p>
    <w:p w14:paraId="3844696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10.4.1 发包人应当按照合同条款约定的付款条件及时向设计人支付进度款。</w:t>
      </w:r>
    </w:p>
    <w:p w14:paraId="7B1167BE">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10.4.2 进度付款的修正</w:t>
      </w:r>
    </w:p>
    <w:p w14:paraId="45F9079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在对已付进度款进行汇总和复核中发现错误、遗漏或重复的，发包人和设计人均有权提出修正申请。经发包人和设计人同意的修正，应在下期进度付款中支付或扣除。</w:t>
      </w:r>
    </w:p>
    <w:p w14:paraId="3371677C">
      <w:pPr>
        <w:spacing w:line="360" w:lineRule="auto"/>
        <w:ind w:firstLine="422" w:firstLineChars="200"/>
        <w:contextualSpacing/>
        <w:outlineLvl w:val="2"/>
        <w:rPr>
          <w:rFonts w:ascii="宋体" w:hAnsi="宋体" w:cs="宋体"/>
          <w:b/>
          <w:color w:val="auto"/>
          <w:szCs w:val="21"/>
          <w:highlight w:val="none"/>
        </w:rPr>
      </w:pPr>
      <w:r>
        <w:rPr>
          <w:rFonts w:hint="eastAsia" w:ascii="宋体" w:hAnsi="宋体" w:cs="宋体"/>
          <w:b/>
          <w:color w:val="auto"/>
          <w:szCs w:val="21"/>
          <w:highlight w:val="none"/>
        </w:rPr>
        <w:t>10.5 合同价款的结算与支付</w:t>
      </w:r>
    </w:p>
    <w:p w14:paraId="65D3F92C">
      <w:pPr>
        <w:spacing w:line="360" w:lineRule="auto"/>
        <w:ind w:firstLine="420" w:firstLineChars="200"/>
        <w:contextualSpacing/>
        <w:outlineLvl w:val="1"/>
        <w:rPr>
          <w:rFonts w:ascii="宋体" w:hAnsi="宋体" w:cs="宋体"/>
          <w:bCs/>
          <w:color w:val="auto"/>
          <w:szCs w:val="21"/>
          <w:highlight w:val="none"/>
        </w:rPr>
      </w:pPr>
      <w:r>
        <w:rPr>
          <w:rFonts w:hint="eastAsia" w:ascii="宋体" w:hAnsi="宋体" w:cs="宋体"/>
          <w:bCs/>
          <w:color w:val="auto"/>
          <w:szCs w:val="21"/>
          <w:highlight w:val="none"/>
        </w:rPr>
        <w:t>11. 工程设计变更与索赔</w:t>
      </w:r>
    </w:p>
    <w:p w14:paraId="64EE6F42">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11.1 发包人变更工程设计的内容、规模、功能、条件等，应当向设计人提供书面要求，设计人在不违反法律规定以及技术标准强制性规定的前提下应当按照发包人要求变更工程设计。</w:t>
      </w:r>
    </w:p>
    <w:p w14:paraId="71B53BB6">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11.2 发包人变更工程设计的内容、规模、功能、条件或因提交的设计资料存在错误或作较大修改时，发包人应按设计人所耗工作量向设计人增付设计费，设计人可按本条约定和合同条款约定，与发包人协商对合同价格和/或完工时间做可共同接受的修改。</w:t>
      </w:r>
    </w:p>
    <w:p w14:paraId="1F9E1EE8">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11.3 如果由于发包人要求更改而造成的项目复杂性的变更或性质的变更使得设计人的设计工作减少，发包人可按本条约定和合同相关条款的约定，与设计人协商对合同价格和/或完工时间做可共同接受的修改。</w:t>
      </w:r>
    </w:p>
    <w:p w14:paraId="6FEFC5D0">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11.4 基准日期后，与工程设计服务有关的法律、技术标准的强制性规定的颁布及修改，由此增加的设计费用和（或）延长的设计周期由发包人承担。</w:t>
      </w:r>
    </w:p>
    <w:p w14:paraId="6CC119B2">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11.5 如果发生设计人认为有理由提出增加合同价款或延长设计周期的要求事项，除合同条款对期限另有约定外，设计人应于该事项发生后5天内书面通知发包人。除合同条款对期限另有约定外，在该事项发生后10天内，设计人应向发包人提供证明设计人要求的书面声明，其中包括设计人关于因该事项引起的合同价款和设计周期的变化的详细计算。除合同条款对期限另有约定外，发包人应在接到设计人书面声明后的5天内，予以书面答复。逾期未答复的，视为发包人同意设计人关于增加合同价款或延长设计周期的要求。</w:t>
      </w:r>
    </w:p>
    <w:p w14:paraId="69B8B564">
      <w:pPr>
        <w:spacing w:line="360" w:lineRule="auto"/>
        <w:ind w:firstLine="420" w:firstLineChars="200"/>
        <w:contextualSpacing/>
        <w:outlineLvl w:val="1"/>
        <w:rPr>
          <w:rFonts w:ascii="宋体" w:hAnsi="宋体" w:cs="宋体"/>
          <w:bCs/>
          <w:color w:val="auto"/>
          <w:szCs w:val="21"/>
          <w:highlight w:val="none"/>
        </w:rPr>
      </w:pPr>
      <w:r>
        <w:rPr>
          <w:rFonts w:hint="eastAsia" w:ascii="宋体" w:hAnsi="宋体" w:cs="宋体"/>
          <w:bCs/>
          <w:color w:val="auto"/>
          <w:szCs w:val="21"/>
          <w:highlight w:val="none"/>
        </w:rPr>
        <w:t>12. 专业责任与保险</w:t>
      </w:r>
    </w:p>
    <w:p w14:paraId="2BA73618">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12.1 设计人应运用一切合理的专业技术和经验知识，按照公认的职业标准尽其全部职责和谨慎、勤勉地履行其在本合同项下的责任和义务。</w:t>
      </w:r>
    </w:p>
    <w:p w14:paraId="2EA44FAE">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12.2 除合同条款另有约定外，设计人应具有发包人认可的、履行本合同所需要的工程设计责任保险并使其于合同责任期内保持有效。</w:t>
      </w:r>
    </w:p>
    <w:p w14:paraId="72A40740">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12.3 工程设计责任保险应承担由于设计人的疏忽或过失而引发的工程质量事故所造成的建设工程本身的物质损失以及第三者人身伤亡、财产损失或费用的赔偿责任。</w:t>
      </w:r>
    </w:p>
    <w:p w14:paraId="49F7A15F">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13. 知识产权</w:t>
      </w:r>
    </w:p>
    <w:p w14:paraId="22196C56">
      <w:pPr>
        <w:spacing w:line="360" w:lineRule="auto"/>
        <w:ind w:firstLine="420" w:firstLineChars="200"/>
        <w:contextualSpacing/>
        <w:outlineLvl w:val="3"/>
        <w:rPr>
          <w:rFonts w:ascii="宋体" w:hAnsi="宋体" w:cs="宋体"/>
          <w:bCs/>
          <w:color w:val="auto"/>
          <w:szCs w:val="21"/>
          <w:highlight w:val="none"/>
        </w:rPr>
      </w:pPr>
      <w:r>
        <w:rPr>
          <w:rFonts w:hint="eastAsia" w:ascii="宋体" w:hAnsi="宋体" w:cs="宋体"/>
          <w:bCs/>
          <w:color w:val="auto"/>
          <w:szCs w:val="21"/>
          <w:highlight w:val="none"/>
        </w:rPr>
        <w:t>13.1 除合同条款另有约定外，发包人提供给设计人的图纸、发包人为实施工程自行编制或委托编制的技术规格书以及反映发包人要求的或其他类似性质的文件的著作权属于发包人，设计人可以为实现合同目的而复制、使用此类文件，但不能用于与合同无关的其他事项。未经发包人书面同意，设计人不得为了合同以外的目的而复制、使用上述文件或将之提供给任何第三方。</w:t>
      </w:r>
    </w:p>
    <w:p w14:paraId="70ED3456">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13.2 除合同条款另有约定外，设计人为实施工程所编制的文件的著作权属于设计人，发包人可因实施工程的运行、调试、维修、改造等目的而复制、使用此类文件，但不能擅自修改或用于与合同无关的其他事项。未经设计人书面同意，发包人不得为了合同以外的目的而复制、使用上述文件或将之提供给任何第三方。</w:t>
      </w:r>
    </w:p>
    <w:p w14:paraId="6204E4F9">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13.3 合同当事人保证在履行合同过程中不侵犯对方及第三方的知识产权。设计人在工程设计时，因侵犯他人的专利权或其他知识产权所引起的责任，由设计人承担；因发包人提供的基础资料导致侵权的，由发包人承担责任。</w:t>
      </w:r>
    </w:p>
    <w:p w14:paraId="661D8135">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13.4 合同当事人双方均有权在不损害对方利益和保密约定的前提下，在自己宣传用的印刷品或其他出版物上，或申报奖项时等情形下公布有关项目的文字和图片材料。</w:t>
      </w:r>
    </w:p>
    <w:p w14:paraId="5735CBA8">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13.5 除合同条款另有约定外，设计人在合同签订前和签订时已确定采用的专利、专有技术的使用费应包含在签约合同价中。</w:t>
      </w:r>
    </w:p>
    <w:bookmarkEnd w:id="935"/>
    <w:bookmarkEnd w:id="936"/>
    <w:bookmarkEnd w:id="937"/>
    <w:p w14:paraId="09ED9AB0">
      <w:pPr>
        <w:spacing w:line="360" w:lineRule="auto"/>
        <w:ind w:firstLine="420" w:firstLineChars="200"/>
        <w:contextualSpacing/>
        <w:outlineLvl w:val="1"/>
        <w:rPr>
          <w:rFonts w:ascii="宋体" w:hAnsi="宋体" w:cs="宋体"/>
          <w:bCs/>
          <w:color w:val="auto"/>
          <w:szCs w:val="21"/>
          <w:highlight w:val="none"/>
        </w:rPr>
      </w:pPr>
      <w:bookmarkStart w:id="938" w:name="_Toc351203603"/>
      <w:bookmarkStart w:id="939" w:name="_Toc337558820"/>
      <w:r>
        <w:rPr>
          <w:rFonts w:hint="eastAsia" w:ascii="宋体" w:hAnsi="宋体" w:cs="宋体"/>
          <w:bCs/>
          <w:color w:val="auto"/>
          <w:szCs w:val="21"/>
          <w:highlight w:val="none"/>
        </w:rPr>
        <w:t>14. 违约</w:t>
      </w:r>
      <w:bookmarkEnd w:id="938"/>
      <w:r>
        <w:rPr>
          <w:rFonts w:hint="eastAsia" w:ascii="宋体" w:hAnsi="宋体" w:cs="宋体"/>
          <w:bCs/>
          <w:color w:val="auto"/>
          <w:szCs w:val="21"/>
          <w:highlight w:val="none"/>
        </w:rPr>
        <w:t>责任</w:t>
      </w:r>
    </w:p>
    <w:bookmarkEnd w:id="939"/>
    <w:p w14:paraId="45516B45">
      <w:pPr>
        <w:spacing w:line="360" w:lineRule="auto"/>
        <w:ind w:firstLine="420" w:firstLineChars="200"/>
        <w:contextualSpacing/>
        <w:outlineLvl w:val="2"/>
        <w:rPr>
          <w:rFonts w:ascii="宋体" w:hAnsi="宋体" w:cs="宋体"/>
          <w:bCs/>
          <w:color w:val="auto"/>
          <w:szCs w:val="21"/>
          <w:highlight w:val="none"/>
        </w:rPr>
      </w:pPr>
      <w:bookmarkStart w:id="940" w:name="_Toc296346630"/>
      <w:bookmarkStart w:id="941" w:name="_Toc296503129"/>
      <w:bookmarkStart w:id="942" w:name="_Toc351203604"/>
      <w:bookmarkStart w:id="943" w:name="_Toc337558821"/>
      <w:r>
        <w:rPr>
          <w:rFonts w:hint="eastAsia" w:ascii="宋体" w:hAnsi="宋体" w:cs="宋体"/>
          <w:bCs/>
          <w:color w:val="auto"/>
          <w:szCs w:val="21"/>
          <w:highlight w:val="none"/>
        </w:rPr>
        <w:t>14.1 发</w:t>
      </w:r>
      <w:bookmarkEnd w:id="940"/>
      <w:bookmarkEnd w:id="941"/>
      <w:r>
        <w:rPr>
          <w:rFonts w:hint="eastAsia" w:ascii="宋体" w:hAnsi="宋体" w:cs="宋体"/>
          <w:bCs/>
          <w:color w:val="auto"/>
          <w:szCs w:val="21"/>
          <w:highlight w:val="none"/>
        </w:rPr>
        <w:t>包人违约</w:t>
      </w:r>
      <w:bookmarkEnd w:id="942"/>
      <w:r>
        <w:rPr>
          <w:rFonts w:hint="eastAsia" w:ascii="宋体" w:hAnsi="宋体" w:cs="宋体"/>
          <w:bCs/>
          <w:color w:val="auto"/>
          <w:szCs w:val="21"/>
          <w:highlight w:val="none"/>
        </w:rPr>
        <w:t>责任</w:t>
      </w:r>
    </w:p>
    <w:bookmarkEnd w:id="943"/>
    <w:p w14:paraId="25F1D62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14.1.1 合同生效后，发包人因非设计人原因要求终止或解除合同，设计人未开始设计工作的，不退还发包人已付的定金或发包人按照合同条款的约定向设计人支付违约金；已开始设计工作的，发包人应按照设计人已完成的实际工作量计算设计费，完成工作量不足一半时，按该阶段设计费的一半支付设计费；超过一半时，按该阶段设计费的全部支付设计费。</w:t>
      </w:r>
    </w:p>
    <w:p w14:paraId="7AE3200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14.1.2 发包人未按合同条款附件6约定的金额和期限向设计人支付设计费的，应按合同条款约定向设计人支付违约金。逾期超过15天时，设计人有权书面通知发包人中止设计工作。自中止设计工作之日起15天内发包人支付相应费用的，设计人应及时根据发包人要求恢复设计工作；自中止设计工作之日起超过15天后发包人支付相应费用的，设计人有权确定重新恢复设计工作的时间，且设计周期相应延长。</w:t>
      </w:r>
    </w:p>
    <w:p w14:paraId="3B4F0A5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14.1.3 发包人的上级或设计审批部门对设计文件不进行审批或本合同工程停建、缓建，发包人应在事件发生之日起15天内按本合同〔合同解除〕的约定向设计人结算并支付设计费。</w:t>
      </w:r>
    </w:p>
    <w:p w14:paraId="298E7F8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14.1.4 发包人擅自将设计人的设计文件用于本工程以外的工程或交第三方使用时，应承担相应法律责任，并应赔偿设计人因此遭受的损失。</w:t>
      </w:r>
    </w:p>
    <w:p w14:paraId="1F8FED21">
      <w:pPr>
        <w:spacing w:line="360" w:lineRule="auto"/>
        <w:ind w:firstLine="420" w:firstLineChars="200"/>
        <w:contextualSpacing/>
        <w:outlineLvl w:val="2"/>
        <w:rPr>
          <w:rFonts w:ascii="宋体" w:hAnsi="宋体" w:cs="宋体"/>
          <w:bCs/>
          <w:color w:val="auto"/>
          <w:szCs w:val="21"/>
          <w:highlight w:val="none"/>
        </w:rPr>
      </w:pPr>
      <w:bookmarkStart w:id="944" w:name="_Toc351203605"/>
      <w:bookmarkStart w:id="945" w:name="_Toc337558822"/>
      <w:bookmarkStart w:id="946" w:name="_Toc296503131"/>
      <w:bookmarkStart w:id="947" w:name="_Toc296346632"/>
      <w:r>
        <w:rPr>
          <w:rFonts w:hint="eastAsia" w:ascii="宋体" w:hAnsi="宋体" w:cs="宋体"/>
          <w:bCs/>
          <w:color w:val="auto"/>
          <w:szCs w:val="21"/>
          <w:highlight w:val="none"/>
        </w:rPr>
        <w:t>14.2 设计人违约</w:t>
      </w:r>
      <w:bookmarkEnd w:id="944"/>
      <w:r>
        <w:rPr>
          <w:rFonts w:hint="eastAsia" w:ascii="宋体" w:hAnsi="宋体" w:cs="宋体"/>
          <w:bCs/>
          <w:color w:val="auto"/>
          <w:szCs w:val="21"/>
          <w:highlight w:val="none"/>
        </w:rPr>
        <w:t>责任</w:t>
      </w:r>
    </w:p>
    <w:bookmarkEnd w:id="945"/>
    <w:bookmarkEnd w:id="946"/>
    <w:bookmarkEnd w:id="947"/>
    <w:p w14:paraId="7E20AFC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14.2.1 合同生效后，设计人因自身原因要求终止或解除合同，设计人应按发包人已支付的定金金额双倍返还给发包人或设计人按照合同条款的约定向发包人支付违约金。</w:t>
      </w:r>
    </w:p>
    <w:p w14:paraId="0972845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14.2.2 由于设计人原因，未按合同相关条款约定的时间交付工程设计文件的，应按合同条款的约定向发包人支付违约金，前述违约金经</w:t>
      </w:r>
      <w:r>
        <w:rPr>
          <w:rFonts w:hint="eastAsia" w:ascii="宋体" w:hAnsi="宋体" w:cs="宋体"/>
          <w:bCs/>
          <w:color w:val="auto"/>
          <w:szCs w:val="21"/>
          <w:highlight w:val="none"/>
          <w:u w:val="single"/>
        </w:rPr>
        <w:t>双</w:t>
      </w:r>
      <w:r>
        <w:rPr>
          <w:rFonts w:hint="eastAsia" w:ascii="宋体" w:hAnsi="宋体" w:cs="宋体"/>
          <w:bCs/>
          <w:color w:val="auto"/>
          <w:szCs w:val="21"/>
          <w:highlight w:val="none"/>
        </w:rPr>
        <w:t>方确认后可在发包人应付设计费中扣减。并由另一标段设计单位接替设计工作。</w:t>
      </w:r>
    </w:p>
    <w:p w14:paraId="0AAB212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14.2.3 设计人对工程设计文件出现的遗漏或错误负责修改或补充。由于设计人原因产生的设计问题造成工程质量事故或其他事故时，设计人除负责采取补救措施外，应当通过所投建设工程设计责任保险向发包人承担赔偿责任或者根据直接经济损失程度按合同条款约定向发包人支付赔偿金。并由另一标段设计单位接替设计工作。</w:t>
      </w:r>
    </w:p>
    <w:p w14:paraId="26CAA6F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14.2.4 设计人未经发包人同意擅自对工程设计进行分包的，发包人有权要求设计人解除未经发包人同意的设计分包合同，设计人应当按照合同条款的约定承担违约责任。</w:t>
      </w:r>
    </w:p>
    <w:p w14:paraId="0F0F36CA">
      <w:pPr>
        <w:spacing w:line="360" w:lineRule="auto"/>
        <w:ind w:firstLine="420" w:firstLineChars="200"/>
        <w:contextualSpacing/>
        <w:outlineLvl w:val="1"/>
        <w:rPr>
          <w:rFonts w:ascii="宋体" w:hAnsi="宋体" w:cs="宋体"/>
          <w:bCs/>
          <w:color w:val="auto"/>
          <w:szCs w:val="21"/>
          <w:highlight w:val="none"/>
        </w:rPr>
      </w:pPr>
      <w:bookmarkStart w:id="948" w:name="_Toc351203607"/>
      <w:bookmarkStart w:id="949" w:name="_Toc296503116"/>
      <w:bookmarkStart w:id="950" w:name="_Toc337558823"/>
      <w:bookmarkStart w:id="951" w:name="_Toc296346617"/>
      <w:r>
        <w:rPr>
          <w:rFonts w:hint="eastAsia" w:ascii="宋体" w:hAnsi="宋体" w:cs="宋体"/>
          <w:bCs/>
          <w:color w:val="auto"/>
          <w:szCs w:val="21"/>
          <w:highlight w:val="none"/>
        </w:rPr>
        <w:t>15. 不可抗力</w:t>
      </w:r>
      <w:bookmarkEnd w:id="948"/>
      <w:r>
        <w:rPr>
          <w:rFonts w:hint="eastAsia" w:ascii="宋体" w:hAnsi="宋体" w:cs="宋体"/>
          <w:bCs/>
          <w:color w:val="auto"/>
          <w:szCs w:val="21"/>
          <w:highlight w:val="none"/>
        </w:rPr>
        <w:t xml:space="preserve"> </w:t>
      </w:r>
      <w:bookmarkEnd w:id="949"/>
      <w:bookmarkEnd w:id="950"/>
      <w:bookmarkEnd w:id="951"/>
    </w:p>
    <w:p w14:paraId="49ABF152">
      <w:pPr>
        <w:spacing w:line="360" w:lineRule="auto"/>
        <w:ind w:firstLine="420" w:firstLineChars="200"/>
        <w:contextualSpacing/>
        <w:outlineLvl w:val="2"/>
        <w:rPr>
          <w:rFonts w:ascii="宋体" w:hAnsi="宋体" w:cs="宋体"/>
          <w:bCs/>
          <w:color w:val="auto"/>
          <w:szCs w:val="21"/>
          <w:highlight w:val="none"/>
        </w:rPr>
      </w:pPr>
      <w:bookmarkStart w:id="952" w:name="_Toc351203608"/>
      <w:bookmarkStart w:id="953" w:name="_Toc337558824"/>
      <w:bookmarkStart w:id="954" w:name="_Toc296346618"/>
      <w:bookmarkStart w:id="955" w:name="_Toc296503117"/>
      <w:r>
        <w:rPr>
          <w:rFonts w:hint="eastAsia" w:ascii="宋体" w:hAnsi="宋体" w:cs="宋体"/>
          <w:bCs/>
          <w:color w:val="auto"/>
          <w:szCs w:val="21"/>
          <w:highlight w:val="none"/>
        </w:rPr>
        <w:t>15.1 不可抗力的确认</w:t>
      </w:r>
      <w:bookmarkEnd w:id="952"/>
    </w:p>
    <w:bookmarkEnd w:id="953"/>
    <w:bookmarkEnd w:id="954"/>
    <w:bookmarkEnd w:id="955"/>
    <w:p w14:paraId="1304796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不可抗力是指合同当事人在签订合同时不可预见，在合同履行过程中不可避免且不能克服的自然灾害和社会性突发事件，如地震、海啸、瘟疫、骚乱、戒严、暴动、战争和合同条款中约定的其他情形。</w:t>
      </w:r>
    </w:p>
    <w:p w14:paraId="4CD42DD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不可抗力发生后，发包人和设计人应收集证明不可抗力发生及不可抗力造成损失的证据，并及时认真统计所造成的损失。合同当事人对是否属于不可抗力或其损失发生争议时，按〔争议解决〕的约定处理。</w:t>
      </w:r>
    </w:p>
    <w:p w14:paraId="56599D92">
      <w:pPr>
        <w:spacing w:line="360" w:lineRule="auto"/>
        <w:ind w:firstLine="420" w:firstLineChars="200"/>
        <w:contextualSpacing/>
        <w:outlineLvl w:val="2"/>
        <w:rPr>
          <w:rFonts w:ascii="宋体" w:hAnsi="宋体" w:cs="宋体"/>
          <w:bCs/>
          <w:color w:val="auto"/>
          <w:szCs w:val="21"/>
          <w:highlight w:val="none"/>
        </w:rPr>
      </w:pPr>
      <w:bookmarkStart w:id="956" w:name="_Toc351203609"/>
      <w:bookmarkStart w:id="957" w:name="_Toc296346619"/>
      <w:bookmarkStart w:id="958" w:name="_Toc296503118"/>
      <w:bookmarkStart w:id="959" w:name="_Toc337558825"/>
      <w:r>
        <w:rPr>
          <w:rFonts w:hint="eastAsia" w:ascii="宋体" w:hAnsi="宋体" w:cs="宋体"/>
          <w:bCs/>
          <w:color w:val="auto"/>
          <w:szCs w:val="21"/>
          <w:highlight w:val="none"/>
        </w:rPr>
        <w:t>15.2 不可抗力的通知</w:t>
      </w:r>
      <w:bookmarkEnd w:id="956"/>
    </w:p>
    <w:bookmarkEnd w:id="957"/>
    <w:bookmarkEnd w:id="958"/>
    <w:bookmarkEnd w:id="959"/>
    <w:p w14:paraId="4A3F0BA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合同一方当事人遇到不可抗力事件，使其履行合同义务受到阻碍时，应立即通知合同另一方当事人，书面说明不可抗力和受阻碍的详细情况，并在合理期限内提供必要的证明。</w:t>
      </w:r>
    </w:p>
    <w:p w14:paraId="44F09CB3">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不可抗力持续发生的，合同一方当事人应及时向合同另一方当事人提交中间报告，说明不可抗力和履行合同受阻的情况，并于不可抗力事件结束后28天内提交最终报告及有关资料。</w:t>
      </w:r>
    </w:p>
    <w:p w14:paraId="44516A54">
      <w:pPr>
        <w:spacing w:line="360" w:lineRule="auto"/>
        <w:ind w:firstLine="420" w:firstLineChars="200"/>
        <w:contextualSpacing/>
        <w:outlineLvl w:val="2"/>
        <w:rPr>
          <w:rFonts w:ascii="宋体" w:hAnsi="宋体" w:cs="宋体"/>
          <w:bCs/>
          <w:color w:val="auto"/>
          <w:szCs w:val="21"/>
          <w:highlight w:val="none"/>
        </w:rPr>
      </w:pPr>
      <w:bookmarkStart w:id="960" w:name="_Toc351203610"/>
      <w:bookmarkStart w:id="961" w:name="_Toc296503119"/>
      <w:bookmarkStart w:id="962" w:name="_Toc296346620"/>
      <w:bookmarkStart w:id="963" w:name="_Toc337558826"/>
      <w:r>
        <w:rPr>
          <w:rFonts w:hint="eastAsia" w:ascii="宋体" w:hAnsi="宋体" w:cs="宋体"/>
          <w:bCs/>
          <w:color w:val="auto"/>
          <w:szCs w:val="21"/>
          <w:highlight w:val="none"/>
        </w:rPr>
        <w:t>15.3 不可抗力后果的承担</w:t>
      </w:r>
      <w:bookmarkEnd w:id="960"/>
    </w:p>
    <w:bookmarkEnd w:id="961"/>
    <w:bookmarkEnd w:id="962"/>
    <w:bookmarkEnd w:id="963"/>
    <w:p w14:paraId="0C04EFB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不可抗力引起的后果及造成的损失由合同当事人按照法律规定及合同约定各自承担。不可抗力发生前已完成的工程设计应当按照合同约定进行支付。</w:t>
      </w:r>
    </w:p>
    <w:p w14:paraId="349BB79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不可抗力发生后，合同当事人均应采取措施尽量避免和减少损失的扩大，任何一方当事人没有采取有效措施导致损失扩大的，应对扩大的损失承担责任。</w:t>
      </w:r>
    </w:p>
    <w:p w14:paraId="348528D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因合同一方迟延履行合同义务，在迟延履行期间遭遇不可抗力的，不免除其违约责任。</w:t>
      </w:r>
    </w:p>
    <w:p w14:paraId="50FCDAD9">
      <w:pPr>
        <w:spacing w:line="360" w:lineRule="auto"/>
        <w:ind w:firstLine="420" w:firstLineChars="200"/>
        <w:contextualSpacing/>
        <w:outlineLvl w:val="1"/>
        <w:rPr>
          <w:rFonts w:ascii="宋体" w:hAnsi="宋体" w:cs="宋体"/>
          <w:bCs/>
          <w:color w:val="auto"/>
          <w:szCs w:val="21"/>
          <w:highlight w:val="none"/>
        </w:rPr>
      </w:pPr>
      <w:r>
        <w:rPr>
          <w:rFonts w:hint="eastAsia" w:ascii="宋体" w:hAnsi="宋体" w:cs="宋体"/>
          <w:bCs/>
          <w:color w:val="auto"/>
          <w:szCs w:val="21"/>
          <w:highlight w:val="none"/>
        </w:rPr>
        <w:t>16. 合同解除</w:t>
      </w:r>
    </w:p>
    <w:p w14:paraId="099ABE00">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16.1 发包人与设计人协商一致，可以解除合同。</w:t>
      </w:r>
    </w:p>
    <w:p w14:paraId="21EE3C5E">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16.2 有下列情形之一的，合同当事人一方或</w:t>
      </w:r>
      <w:r>
        <w:rPr>
          <w:rFonts w:hint="eastAsia" w:ascii="宋体" w:hAnsi="宋体" w:cs="宋体"/>
          <w:bCs/>
          <w:color w:val="auto"/>
          <w:szCs w:val="21"/>
          <w:highlight w:val="none"/>
          <w:u w:val="single"/>
        </w:rPr>
        <w:t>对</w:t>
      </w:r>
      <w:r>
        <w:rPr>
          <w:rFonts w:hint="eastAsia" w:ascii="宋体" w:hAnsi="宋体" w:cs="宋体"/>
          <w:bCs/>
          <w:color w:val="auto"/>
          <w:szCs w:val="21"/>
          <w:highlight w:val="none"/>
        </w:rPr>
        <w:t>方可以解除合同：</w:t>
      </w:r>
    </w:p>
    <w:p w14:paraId="2C185C1D">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（1）设计人工程设计文件存在重大质量问题，经发包人催告后，在合理期限内修改后仍不能满足国家现行深度要求或不能达到合同约定的设计质量要求的，发包人可以解除合同；</w:t>
      </w:r>
    </w:p>
    <w:p w14:paraId="5FE4783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（2）发包人未按合同约定支付设计费用，经设计人催告后，在30天内仍未支付的，设计人可以解除合同；</w:t>
      </w:r>
    </w:p>
    <w:p w14:paraId="47E3DCC6">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（3）暂停设计期限已连续超过180天，合同条款另有约定的除外；</w:t>
      </w:r>
    </w:p>
    <w:p w14:paraId="2A019AC4">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（4）因不可抗力致使合同无法履行；</w:t>
      </w:r>
    </w:p>
    <w:p w14:paraId="03D37E5F">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（5）因一方违约致使合同无法实际履行或实际履行已无必要；</w:t>
      </w:r>
    </w:p>
    <w:p w14:paraId="20E2B31A">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（6）因本工程项目条件发生重大变化，使合同无法继续履行。</w:t>
      </w:r>
    </w:p>
    <w:p w14:paraId="00576A3C">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16.3 任何一方因故需解除合同时，应提前30天书面通知对方，对合同中的遗留问题应取得一致意见并形成书面协议。</w:t>
      </w:r>
    </w:p>
    <w:p w14:paraId="4E3474B9">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16.4 合同解除后，发包人除应按合同条款相关约定期限内向设计人支付已完工作的设计费外，应当向设计人支付由于非设计人原因合同解除导致设计人增加的设计费用，违约一方应当承担相应的违约责任。</w:t>
      </w:r>
    </w:p>
    <w:p w14:paraId="5EE47992">
      <w:pPr>
        <w:spacing w:line="360" w:lineRule="auto"/>
        <w:ind w:firstLine="420" w:firstLineChars="200"/>
        <w:contextualSpacing/>
        <w:outlineLvl w:val="1"/>
        <w:rPr>
          <w:rFonts w:ascii="宋体" w:hAnsi="宋体" w:cs="宋体"/>
          <w:bCs/>
          <w:color w:val="auto"/>
          <w:szCs w:val="21"/>
          <w:highlight w:val="none"/>
        </w:rPr>
      </w:pPr>
      <w:bookmarkStart w:id="964" w:name="_Toc351203626"/>
      <w:bookmarkStart w:id="965" w:name="_Toc337558840"/>
      <w:bookmarkStart w:id="966" w:name="_Toc296503146"/>
      <w:bookmarkStart w:id="967" w:name="_Toc296346647"/>
      <w:r>
        <w:rPr>
          <w:rFonts w:hint="eastAsia" w:ascii="宋体" w:hAnsi="宋体" w:cs="宋体"/>
          <w:bCs/>
          <w:color w:val="auto"/>
          <w:szCs w:val="21"/>
          <w:highlight w:val="none"/>
        </w:rPr>
        <w:t>17. 争议解决</w:t>
      </w:r>
      <w:bookmarkEnd w:id="964"/>
    </w:p>
    <w:bookmarkEnd w:id="965"/>
    <w:bookmarkEnd w:id="966"/>
    <w:bookmarkEnd w:id="967"/>
    <w:p w14:paraId="5E2CD01E">
      <w:pPr>
        <w:spacing w:line="360" w:lineRule="auto"/>
        <w:ind w:firstLine="420" w:firstLineChars="200"/>
        <w:contextualSpacing/>
        <w:outlineLvl w:val="2"/>
        <w:rPr>
          <w:rFonts w:ascii="宋体" w:hAnsi="宋体" w:cs="宋体"/>
          <w:bCs/>
          <w:color w:val="auto"/>
          <w:szCs w:val="21"/>
          <w:highlight w:val="none"/>
        </w:rPr>
      </w:pPr>
      <w:bookmarkStart w:id="968" w:name="_Toc351203627"/>
      <w:bookmarkStart w:id="969" w:name="_Toc296346648"/>
      <w:bookmarkStart w:id="970" w:name="_Toc296503147"/>
      <w:bookmarkStart w:id="971" w:name="_Toc337558841"/>
      <w:r>
        <w:rPr>
          <w:rFonts w:hint="eastAsia" w:ascii="宋体" w:hAnsi="宋体" w:cs="宋体"/>
          <w:bCs/>
          <w:color w:val="auto"/>
          <w:szCs w:val="21"/>
          <w:highlight w:val="none"/>
        </w:rPr>
        <w:t>17.1 和解</w:t>
      </w:r>
      <w:bookmarkEnd w:id="968"/>
    </w:p>
    <w:bookmarkEnd w:id="969"/>
    <w:bookmarkEnd w:id="970"/>
    <w:bookmarkEnd w:id="971"/>
    <w:p w14:paraId="3C71F3D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合同当事人可以就争议自行和解，自行和解达成协议的经</w:t>
      </w:r>
      <w:r>
        <w:rPr>
          <w:rFonts w:hint="eastAsia" w:ascii="宋体" w:hAnsi="宋体" w:cs="宋体"/>
          <w:bCs/>
          <w:color w:val="auto"/>
          <w:szCs w:val="21"/>
          <w:highlight w:val="none"/>
          <w:u w:val="single"/>
        </w:rPr>
        <w:t>双</w:t>
      </w:r>
      <w:r>
        <w:rPr>
          <w:rFonts w:hint="eastAsia" w:ascii="宋体" w:hAnsi="宋体" w:cs="宋体"/>
          <w:bCs/>
          <w:color w:val="auto"/>
          <w:szCs w:val="21"/>
          <w:highlight w:val="none"/>
        </w:rPr>
        <w:t>方签字并盖章后作为合同补充文件，</w:t>
      </w:r>
      <w:r>
        <w:rPr>
          <w:rFonts w:hint="eastAsia" w:ascii="宋体" w:hAnsi="宋体" w:cs="宋体"/>
          <w:bCs/>
          <w:color w:val="auto"/>
          <w:szCs w:val="21"/>
          <w:highlight w:val="none"/>
          <w:u w:val="single"/>
        </w:rPr>
        <w:t>双</w:t>
      </w:r>
      <w:r>
        <w:rPr>
          <w:rFonts w:hint="eastAsia" w:ascii="宋体" w:hAnsi="宋体" w:cs="宋体"/>
          <w:bCs/>
          <w:color w:val="auto"/>
          <w:szCs w:val="21"/>
          <w:highlight w:val="none"/>
        </w:rPr>
        <w:t>方均应遵照执行。</w:t>
      </w:r>
    </w:p>
    <w:p w14:paraId="002DE759">
      <w:pPr>
        <w:spacing w:line="360" w:lineRule="auto"/>
        <w:ind w:firstLine="420" w:firstLineChars="200"/>
        <w:contextualSpacing/>
        <w:outlineLvl w:val="2"/>
        <w:rPr>
          <w:rFonts w:ascii="宋体" w:hAnsi="宋体" w:cs="宋体"/>
          <w:bCs/>
          <w:color w:val="auto"/>
          <w:szCs w:val="21"/>
          <w:highlight w:val="none"/>
        </w:rPr>
      </w:pPr>
      <w:bookmarkStart w:id="972" w:name="_Toc351203628"/>
      <w:bookmarkStart w:id="973" w:name="_Toc296503148"/>
      <w:bookmarkStart w:id="974" w:name="_Toc337558842"/>
      <w:bookmarkStart w:id="975" w:name="_Toc296346649"/>
      <w:r>
        <w:rPr>
          <w:rFonts w:hint="eastAsia" w:ascii="宋体" w:hAnsi="宋体" w:cs="宋体"/>
          <w:bCs/>
          <w:color w:val="auto"/>
          <w:szCs w:val="21"/>
          <w:highlight w:val="none"/>
        </w:rPr>
        <w:t>17.2 调解</w:t>
      </w:r>
      <w:bookmarkEnd w:id="972"/>
    </w:p>
    <w:bookmarkEnd w:id="973"/>
    <w:bookmarkEnd w:id="974"/>
    <w:bookmarkEnd w:id="975"/>
    <w:p w14:paraId="3961F24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合同当事人可以就争议请求相关行政主管部门、行业协会或其他第</w:t>
      </w:r>
      <w:r>
        <w:rPr>
          <w:rFonts w:hint="eastAsia" w:ascii="宋体" w:hAnsi="宋体" w:cs="宋体"/>
          <w:bCs/>
          <w:color w:val="auto"/>
          <w:szCs w:val="21"/>
          <w:highlight w:val="none"/>
          <w:u w:val="single"/>
        </w:rPr>
        <w:t>三</w:t>
      </w:r>
      <w:r>
        <w:rPr>
          <w:rFonts w:hint="eastAsia" w:ascii="宋体" w:hAnsi="宋体" w:cs="宋体"/>
          <w:bCs/>
          <w:color w:val="auto"/>
          <w:szCs w:val="21"/>
          <w:highlight w:val="none"/>
        </w:rPr>
        <w:t>方进行调解，调解达成协议的，经双方签字并盖章后作为合同补充文件，</w:t>
      </w:r>
      <w:r>
        <w:rPr>
          <w:rFonts w:hint="eastAsia" w:ascii="宋体" w:hAnsi="宋体" w:cs="宋体"/>
          <w:bCs/>
          <w:color w:val="auto"/>
          <w:szCs w:val="21"/>
          <w:highlight w:val="none"/>
          <w:u w:val="single"/>
        </w:rPr>
        <w:t>双</w:t>
      </w:r>
      <w:r>
        <w:rPr>
          <w:rFonts w:hint="eastAsia" w:ascii="宋体" w:hAnsi="宋体" w:cs="宋体"/>
          <w:bCs/>
          <w:color w:val="auto"/>
          <w:szCs w:val="21"/>
          <w:highlight w:val="none"/>
        </w:rPr>
        <w:t>方均应遵照执行。</w:t>
      </w:r>
    </w:p>
    <w:p w14:paraId="7AFA22F3">
      <w:pPr>
        <w:spacing w:line="360" w:lineRule="auto"/>
        <w:ind w:firstLine="420" w:firstLineChars="200"/>
        <w:contextualSpacing/>
        <w:outlineLvl w:val="3"/>
        <w:rPr>
          <w:rFonts w:ascii="宋体" w:hAnsi="宋体" w:cs="宋体"/>
          <w:bCs/>
          <w:color w:val="auto"/>
          <w:szCs w:val="21"/>
          <w:highlight w:val="none"/>
        </w:rPr>
      </w:pPr>
      <w:bookmarkStart w:id="976" w:name="_Toc351203629"/>
      <w:bookmarkStart w:id="977" w:name="_Toc337558843"/>
      <w:bookmarkStart w:id="978" w:name="_Toc296346650"/>
      <w:bookmarkStart w:id="979" w:name="_Toc296503149"/>
      <w:r>
        <w:rPr>
          <w:rFonts w:hint="eastAsia" w:ascii="宋体" w:hAnsi="宋体" w:cs="宋体"/>
          <w:bCs/>
          <w:color w:val="auto"/>
          <w:szCs w:val="21"/>
          <w:highlight w:val="none"/>
        </w:rPr>
        <w:t>17.3 争议评审</w:t>
      </w:r>
      <w:bookmarkEnd w:id="976"/>
    </w:p>
    <w:bookmarkEnd w:id="977"/>
    <w:bookmarkEnd w:id="978"/>
    <w:bookmarkEnd w:id="979"/>
    <w:p w14:paraId="54CBA29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合同当事人在合同条款中约定采取争议评审方式解决争议以及评审规则，并按下列约定执行： </w:t>
      </w:r>
    </w:p>
    <w:p w14:paraId="4C3A9B98">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17.3.1 争议评审小组的确定</w:t>
      </w:r>
    </w:p>
    <w:p w14:paraId="2C82F4C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合同当事人可以共同选择一名或三名争议评审员，组成争议评审小组。除合同条款另有约定外，合同当事人应当自合同签订后28天内，或者争议发生后14天内，选定争议评审员。</w:t>
      </w:r>
    </w:p>
    <w:p w14:paraId="4282076B">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合同条款约定的评审机构指定第三名首席争议评审员。 </w:t>
      </w:r>
    </w:p>
    <w:p w14:paraId="392880D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除合同条款另有约定外，评审所发生的费用由发包人和设计人各承担一半。</w:t>
      </w:r>
    </w:p>
    <w:p w14:paraId="7E4D170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17.3.2 争议评审小组的决定</w:t>
      </w:r>
    </w:p>
    <w:p w14:paraId="13C08DF9">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合同当事人可在任何时间将与合同有关的任何争议共同提请争议评审小组进行评审。争议评审小组应秉持客观、公正原则，充分听取合同当事人的意见，依据相关法律、技术标准、行业惯例等，自收到争议评审申请报告后14天内作出书面决定，并说明理由。合同当事人可以在合同条款中对本事项另行约定。</w:t>
      </w:r>
    </w:p>
    <w:p w14:paraId="381BCE85">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17.3.3 争议评审小组决定的效力</w:t>
      </w:r>
    </w:p>
    <w:p w14:paraId="5C4FFD77">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争议评审小组作出的书面决定经合同当事人签字确认后，对</w:t>
      </w:r>
      <w:r>
        <w:rPr>
          <w:rFonts w:hint="eastAsia" w:ascii="宋体" w:hAnsi="宋体" w:cs="宋体"/>
          <w:bCs/>
          <w:color w:val="auto"/>
          <w:szCs w:val="21"/>
          <w:highlight w:val="none"/>
          <w:u w:val="single"/>
        </w:rPr>
        <w:t>双</w:t>
      </w:r>
      <w:r>
        <w:rPr>
          <w:rFonts w:hint="eastAsia" w:ascii="宋体" w:hAnsi="宋体" w:cs="宋体"/>
          <w:bCs/>
          <w:color w:val="auto"/>
          <w:szCs w:val="21"/>
          <w:highlight w:val="none"/>
        </w:rPr>
        <w:t>方具有约束力，</w:t>
      </w:r>
      <w:r>
        <w:rPr>
          <w:rFonts w:hint="eastAsia" w:ascii="宋体" w:hAnsi="宋体" w:cs="宋体"/>
          <w:bCs/>
          <w:color w:val="auto"/>
          <w:szCs w:val="21"/>
          <w:highlight w:val="none"/>
          <w:u w:val="single"/>
        </w:rPr>
        <w:t xml:space="preserve">  双</w:t>
      </w:r>
      <w:r>
        <w:rPr>
          <w:rFonts w:hint="eastAsia" w:ascii="宋体" w:hAnsi="宋体" w:cs="宋体"/>
          <w:bCs/>
          <w:color w:val="auto"/>
          <w:szCs w:val="21"/>
          <w:highlight w:val="none"/>
        </w:rPr>
        <w:t>方应遵照执行。</w:t>
      </w:r>
    </w:p>
    <w:p w14:paraId="6CCDA7D2">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任何一方当事人不接受争议评审小组决定或不履行争议评审小组决定的，对方可选择采用其他争议解决方式。</w:t>
      </w:r>
    </w:p>
    <w:p w14:paraId="1C809216">
      <w:pPr>
        <w:spacing w:line="360" w:lineRule="auto"/>
        <w:ind w:firstLine="420" w:firstLineChars="200"/>
        <w:contextualSpacing/>
        <w:outlineLvl w:val="3"/>
        <w:rPr>
          <w:rFonts w:ascii="宋体" w:hAnsi="宋体" w:cs="宋体"/>
          <w:bCs/>
          <w:color w:val="auto"/>
          <w:szCs w:val="21"/>
          <w:highlight w:val="none"/>
        </w:rPr>
      </w:pPr>
      <w:bookmarkStart w:id="980" w:name="_Toc351203630"/>
      <w:bookmarkStart w:id="981" w:name="_Toc337558844"/>
      <w:bookmarkStart w:id="982" w:name="_Toc296503150"/>
      <w:bookmarkStart w:id="983" w:name="_Toc296346651"/>
      <w:r>
        <w:rPr>
          <w:rFonts w:hint="eastAsia" w:ascii="宋体" w:hAnsi="宋体" w:cs="宋体"/>
          <w:bCs/>
          <w:color w:val="auto"/>
          <w:szCs w:val="21"/>
          <w:highlight w:val="none"/>
        </w:rPr>
        <w:t>17.4 仲裁或诉讼</w:t>
      </w:r>
      <w:bookmarkEnd w:id="980"/>
    </w:p>
    <w:bookmarkEnd w:id="981"/>
    <w:bookmarkEnd w:id="982"/>
    <w:bookmarkEnd w:id="983"/>
    <w:p w14:paraId="65EB316C">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因合同及合同有关事项产生的争议，合同当事人可以在合同条款中约定以下一种方式解决争议：</w:t>
      </w:r>
    </w:p>
    <w:p w14:paraId="6F79A7D1">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（1）向约定的仲裁委员会申请仲裁；</w:t>
      </w:r>
    </w:p>
    <w:p w14:paraId="27C457E0">
      <w:pPr>
        <w:spacing w:line="360" w:lineRule="auto"/>
        <w:ind w:firstLine="420" w:firstLineChars="200"/>
        <w:contextualSpacing/>
        <w:rPr>
          <w:rFonts w:ascii="宋体" w:hAnsi="宋体" w:cs="宋体"/>
          <w:bCs/>
          <w:color w:val="auto"/>
          <w:szCs w:val="21"/>
          <w:highlight w:val="none"/>
        </w:rPr>
      </w:pPr>
      <w:r>
        <w:rPr>
          <w:rFonts w:hint="eastAsia" w:ascii="宋体" w:hAnsi="宋体" w:cs="宋体"/>
          <w:bCs/>
          <w:color w:val="auto"/>
          <w:szCs w:val="21"/>
          <w:highlight w:val="none"/>
        </w:rPr>
        <w:t>（2）向有管辖权的人民法院起诉。</w:t>
      </w:r>
    </w:p>
    <w:p w14:paraId="44332F53">
      <w:pPr>
        <w:spacing w:line="360" w:lineRule="auto"/>
        <w:ind w:firstLine="420" w:firstLineChars="200"/>
        <w:contextualSpacing/>
        <w:outlineLvl w:val="2"/>
        <w:rPr>
          <w:rFonts w:ascii="宋体" w:hAnsi="宋体" w:cs="宋体"/>
          <w:bCs/>
          <w:color w:val="auto"/>
          <w:szCs w:val="21"/>
          <w:highlight w:val="none"/>
        </w:rPr>
      </w:pPr>
      <w:bookmarkStart w:id="984" w:name="_Toc296503152"/>
      <w:bookmarkStart w:id="985" w:name="_Toc351203631"/>
      <w:bookmarkStart w:id="986" w:name="_Toc337558845"/>
      <w:bookmarkStart w:id="987" w:name="_Toc296346653"/>
      <w:r>
        <w:rPr>
          <w:rFonts w:hint="eastAsia" w:ascii="宋体" w:hAnsi="宋体" w:cs="宋体"/>
          <w:bCs/>
          <w:color w:val="auto"/>
          <w:szCs w:val="21"/>
          <w:highlight w:val="none"/>
        </w:rPr>
        <w:t>17.5 争议解决条款效力</w:t>
      </w:r>
    </w:p>
    <w:p w14:paraId="127DFEF3">
      <w:pPr>
        <w:spacing w:line="360" w:lineRule="auto"/>
        <w:ind w:firstLine="420" w:firstLineChars="200"/>
        <w:contextualSpacing/>
        <w:outlineLvl w:val="2"/>
        <w:rPr>
          <w:rFonts w:ascii="宋体" w:hAnsi="宋体" w:cs="宋体"/>
          <w:bCs/>
          <w:color w:val="auto"/>
          <w:szCs w:val="21"/>
          <w:highlight w:val="none"/>
        </w:rPr>
      </w:pPr>
      <w:r>
        <w:rPr>
          <w:rFonts w:hint="eastAsia" w:ascii="宋体" w:hAnsi="宋体" w:cs="宋体"/>
          <w:bCs/>
          <w:color w:val="auto"/>
          <w:szCs w:val="21"/>
          <w:highlight w:val="none"/>
        </w:rPr>
        <w:t>合同有关争议解决的条款独立存在，合同的变更、解除、终止、无效或者被撤销均不影响其效力</w:t>
      </w:r>
      <w:bookmarkEnd w:id="984"/>
      <w:bookmarkEnd w:id="985"/>
      <w:bookmarkEnd w:id="986"/>
      <w:bookmarkEnd w:id="987"/>
      <w:r>
        <w:rPr>
          <w:rFonts w:hint="eastAsia" w:ascii="宋体" w:hAnsi="宋体" w:cs="宋体"/>
          <w:bCs/>
          <w:color w:val="auto"/>
          <w:szCs w:val="21"/>
          <w:highlight w:val="none"/>
        </w:rPr>
        <w:t>。</w:t>
      </w:r>
    </w:p>
    <w:p w14:paraId="2BBE1D9B">
      <w:pPr>
        <w:spacing w:line="360" w:lineRule="auto"/>
        <w:ind w:firstLine="440" w:firstLineChars="200"/>
        <w:contextualSpacing/>
        <w:jc w:val="center"/>
        <w:outlineLvl w:val="2"/>
        <w:rPr>
          <w:rFonts w:ascii="宋体" w:hAnsi="宋体" w:cs="宋体"/>
          <w:color w:val="auto"/>
          <w:sz w:val="32"/>
          <w:szCs w:val="32"/>
          <w:highlight w:val="none"/>
        </w:rPr>
      </w:pPr>
      <w:r>
        <w:rPr>
          <w:rFonts w:hint="eastAsia" w:ascii="宋体" w:hAnsi="宋体" w:cs="宋体"/>
          <w:color w:val="auto"/>
          <w:sz w:val="22"/>
          <w:szCs w:val="22"/>
          <w:highlight w:val="none"/>
        </w:rPr>
        <w:br w:type="page"/>
      </w:r>
      <w:bookmarkStart w:id="988" w:name="_Toc22333"/>
      <w:r>
        <w:rPr>
          <w:rFonts w:hint="eastAsia" w:ascii="宋体" w:hAnsi="宋体" w:eastAsia="黑体" w:cs="宋体"/>
          <w:b/>
          <w:color w:val="auto"/>
          <w:sz w:val="32"/>
          <w:szCs w:val="32"/>
          <w:highlight w:val="none"/>
        </w:rPr>
        <w:t>第三部分 专用合同条款</w:t>
      </w:r>
      <w:bookmarkEnd w:id="988"/>
    </w:p>
    <w:p w14:paraId="4A21CE21">
      <w:pPr>
        <w:adjustRightInd w:val="0"/>
        <w:snapToGrid w:val="0"/>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1. 一般约定</w:t>
      </w:r>
    </w:p>
    <w:p w14:paraId="11D6B554">
      <w:pPr>
        <w:tabs>
          <w:tab w:val="center" w:pos="4710"/>
        </w:tabs>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1.1 词语定义与解释</w:t>
      </w:r>
    </w:p>
    <w:p w14:paraId="60D160C9">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1.1.1合同</w:t>
      </w:r>
    </w:p>
    <w:p w14:paraId="0C906C49">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1.1.1.8 其他合同文件包括：</w:t>
      </w:r>
      <w:r>
        <w:rPr>
          <w:rFonts w:hint="eastAsia" w:ascii="宋体" w:hAnsi="宋体" w:cs="宋体"/>
          <w:color w:val="auto"/>
          <w:szCs w:val="21"/>
          <w:highlight w:val="none"/>
          <w:u w:val="single"/>
        </w:rPr>
        <w:t>履行合同过程中双方确认的对合同有影响的会议纪要、签证及设计变更等相关资料</w:t>
      </w:r>
      <w:r>
        <w:rPr>
          <w:rFonts w:hint="eastAsia" w:ascii="宋体" w:hAnsi="宋体" w:cs="宋体"/>
          <w:color w:val="auto"/>
          <w:szCs w:val="21"/>
          <w:highlight w:val="none"/>
        </w:rPr>
        <w:t>。</w:t>
      </w:r>
    </w:p>
    <w:p w14:paraId="57C841AC">
      <w:pPr>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 xml:space="preserve">1.3法律 </w:t>
      </w:r>
    </w:p>
    <w:p w14:paraId="1C1499F8">
      <w:pPr>
        <w:autoSpaceDE w:val="0"/>
        <w:autoSpaceDN w:val="0"/>
        <w:adjustRightInd w:val="0"/>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适用于合同的其他规范性文件：</w:t>
      </w:r>
      <w:r>
        <w:rPr>
          <w:rFonts w:hint="eastAsia" w:ascii="宋体" w:hAnsi="宋体" w:cs="宋体"/>
          <w:color w:val="auto"/>
          <w:szCs w:val="21"/>
          <w:highlight w:val="none"/>
          <w:u w:val="single"/>
        </w:rPr>
        <w:t>《中华人民共和国民法典》、《中华人民共和国行政许可法》、《中华人民共和国城乡规划法》、《中华人民共和国建筑法》、《中华人民共和国招标投标法》、《中华人民共和国安全生产法》、《建设工程质量管理条例》，以及其他相关法律、法规及规范性文件</w:t>
      </w:r>
      <w:r>
        <w:rPr>
          <w:rFonts w:hint="eastAsia" w:ascii="宋体" w:hAnsi="宋体" w:cs="宋体"/>
          <w:color w:val="auto"/>
          <w:szCs w:val="21"/>
          <w:highlight w:val="none"/>
        </w:rPr>
        <w:t>。</w:t>
      </w:r>
    </w:p>
    <w:p w14:paraId="207E10EB">
      <w:pPr>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1.4 技术标准</w:t>
      </w:r>
    </w:p>
    <w:p w14:paraId="6F20C787">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1.4.1适用于工程的技术标准包括：</w:t>
      </w:r>
      <w:r>
        <w:rPr>
          <w:rFonts w:hint="eastAsia" w:ascii="宋体" w:hAnsi="宋体" w:cs="宋体"/>
          <w:color w:val="auto"/>
          <w:szCs w:val="21"/>
          <w:highlight w:val="none"/>
          <w:u w:val="single"/>
        </w:rPr>
        <w:t>按现行最新技术标准执行</w:t>
      </w:r>
      <w:r>
        <w:rPr>
          <w:rFonts w:hint="eastAsia" w:ascii="宋体" w:hAnsi="宋体" w:cs="宋体"/>
          <w:color w:val="auto"/>
          <w:szCs w:val="21"/>
          <w:highlight w:val="none"/>
        </w:rPr>
        <w:t>。</w:t>
      </w:r>
    </w:p>
    <w:p w14:paraId="5701DE06">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1.4.2 国外技术标准原文版本和中文译本的提供方：</w:t>
      </w:r>
      <w:r>
        <w:rPr>
          <w:rFonts w:hint="eastAsia" w:ascii="宋体" w:hAnsi="宋体" w:cs="宋体"/>
          <w:color w:val="auto"/>
          <w:szCs w:val="21"/>
          <w:highlight w:val="none"/>
          <w:u w:val="single"/>
        </w:rPr>
        <w:t>不采用</w:t>
      </w:r>
      <w:r>
        <w:rPr>
          <w:rFonts w:hint="eastAsia" w:ascii="宋体" w:hAnsi="宋体" w:cs="宋体"/>
          <w:color w:val="auto"/>
          <w:szCs w:val="21"/>
          <w:highlight w:val="none"/>
        </w:rPr>
        <w:t>；</w:t>
      </w:r>
    </w:p>
    <w:p w14:paraId="75AB2033">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提供国外技术标准的名称：</w:t>
      </w:r>
      <w:r>
        <w:rPr>
          <w:rFonts w:hint="eastAsia" w:ascii="宋体" w:hAnsi="宋体" w:cs="宋体"/>
          <w:color w:val="auto"/>
          <w:szCs w:val="21"/>
          <w:highlight w:val="none"/>
          <w:u w:val="single"/>
        </w:rPr>
        <w:t>不采用</w:t>
      </w:r>
      <w:r>
        <w:rPr>
          <w:rFonts w:hint="eastAsia" w:ascii="宋体" w:hAnsi="宋体" w:cs="宋体"/>
          <w:color w:val="auto"/>
          <w:szCs w:val="21"/>
          <w:highlight w:val="none"/>
        </w:rPr>
        <w:t>；</w:t>
      </w:r>
    </w:p>
    <w:p w14:paraId="3BE53F4A">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提供国外技术标准的份数：</w:t>
      </w:r>
      <w:r>
        <w:rPr>
          <w:rFonts w:hint="eastAsia" w:ascii="宋体" w:hAnsi="宋体" w:cs="宋体"/>
          <w:color w:val="auto"/>
          <w:szCs w:val="21"/>
          <w:highlight w:val="none"/>
          <w:u w:val="single"/>
        </w:rPr>
        <w:t>不采用</w:t>
      </w:r>
      <w:r>
        <w:rPr>
          <w:rFonts w:hint="eastAsia" w:ascii="宋体" w:hAnsi="宋体" w:cs="宋体"/>
          <w:color w:val="auto"/>
          <w:szCs w:val="21"/>
          <w:highlight w:val="none"/>
        </w:rPr>
        <w:t>；</w:t>
      </w:r>
    </w:p>
    <w:p w14:paraId="2B973333">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提供国外技术标准的时间：</w:t>
      </w:r>
      <w:r>
        <w:rPr>
          <w:rFonts w:hint="eastAsia" w:ascii="宋体" w:hAnsi="宋体" w:cs="宋体"/>
          <w:color w:val="auto"/>
          <w:szCs w:val="21"/>
          <w:highlight w:val="none"/>
          <w:u w:val="single"/>
        </w:rPr>
        <w:t>不采用</w:t>
      </w:r>
      <w:r>
        <w:rPr>
          <w:rFonts w:hint="eastAsia" w:ascii="宋体" w:hAnsi="宋体" w:cs="宋体"/>
          <w:color w:val="auto"/>
          <w:szCs w:val="21"/>
          <w:highlight w:val="none"/>
        </w:rPr>
        <w:t>；</w:t>
      </w:r>
    </w:p>
    <w:p w14:paraId="330551E4">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提供国外技术标准的费用承担：</w:t>
      </w:r>
      <w:r>
        <w:rPr>
          <w:rFonts w:hint="eastAsia" w:ascii="宋体" w:hAnsi="宋体" w:cs="宋体"/>
          <w:color w:val="auto"/>
          <w:szCs w:val="21"/>
          <w:highlight w:val="none"/>
          <w:u w:val="single"/>
        </w:rPr>
        <w:t>不采用</w:t>
      </w:r>
      <w:r>
        <w:rPr>
          <w:rFonts w:hint="eastAsia" w:ascii="宋体" w:hAnsi="宋体" w:cs="宋体"/>
          <w:color w:val="auto"/>
          <w:szCs w:val="21"/>
          <w:highlight w:val="none"/>
        </w:rPr>
        <w:t>。</w:t>
      </w:r>
    </w:p>
    <w:p w14:paraId="2DADBF15">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1.4.3发包人对工程的技术标准和功能要求的特殊要求：</w:t>
      </w:r>
      <w:r>
        <w:rPr>
          <w:rFonts w:hint="eastAsia" w:ascii="宋体" w:hAnsi="宋体" w:cs="宋体"/>
          <w:color w:val="auto"/>
          <w:szCs w:val="21"/>
          <w:highlight w:val="none"/>
          <w:u w:val="single"/>
        </w:rPr>
        <w:t>无</w:t>
      </w:r>
      <w:r>
        <w:rPr>
          <w:rFonts w:hint="eastAsia" w:ascii="宋体" w:hAnsi="宋体" w:cs="宋体"/>
          <w:color w:val="auto"/>
          <w:szCs w:val="21"/>
          <w:highlight w:val="none"/>
        </w:rPr>
        <w:t>。</w:t>
      </w:r>
    </w:p>
    <w:p w14:paraId="630562DD">
      <w:pPr>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1.5 合同文件的优先顺序</w:t>
      </w:r>
    </w:p>
    <w:p w14:paraId="76602E18">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合同文件组成及优先顺序为：</w:t>
      </w:r>
      <w:r>
        <w:rPr>
          <w:rFonts w:hint="eastAsia" w:ascii="宋体" w:hAnsi="宋体" w:cs="宋体"/>
          <w:color w:val="auto"/>
          <w:szCs w:val="21"/>
          <w:highlight w:val="none"/>
          <w:u w:val="single"/>
        </w:rPr>
        <w:t>详见本合同第一部分“合同协议书”</w:t>
      </w:r>
      <w:r>
        <w:rPr>
          <w:rFonts w:hint="eastAsia" w:ascii="宋体" w:hAnsi="宋体" w:cs="宋体"/>
          <w:color w:val="auto"/>
          <w:szCs w:val="21"/>
          <w:highlight w:val="none"/>
        </w:rPr>
        <w:t>。</w:t>
      </w:r>
    </w:p>
    <w:p w14:paraId="09F0EF31">
      <w:pPr>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1.6 联络</w:t>
      </w:r>
    </w:p>
    <w:p w14:paraId="1530240B">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1.6.1发包人和设计人应当在</w:t>
      </w:r>
      <w:r>
        <w:rPr>
          <w:rFonts w:hint="eastAsia" w:ascii="宋体" w:hAnsi="宋体" w:cs="宋体"/>
          <w:color w:val="auto"/>
          <w:szCs w:val="21"/>
          <w:highlight w:val="none"/>
          <w:u w:val="single"/>
        </w:rPr>
        <w:t>3</w:t>
      </w:r>
      <w:r>
        <w:rPr>
          <w:rFonts w:hint="eastAsia" w:ascii="宋体" w:hAnsi="宋体" w:cs="宋体"/>
          <w:color w:val="auto"/>
          <w:szCs w:val="21"/>
          <w:highlight w:val="none"/>
        </w:rPr>
        <w:t>天内将与合同有关的通知、批准、证明、证书、指示、指令、要求、请求、同意、确定和决定等书面函件送达对方当事人。</w:t>
      </w:r>
    </w:p>
    <w:p w14:paraId="3BD31FF0">
      <w:pPr>
        <w:keepNext/>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1.6.2 发包人与设计人联系信息</w:t>
      </w:r>
    </w:p>
    <w:p w14:paraId="6792AC0A">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发包人接收文件的地点：</w:t>
      </w:r>
      <w:r>
        <w:rPr>
          <w:rFonts w:hint="eastAsia" w:ascii="宋体" w:hAnsi="宋体" w:cs="宋体"/>
          <w:color w:val="auto"/>
          <w:szCs w:val="21"/>
          <w:highlight w:val="none"/>
          <w:u w:val="single"/>
        </w:rPr>
        <w:t>发包人办公室</w:t>
      </w:r>
      <w:r>
        <w:rPr>
          <w:rFonts w:hint="eastAsia" w:ascii="宋体" w:hAnsi="宋体" w:cs="宋体"/>
          <w:color w:val="auto"/>
          <w:szCs w:val="21"/>
          <w:highlight w:val="none"/>
        </w:rPr>
        <w:t>；</w:t>
      </w:r>
    </w:p>
    <w:p w14:paraId="3C714724">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发包人指定的接收人为：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1E426E3">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发包人指定的联系电话及传真号码：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28289A2">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0BA3F97B">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设计人指定的接收人为：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26BBA74C">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设计人指定的联系电话及传真号码：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134085D">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设计人指定的电子邮箱：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BB01C23">
      <w:pPr>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 保密</w:t>
      </w:r>
    </w:p>
    <w:p w14:paraId="4BB84F9A">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1、在现场工作的人员应遵守发包人的安全保卫及其他有关的规章制度，承担其有关资料保密义务；</w:t>
      </w:r>
    </w:p>
    <w:p w14:paraId="4BBDBE6A">
      <w:pPr>
        <w:tabs>
          <w:tab w:val="center" w:pos="4710"/>
        </w:tabs>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2、双方均应保护对方的知识产权，未经对方同意，任何一方均不得对对方的资料及文件擅自修改、复印或向第三方转让或用于本合同项目外的项目。如发生以上情况，泄密方承担一切由此引起的后果并承担赔偿责任。</w:t>
      </w:r>
    </w:p>
    <w:p w14:paraId="7EFEF22E">
      <w:pPr>
        <w:tabs>
          <w:tab w:val="center" w:pos="4710"/>
        </w:tabs>
        <w:spacing w:before="120" w:after="120"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2. 发包人</w:t>
      </w:r>
    </w:p>
    <w:p w14:paraId="62EB5BFF">
      <w:pPr>
        <w:tabs>
          <w:tab w:val="center" w:pos="4710"/>
        </w:tabs>
        <w:spacing w:before="120"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2.1 发包人一般义务</w:t>
      </w:r>
    </w:p>
    <w:p w14:paraId="5F978F77">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 xml:space="preserve">2.1.3 发包人其他义务： </w:t>
      </w:r>
    </w:p>
    <w:p w14:paraId="473BC091">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1）组织管理</w:t>
      </w:r>
    </w:p>
    <w:p w14:paraId="61F0F472">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（1）发包人有权对设计过程的决策、控制、实施等环节进行监督，控制设计进度，进行中间检查，组织成果审查。</w:t>
      </w:r>
    </w:p>
    <w:p w14:paraId="5222D12A">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（2）发包人有权检查承包人合同义务的履行情况，对承包人不能履行的，经发包人催告后承包人在催告期满后仍不能履行时，发包人有权解除合同，并由承包人赔偿因此给发包人造成的全部损失。</w:t>
      </w:r>
    </w:p>
    <w:p w14:paraId="6787A318">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3）发包人有权检查承包人项目组的组成和人员到位情况，考核主要承包人员的工作能力，如因人力、能力不足致使项目不能按计划完成时，有权要求承包人增加或替换相应的技术人员，承包人应当按照发包人要求进行增加或替换。</w:t>
      </w:r>
    </w:p>
    <w:p w14:paraId="6CA7FBBF">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2）设计管理</w:t>
      </w:r>
    </w:p>
    <w:p w14:paraId="2E0CAB86">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（1）发包人有权检查承包人的工作是否贯彻执行质量管理体系，是否采取有力的措施进行控制和管理，若否，承包人应按发包人要求健全完善质量管理体系或采取措施。</w:t>
      </w:r>
    </w:p>
    <w:p w14:paraId="03F1A9FF">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（2）发包人有权检查承包人是否按发包人要求的进度计划及要求开展工作，是否落实了进度控制的各项措施，未达到要求的，承包人应在发包人规定期限内按发包人要求完成整改。</w:t>
      </w:r>
    </w:p>
    <w:p w14:paraId="71644199">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（3）发包人有权组织审查和确认各阶段的成果及重大技术方案。</w:t>
      </w:r>
    </w:p>
    <w:p w14:paraId="64645DBA">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（4）发包人有义务提供本工程所需要的基础资料和协调与本项目建设相关技术联络工作。</w:t>
      </w:r>
    </w:p>
    <w:p w14:paraId="59DF4296">
      <w:pPr>
        <w:spacing w:before="120"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3）发包人有义务按合同规定支付费用。</w:t>
      </w:r>
    </w:p>
    <w:p w14:paraId="6F00BC6D">
      <w:pPr>
        <w:spacing w:before="120"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u w:val="single"/>
        </w:rPr>
        <w:t>4）因工程需要而增加合同范围外的工作内容时，由双方另行协商解决</w:t>
      </w:r>
      <w:r>
        <w:rPr>
          <w:rFonts w:hint="eastAsia" w:ascii="宋体" w:hAnsi="宋体" w:cs="宋体"/>
          <w:color w:val="auto"/>
          <w:szCs w:val="21"/>
          <w:highlight w:val="none"/>
        </w:rPr>
        <w:t>。</w:t>
      </w:r>
    </w:p>
    <w:p w14:paraId="1EB4E146">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2.2发包人代表</w:t>
      </w:r>
    </w:p>
    <w:p w14:paraId="60C99298">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发包人现场代表：</w:t>
      </w:r>
    </w:p>
    <w:p w14:paraId="6A18422E">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6D7CE2C">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身份证号：</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3C76291D">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职    务：</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50A0954D">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3EF54F4F">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D6008E7">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通信地址：</w:t>
      </w:r>
      <w:r>
        <w:rPr>
          <w:rFonts w:hint="eastAsia" w:ascii="宋体" w:hAnsi="宋体" w:cs="宋体"/>
          <w:color w:val="auto"/>
          <w:szCs w:val="21"/>
          <w:highlight w:val="none"/>
          <w:u w:val="single"/>
        </w:rPr>
        <w:t>发包人办公室</w:t>
      </w:r>
      <w:r>
        <w:rPr>
          <w:rFonts w:hint="eastAsia" w:ascii="宋体" w:hAnsi="宋体" w:cs="宋体"/>
          <w:color w:val="auto"/>
          <w:szCs w:val="21"/>
          <w:highlight w:val="none"/>
        </w:rPr>
        <w:t>。</w:t>
      </w:r>
    </w:p>
    <w:p w14:paraId="2812E099">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发包人对发包人代表的授权范围如下：</w:t>
      </w:r>
      <w:r>
        <w:rPr>
          <w:rFonts w:hint="eastAsia" w:ascii="宋体" w:hAnsi="宋体" w:cs="宋体"/>
          <w:color w:val="auto"/>
          <w:szCs w:val="21"/>
          <w:highlight w:val="none"/>
          <w:u w:val="single"/>
        </w:rPr>
        <w:t>协调本项目的一切事务</w:t>
      </w:r>
      <w:r>
        <w:rPr>
          <w:rFonts w:hint="eastAsia" w:ascii="宋体" w:hAnsi="宋体" w:cs="宋体"/>
          <w:color w:val="auto"/>
          <w:szCs w:val="21"/>
          <w:highlight w:val="none"/>
        </w:rPr>
        <w:t>。</w:t>
      </w:r>
    </w:p>
    <w:p w14:paraId="79C915A3">
      <w:pPr>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发包人更换发包人代表的，应当提前</w:t>
      </w:r>
      <w:r>
        <w:rPr>
          <w:rFonts w:hint="eastAsia" w:ascii="宋体" w:hAnsi="宋体" w:cs="宋体"/>
          <w:color w:val="auto"/>
          <w:szCs w:val="21"/>
          <w:highlight w:val="none"/>
          <w:u w:val="single"/>
        </w:rPr>
        <w:t>5</w:t>
      </w:r>
      <w:r>
        <w:rPr>
          <w:rFonts w:hint="eastAsia" w:ascii="宋体" w:hAnsi="宋体" w:cs="宋体"/>
          <w:color w:val="auto"/>
          <w:szCs w:val="21"/>
          <w:highlight w:val="none"/>
        </w:rPr>
        <w:t>天书面通知设计人。</w:t>
      </w:r>
    </w:p>
    <w:p w14:paraId="38037BD6">
      <w:pPr>
        <w:spacing w:before="120"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2.3发包人决定</w:t>
      </w:r>
    </w:p>
    <w:p w14:paraId="00615DDE">
      <w:pPr>
        <w:tabs>
          <w:tab w:val="center" w:pos="4710"/>
        </w:tabs>
        <w:spacing w:before="120"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2.3.2发包人应在</w:t>
      </w:r>
      <w:r>
        <w:rPr>
          <w:rFonts w:hint="eastAsia" w:ascii="宋体" w:hAnsi="宋体" w:cs="宋体"/>
          <w:color w:val="auto"/>
          <w:szCs w:val="21"/>
          <w:highlight w:val="none"/>
          <w:u w:val="single"/>
        </w:rPr>
        <w:t>3</w:t>
      </w:r>
      <w:r>
        <w:rPr>
          <w:rFonts w:hint="eastAsia" w:ascii="宋体" w:hAnsi="宋体" w:cs="宋体"/>
          <w:color w:val="auto"/>
          <w:szCs w:val="21"/>
          <w:highlight w:val="none"/>
        </w:rPr>
        <w:t>天内对设计人书面提出的事项作出书面决定。</w:t>
      </w:r>
    </w:p>
    <w:p w14:paraId="08202376">
      <w:pPr>
        <w:tabs>
          <w:tab w:val="center" w:pos="4710"/>
        </w:tabs>
        <w:spacing w:before="120" w:after="120"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3. 设计人</w:t>
      </w:r>
    </w:p>
    <w:p w14:paraId="24E85369">
      <w:pPr>
        <w:spacing w:after="120"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3.1 设计人一般义务：</w:t>
      </w:r>
      <w:r>
        <w:rPr>
          <w:rFonts w:hint="eastAsia" w:ascii="宋体" w:hAnsi="宋体" w:cs="宋体"/>
          <w:color w:val="auto"/>
          <w:szCs w:val="21"/>
          <w:highlight w:val="none"/>
          <w:u w:val="single"/>
        </w:rPr>
        <w:t>设计人应按国家技术规范、标准、规程、行业及地方性的相关技术规范及规定等要求，及发包人提出的设计要求，进行工作，按合同约定的进度要求提交质量合格的设计资料，并对其负责</w:t>
      </w:r>
      <w:r>
        <w:rPr>
          <w:rFonts w:hint="eastAsia" w:ascii="宋体" w:hAnsi="宋体" w:cs="宋体"/>
          <w:color w:val="auto"/>
          <w:szCs w:val="21"/>
          <w:highlight w:val="none"/>
        </w:rPr>
        <w:t>。</w:t>
      </w:r>
    </w:p>
    <w:p w14:paraId="1B7D0F6B">
      <w:pPr>
        <w:spacing w:after="120"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3.1.1 设计人</w:t>
      </w:r>
      <w:r>
        <w:rPr>
          <w:rFonts w:hint="eastAsia" w:ascii="宋体" w:hAnsi="宋体" w:cs="宋体"/>
          <w:color w:val="auto"/>
          <w:szCs w:val="21"/>
          <w:highlight w:val="none"/>
          <w:u w:val="single"/>
        </w:rPr>
        <w:t>需要</w:t>
      </w:r>
      <w:r>
        <w:rPr>
          <w:rFonts w:hint="eastAsia" w:ascii="宋体" w:hAnsi="宋体" w:cs="宋体"/>
          <w:color w:val="auto"/>
          <w:szCs w:val="21"/>
          <w:highlight w:val="none"/>
        </w:rPr>
        <w:t>（需/不需）配合发包人办理有关许可、批准或备案手续。</w:t>
      </w:r>
    </w:p>
    <w:p w14:paraId="77B36340">
      <w:pPr>
        <w:spacing w:after="120"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3.1.2设计人其他义务：</w:t>
      </w:r>
    </w:p>
    <w:p w14:paraId="4FD4DC5E">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（1）设计人应按国家规定和合同约定的技术规范、标准进行设计，按本合同约定的内容、时间及份数向发包人交付设计文件，并对提交的文件的质量、正确性、及时性、合法性负责。</w:t>
      </w:r>
    </w:p>
    <w:p w14:paraId="3C9E6B83">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 xml:space="preserve">（2）设计合理使用年限为按国家相关规定执行。 </w:t>
      </w:r>
    </w:p>
    <w:p w14:paraId="25034CF1">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3）设计人对成果文件出现的遗漏或错误负责修改或补充。由于设计人错误造成工程质量事故损失，设计人除负责采取补救措施外，应免收受损失部分的费用，并根据损失的实际数额向发包人进行赔偿，同时按本合同约定的合同价的20%向发包人支付违约金，违约金总额不超过设计费总额。</w:t>
      </w:r>
    </w:p>
    <w:p w14:paraId="3CF4CA19">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（4）由于设计人原因，延误了成果文件交付时间，每延误一天，处以人民币5000元的违约金，延误时间超过10天，发包人有权终止合同，设计人无条件退场，</w:t>
      </w:r>
      <w:r>
        <w:rPr>
          <w:rFonts w:hint="eastAsia" w:ascii="宋体" w:hAnsi="宋体" w:cs="宋体"/>
          <w:color w:val="auto"/>
          <w:szCs w:val="21"/>
          <w:highlight w:val="none"/>
          <w:u w:val="single"/>
          <w:lang w:val="en-US" w:eastAsia="zh-CN"/>
        </w:rPr>
        <w:t>发包人</w:t>
      </w:r>
      <w:r>
        <w:rPr>
          <w:rFonts w:hint="eastAsia" w:ascii="宋体" w:hAnsi="宋体" w:cs="宋体"/>
          <w:color w:val="auto"/>
          <w:szCs w:val="21"/>
          <w:highlight w:val="none"/>
          <w:u w:val="single"/>
        </w:rPr>
        <w:t>有权要求设计人按合同价款的20%向发包人支付违约金，设计人已完成的工作成果归发包人所有，设计人已完成的工作量不予确认、结算，设计人须按发包人要求无条件退场，移交相关资料。</w:t>
      </w:r>
    </w:p>
    <w:p w14:paraId="3E59C827">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（5）合同生效后，设计人要求终止或解除合同，设计人应向发包人支付暂定合同价款20%的违约金，并赔偿给发包人造成的经济损失。</w:t>
      </w:r>
    </w:p>
    <w:p w14:paraId="6EABDE8D">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6）设计人交付成果文件后，按规定参加有关上级主管部门的会议并根据审查结论负责不超出原定范围的内容做必要调整补充。设计人按合同约定时限交付设计文件，负责向发包人及施工单位进行设计交底、处理有关设计问题和参加竣工验收。</w:t>
      </w:r>
    </w:p>
    <w:p w14:paraId="3B9BBDF8">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7）设计人项目负责人现场代表，在发包人提出问题后12小时内应做出响应，并及时解决施工现场出现的设计问题。设计人驻场设计代表必须常驻现场，其离开昆明时，应提前3天通知发包人，经发包人书面同意方可离开，同时设计人应指定临时项目负责人，该临时负责人必须经过发包人书面同意认可。</w:t>
      </w:r>
    </w:p>
    <w:p w14:paraId="3FAFB16C">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（8）设计人不得随意更改项目负责人、技术负责人和主要组成人员构成。</w:t>
      </w:r>
    </w:p>
    <w:p w14:paraId="43A1EE68">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（9）设计人有参加有关部门组织的审查会议的义务，并有协助发包人向政府有关部门进行汇报的义务。</w:t>
      </w:r>
    </w:p>
    <w:p w14:paraId="44CB554B">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（10）项目实施过程中，如遇非发包人原因导致的项目调整，设计人应按发包人要求对项目进行调整，设计人应予以配合。</w:t>
      </w:r>
    </w:p>
    <w:p w14:paraId="63D00444">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（11）如遇设计变更，应提交设计变更并书面通知发包人，审核通过后再行变更。</w:t>
      </w:r>
    </w:p>
    <w:p w14:paraId="0451AF86">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（12）由于设计人造成的设计变更而导致工程建安费超出初步设计概算或施工图预算的建安费时，每超出1％，则设计人应减收该项目应收设计费的2%，累计计算。</w:t>
      </w:r>
    </w:p>
    <w:p w14:paraId="2C9F7F21">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13）发包人享有设计成果的知识产权、著作权和版权，设计人不得侵害发包人知识产权；设计人保证设计成果文件不侵害第三人的知识产权等合法权益情形，否则应承担相关责任，包括第三方的索赔、相关行政处罚。由此给发包人造成损失的，设计人应据实赔偿。</w:t>
      </w:r>
    </w:p>
    <w:p w14:paraId="7B442E26">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14）设计人按质、按量、按时提交设计文件，每一阶段的成果均需由发包人书面确认。设计人就发包人、相关部门对成果的调整要求及建议须在5个工作日内做出回应或确认，并在发包人或相关部门要求的限期内完成调整、修改。若经过两次修改、调整仍不能满足发包人及相关部门要求，或超过发包人或相关部门限期7日未调整、修改完毕，发包人有权解除本合同，设计人应双倍退还发包人已支付的费用，并赔偿给发包人造成的经济损失。</w:t>
      </w:r>
    </w:p>
    <w:p w14:paraId="3D5B845E">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15）设计人不得伪造、变造或使用不真实的合同文件、资料、支付申请、有关人员签字、签章或其任一组成部分，设计人自愿双倍承担发包人因此造成的损失并向发包人交付当期应付合同款项百分之五的违约金。发包人保留因此解除合同或采取其他方式追究设计人责任的权利。</w:t>
      </w:r>
    </w:p>
    <w:p w14:paraId="71D2DDE9">
      <w:pPr>
        <w:spacing w:after="120"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16）由于设计人设计错误造成工程质量事故损失，设计人除负责采取补救措施外，应免收受损失部分的设计费，并根据损失的实际数额向发包人赔偿。设计人提交的设计文件不合格的损失赔偿金的上限：按所造成的损失全额赔偿。</w:t>
      </w:r>
    </w:p>
    <w:p w14:paraId="4A818D16">
      <w:pPr>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u w:val="single"/>
        </w:rPr>
        <w:t>（17）设计人应按照合同约定交付符合合同约定质量标准的设计文件，若设计文件不符合合同约定的，设计人应在合同约定期限内无条件整改，直至合格，且产生的费用由设计人自行承担。因自身原因，设计人超过合同约定期限提交设计文件的，按照专用条款14.2.2条承担违约责任，并赔偿因此给发包人造成的损失</w:t>
      </w:r>
      <w:r>
        <w:rPr>
          <w:rFonts w:hint="eastAsia" w:ascii="宋体" w:hAnsi="宋体" w:cs="宋体"/>
          <w:color w:val="auto"/>
          <w:szCs w:val="21"/>
          <w:highlight w:val="none"/>
        </w:rPr>
        <w:t>。</w:t>
      </w:r>
    </w:p>
    <w:p w14:paraId="64E390FC">
      <w:pPr>
        <w:keepNext/>
        <w:spacing w:after="120" w:line="360" w:lineRule="auto"/>
        <w:ind w:firstLine="422" w:firstLineChars="200"/>
        <w:contextualSpacing/>
        <w:outlineLvl w:val="3"/>
        <w:rPr>
          <w:rFonts w:ascii="宋体" w:hAnsi="宋体" w:cs="宋体"/>
          <w:color w:val="auto"/>
          <w:szCs w:val="21"/>
          <w:highlight w:val="none"/>
          <w:u w:val="single"/>
        </w:rPr>
      </w:pPr>
      <w:r>
        <w:rPr>
          <w:rFonts w:hint="eastAsia" w:ascii="宋体" w:hAnsi="宋体" w:cs="宋体"/>
          <w:b/>
          <w:color w:val="auto"/>
          <w:szCs w:val="21"/>
          <w:highlight w:val="none"/>
        </w:rPr>
        <w:t>3.2 项目负责人</w:t>
      </w:r>
    </w:p>
    <w:p w14:paraId="1BEA987D">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3.2.2设计负责人：</w:t>
      </w:r>
    </w:p>
    <w:p w14:paraId="1DB7F7CC">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8E7131A">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执业资格及等级：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51E8495">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34BC64B">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43291465">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3.2.3 设计人原则上不得更换项目负责人，若因特殊原因需要更换项目负责人，应提前</w:t>
      </w:r>
      <w:r>
        <w:rPr>
          <w:rFonts w:hint="eastAsia" w:ascii="宋体" w:hAnsi="宋体" w:cs="宋体"/>
          <w:color w:val="auto"/>
          <w:szCs w:val="21"/>
          <w:highlight w:val="none"/>
          <w:u w:val="single"/>
        </w:rPr>
        <w:t>7</w:t>
      </w:r>
      <w:r>
        <w:rPr>
          <w:rFonts w:hint="eastAsia" w:ascii="宋体" w:hAnsi="宋体" w:cs="宋体"/>
          <w:color w:val="auto"/>
          <w:szCs w:val="21"/>
          <w:highlight w:val="none"/>
        </w:rPr>
        <w:t>天书面通知发包人，经发包人书面同意后，方可更换，更换的项目负责人资格条件须等同或高于原项目负责人。</w:t>
      </w:r>
    </w:p>
    <w:p w14:paraId="5EF8152D">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设计人擅自更换项目负责人的违约责任：</w:t>
      </w:r>
      <w:r>
        <w:rPr>
          <w:rFonts w:hint="eastAsia" w:ascii="宋体" w:hAnsi="宋体" w:cs="宋体"/>
          <w:color w:val="auto"/>
          <w:szCs w:val="21"/>
          <w:highlight w:val="none"/>
          <w:u w:val="single"/>
        </w:rPr>
        <w:t>发包人有权要求设计人承担20000元/人/次的违约金，并有权解除合同，由此产生的一切损失及后果由设计人承担</w:t>
      </w:r>
      <w:r>
        <w:rPr>
          <w:rFonts w:hint="eastAsia" w:ascii="宋体" w:hAnsi="宋体" w:cs="宋体"/>
          <w:color w:val="auto"/>
          <w:szCs w:val="21"/>
          <w:highlight w:val="none"/>
        </w:rPr>
        <w:t>。</w:t>
      </w:r>
    </w:p>
    <w:p w14:paraId="220B7047">
      <w:pPr>
        <w:spacing w:line="360" w:lineRule="auto"/>
        <w:contextualSpacing/>
        <w:outlineLvl w:val="4"/>
        <w:rPr>
          <w:rFonts w:ascii="宋体" w:hAnsi="宋体" w:cs="宋体"/>
          <w:color w:val="auto"/>
          <w:szCs w:val="21"/>
          <w:highlight w:val="none"/>
        </w:rPr>
      </w:pPr>
      <w:r>
        <w:rPr>
          <w:rFonts w:hint="eastAsia" w:ascii="宋体" w:hAnsi="宋体" w:cs="宋体"/>
          <w:color w:val="auto"/>
          <w:szCs w:val="21"/>
          <w:highlight w:val="none"/>
        </w:rPr>
        <w:t xml:space="preserve">    3.2.5发包人有权要求设计人更换不称职的项目负责人，设计人应在收到书面更换通知后</w:t>
      </w:r>
      <w:r>
        <w:rPr>
          <w:rFonts w:hint="eastAsia" w:ascii="宋体" w:hAnsi="宋体" w:cs="宋体"/>
          <w:color w:val="auto"/>
          <w:szCs w:val="21"/>
          <w:highlight w:val="none"/>
          <w:u w:val="single"/>
        </w:rPr>
        <w:t>7</w:t>
      </w:r>
      <w:r>
        <w:rPr>
          <w:rFonts w:hint="eastAsia" w:ascii="宋体" w:hAnsi="宋体" w:cs="宋体"/>
          <w:color w:val="auto"/>
          <w:szCs w:val="21"/>
          <w:highlight w:val="none"/>
        </w:rPr>
        <w:t>天内更换项目负责人。</w:t>
      </w:r>
    </w:p>
    <w:p w14:paraId="2DA06A01">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设计人无正当理由拒绝更换项目负责人的违约责任：</w:t>
      </w:r>
      <w:r>
        <w:rPr>
          <w:rFonts w:hint="eastAsia" w:ascii="宋体" w:hAnsi="宋体" w:cs="宋体"/>
          <w:color w:val="auto"/>
          <w:szCs w:val="21"/>
          <w:highlight w:val="none"/>
          <w:u w:val="single"/>
        </w:rPr>
        <w:t>发包人有权要求设计人承担20000元/人/次的违约金，并有权解除合同，由此产生的一切损失及后果由设计人承担。</w:t>
      </w:r>
    </w:p>
    <w:p w14:paraId="103DFDC0">
      <w:pPr>
        <w:spacing w:after="120" w:line="360" w:lineRule="auto"/>
        <w:ind w:firstLine="422" w:firstLineChars="200"/>
        <w:contextualSpacing/>
        <w:outlineLvl w:val="3"/>
        <w:rPr>
          <w:rFonts w:ascii="宋体" w:hAnsi="宋体" w:cs="宋体"/>
          <w:b/>
          <w:color w:val="auto"/>
          <w:szCs w:val="21"/>
          <w:highlight w:val="none"/>
        </w:rPr>
      </w:pPr>
      <w:r>
        <w:rPr>
          <w:rFonts w:hint="eastAsia" w:ascii="宋体" w:hAnsi="宋体" w:cs="宋体"/>
          <w:b/>
          <w:color w:val="auto"/>
          <w:szCs w:val="21"/>
          <w:highlight w:val="none"/>
        </w:rPr>
        <w:t>3.3 设计人人员</w:t>
      </w:r>
    </w:p>
    <w:p w14:paraId="6525E6EB">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3.3.1 设计人提交项目管理机构及人员安排报告的期限：</w:t>
      </w:r>
      <w:r>
        <w:rPr>
          <w:rFonts w:hint="eastAsia" w:ascii="宋体" w:hAnsi="宋体" w:cs="宋体"/>
          <w:color w:val="auto"/>
          <w:szCs w:val="21"/>
          <w:highlight w:val="none"/>
          <w:u w:val="single"/>
        </w:rPr>
        <w:t>签订合同后10日历天内</w:t>
      </w:r>
      <w:r>
        <w:rPr>
          <w:rFonts w:hint="eastAsia" w:ascii="宋体" w:hAnsi="宋体" w:cs="宋体"/>
          <w:color w:val="auto"/>
          <w:szCs w:val="21"/>
          <w:highlight w:val="none"/>
        </w:rPr>
        <w:t>。</w:t>
      </w:r>
    </w:p>
    <w:p w14:paraId="5BB42CFC">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3.3.2设计人擅自更换项目人员的违约责任：</w:t>
      </w:r>
      <w:r>
        <w:rPr>
          <w:rFonts w:hint="eastAsia" w:ascii="宋体" w:hAnsi="宋体" w:cs="宋体"/>
          <w:color w:val="auto"/>
          <w:szCs w:val="21"/>
          <w:highlight w:val="none"/>
          <w:u w:val="single"/>
        </w:rPr>
        <w:t>发包人有权要求设计人承担5000元/人/次的违约金，并有权解除合同，由此产生的一切损失及后果由设计人承担</w:t>
      </w:r>
      <w:r>
        <w:rPr>
          <w:rFonts w:hint="eastAsia" w:ascii="宋体" w:hAnsi="宋体" w:cs="宋体"/>
          <w:color w:val="auto"/>
          <w:szCs w:val="21"/>
          <w:highlight w:val="none"/>
        </w:rPr>
        <w:t>。</w:t>
      </w:r>
    </w:p>
    <w:p w14:paraId="108969BE">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3.3.3 发包人对主要人员的资格或能力有异议的，发包人有权要求设计人更换不称职人员，设计人无正当理由拒绝撤换不称职人员的违约责任：</w:t>
      </w:r>
      <w:r>
        <w:rPr>
          <w:rFonts w:hint="eastAsia" w:ascii="宋体" w:hAnsi="宋体" w:cs="宋体"/>
          <w:color w:val="auto"/>
          <w:szCs w:val="21"/>
          <w:highlight w:val="none"/>
          <w:u w:val="single"/>
        </w:rPr>
        <w:t>发包人有权要求设计人承担5000元/人/次的违约金，并有权解除合同，由此产生的一切损失及后果由设计人承担</w:t>
      </w:r>
      <w:r>
        <w:rPr>
          <w:rFonts w:hint="eastAsia" w:ascii="宋体" w:hAnsi="宋体" w:cs="宋体"/>
          <w:color w:val="auto"/>
          <w:szCs w:val="21"/>
          <w:highlight w:val="none"/>
        </w:rPr>
        <w:t>。</w:t>
      </w:r>
    </w:p>
    <w:p w14:paraId="0256BBFB">
      <w:pPr>
        <w:spacing w:after="120" w:line="360" w:lineRule="auto"/>
        <w:ind w:firstLine="422" w:firstLineChars="200"/>
        <w:contextualSpacing/>
        <w:outlineLvl w:val="3"/>
        <w:rPr>
          <w:rFonts w:ascii="宋体" w:hAnsi="宋体" w:cs="宋体"/>
          <w:b/>
          <w:bCs/>
          <w:color w:val="auto"/>
          <w:szCs w:val="21"/>
          <w:highlight w:val="none"/>
        </w:rPr>
      </w:pPr>
      <w:r>
        <w:rPr>
          <w:rFonts w:hint="eastAsia" w:ascii="宋体" w:hAnsi="宋体" w:cs="宋体"/>
          <w:b/>
          <w:bCs/>
          <w:color w:val="auto"/>
          <w:szCs w:val="21"/>
          <w:highlight w:val="none"/>
        </w:rPr>
        <w:t>3.4分包及转包</w:t>
      </w:r>
    </w:p>
    <w:p w14:paraId="0FBD7386">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u w:val="single"/>
        </w:rPr>
        <w:t>设计人不得进行任何形式的转包。未经发包人的书面同意，设计人不得进行分包，如需对项目进行分包，分包企业须具备相应专项资质且须经发包人认可后才能进行分包。分包过程中所产生的</w:t>
      </w:r>
      <w:r>
        <w:rPr>
          <w:rFonts w:hint="eastAsia" w:ascii="宋体" w:hAnsi="宋体" w:cs="宋体"/>
          <w:bCs/>
          <w:color w:val="auto"/>
          <w:szCs w:val="21"/>
          <w:highlight w:val="none"/>
          <w:u w:val="single"/>
        </w:rPr>
        <w:t>一切费用（包括但不限于专家评审费、审核备案涉及费用、按相关部门要求办理相关手续所发生的费用等）</w:t>
      </w:r>
      <w:r>
        <w:rPr>
          <w:rFonts w:hint="eastAsia" w:ascii="宋体" w:hAnsi="宋体" w:cs="宋体"/>
          <w:color w:val="auto"/>
          <w:szCs w:val="21"/>
          <w:highlight w:val="none"/>
          <w:u w:val="single"/>
        </w:rPr>
        <w:t>已包含在设计人设计费中，发包人不再另行支付，均由设计人承担。设计人有任何形式的转包或未经发包人书面同意的分包行为，发包人有权解除合同，并按合同约定合同价款的30%收取违约金，如违约金不足以补偿发包人损失的，设计人应赔偿发包人的实际损失。</w:t>
      </w:r>
    </w:p>
    <w:p w14:paraId="08948AF8">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5. 工程设计要求</w:t>
      </w:r>
    </w:p>
    <w:p w14:paraId="04CF0E4B">
      <w:pPr>
        <w:spacing w:line="360" w:lineRule="auto"/>
        <w:ind w:firstLine="422" w:firstLineChars="200"/>
        <w:contextualSpacing/>
        <w:outlineLvl w:val="3"/>
        <w:rPr>
          <w:rFonts w:ascii="宋体" w:hAnsi="宋体" w:cs="宋体"/>
          <w:b/>
          <w:bCs/>
          <w:color w:val="auto"/>
          <w:szCs w:val="21"/>
          <w:highlight w:val="none"/>
        </w:rPr>
      </w:pPr>
      <w:r>
        <w:rPr>
          <w:rFonts w:hint="eastAsia" w:ascii="宋体" w:hAnsi="宋体" w:cs="宋体"/>
          <w:b/>
          <w:bCs/>
          <w:color w:val="auto"/>
          <w:szCs w:val="21"/>
          <w:highlight w:val="none"/>
        </w:rPr>
        <w:t>5.1 工程设计一般要求</w:t>
      </w:r>
    </w:p>
    <w:p w14:paraId="1049552D">
      <w:pPr>
        <w:spacing w:line="360" w:lineRule="auto"/>
        <w:ind w:firstLine="420" w:firstLineChars="200"/>
        <w:contextualSpacing/>
        <w:outlineLvl w:val="4"/>
        <w:rPr>
          <w:rFonts w:ascii="宋体" w:hAnsi="宋体" w:cs="宋体"/>
          <w:color w:val="auto"/>
          <w:szCs w:val="21"/>
          <w:highlight w:val="none"/>
          <w:u w:val="single"/>
        </w:rPr>
      </w:pPr>
      <w:r>
        <w:rPr>
          <w:rFonts w:hint="eastAsia" w:ascii="宋体" w:hAnsi="宋体" w:cs="宋体"/>
          <w:color w:val="auto"/>
          <w:szCs w:val="21"/>
          <w:highlight w:val="none"/>
        </w:rPr>
        <w:t>5.1.1工程设计的特殊标准或要求：</w:t>
      </w:r>
      <w:r>
        <w:rPr>
          <w:rFonts w:hint="eastAsia" w:ascii="宋体" w:hAnsi="宋体" w:cs="宋体"/>
          <w:color w:val="auto"/>
          <w:szCs w:val="21"/>
          <w:highlight w:val="none"/>
          <w:u w:val="single"/>
        </w:rPr>
        <w:t>执行通用条款，符合现行国家及行业相关规范及标准。</w:t>
      </w:r>
    </w:p>
    <w:p w14:paraId="727BE13D">
      <w:pPr>
        <w:spacing w:line="360" w:lineRule="auto"/>
        <w:ind w:firstLine="441" w:firstLineChars="210"/>
        <w:contextualSpacing/>
        <w:outlineLvl w:val="4"/>
        <w:rPr>
          <w:rFonts w:ascii="宋体" w:hAnsi="宋体" w:cs="宋体"/>
          <w:color w:val="auto"/>
          <w:szCs w:val="21"/>
          <w:highlight w:val="none"/>
        </w:rPr>
      </w:pPr>
      <w:r>
        <w:rPr>
          <w:rFonts w:hint="eastAsia" w:ascii="宋体" w:hAnsi="宋体" w:cs="宋体"/>
          <w:color w:val="auto"/>
          <w:szCs w:val="21"/>
          <w:highlight w:val="none"/>
        </w:rPr>
        <w:t>5.1.2 工程设计适用的技术标准：</w:t>
      </w:r>
      <w:r>
        <w:rPr>
          <w:rFonts w:hint="eastAsia" w:ascii="宋体" w:hAnsi="宋体" w:cs="宋体"/>
          <w:color w:val="auto"/>
          <w:szCs w:val="21"/>
          <w:highlight w:val="none"/>
          <w:u w:val="single"/>
        </w:rPr>
        <w:t>执行通用条款，符合现行国家及行业相关规范及标准。</w:t>
      </w:r>
    </w:p>
    <w:p w14:paraId="453D4F76">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5.1.3 工程设计文件的主要技术指标控制值及比例：</w:t>
      </w:r>
      <w:r>
        <w:rPr>
          <w:rFonts w:hint="eastAsia" w:ascii="宋体" w:hAnsi="宋体" w:cs="宋体"/>
          <w:color w:val="auto"/>
          <w:szCs w:val="21"/>
          <w:highlight w:val="none"/>
          <w:u w:val="single"/>
        </w:rPr>
        <w:t>执行通用条款，符合现行国家及行业相关规范及标准</w:t>
      </w:r>
      <w:r>
        <w:rPr>
          <w:rFonts w:hint="eastAsia" w:ascii="宋体" w:hAnsi="宋体" w:cs="宋体"/>
          <w:color w:val="auto"/>
          <w:szCs w:val="21"/>
          <w:highlight w:val="none"/>
        </w:rPr>
        <w:t xml:space="preserve">。 </w:t>
      </w:r>
    </w:p>
    <w:p w14:paraId="4B0241F2">
      <w:pPr>
        <w:spacing w:after="120" w:line="360" w:lineRule="auto"/>
        <w:ind w:firstLine="422" w:firstLineChars="200"/>
        <w:contextualSpacing/>
        <w:outlineLvl w:val="3"/>
        <w:rPr>
          <w:rFonts w:ascii="宋体" w:hAnsi="宋体" w:cs="宋体"/>
          <w:b/>
          <w:color w:val="auto"/>
          <w:szCs w:val="21"/>
          <w:highlight w:val="none"/>
        </w:rPr>
      </w:pPr>
      <w:r>
        <w:rPr>
          <w:rFonts w:hint="eastAsia" w:ascii="宋体" w:hAnsi="宋体" w:cs="宋体"/>
          <w:b/>
          <w:color w:val="auto"/>
          <w:szCs w:val="21"/>
          <w:highlight w:val="none"/>
        </w:rPr>
        <w:t>5.2 工程设计文件的要求</w:t>
      </w:r>
    </w:p>
    <w:p w14:paraId="67DB190A">
      <w:pPr>
        <w:spacing w:line="360" w:lineRule="auto"/>
        <w:ind w:firstLine="420" w:firstLineChars="200"/>
        <w:contextualSpacing/>
        <w:outlineLvl w:val="4"/>
        <w:rPr>
          <w:rFonts w:ascii="宋体" w:hAnsi="宋体" w:cs="宋体"/>
          <w:color w:val="auto"/>
          <w:szCs w:val="21"/>
          <w:highlight w:val="none"/>
          <w:u w:val="single"/>
        </w:rPr>
      </w:pPr>
      <w:r>
        <w:rPr>
          <w:rFonts w:hint="eastAsia" w:ascii="宋体" w:hAnsi="宋体" w:cs="宋体"/>
          <w:color w:val="auto"/>
          <w:szCs w:val="21"/>
          <w:highlight w:val="none"/>
        </w:rPr>
        <w:t>5.2.1 工程设计文件深度规定：</w:t>
      </w:r>
      <w:r>
        <w:rPr>
          <w:rFonts w:hint="eastAsia" w:ascii="宋体" w:hAnsi="宋体" w:cs="宋体"/>
          <w:color w:val="auto"/>
          <w:szCs w:val="21"/>
          <w:highlight w:val="none"/>
          <w:u w:val="single"/>
        </w:rPr>
        <w:t>执行通用条款，符合现行国家及行业相关规范及标准。</w:t>
      </w:r>
      <w:r>
        <w:rPr>
          <w:rFonts w:hint="eastAsia" w:ascii="宋体" w:hAnsi="宋体" w:cs="宋体"/>
          <w:color w:val="auto"/>
          <w:szCs w:val="21"/>
          <w:highlight w:val="none"/>
        </w:rPr>
        <w:t xml:space="preserve"> </w:t>
      </w:r>
    </w:p>
    <w:p w14:paraId="0F9044D8">
      <w:pPr>
        <w:spacing w:line="360" w:lineRule="auto"/>
        <w:ind w:firstLine="420" w:firstLineChars="200"/>
        <w:contextualSpacing/>
        <w:outlineLvl w:val="4"/>
        <w:rPr>
          <w:rFonts w:ascii="宋体" w:hAnsi="宋体" w:cs="宋体"/>
          <w:color w:val="auto"/>
          <w:szCs w:val="21"/>
          <w:highlight w:val="none"/>
          <w:u w:val="single"/>
        </w:rPr>
      </w:pPr>
      <w:r>
        <w:rPr>
          <w:rFonts w:hint="eastAsia" w:ascii="宋体" w:hAnsi="宋体" w:cs="宋体"/>
          <w:color w:val="auto"/>
          <w:szCs w:val="21"/>
          <w:highlight w:val="none"/>
        </w:rPr>
        <w:t>5.2.2 建筑物及其功能设施的合理使用寿命年限：</w:t>
      </w:r>
      <w:r>
        <w:rPr>
          <w:rFonts w:hint="eastAsia" w:ascii="宋体" w:hAnsi="宋体" w:cs="宋体"/>
          <w:color w:val="auto"/>
          <w:szCs w:val="21"/>
          <w:highlight w:val="none"/>
          <w:u w:val="single"/>
        </w:rPr>
        <w:t>满足法律法规要求。</w:t>
      </w:r>
    </w:p>
    <w:p w14:paraId="673446D0">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6. 工作进度与周期</w:t>
      </w:r>
    </w:p>
    <w:p w14:paraId="60434430">
      <w:pPr>
        <w:spacing w:line="360" w:lineRule="auto"/>
        <w:ind w:firstLine="422" w:firstLineChars="200"/>
        <w:contextualSpacing/>
        <w:outlineLvl w:val="3"/>
        <w:rPr>
          <w:rFonts w:ascii="宋体" w:hAnsi="宋体" w:cs="宋体"/>
          <w:b/>
          <w:bCs/>
          <w:color w:val="auto"/>
          <w:szCs w:val="21"/>
          <w:highlight w:val="none"/>
        </w:rPr>
      </w:pPr>
      <w:r>
        <w:rPr>
          <w:rFonts w:hint="eastAsia" w:ascii="宋体" w:hAnsi="宋体" w:cs="宋体"/>
          <w:b/>
          <w:bCs/>
          <w:color w:val="auto"/>
          <w:szCs w:val="21"/>
          <w:highlight w:val="none"/>
        </w:rPr>
        <w:t>6.1 工程设计进度计划</w:t>
      </w:r>
    </w:p>
    <w:p w14:paraId="5A420EBE">
      <w:pPr>
        <w:autoSpaceDE w:val="0"/>
        <w:autoSpaceDN w:val="0"/>
        <w:adjustRightInd w:val="0"/>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6.1.1 工程设计进度计划的编制</w:t>
      </w:r>
    </w:p>
    <w:p w14:paraId="378A9BDD">
      <w:pPr>
        <w:autoSpaceDE w:val="0"/>
        <w:autoSpaceDN w:val="0"/>
        <w:adjustRightInd w:val="0"/>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合同当事人约定的各项工作进度计划提交的时间：</w:t>
      </w:r>
      <w:r>
        <w:rPr>
          <w:rFonts w:hint="eastAsia" w:ascii="宋体" w:hAnsi="宋体" w:cs="宋体"/>
          <w:color w:val="auto"/>
          <w:szCs w:val="21"/>
          <w:highlight w:val="none"/>
          <w:u w:val="single"/>
        </w:rPr>
        <w:t>合同签订后</w:t>
      </w:r>
      <w:r>
        <w:rPr>
          <w:rFonts w:hint="eastAsia" w:ascii="宋体" w:hAnsi="宋体" w:cs="宋体"/>
          <w:color w:val="auto"/>
          <w:szCs w:val="21"/>
          <w:highlight w:val="none"/>
          <w:u w:val="single"/>
          <w:lang w:val="en-US" w:eastAsia="zh-CN"/>
        </w:rPr>
        <w:t>20</w:t>
      </w:r>
      <w:r>
        <w:rPr>
          <w:rFonts w:hint="eastAsia" w:ascii="宋体" w:hAnsi="宋体" w:cs="宋体"/>
          <w:color w:val="auto"/>
          <w:szCs w:val="21"/>
          <w:highlight w:val="none"/>
          <w:u w:val="single"/>
        </w:rPr>
        <w:t>日内。</w:t>
      </w:r>
    </w:p>
    <w:p w14:paraId="08BD2A49">
      <w:pPr>
        <w:autoSpaceDE w:val="0"/>
        <w:autoSpaceDN w:val="0"/>
        <w:adjustRightInd w:val="0"/>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合同当事人约定的工程设计进度计划应包括的内容：</w:t>
      </w:r>
      <w:r>
        <w:rPr>
          <w:rFonts w:hint="eastAsia" w:ascii="宋体" w:hAnsi="宋体" w:cs="宋体"/>
          <w:color w:val="auto"/>
          <w:szCs w:val="21"/>
          <w:highlight w:val="none"/>
          <w:u w:val="single"/>
        </w:rPr>
        <w:t>初步设计及概算</w:t>
      </w:r>
      <w:r>
        <w:rPr>
          <w:rFonts w:hint="eastAsia" w:ascii="宋体" w:hAnsi="宋体" w:cs="宋体"/>
          <w:color w:val="auto"/>
          <w:szCs w:val="21"/>
          <w:highlight w:val="none"/>
          <w:u w:val="single"/>
          <w:lang w:eastAsia="zh-CN"/>
        </w:rPr>
        <w:t>、</w:t>
      </w:r>
      <w:r>
        <w:rPr>
          <w:rFonts w:hint="eastAsia" w:ascii="宋体" w:hAnsi="宋体" w:cs="宋体"/>
          <w:color w:val="auto"/>
          <w:szCs w:val="21"/>
          <w:highlight w:val="none"/>
          <w:u w:val="single"/>
          <w:lang w:val="en-US" w:eastAsia="zh-CN"/>
        </w:rPr>
        <w:t>经相关专业的专家审核并按审核意见修改完成的图纸</w:t>
      </w:r>
      <w:r>
        <w:rPr>
          <w:rFonts w:hint="eastAsia" w:ascii="宋体" w:hAnsi="宋体" w:cs="宋体"/>
          <w:color w:val="auto"/>
          <w:szCs w:val="21"/>
          <w:highlight w:val="none"/>
          <w:u w:val="single"/>
        </w:rPr>
        <w:t>。</w:t>
      </w:r>
    </w:p>
    <w:p w14:paraId="2D8CC522">
      <w:pPr>
        <w:autoSpaceDE w:val="0"/>
        <w:autoSpaceDN w:val="0"/>
        <w:adjustRightInd w:val="0"/>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6.1.2 工程设计进度计划的修订</w:t>
      </w:r>
    </w:p>
    <w:p w14:paraId="272D484C">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发包人在收到工程设计进度计划后确认或提出修改意见的期限：</w:t>
      </w:r>
      <w:r>
        <w:rPr>
          <w:rFonts w:hint="eastAsia" w:ascii="宋体" w:hAnsi="宋体" w:cs="宋体"/>
          <w:color w:val="auto"/>
          <w:szCs w:val="21"/>
          <w:highlight w:val="none"/>
          <w:u w:val="single"/>
        </w:rPr>
        <w:t>3个工作日</w:t>
      </w:r>
      <w:r>
        <w:rPr>
          <w:rFonts w:hint="eastAsia" w:ascii="宋体" w:hAnsi="宋体" w:cs="宋体"/>
          <w:color w:val="auto"/>
          <w:szCs w:val="21"/>
          <w:highlight w:val="none"/>
        </w:rPr>
        <w:t>。</w:t>
      </w:r>
    </w:p>
    <w:p w14:paraId="7334A22D">
      <w:pPr>
        <w:spacing w:after="120" w:line="360" w:lineRule="auto"/>
        <w:ind w:firstLine="422" w:firstLineChars="200"/>
        <w:contextualSpacing/>
        <w:outlineLvl w:val="3"/>
        <w:rPr>
          <w:rFonts w:ascii="宋体" w:hAnsi="宋体" w:cs="宋体"/>
          <w:b/>
          <w:color w:val="auto"/>
          <w:szCs w:val="21"/>
          <w:highlight w:val="none"/>
        </w:rPr>
      </w:pPr>
      <w:r>
        <w:rPr>
          <w:rFonts w:hint="eastAsia" w:ascii="宋体" w:hAnsi="宋体" w:cs="宋体"/>
          <w:b/>
          <w:color w:val="auto"/>
          <w:szCs w:val="21"/>
          <w:highlight w:val="none"/>
        </w:rPr>
        <w:t>6.3工程进度延误</w:t>
      </w:r>
    </w:p>
    <w:p w14:paraId="1479D7F6">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6.3.1因发包人原因导致工程进度延误</w:t>
      </w:r>
    </w:p>
    <w:p w14:paraId="494D8E78">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（4）因发包人原因导致工程进度延误的其他情形：</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46609CB9">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设计人应在发生进度延误的情形后</w:t>
      </w:r>
      <w:r>
        <w:rPr>
          <w:rFonts w:hint="eastAsia" w:ascii="宋体" w:hAnsi="宋体" w:cs="宋体"/>
          <w:color w:val="auto"/>
          <w:szCs w:val="21"/>
          <w:highlight w:val="none"/>
          <w:u w:val="single"/>
        </w:rPr>
        <w:t>1</w:t>
      </w:r>
      <w:r>
        <w:rPr>
          <w:rFonts w:hint="eastAsia" w:ascii="宋体" w:hAnsi="宋体" w:cs="宋体"/>
          <w:color w:val="auto"/>
          <w:szCs w:val="21"/>
          <w:highlight w:val="none"/>
        </w:rPr>
        <w:t>天内向发包人发出要求延期的书面通知，在发生该情形后</w:t>
      </w:r>
      <w:r>
        <w:rPr>
          <w:rFonts w:hint="eastAsia" w:ascii="宋体" w:hAnsi="宋体" w:cs="宋体"/>
          <w:color w:val="auto"/>
          <w:szCs w:val="21"/>
          <w:highlight w:val="none"/>
          <w:u w:val="single"/>
        </w:rPr>
        <w:t>1</w:t>
      </w:r>
      <w:r>
        <w:rPr>
          <w:rFonts w:hint="eastAsia" w:ascii="宋体" w:hAnsi="宋体" w:cs="宋体"/>
          <w:color w:val="auto"/>
          <w:szCs w:val="21"/>
          <w:highlight w:val="none"/>
        </w:rPr>
        <w:t>天内提交要求延期的详细说明。</w:t>
      </w:r>
    </w:p>
    <w:p w14:paraId="3B7265A2">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发包人收到设计人要求延期的详细说明后，应在</w:t>
      </w:r>
      <w:r>
        <w:rPr>
          <w:rFonts w:hint="eastAsia" w:ascii="宋体" w:hAnsi="宋体" w:cs="宋体"/>
          <w:color w:val="auto"/>
          <w:szCs w:val="21"/>
          <w:highlight w:val="none"/>
          <w:u w:val="single"/>
        </w:rPr>
        <w:t>1</w:t>
      </w:r>
      <w:r>
        <w:rPr>
          <w:rFonts w:hint="eastAsia" w:ascii="宋体" w:hAnsi="宋体" w:cs="宋体"/>
          <w:color w:val="auto"/>
          <w:szCs w:val="21"/>
          <w:highlight w:val="none"/>
        </w:rPr>
        <w:t>天内进行审查并书面答复。</w:t>
      </w:r>
    </w:p>
    <w:p w14:paraId="783E90B1">
      <w:pPr>
        <w:spacing w:after="120" w:line="360" w:lineRule="auto"/>
        <w:ind w:firstLine="422" w:firstLineChars="200"/>
        <w:contextualSpacing/>
        <w:outlineLvl w:val="3"/>
        <w:rPr>
          <w:rFonts w:ascii="宋体" w:hAnsi="宋体" w:cs="宋体"/>
          <w:b/>
          <w:color w:val="auto"/>
          <w:szCs w:val="21"/>
          <w:highlight w:val="none"/>
        </w:rPr>
      </w:pPr>
      <w:r>
        <w:rPr>
          <w:rFonts w:hint="eastAsia" w:ascii="宋体" w:hAnsi="宋体" w:cs="宋体"/>
          <w:b/>
          <w:color w:val="auto"/>
          <w:szCs w:val="21"/>
          <w:highlight w:val="none"/>
        </w:rPr>
        <w:t>6.5提前交付工程设计文件资料</w:t>
      </w:r>
    </w:p>
    <w:p w14:paraId="1BB12EC9">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6.5.2提前交付工程设计文件的奖励：</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581FDF42">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7. 工程设计文件交付</w:t>
      </w:r>
    </w:p>
    <w:p w14:paraId="0FBE8C0A">
      <w:pPr>
        <w:spacing w:line="360" w:lineRule="auto"/>
        <w:ind w:firstLine="422" w:firstLineChars="200"/>
        <w:contextualSpacing/>
        <w:outlineLvl w:val="3"/>
        <w:rPr>
          <w:rFonts w:ascii="宋体" w:hAnsi="宋体" w:cs="宋体"/>
          <w:b/>
          <w:bCs/>
          <w:color w:val="auto"/>
          <w:szCs w:val="21"/>
          <w:highlight w:val="none"/>
        </w:rPr>
      </w:pPr>
      <w:r>
        <w:rPr>
          <w:rFonts w:hint="eastAsia" w:ascii="宋体" w:hAnsi="宋体" w:cs="宋体"/>
          <w:b/>
          <w:bCs/>
          <w:color w:val="auto"/>
          <w:szCs w:val="21"/>
          <w:highlight w:val="none"/>
        </w:rPr>
        <w:t>7.1 工程设计文件交付的内容及份数</w:t>
      </w:r>
    </w:p>
    <w:p w14:paraId="5054F08F">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7.1.1设计成果：设计文件一式</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份，电子光盘（可编辑的cad、PDF格式）</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份,设计成果批复意见资料：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68067AB5">
      <w:pPr>
        <w:spacing w:line="360" w:lineRule="auto"/>
        <w:ind w:firstLine="420" w:firstLineChars="200"/>
        <w:contextualSpacing/>
        <w:outlineLvl w:val="4"/>
        <w:rPr>
          <w:rFonts w:ascii="宋体" w:hAnsi="宋体" w:cs="宋体"/>
          <w:color w:val="auto"/>
          <w:szCs w:val="21"/>
          <w:highlight w:val="none"/>
        </w:rPr>
      </w:pPr>
      <w:r>
        <w:rPr>
          <w:rFonts w:hint="eastAsia" w:ascii="宋体" w:hAnsi="宋体" w:cs="宋体"/>
          <w:color w:val="auto"/>
          <w:szCs w:val="21"/>
          <w:highlight w:val="none"/>
        </w:rPr>
        <w:t>7.1.2设计人需向发包人提供本项目所需地形图一式</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份。</w:t>
      </w:r>
      <w:r>
        <w:rPr>
          <w:rFonts w:hint="eastAsia" w:ascii="宋体" w:hAnsi="宋体" w:cs="宋体"/>
          <w:color w:val="auto"/>
          <w:szCs w:val="21"/>
          <w:highlight w:val="none"/>
          <w:u w:val="none"/>
          <w:lang w:val="en-US" w:eastAsia="zh-CN"/>
        </w:rPr>
        <w:t>经相关专业的专家审核并按审核意见修改完成的图纸</w:t>
      </w:r>
      <w:r>
        <w:rPr>
          <w:rFonts w:hint="eastAsia" w:ascii="宋体" w:hAnsi="宋体" w:cs="宋体"/>
          <w:color w:val="auto"/>
          <w:szCs w:val="21"/>
          <w:highlight w:val="none"/>
          <w:u w:val="none"/>
        </w:rPr>
        <w:t>一式</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rPr>
        <w:t>份</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lang w:val="en-US" w:eastAsia="zh-CN"/>
        </w:rPr>
        <w:t>且图纸需满足施工需要</w:t>
      </w:r>
      <w:r>
        <w:rPr>
          <w:rFonts w:hint="eastAsia" w:ascii="宋体" w:hAnsi="宋体" w:cs="宋体"/>
          <w:color w:val="auto"/>
          <w:szCs w:val="21"/>
          <w:highlight w:val="none"/>
          <w:u w:val="none"/>
        </w:rPr>
        <w:t>。</w:t>
      </w:r>
    </w:p>
    <w:p w14:paraId="78AB97DD">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以上资料以发包人实际需求为准，费用不予调整。</w:t>
      </w:r>
    </w:p>
    <w:p w14:paraId="0EFD3625">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8. 工程设计文件审查</w:t>
      </w:r>
    </w:p>
    <w:p w14:paraId="2739B106">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 xml:space="preserve">8.1 发包人对设计人的设计文件审查期限不超过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w:t>
      </w:r>
    </w:p>
    <w:p w14:paraId="4CEC02E2">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8.3 发包人应在审查同意设计人的工程设计文件后在</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天内，向政府有关部门报送工程设计文件。</w:t>
      </w:r>
    </w:p>
    <w:p w14:paraId="47BFAFF5">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8.4 工程设计审查形式及时间安排：</w:t>
      </w:r>
      <w:r>
        <w:rPr>
          <w:rFonts w:hint="eastAsia" w:ascii="宋体" w:hAnsi="宋体" w:cs="宋体"/>
          <w:color w:val="auto"/>
          <w:szCs w:val="21"/>
          <w:highlight w:val="none"/>
          <w:u w:val="single"/>
        </w:rPr>
        <w:t>结合项目实际进度安排</w:t>
      </w:r>
      <w:r>
        <w:rPr>
          <w:rFonts w:hint="eastAsia" w:ascii="宋体" w:hAnsi="宋体" w:cs="宋体"/>
          <w:color w:val="auto"/>
          <w:szCs w:val="21"/>
          <w:highlight w:val="none"/>
        </w:rPr>
        <w:t>。</w:t>
      </w:r>
    </w:p>
    <w:p w14:paraId="06838144">
      <w:pPr>
        <w:keepNext/>
        <w:tabs>
          <w:tab w:val="left" w:pos="4119"/>
        </w:tabs>
        <w:adjustRightInd w:val="0"/>
        <w:snapToGrid w:val="0"/>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9. 施工现场配合服务</w:t>
      </w:r>
      <w:r>
        <w:rPr>
          <w:rFonts w:hint="eastAsia" w:ascii="宋体" w:hAnsi="宋体" w:cs="宋体"/>
          <w:b/>
          <w:color w:val="auto"/>
          <w:szCs w:val="21"/>
          <w:highlight w:val="none"/>
        </w:rPr>
        <w:tab/>
      </w:r>
    </w:p>
    <w:p w14:paraId="197893C1">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9.1 发包人为设计人派赴现场的工作人员提供便利条件的内容包括：无。</w:t>
      </w:r>
    </w:p>
    <w:p w14:paraId="342EED9B">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9.2 设计人应当在交付设计文件并经审查合格后提供施工现场配合服务。</w:t>
      </w:r>
    </w:p>
    <w:p w14:paraId="2CC1E20B">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10. 合同价款与支付</w:t>
      </w:r>
    </w:p>
    <w:p w14:paraId="07AF0BDD">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10.1合同价款</w:t>
      </w:r>
    </w:p>
    <w:p w14:paraId="4BC28E9F">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lang w:val="en-US" w:eastAsia="zh-CN"/>
        </w:rPr>
        <w:t>包干价</w:t>
      </w:r>
      <w:r>
        <w:rPr>
          <w:rFonts w:hint="eastAsia" w:ascii="宋体" w:hAnsi="宋体" w:cs="宋体"/>
          <w:color w:val="auto"/>
          <w:szCs w:val="21"/>
          <w:highlight w:val="none"/>
        </w:rPr>
        <w:t>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73D6E970">
      <w:pPr>
        <w:spacing w:line="360" w:lineRule="auto"/>
        <w:ind w:firstLine="420" w:firstLineChars="200"/>
        <w:contextualSpacing/>
        <w:outlineLvl w:val="3"/>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10.2 合同价格形式：</w:t>
      </w:r>
      <w:r>
        <w:rPr>
          <w:rFonts w:hint="eastAsia" w:ascii="宋体" w:hAnsi="宋体" w:cs="宋体"/>
          <w:color w:val="auto"/>
          <w:szCs w:val="21"/>
          <w:highlight w:val="none"/>
          <w:u w:val="single"/>
          <w:lang w:val="en-US" w:eastAsia="zh-CN"/>
        </w:rPr>
        <w:t>包干价</w:t>
      </w:r>
    </w:p>
    <w:p w14:paraId="5C82517A">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10.3 定金或预付款：</w:t>
      </w:r>
      <w:r>
        <w:rPr>
          <w:rFonts w:hint="eastAsia" w:ascii="宋体" w:hAnsi="宋体" w:cs="宋体"/>
          <w:color w:val="auto"/>
          <w:szCs w:val="21"/>
          <w:highlight w:val="none"/>
          <w:u w:val="single"/>
        </w:rPr>
        <w:t>无</w:t>
      </w:r>
    </w:p>
    <w:p w14:paraId="715756BD">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10.5合同价款的结算与支付</w:t>
      </w:r>
    </w:p>
    <w:p w14:paraId="2513537F">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10.5.1合同价款支付进度：</w:t>
      </w:r>
    </w:p>
    <w:p w14:paraId="09FC9748">
      <w:pPr>
        <w:pStyle w:val="404"/>
        <w:spacing w:line="360" w:lineRule="auto"/>
        <w:ind w:firstLine="422" w:firstLineChars="200"/>
        <w:rPr>
          <w:rFonts w:hint="eastAsia" w:ascii="宋体" w:hAnsi="宋体" w:cs="宋体"/>
          <w:b/>
          <w:bCs/>
          <w:color w:val="auto"/>
          <w:szCs w:val="21"/>
          <w:highlight w:val="none"/>
          <w:u w:val="none"/>
          <w:lang w:val="en-US" w:eastAsia="zh-CN"/>
        </w:rPr>
      </w:pPr>
      <w:r>
        <w:rPr>
          <w:rFonts w:hint="eastAsia" w:ascii="宋体" w:hAnsi="宋体"/>
          <w:b/>
          <w:bCs/>
          <w:color w:val="auto"/>
          <w:highlight w:val="none"/>
          <w:lang w:val="en-US" w:eastAsia="zh-CN"/>
        </w:rPr>
        <w:t>提交</w:t>
      </w:r>
      <w:r>
        <w:rPr>
          <w:rFonts w:hint="eastAsia" w:ascii="宋体" w:hAnsi="宋体" w:cs="宋体"/>
          <w:b/>
          <w:bCs/>
          <w:color w:val="auto"/>
          <w:szCs w:val="21"/>
          <w:highlight w:val="none"/>
          <w:u w:val="none"/>
          <w:lang w:val="en-US" w:eastAsia="zh-CN"/>
        </w:rPr>
        <w:t>初步设计成果经市级评审通过，且进场施工后支付至30%;后期拨款按照工程实施进度进行拨付，工程竣工验收后拨付至100%。</w:t>
      </w:r>
    </w:p>
    <w:p w14:paraId="4C9946BC">
      <w:pPr>
        <w:spacing w:line="360" w:lineRule="auto"/>
        <w:ind w:firstLine="411" w:firstLineChars="196"/>
        <w:contextualSpacing/>
        <w:outlineLvl w:val="4"/>
        <w:rPr>
          <w:rFonts w:ascii="宋体" w:hAnsi="宋体" w:cs="宋体"/>
          <w:color w:val="auto"/>
          <w:szCs w:val="21"/>
          <w:highlight w:val="none"/>
        </w:rPr>
      </w:pPr>
      <w:r>
        <w:rPr>
          <w:rFonts w:hint="eastAsia" w:ascii="宋体" w:hAnsi="宋体" w:cs="宋体"/>
          <w:color w:val="auto"/>
          <w:szCs w:val="21"/>
          <w:highlight w:val="none"/>
        </w:rPr>
        <w:t>10.5.2设计人指定收款账户名称须与合同签订名称一致，并在本合同内注明账户信息。如账户信息有变化，设计人应提前书面形式告知发包人并提供相关资料，否则因此造成损失的，设计人自行承担。</w:t>
      </w:r>
    </w:p>
    <w:p w14:paraId="07D03500">
      <w:pPr>
        <w:spacing w:line="360" w:lineRule="auto"/>
        <w:ind w:firstLine="411" w:firstLineChars="196"/>
        <w:contextualSpacing/>
        <w:rPr>
          <w:rFonts w:ascii="宋体" w:hAnsi="宋体" w:cs="宋体"/>
          <w:color w:val="auto"/>
          <w:szCs w:val="21"/>
          <w:highlight w:val="none"/>
        </w:rPr>
      </w:pPr>
      <w:r>
        <w:rPr>
          <w:rFonts w:hint="eastAsia" w:ascii="宋体" w:hAnsi="宋体" w:cs="宋体"/>
          <w:color w:val="auto"/>
          <w:szCs w:val="21"/>
          <w:highlight w:val="none"/>
        </w:rPr>
        <w:t>设计人账户信息：</w:t>
      </w:r>
    </w:p>
    <w:p w14:paraId="5E3C960B">
      <w:pPr>
        <w:spacing w:line="360" w:lineRule="auto"/>
        <w:ind w:firstLine="411" w:firstLineChars="196"/>
        <w:contextualSpacing/>
        <w:rPr>
          <w:rFonts w:ascii="宋体" w:hAnsi="宋体" w:cs="宋体"/>
          <w:color w:val="auto"/>
          <w:szCs w:val="21"/>
          <w:highlight w:val="none"/>
          <w:u w:val="single"/>
        </w:rPr>
      </w:pPr>
      <w:r>
        <w:rPr>
          <w:rFonts w:hint="eastAsia" w:ascii="宋体" w:hAnsi="宋体" w:cs="宋体"/>
          <w:color w:val="auto"/>
          <w:szCs w:val="21"/>
          <w:highlight w:val="none"/>
        </w:rPr>
        <w:t>开户名称：</w:t>
      </w:r>
      <w:r>
        <w:rPr>
          <w:rFonts w:hint="eastAsia" w:ascii="宋体" w:hAnsi="宋体" w:cs="宋体"/>
          <w:color w:val="auto"/>
          <w:szCs w:val="21"/>
          <w:highlight w:val="none"/>
          <w:u w:val="single"/>
        </w:rPr>
        <w:t xml:space="preserve">           </w:t>
      </w:r>
    </w:p>
    <w:p w14:paraId="4F2C5AF0">
      <w:pPr>
        <w:spacing w:line="360" w:lineRule="auto"/>
        <w:ind w:firstLine="411" w:firstLineChars="196"/>
        <w:contextualSpacing/>
        <w:rPr>
          <w:rFonts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w:t>
      </w:r>
    </w:p>
    <w:p w14:paraId="2AB4AE9D">
      <w:pPr>
        <w:spacing w:line="360" w:lineRule="auto"/>
        <w:ind w:firstLine="411" w:firstLineChars="196"/>
        <w:contextualSpacing/>
        <w:rPr>
          <w:rFonts w:ascii="宋体" w:hAnsi="宋体" w:cs="宋体"/>
          <w:color w:val="auto"/>
          <w:szCs w:val="21"/>
          <w:highlight w:val="none"/>
        </w:rPr>
      </w:pPr>
      <w:r>
        <w:rPr>
          <w:rFonts w:hint="eastAsia" w:ascii="宋体" w:hAnsi="宋体" w:cs="宋体"/>
          <w:color w:val="auto"/>
          <w:szCs w:val="21"/>
          <w:highlight w:val="none"/>
        </w:rPr>
        <w:t>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3BFD0DDE">
      <w:pPr>
        <w:spacing w:line="360" w:lineRule="auto"/>
        <w:ind w:firstLine="411" w:firstLineChars="196"/>
        <w:contextualSpacing/>
        <w:outlineLvl w:val="4"/>
        <w:rPr>
          <w:rFonts w:ascii="宋体" w:hAnsi="宋体" w:cs="宋体"/>
          <w:color w:val="auto"/>
          <w:szCs w:val="21"/>
          <w:highlight w:val="none"/>
        </w:rPr>
      </w:pPr>
      <w:r>
        <w:rPr>
          <w:rFonts w:hint="eastAsia" w:ascii="宋体" w:hAnsi="宋体" w:cs="宋体"/>
          <w:color w:val="auto"/>
          <w:szCs w:val="21"/>
          <w:highlight w:val="none"/>
        </w:rPr>
        <w:t>10.5.3发包人每次付款时，设计人均须开具符合财税要求的增值税发票，并按发包人付款管理要求办理。</w:t>
      </w:r>
    </w:p>
    <w:p w14:paraId="50654E2E">
      <w:pPr>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11. 工程设计变更与索赔</w:t>
      </w:r>
    </w:p>
    <w:p w14:paraId="1FA88DE2">
      <w:pPr>
        <w:spacing w:line="360" w:lineRule="auto"/>
        <w:ind w:firstLine="411" w:firstLineChars="196"/>
        <w:contextualSpacing/>
        <w:outlineLvl w:val="3"/>
        <w:rPr>
          <w:rFonts w:ascii="宋体" w:hAnsi="宋体" w:cs="宋体"/>
          <w:b/>
          <w:color w:val="auto"/>
          <w:szCs w:val="21"/>
          <w:highlight w:val="none"/>
        </w:rPr>
      </w:pPr>
      <w:r>
        <w:rPr>
          <w:rFonts w:hint="eastAsia" w:ascii="宋体" w:hAnsi="宋体" w:cs="宋体"/>
          <w:bCs/>
          <w:color w:val="auto"/>
          <w:szCs w:val="21"/>
          <w:highlight w:val="none"/>
        </w:rPr>
        <w:t>11.5 设计人应于认为有理由提出增加合同价款或延长设计周期的要求事项发生后</w:t>
      </w:r>
      <w:r>
        <w:rPr>
          <w:rFonts w:hint="eastAsia" w:ascii="宋体" w:hAnsi="宋体" w:cs="宋体"/>
          <w:bCs/>
          <w:color w:val="auto"/>
          <w:szCs w:val="21"/>
          <w:highlight w:val="none"/>
          <w:u w:val="single"/>
        </w:rPr>
        <w:t>1</w:t>
      </w:r>
      <w:r>
        <w:rPr>
          <w:rFonts w:hint="eastAsia" w:ascii="宋体" w:hAnsi="宋体" w:cs="宋体"/>
          <w:bCs/>
          <w:color w:val="auto"/>
          <w:szCs w:val="21"/>
          <w:highlight w:val="none"/>
        </w:rPr>
        <w:t>天内书面通知发包人。</w:t>
      </w:r>
    </w:p>
    <w:p w14:paraId="332B2470">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设计人应在该事项发生后</w:t>
      </w:r>
      <w:r>
        <w:rPr>
          <w:rFonts w:hint="eastAsia" w:ascii="宋体" w:hAnsi="宋体" w:cs="宋体"/>
          <w:color w:val="auto"/>
          <w:szCs w:val="21"/>
          <w:highlight w:val="none"/>
          <w:u w:val="single"/>
        </w:rPr>
        <w:t>1</w:t>
      </w:r>
      <w:r>
        <w:rPr>
          <w:rFonts w:hint="eastAsia" w:ascii="宋体" w:hAnsi="宋体" w:cs="宋体"/>
          <w:color w:val="auto"/>
          <w:szCs w:val="21"/>
          <w:highlight w:val="none"/>
        </w:rPr>
        <w:t>天内向发包人提供证明设计人要求的书面声明。</w:t>
      </w:r>
    </w:p>
    <w:p w14:paraId="1FEEEAF9">
      <w:pPr>
        <w:spacing w:line="360" w:lineRule="auto"/>
        <w:ind w:firstLine="411" w:firstLineChars="196"/>
        <w:contextualSpacing/>
        <w:rPr>
          <w:rFonts w:ascii="宋体" w:hAnsi="宋体" w:cs="宋体"/>
          <w:bCs/>
          <w:color w:val="auto"/>
          <w:szCs w:val="21"/>
          <w:highlight w:val="none"/>
        </w:rPr>
      </w:pPr>
      <w:r>
        <w:rPr>
          <w:rFonts w:hint="eastAsia" w:ascii="宋体" w:hAnsi="宋体" w:cs="宋体"/>
          <w:bCs/>
          <w:color w:val="auto"/>
          <w:szCs w:val="21"/>
          <w:highlight w:val="none"/>
        </w:rPr>
        <w:t>发包人应在接到设计人书面声明后的</w:t>
      </w:r>
      <w:r>
        <w:rPr>
          <w:rFonts w:hint="eastAsia" w:ascii="宋体" w:hAnsi="宋体" w:cs="宋体"/>
          <w:bCs/>
          <w:color w:val="auto"/>
          <w:szCs w:val="21"/>
          <w:highlight w:val="none"/>
          <w:u w:val="single"/>
        </w:rPr>
        <w:t>3</w:t>
      </w:r>
      <w:r>
        <w:rPr>
          <w:rFonts w:hint="eastAsia" w:ascii="宋体" w:hAnsi="宋体" w:cs="宋体"/>
          <w:bCs/>
          <w:color w:val="auto"/>
          <w:szCs w:val="21"/>
          <w:highlight w:val="none"/>
        </w:rPr>
        <w:t>天内，予以书面答复。</w:t>
      </w:r>
    </w:p>
    <w:p w14:paraId="45ED8BCF">
      <w:pPr>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12. 专业责任与保险</w:t>
      </w:r>
    </w:p>
    <w:p w14:paraId="236E0F91">
      <w:pPr>
        <w:spacing w:line="360" w:lineRule="auto"/>
        <w:ind w:firstLine="411" w:firstLineChars="196"/>
        <w:contextualSpacing/>
        <w:outlineLvl w:val="3"/>
        <w:rPr>
          <w:rFonts w:ascii="宋体" w:hAnsi="宋体" w:cs="宋体"/>
          <w:bCs/>
          <w:color w:val="auto"/>
          <w:szCs w:val="21"/>
          <w:highlight w:val="none"/>
        </w:rPr>
      </w:pPr>
      <w:r>
        <w:rPr>
          <w:rFonts w:hint="eastAsia" w:ascii="宋体" w:hAnsi="宋体" w:cs="宋体"/>
          <w:bCs/>
          <w:color w:val="auto"/>
          <w:szCs w:val="21"/>
          <w:highlight w:val="none"/>
        </w:rPr>
        <w:t>12.2 设计人</w:t>
      </w:r>
      <w:r>
        <w:rPr>
          <w:rFonts w:hint="eastAsia" w:ascii="宋体" w:hAnsi="宋体" w:cs="宋体"/>
          <w:bCs/>
          <w:color w:val="auto"/>
          <w:szCs w:val="21"/>
          <w:highlight w:val="none"/>
          <w:u w:val="single"/>
        </w:rPr>
        <w:t>需</w:t>
      </w:r>
      <w:r>
        <w:rPr>
          <w:rFonts w:hint="eastAsia" w:ascii="宋体" w:hAnsi="宋体" w:cs="宋体"/>
          <w:bCs/>
          <w:color w:val="auto"/>
          <w:szCs w:val="21"/>
          <w:highlight w:val="none"/>
        </w:rPr>
        <w:t>（需/不需）有发包人认可的工程设计责任保险。</w:t>
      </w:r>
    </w:p>
    <w:p w14:paraId="47764F3E">
      <w:pPr>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13. 知识产权</w:t>
      </w:r>
    </w:p>
    <w:p w14:paraId="0286F138">
      <w:pPr>
        <w:spacing w:line="360" w:lineRule="auto"/>
        <w:ind w:firstLine="411" w:firstLineChars="196"/>
        <w:contextualSpacing/>
        <w:outlineLvl w:val="3"/>
        <w:rPr>
          <w:rFonts w:ascii="宋体" w:hAnsi="宋体" w:cs="宋体"/>
          <w:bCs/>
          <w:color w:val="auto"/>
          <w:szCs w:val="21"/>
          <w:highlight w:val="none"/>
        </w:rPr>
      </w:pPr>
      <w:r>
        <w:rPr>
          <w:rFonts w:hint="eastAsia" w:ascii="宋体" w:hAnsi="宋体" w:cs="宋体"/>
          <w:bCs/>
          <w:color w:val="auto"/>
          <w:szCs w:val="21"/>
          <w:highlight w:val="none"/>
        </w:rPr>
        <w:t>13.1设计人保证其提交的所有成果文件符合法律法规规定，不存在侵害第三人的知识产权等合法权益的情形，否则设计人应承担因此产生的全部责任，包括但不限于第三方的索赔及相关行政处罚，发包人因此承担责任的，由设计人全额赔偿发包人损失。</w:t>
      </w:r>
    </w:p>
    <w:p w14:paraId="7B50EA8C">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为完成本合同形成的技术成果（含地形图）的所有权、知识产权、著作权（版权）属发包人所有，设计人具有署名权。未经发包人同意，设计人不得在本合同项目以外，使用发包人提供的所有相关资料、数据和设计人提交的成果，不得对本项目资料和成果进行复制、引用和发表。否则，发包人有权追究设计人的法律责任。</w:t>
      </w:r>
    </w:p>
    <w:p w14:paraId="386C8406">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关于设计人提供的上述文件的使用限制的要求：</w:t>
      </w:r>
      <w:r>
        <w:rPr>
          <w:rFonts w:hint="eastAsia" w:ascii="宋体" w:hAnsi="宋体" w:cs="宋体"/>
          <w:color w:val="auto"/>
          <w:szCs w:val="21"/>
          <w:highlight w:val="none"/>
          <w:u w:val="single"/>
        </w:rPr>
        <w:t>执行通用条款</w:t>
      </w:r>
      <w:r>
        <w:rPr>
          <w:rFonts w:hint="eastAsia" w:ascii="宋体" w:hAnsi="宋体" w:cs="宋体"/>
          <w:color w:val="auto"/>
          <w:szCs w:val="21"/>
          <w:highlight w:val="none"/>
        </w:rPr>
        <w:t>。</w:t>
      </w:r>
    </w:p>
    <w:p w14:paraId="72A89F93">
      <w:pPr>
        <w:spacing w:line="360" w:lineRule="auto"/>
        <w:ind w:firstLine="600"/>
        <w:contextualSpacing/>
        <w:outlineLvl w:val="3"/>
        <w:rPr>
          <w:rFonts w:ascii="宋体" w:hAnsi="宋体" w:cs="宋体"/>
          <w:color w:val="auto"/>
          <w:szCs w:val="21"/>
          <w:highlight w:val="none"/>
        </w:rPr>
      </w:pPr>
      <w:r>
        <w:rPr>
          <w:rFonts w:hint="eastAsia" w:ascii="宋体" w:hAnsi="宋体" w:cs="宋体"/>
          <w:color w:val="auto"/>
          <w:szCs w:val="21"/>
          <w:highlight w:val="none"/>
        </w:rPr>
        <w:t>13.2 设计人在设计过程中所采用的专利、专有技术的使用费的承担方式：</w:t>
      </w:r>
      <w:r>
        <w:rPr>
          <w:rFonts w:hint="eastAsia" w:ascii="宋体" w:hAnsi="宋体" w:cs="宋体"/>
          <w:color w:val="auto"/>
          <w:szCs w:val="21"/>
          <w:highlight w:val="none"/>
          <w:u w:val="single"/>
        </w:rPr>
        <w:t>已包含在合同价中</w:t>
      </w:r>
      <w:r>
        <w:rPr>
          <w:rFonts w:hint="eastAsia" w:ascii="宋体" w:hAnsi="宋体" w:cs="宋体"/>
          <w:color w:val="auto"/>
          <w:szCs w:val="21"/>
          <w:highlight w:val="none"/>
        </w:rPr>
        <w:t>。</w:t>
      </w:r>
    </w:p>
    <w:p w14:paraId="5FF6B5FD">
      <w:pPr>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14. 违约责任</w:t>
      </w:r>
    </w:p>
    <w:p w14:paraId="3F0B6428">
      <w:pPr>
        <w:spacing w:line="360" w:lineRule="auto"/>
        <w:ind w:firstLine="411" w:firstLineChars="196"/>
        <w:contextualSpacing/>
        <w:outlineLvl w:val="3"/>
        <w:rPr>
          <w:rFonts w:ascii="宋体" w:hAnsi="宋体" w:cs="宋体"/>
          <w:bCs/>
          <w:color w:val="auto"/>
          <w:szCs w:val="21"/>
          <w:highlight w:val="none"/>
        </w:rPr>
      </w:pPr>
      <w:r>
        <w:rPr>
          <w:rFonts w:hint="eastAsia" w:ascii="宋体" w:hAnsi="宋体" w:cs="宋体"/>
          <w:bCs/>
          <w:color w:val="auto"/>
          <w:szCs w:val="21"/>
          <w:highlight w:val="none"/>
        </w:rPr>
        <w:t>14.1 发包人违约责任</w:t>
      </w:r>
    </w:p>
    <w:p w14:paraId="65CE3B40">
      <w:pPr>
        <w:spacing w:line="360" w:lineRule="auto"/>
        <w:ind w:firstLine="411" w:firstLineChars="196"/>
        <w:contextualSpacing/>
        <w:outlineLvl w:val="4"/>
        <w:rPr>
          <w:rFonts w:ascii="宋体" w:hAnsi="宋体" w:cs="宋体"/>
          <w:bCs/>
          <w:color w:val="auto"/>
          <w:szCs w:val="21"/>
          <w:highlight w:val="none"/>
        </w:rPr>
      </w:pPr>
      <w:r>
        <w:rPr>
          <w:rFonts w:hint="eastAsia" w:ascii="宋体" w:hAnsi="宋体" w:cs="宋体"/>
          <w:bCs/>
          <w:color w:val="auto"/>
          <w:szCs w:val="21"/>
          <w:highlight w:val="none"/>
        </w:rPr>
        <w:t>14.1.1 发包人支付设计人的违约金：</w:t>
      </w:r>
      <w:r>
        <w:rPr>
          <w:rFonts w:hint="eastAsia" w:ascii="宋体" w:hAnsi="宋体" w:cs="宋体"/>
          <w:color w:val="auto"/>
          <w:szCs w:val="21"/>
          <w:highlight w:val="none"/>
          <w:u w:val="single"/>
        </w:rPr>
        <w:t>合同生效后，发包人因自身原因要求终止或解除合同，发包人向设计人支付合同价款1%的违约金</w:t>
      </w:r>
      <w:r>
        <w:rPr>
          <w:rFonts w:hint="eastAsia" w:ascii="宋体" w:hAnsi="宋体" w:cs="宋体"/>
          <w:bCs/>
          <w:color w:val="auto"/>
          <w:szCs w:val="21"/>
          <w:highlight w:val="none"/>
        </w:rPr>
        <w:t>。</w:t>
      </w:r>
    </w:p>
    <w:p w14:paraId="72CB061C">
      <w:pPr>
        <w:spacing w:line="360" w:lineRule="auto"/>
        <w:ind w:firstLine="411" w:firstLineChars="196"/>
        <w:contextualSpacing/>
        <w:outlineLvl w:val="4"/>
        <w:rPr>
          <w:rFonts w:ascii="宋体" w:hAnsi="宋体" w:cs="宋体"/>
          <w:bCs/>
          <w:color w:val="auto"/>
          <w:szCs w:val="21"/>
          <w:highlight w:val="none"/>
        </w:rPr>
      </w:pPr>
      <w:r>
        <w:rPr>
          <w:rFonts w:hint="eastAsia" w:ascii="宋体" w:hAnsi="宋体" w:cs="宋体"/>
          <w:bCs/>
          <w:color w:val="auto"/>
          <w:szCs w:val="21"/>
          <w:highlight w:val="none"/>
        </w:rPr>
        <w:t>14.1.2 发包人逾期支付设计费的违约金：</w:t>
      </w:r>
      <w:r>
        <w:rPr>
          <w:rFonts w:hint="eastAsia" w:ascii="宋体" w:hAnsi="宋体" w:cs="宋体"/>
          <w:color w:val="auto"/>
          <w:szCs w:val="21"/>
          <w:highlight w:val="none"/>
          <w:u w:val="single"/>
        </w:rPr>
        <w:t>发包人逾期支付设计费的，逾期违约金为</w:t>
      </w:r>
      <w:r>
        <w:rPr>
          <w:rFonts w:hint="eastAsia" w:ascii="宋体" w:hAnsi="宋体" w:cs="宋体"/>
          <w:bCs/>
          <w:color w:val="auto"/>
          <w:szCs w:val="21"/>
          <w:highlight w:val="none"/>
          <w:u w:val="single"/>
        </w:rPr>
        <w:t>逾期支付金额的0.1‰/天</w:t>
      </w:r>
      <w:r>
        <w:rPr>
          <w:rFonts w:hint="eastAsia" w:ascii="宋体" w:hAnsi="宋体" w:cs="宋体"/>
          <w:bCs/>
          <w:color w:val="auto"/>
          <w:szCs w:val="21"/>
          <w:highlight w:val="none"/>
        </w:rPr>
        <w:t>。</w:t>
      </w:r>
    </w:p>
    <w:p w14:paraId="1E82CABC">
      <w:pPr>
        <w:spacing w:line="360" w:lineRule="auto"/>
        <w:ind w:firstLine="411" w:firstLineChars="196"/>
        <w:contextualSpacing/>
        <w:outlineLvl w:val="3"/>
        <w:rPr>
          <w:rFonts w:ascii="宋体" w:hAnsi="宋体" w:cs="宋体"/>
          <w:bCs/>
          <w:color w:val="auto"/>
          <w:szCs w:val="21"/>
          <w:highlight w:val="none"/>
        </w:rPr>
      </w:pPr>
      <w:r>
        <w:rPr>
          <w:rFonts w:hint="eastAsia" w:ascii="宋体" w:hAnsi="宋体" w:cs="宋体"/>
          <w:bCs/>
          <w:color w:val="auto"/>
          <w:szCs w:val="21"/>
          <w:highlight w:val="none"/>
        </w:rPr>
        <w:t>14.2 设计人违约责任</w:t>
      </w:r>
    </w:p>
    <w:p w14:paraId="3D558230">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14.2.1 设计人支付发包人的违约金：</w:t>
      </w:r>
      <w:r>
        <w:rPr>
          <w:rFonts w:hint="eastAsia" w:ascii="宋体" w:hAnsi="宋体" w:cs="宋体"/>
          <w:color w:val="auto"/>
          <w:szCs w:val="21"/>
          <w:highlight w:val="none"/>
          <w:u w:val="single"/>
        </w:rPr>
        <w:t>合同生效后，设计人因自身原因要求终止或解除合同，设计人向发包人支付合同价款30%的违约金，并赔偿由此给发包人造成的损失。</w:t>
      </w:r>
    </w:p>
    <w:p w14:paraId="40C966F4">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14.2.2 设计人逾期交付工程设计文件的违约金：</w:t>
      </w:r>
      <w:r>
        <w:rPr>
          <w:rFonts w:hint="eastAsia" w:ascii="宋体" w:hAnsi="宋体" w:cs="宋体"/>
          <w:color w:val="auto"/>
          <w:szCs w:val="21"/>
          <w:highlight w:val="none"/>
          <w:u w:val="single"/>
        </w:rPr>
        <w:t>由于设计人自身原因，延误了本合同规定的设计文件的交付时间，逾期违约金为10000元/天，延误时间超过10天，发包人有权解除合同，</w:t>
      </w:r>
      <w:r>
        <w:rPr>
          <w:rStyle w:val="61"/>
          <w:rFonts w:hint="eastAsia" w:ascii="Times New Roman" w:hAnsi="Times New Roman" w:cs="Times New Roman"/>
          <w:color w:val="auto"/>
          <w:kern w:val="0"/>
          <w:highlight w:val="none"/>
          <w:lang w:val="en-US" w:eastAsia="zh-CN"/>
        </w:rPr>
        <w:t>发包人</w:t>
      </w:r>
      <w:r>
        <w:rPr>
          <w:rFonts w:hint="eastAsia" w:ascii="宋体" w:hAnsi="宋体" w:cs="宋体"/>
          <w:color w:val="auto"/>
          <w:szCs w:val="21"/>
          <w:highlight w:val="none"/>
          <w:u w:val="single"/>
        </w:rPr>
        <w:t>有权要求设计人按合同价款的20%向发包人支付违约金，设计人已完成的工作成果归发包人所有，设计人已完成的工作量不予确认、结算，设计人须按发包人要求无条件退场，移交相关资料。</w:t>
      </w:r>
    </w:p>
    <w:p w14:paraId="737C9643">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rPr>
        <w:t>设计人逾期交付工程设计文件的违约金的上限：</w:t>
      </w:r>
      <w:r>
        <w:rPr>
          <w:rFonts w:hint="eastAsia" w:ascii="宋体" w:hAnsi="宋体" w:cs="宋体"/>
          <w:color w:val="auto"/>
          <w:szCs w:val="21"/>
          <w:highlight w:val="none"/>
          <w:u w:val="single"/>
        </w:rPr>
        <w:t>/</w:t>
      </w:r>
      <w:r>
        <w:rPr>
          <w:rFonts w:hint="eastAsia" w:ascii="宋体" w:hAnsi="宋体" w:cs="宋体"/>
          <w:color w:val="auto"/>
          <w:szCs w:val="21"/>
          <w:highlight w:val="none"/>
        </w:rPr>
        <w:t xml:space="preserve">。    </w:t>
      </w:r>
    </w:p>
    <w:p w14:paraId="40F5BB60">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14.2.3 设计人设计文件不合格的损失赔偿金的上限：</w:t>
      </w:r>
      <w:r>
        <w:rPr>
          <w:rFonts w:hint="eastAsia" w:ascii="宋体" w:hAnsi="宋体" w:cs="宋体"/>
          <w:color w:val="auto"/>
          <w:szCs w:val="21"/>
          <w:highlight w:val="none"/>
          <w:u w:val="single"/>
        </w:rPr>
        <w:t>按所造成的损失全额赔偿</w:t>
      </w:r>
      <w:r>
        <w:rPr>
          <w:rFonts w:hint="eastAsia" w:ascii="宋体" w:hAnsi="宋体" w:cs="宋体"/>
          <w:color w:val="auto"/>
          <w:szCs w:val="21"/>
          <w:highlight w:val="none"/>
        </w:rPr>
        <w:t>。</w:t>
      </w:r>
    </w:p>
    <w:p w14:paraId="6BD66C1A">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设计人应按照合同约定交付符合合同约定质量标准的设计文件，若设计文件不符合合同约定的，设计人应在合同约定期限内无条件整改，直至合格，且产生的费用由设计人自行承担。因自身原因，设计人超过合同约定期限提交设计文件的，除按照专用条款14.2.2条承担违约责任外，并赔偿因此给发包人造成的损失。</w:t>
      </w:r>
    </w:p>
    <w:p w14:paraId="130770B5">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14.2.4设计人未经发包人同意擅自对工程进行分包的违约责任：</w:t>
      </w:r>
      <w:r>
        <w:rPr>
          <w:rFonts w:hint="eastAsia" w:ascii="宋体" w:hAnsi="宋体" w:cs="宋体"/>
          <w:color w:val="auto"/>
          <w:szCs w:val="21"/>
          <w:highlight w:val="none"/>
          <w:u w:val="single"/>
        </w:rPr>
        <w:t>设计人不得进行任何形式的转包。未经发包人的书面同意，设计人不得进行分包，如需对项目进行分包，分包企业须具备相应专项资质且须经发包人认可后才能进行分包。分包过程中所产生的</w:t>
      </w:r>
      <w:r>
        <w:rPr>
          <w:rFonts w:hint="eastAsia" w:ascii="宋体" w:hAnsi="宋体" w:cs="宋体"/>
          <w:bCs/>
          <w:color w:val="auto"/>
          <w:szCs w:val="21"/>
          <w:highlight w:val="none"/>
          <w:u w:val="single"/>
        </w:rPr>
        <w:t>一切费用（包括但不限于专家评审费、审核备案涉及费用、按相关部门要求办理相关手续所发生的费用等）</w:t>
      </w:r>
      <w:r>
        <w:rPr>
          <w:rFonts w:hint="eastAsia" w:ascii="宋体" w:hAnsi="宋体" w:cs="宋体"/>
          <w:color w:val="auto"/>
          <w:szCs w:val="21"/>
          <w:highlight w:val="none"/>
          <w:u w:val="single"/>
        </w:rPr>
        <w:t>已包含在设计费中，发包人不再另行支付，</w:t>
      </w:r>
      <w:r>
        <w:rPr>
          <w:rFonts w:hint="eastAsia" w:ascii="宋体" w:hAnsi="宋体" w:cs="宋体"/>
          <w:bCs/>
          <w:color w:val="auto"/>
          <w:szCs w:val="21"/>
          <w:highlight w:val="none"/>
          <w:u w:val="single"/>
        </w:rPr>
        <w:t>均由设计人承担</w:t>
      </w:r>
      <w:r>
        <w:rPr>
          <w:rFonts w:hint="eastAsia" w:ascii="宋体" w:hAnsi="宋体" w:cs="宋体"/>
          <w:color w:val="auto"/>
          <w:szCs w:val="21"/>
          <w:highlight w:val="none"/>
          <w:u w:val="single"/>
        </w:rPr>
        <w:t>。设计人有任何形式的转包或未经发包人书面同意的分包行为，发包人有权解除合同，并按合同约定设计费的30%收取违约金，如违约金不足以补偿发包人损失的，设计人应赔偿发包人的实际损失</w:t>
      </w:r>
      <w:r>
        <w:rPr>
          <w:rFonts w:hint="eastAsia" w:ascii="宋体" w:hAnsi="宋体" w:cs="宋体"/>
          <w:color w:val="auto"/>
          <w:szCs w:val="21"/>
          <w:highlight w:val="none"/>
        </w:rPr>
        <w:t>。</w:t>
      </w:r>
    </w:p>
    <w:p w14:paraId="2C2D9D2E">
      <w:pPr>
        <w:spacing w:line="360" w:lineRule="auto"/>
        <w:ind w:firstLine="420" w:firstLineChars="200"/>
        <w:contextualSpacing/>
        <w:rPr>
          <w:rFonts w:ascii="宋体" w:hAnsi="宋体" w:cs="宋体"/>
          <w:color w:val="auto"/>
          <w:szCs w:val="21"/>
          <w:highlight w:val="none"/>
          <w:u w:val="single"/>
        </w:rPr>
      </w:pPr>
      <w:r>
        <w:rPr>
          <w:rFonts w:hint="eastAsia" w:ascii="宋体" w:hAnsi="宋体" w:cs="宋体"/>
          <w:color w:val="auto"/>
          <w:szCs w:val="21"/>
          <w:highlight w:val="none"/>
          <w:u w:val="single"/>
        </w:rPr>
        <w:t>14.2.6设计人投标书承诺的项目人员不得更换，并且项目人员必须跟投标文件拟派人员一致，如果设计人擅自更换项目人员或项目人员跟投标文件拟派人员不一致的，发包人有权解除合同，并有权要求设计人按专用条款3.3条的约定承担违约责任。</w:t>
      </w:r>
    </w:p>
    <w:p w14:paraId="661EBCDF">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u w:val="single"/>
        </w:rPr>
        <w:t>14.2.7设计人必须保证至少1名设计人员常驻现场，且驻场人员固定，不得随意更换。驻场人员未经发包人同意，擅自离场的，发包人有权对设计人处以20000元/人/次的违约金。项目现场出现的设计技术问题，设计人须在接到问题后24小时内给予书面答复。设计人派驻现场人员须参与每周的项目例会，否则发包人有权对设计人处以20000元/次的违约金</w:t>
      </w:r>
      <w:r>
        <w:rPr>
          <w:rFonts w:hint="eastAsia" w:ascii="宋体" w:hAnsi="宋体" w:cs="宋体"/>
          <w:color w:val="auto"/>
          <w:szCs w:val="21"/>
          <w:highlight w:val="none"/>
        </w:rPr>
        <w:t>。</w:t>
      </w:r>
    </w:p>
    <w:p w14:paraId="7B6B4C27">
      <w:pPr>
        <w:adjustRightInd w:val="0"/>
        <w:snapToGrid w:val="0"/>
        <w:spacing w:line="360" w:lineRule="auto"/>
        <w:contextualSpacing/>
        <w:outlineLvl w:val="2"/>
        <w:rPr>
          <w:rFonts w:ascii="宋体" w:hAnsi="宋体" w:cs="宋体"/>
          <w:b/>
          <w:color w:val="auto"/>
          <w:szCs w:val="21"/>
          <w:highlight w:val="none"/>
        </w:rPr>
      </w:pPr>
      <w:r>
        <w:rPr>
          <w:rFonts w:hint="eastAsia" w:ascii="宋体" w:hAnsi="宋体" w:cs="宋体"/>
          <w:b/>
          <w:color w:val="auto"/>
          <w:szCs w:val="21"/>
          <w:highlight w:val="none"/>
        </w:rPr>
        <w:t xml:space="preserve">15. 不可抗力 </w:t>
      </w:r>
    </w:p>
    <w:p w14:paraId="3DE37CA6">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15.1 不可抗力的确认</w:t>
      </w:r>
    </w:p>
    <w:p w14:paraId="3E31FC48">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除通用合同条款约定的不可抗力事件之外，视为不可抗力的其他情形：</w:t>
      </w:r>
      <w:r>
        <w:rPr>
          <w:rFonts w:hint="eastAsia" w:ascii="宋体" w:hAnsi="宋体" w:cs="宋体"/>
          <w:color w:val="auto"/>
          <w:szCs w:val="21"/>
          <w:highlight w:val="none"/>
          <w:u w:val="single"/>
        </w:rPr>
        <w:t>/</w:t>
      </w:r>
      <w:r>
        <w:rPr>
          <w:rFonts w:hint="eastAsia" w:ascii="宋体" w:hAnsi="宋体" w:cs="宋体"/>
          <w:color w:val="auto"/>
          <w:szCs w:val="21"/>
          <w:highlight w:val="none"/>
        </w:rPr>
        <w:t>。</w:t>
      </w:r>
    </w:p>
    <w:p w14:paraId="573630EE">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16. 合同解除</w:t>
      </w:r>
    </w:p>
    <w:p w14:paraId="576649A2">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16.2 有下列情形之一的，可以解除合同：</w:t>
      </w:r>
    </w:p>
    <w:p w14:paraId="24AC0B5A">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若因项目实施主体、项目实施计划或其他客观原因需终止设计的，由甲方以正式函件的形式通知乙方终止设计，解除合同并按已发生的实际工作量进行结算。</w:t>
      </w:r>
    </w:p>
    <w:p w14:paraId="25EADED3">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16.4 发包人向设计人支付已完工作设计费的期限为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天内。</w:t>
      </w:r>
    </w:p>
    <w:p w14:paraId="36AFE229">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17. 争议解决</w:t>
      </w:r>
    </w:p>
    <w:p w14:paraId="1547E4F4">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17.4仲裁或诉讼</w:t>
      </w:r>
    </w:p>
    <w:p w14:paraId="051AC656">
      <w:pPr>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因合同及合同有关事项发生的争议，按下列第</w:t>
      </w:r>
      <w:r>
        <w:rPr>
          <w:rFonts w:hint="eastAsia" w:ascii="宋体" w:hAnsi="宋体" w:cs="宋体"/>
          <w:color w:val="auto"/>
          <w:szCs w:val="21"/>
          <w:highlight w:val="none"/>
          <w:u w:val="single"/>
        </w:rPr>
        <w:t>（2）</w:t>
      </w:r>
      <w:r>
        <w:rPr>
          <w:rFonts w:hint="eastAsia" w:ascii="宋体" w:hAnsi="宋体" w:cs="宋体"/>
          <w:color w:val="auto"/>
          <w:szCs w:val="21"/>
          <w:highlight w:val="none"/>
        </w:rPr>
        <w:t>种方式解决：</w:t>
      </w:r>
    </w:p>
    <w:p w14:paraId="4450F46F">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（1）向</w:t>
      </w:r>
      <w:r>
        <w:rPr>
          <w:rFonts w:hint="eastAsia" w:ascii="宋体" w:hAnsi="宋体" w:cs="宋体"/>
          <w:color w:val="auto"/>
          <w:szCs w:val="21"/>
          <w:highlight w:val="none"/>
          <w:u w:val="single"/>
        </w:rPr>
        <w:t>/</w:t>
      </w:r>
      <w:r>
        <w:rPr>
          <w:rFonts w:hint="eastAsia" w:ascii="宋体" w:hAnsi="宋体" w:cs="宋体"/>
          <w:color w:val="auto"/>
          <w:szCs w:val="21"/>
          <w:highlight w:val="none"/>
        </w:rPr>
        <w:t>仲裁委员会申请仲裁；</w:t>
      </w:r>
    </w:p>
    <w:p w14:paraId="044625C0">
      <w:pPr>
        <w:spacing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（2）向</w:t>
      </w:r>
      <w:r>
        <w:rPr>
          <w:rFonts w:hint="eastAsia" w:ascii="宋体" w:hAnsi="宋体" w:cs="宋体"/>
          <w:color w:val="auto"/>
          <w:szCs w:val="21"/>
          <w:highlight w:val="none"/>
          <w:u w:val="single"/>
        </w:rPr>
        <w:t>项目所在地</w:t>
      </w:r>
      <w:r>
        <w:rPr>
          <w:rFonts w:hint="eastAsia" w:ascii="宋体" w:hAnsi="宋体" w:cs="宋体"/>
          <w:color w:val="auto"/>
          <w:szCs w:val="21"/>
          <w:highlight w:val="none"/>
        </w:rPr>
        <w:t>人民法院起诉，违约方承担，包括但不限于诉讼费、保全费、执行费、保全担保费、律师费、交通差旅费等为维权而发生费用。</w:t>
      </w:r>
    </w:p>
    <w:p w14:paraId="0F4469BA">
      <w:pPr>
        <w:spacing w:line="360" w:lineRule="auto"/>
        <w:contextualSpacing/>
        <w:outlineLvl w:val="2"/>
        <w:rPr>
          <w:rFonts w:ascii="宋体" w:hAnsi="宋体" w:cs="宋体"/>
          <w:b/>
          <w:bCs/>
          <w:color w:val="auto"/>
          <w:szCs w:val="21"/>
          <w:highlight w:val="none"/>
        </w:rPr>
      </w:pPr>
      <w:r>
        <w:rPr>
          <w:rFonts w:hint="eastAsia" w:ascii="宋体" w:hAnsi="宋体" w:cs="宋体"/>
          <w:b/>
          <w:bCs/>
          <w:color w:val="auto"/>
          <w:szCs w:val="21"/>
          <w:highlight w:val="none"/>
        </w:rPr>
        <w:t>18. 其他</w:t>
      </w:r>
    </w:p>
    <w:p w14:paraId="2D8CA46C">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18.1发包人要求承包人派专人长期驻施工现场进行配合与解决有关问题时，发包人不再支付任何费用。</w:t>
      </w:r>
    </w:p>
    <w:p w14:paraId="04C7CE56">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18.2承包人为本合同项目的服务期自本合同签订之日起至竣工验收合格，且缺陷责任期或质量保修期届满为止。</w:t>
      </w:r>
    </w:p>
    <w:p w14:paraId="14A2307D">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18.3本工程项目中，设计人不得指定建筑材料、设备的生产厂或供货商。发包人需要设计人配合建筑材料、设备的加工订货时，设计人应配合，不得收取任何费用。</w:t>
      </w:r>
    </w:p>
    <w:p w14:paraId="308EE2E7">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1</w:t>
      </w:r>
      <w:r>
        <w:rPr>
          <w:rFonts w:ascii="宋体" w:hAnsi="宋体" w:cs="宋体"/>
          <w:color w:val="auto"/>
          <w:szCs w:val="22"/>
          <w:highlight w:val="none"/>
        </w:rPr>
        <w:t>8.4</w:t>
      </w:r>
      <w:r>
        <w:rPr>
          <w:rFonts w:hint="eastAsia" w:ascii="宋体" w:hAnsi="宋体" w:cs="宋体"/>
          <w:color w:val="auto"/>
          <w:szCs w:val="22"/>
          <w:highlight w:val="none"/>
        </w:rPr>
        <w:t>施工图设计在初步设计的基础上深化，不得擅自调整建设内容、相关参数、质量、标准</w:t>
      </w:r>
      <w:r>
        <w:rPr>
          <w:rFonts w:ascii="宋体" w:hAnsi="宋体" w:cs="宋体"/>
          <w:color w:val="auto"/>
          <w:szCs w:val="22"/>
          <w:highlight w:val="none"/>
        </w:rPr>
        <w:t>，</w:t>
      </w:r>
      <w:r>
        <w:rPr>
          <w:rFonts w:hint="eastAsia" w:ascii="宋体" w:hAnsi="宋体" w:cs="宋体"/>
          <w:color w:val="auto"/>
          <w:szCs w:val="22"/>
          <w:highlight w:val="none"/>
        </w:rPr>
        <w:t>仅</w:t>
      </w:r>
      <w:r>
        <w:rPr>
          <w:rFonts w:ascii="宋体" w:hAnsi="宋体" w:cs="宋体"/>
          <w:color w:val="auto"/>
          <w:szCs w:val="22"/>
          <w:highlight w:val="none"/>
        </w:rPr>
        <w:t>对已有的初步设计图纸进行深化和微调，使其满足施工要求</w:t>
      </w:r>
      <w:r>
        <w:rPr>
          <w:rFonts w:hint="eastAsia" w:ascii="宋体" w:hAnsi="宋体" w:cs="宋体"/>
          <w:color w:val="auto"/>
          <w:szCs w:val="22"/>
          <w:highlight w:val="none"/>
        </w:rPr>
        <w:t>。如果擅自调整导致的成本增加由承包方自行承担，且发包人有权要求承包人恢复初步设计的参数、标准，产生的费用由承包人自行承担。</w:t>
      </w:r>
    </w:p>
    <w:p w14:paraId="259BA912">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项目实施过程中需设计优化的情况，承包人需向监理人书面提交合理化建议说明，说明建议的内容和理由，以及实施该建议对合同价格和工期的影响。</w:t>
      </w:r>
    </w:p>
    <w:p w14:paraId="4197331E">
      <w:pPr>
        <w:spacing w:line="360" w:lineRule="auto"/>
        <w:ind w:firstLine="420" w:firstLineChars="200"/>
        <w:rPr>
          <w:rFonts w:ascii="宋体" w:hAnsi="宋体" w:cs="宋体"/>
          <w:color w:val="auto"/>
          <w:szCs w:val="21"/>
          <w:highlight w:val="none"/>
        </w:rPr>
      </w:pPr>
      <w:r>
        <w:rPr>
          <w:rFonts w:hint="eastAsia" w:ascii="宋体" w:hAnsi="宋体" w:cs="宋体"/>
          <w:color w:val="auto"/>
          <w:szCs w:val="22"/>
          <w:highlight w:val="none"/>
        </w:rPr>
        <w:t>设计优化的所有内容由监理人、发包人审批同意后才可以实施，必要时需初步</w:t>
      </w:r>
      <w:r>
        <w:rPr>
          <w:rFonts w:ascii="宋体" w:hAnsi="宋体" w:cs="宋体"/>
          <w:color w:val="auto"/>
          <w:szCs w:val="22"/>
          <w:highlight w:val="none"/>
        </w:rPr>
        <w:t>设计单位的同意和批准</w:t>
      </w:r>
      <w:r>
        <w:rPr>
          <w:rFonts w:hint="eastAsia" w:ascii="宋体" w:hAnsi="宋体" w:cs="宋体"/>
          <w:color w:val="auto"/>
          <w:szCs w:val="22"/>
          <w:highlight w:val="none"/>
        </w:rPr>
        <w:t>（由发包人判断）。如未经审批就擅自实施的，发包人有权要求承包人返工，由此增加的费用和（或）延误的工期由承包人承担。</w:t>
      </w:r>
    </w:p>
    <w:p w14:paraId="5A8D17D2">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8.5</w:t>
      </w:r>
      <w:r>
        <w:rPr>
          <w:rFonts w:hint="eastAsia" w:ascii="宋体" w:hAnsi="宋体" w:cs="宋体"/>
          <w:color w:val="auto"/>
          <w:szCs w:val="21"/>
          <w:highlight w:val="none"/>
        </w:rPr>
        <w:t>其他约定条款：</w:t>
      </w:r>
    </w:p>
    <w:p w14:paraId="408E2CB5">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a设计人应按国家规定和合同约定的技术规范、标准进行设计，按本合同约定的内容、时间及份数向发包人交付设计文件，并对提交的文件的质量、正确性、及时性、合法性负责。</w:t>
      </w:r>
    </w:p>
    <w:p w14:paraId="092AC8B1">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 xml:space="preserve">b设计合理使用年限为按国家相关规定执行。 </w:t>
      </w:r>
    </w:p>
    <w:p w14:paraId="77A642B8">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c设计人对成果文件出现的遗漏或错误负责修改或补充。由于设计人错误造成工程质量事故损失，设计人除负责采取补救措施外，应免收受损失部分的费用，并根据损失的实际数额向发包人进行赔偿，同时按本合同约定设计费总额的20%向发包人支付违约金。</w:t>
      </w:r>
    </w:p>
    <w:p w14:paraId="7F9E35DB">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d由于设计人原因，延误了成果文件交付时间，每延误一天，处以人民币10000元的违约金，延误时间超过10天，发包人有权终止合同，设计人无条件退场</w:t>
      </w:r>
      <w:r>
        <w:rPr>
          <w:rFonts w:hint="eastAsia" w:ascii="宋体" w:hAnsi="宋体" w:cs="宋体"/>
          <w:color w:val="auto"/>
          <w:szCs w:val="22"/>
          <w:highlight w:val="none"/>
          <w:lang w:eastAsia="zh-CN"/>
        </w:rPr>
        <w:t>，</w:t>
      </w:r>
      <w:r>
        <w:rPr>
          <w:rFonts w:hint="eastAsia" w:ascii="宋体" w:hAnsi="宋体" w:cs="宋体"/>
          <w:color w:val="auto"/>
          <w:szCs w:val="22"/>
          <w:highlight w:val="none"/>
          <w:lang w:val="en-US" w:eastAsia="zh-CN"/>
        </w:rPr>
        <w:t>发包人</w:t>
      </w:r>
      <w:r>
        <w:rPr>
          <w:rFonts w:hint="eastAsia" w:ascii="宋体" w:hAnsi="宋体" w:cs="宋体"/>
          <w:color w:val="auto"/>
          <w:szCs w:val="22"/>
          <w:highlight w:val="none"/>
        </w:rPr>
        <w:t>有权要求设计人按设计费总额的20%向发包人支付违约金，设计人已完成的工作成果归发包人所有，设计人已完成的工作量不予确认、结算，设计人须按发包人要求无条件退场，移交相关资料。</w:t>
      </w:r>
    </w:p>
    <w:p w14:paraId="59638EF5">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e设计人交付成果文件后，按规定参加有关上级主管部门的会议并根据审查结论负责不超出原定范围的内容做必要调整补充。设计人按合同约定时限交付设计文件，负责向发包人及施工单位进行设计交底、处理有关设计问题和参加竣工验收。</w:t>
      </w:r>
    </w:p>
    <w:p w14:paraId="11DF65B2">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f设计人项目负责人，在发包人提出问题后12小时内应做出响应，并及时解决施工现场出现的设计问题。设计人驻场设计代表必须常驻现场。设计人项目负责人离开昆明时，应提前3天通知发包人，经发包人</w:t>
      </w:r>
      <w:r>
        <w:rPr>
          <w:rFonts w:hint="eastAsia" w:ascii="宋体" w:hAnsi="宋体" w:cs="宋体"/>
          <w:color w:val="auto"/>
          <w:spacing w:val="-6"/>
          <w:szCs w:val="22"/>
          <w:highlight w:val="none"/>
        </w:rPr>
        <w:t>书面同意方可离开，同时设计人应指定临时设计负责人，该临时设计负责人必须经过发包人书面同意认可。</w:t>
      </w:r>
    </w:p>
    <w:p w14:paraId="6DB046C9">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g设计人不得随意更改项目负责人、技术负责人和主要设计人员。</w:t>
      </w:r>
    </w:p>
    <w:p w14:paraId="4E991F55">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h设计人有参加有关部门组织的设计审查会议的义务，并有协助发包人向政府有关部门进行汇报的义务。</w:t>
      </w:r>
    </w:p>
    <w:p w14:paraId="1F6D32FB">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i项目实施过程中，如遇非发包人原因导致的项目调整，若发包人要求设计人做出相应调整的，设计人应无条件予以配合。</w:t>
      </w:r>
    </w:p>
    <w:p w14:paraId="31228BC4">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j如遇设计变更，应在提交设计变更前书面通知发包人，经发包人审核通过后再行变更。</w:t>
      </w:r>
    </w:p>
    <w:p w14:paraId="0876CC75">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k发包人享有设计成果的知识产权、著作权和版权，设计人不得侵害发包人知识产权；设计人保证设计成果文件不侵害第三人的知识产权等合法权益情形，否则应承担相关责任，包括第三方的索赔、相关行政处罚。由此给发包人造成损失的，设计人应据实赔偿。</w:t>
      </w:r>
    </w:p>
    <w:p w14:paraId="1DF6E00D">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l设计人按质、按量、按时提交设计资料及文件（含可编辑的CAD电子版），每一阶段的设计成果均需由发包人书面确认。设计人就发包人、相关部门设计成果的调整要求及建议须在5个工作日内做出回应或确认，并在发包人或相关部门要求的限期内完成调整、修改。若经过两次修改、调整仍不能满足发包人及相关部门要求，或超过发包人或相关部门限期7日未调整、修改完毕。发包人保留因此解除合同或采取其他方式追究设计人责任的权利。</w:t>
      </w:r>
    </w:p>
    <w:p w14:paraId="32A6A232">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m设计人不得伪造、变造或使用不真实的合同文件、资料、支付申请、有关人员签字、签章或其任一组成部分，设计人自愿双倍承担发包人因此造成的损失并向发包人交付当期应付合同款项5%的违约金。发包人保留因此解除合同或采取其他方式追究设计人责任的权利。</w:t>
      </w:r>
    </w:p>
    <w:p w14:paraId="665B268A">
      <w:pPr>
        <w:spacing w:line="360" w:lineRule="auto"/>
        <w:ind w:firstLine="420" w:firstLineChars="200"/>
        <w:rPr>
          <w:rFonts w:ascii="宋体" w:hAnsi="宋体" w:cs="宋体"/>
          <w:color w:val="auto"/>
          <w:szCs w:val="22"/>
          <w:highlight w:val="none"/>
        </w:rPr>
      </w:pPr>
      <w:r>
        <w:rPr>
          <w:rFonts w:hint="eastAsia" w:ascii="宋体" w:hAnsi="宋体" w:cs="宋体"/>
          <w:color w:val="auto"/>
          <w:szCs w:val="22"/>
          <w:highlight w:val="none"/>
        </w:rPr>
        <w:t>n由于设计人设计错误造成工程质量事故损失，设计人除负责采取补救措施外，应免收受损失部分的设计费，并根据损失的实际数额向发包人赔偿。设计人设计文件不合格的损失赔偿金的上限：按所造成的损失全额赔偿。</w:t>
      </w:r>
    </w:p>
    <w:p w14:paraId="14FFE0AD">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2"/>
          <w:highlight w:val="none"/>
        </w:rPr>
        <w:t>o设计人应按照合同约定交付符合合同约定质量标准的设计文件，若设计文件不符合合同约定的，设计人应在合同约定期限内无条件整改，直至合格，且产生的费用由设计人自行承担。</w:t>
      </w:r>
    </w:p>
    <w:p w14:paraId="623B80DB">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18.6由于不可抗力因素致使合同无法履行时，双方应及时协商解决，且互不承担违约责任。</w:t>
      </w:r>
    </w:p>
    <w:p w14:paraId="0735A2D5">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18.7双方认可的来往传真、邮件、会议纪要等，均为合同的组成部份，与本合同具有同等法律效力。</w:t>
      </w:r>
    </w:p>
    <w:p w14:paraId="4E88F148">
      <w:pPr>
        <w:spacing w:line="360" w:lineRule="auto"/>
        <w:ind w:firstLine="420" w:firstLineChars="200"/>
        <w:contextualSpacing/>
        <w:outlineLvl w:val="3"/>
        <w:rPr>
          <w:rFonts w:ascii="宋体" w:hAnsi="宋体" w:cs="宋体"/>
          <w:color w:val="auto"/>
          <w:szCs w:val="21"/>
          <w:highlight w:val="none"/>
        </w:rPr>
      </w:pPr>
      <w:r>
        <w:rPr>
          <w:rFonts w:hint="eastAsia" w:ascii="宋体" w:hAnsi="宋体" w:cs="宋体"/>
          <w:color w:val="auto"/>
          <w:szCs w:val="21"/>
          <w:highlight w:val="none"/>
        </w:rPr>
        <w:t>18.8未尽事宜，经双方协商一致，签订补充协议，补充协议与本合同具有同等效力。</w:t>
      </w:r>
    </w:p>
    <w:p w14:paraId="332B3A89">
      <w:pPr>
        <w:spacing w:line="360" w:lineRule="auto"/>
        <w:ind w:firstLine="420" w:firstLineChars="200"/>
        <w:contextualSpacing/>
        <w:outlineLvl w:val="3"/>
        <w:rPr>
          <w:rFonts w:ascii="宋体" w:hAnsi="宋体" w:cs="宋体"/>
          <w:color w:val="auto"/>
          <w:sz w:val="22"/>
          <w:szCs w:val="18"/>
          <w:highlight w:val="none"/>
        </w:rPr>
      </w:pPr>
      <w:r>
        <w:rPr>
          <w:rFonts w:hint="eastAsia" w:ascii="宋体" w:hAnsi="宋体" w:cs="宋体"/>
          <w:color w:val="auto"/>
          <w:szCs w:val="21"/>
          <w:highlight w:val="none"/>
        </w:rPr>
        <w:t>18.9合同签署处所载的联系地址、电话为双方法律文件寄送地址，相关法律文件按该地址寄出3个工作日后，即可视为已送达对方。</w:t>
      </w:r>
    </w:p>
    <w:p w14:paraId="26A55C0B">
      <w:pPr>
        <w:adjustRightInd w:val="0"/>
        <w:snapToGrid w:val="0"/>
        <w:spacing w:line="360" w:lineRule="auto"/>
        <w:contextualSpacing/>
        <w:jc w:val="center"/>
        <w:outlineLvl w:val="1"/>
        <w:rPr>
          <w:rFonts w:ascii="宋体" w:hAnsi="宋体" w:cs="宋体"/>
          <w:b/>
          <w:color w:val="auto"/>
          <w:sz w:val="22"/>
          <w:szCs w:val="18"/>
          <w:highlight w:val="none"/>
        </w:rPr>
      </w:pPr>
      <w:r>
        <w:rPr>
          <w:rFonts w:hint="eastAsia" w:ascii="宋体" w:hAnsi="宋体" w:cs="宋体"/>
          <w:bCs/>
          <w:color w:val="auto"/>
          <w:sz w:val="28"/>
          <w:szCs w:val="28"/>
          <w:highlight w:val="none"/>
        </w:rPr>
        <w:br w:type="page"/>
      </w:r>
      <w:r>
        <w:rPr>
          <w:rFonts w:hint="eastAsia" w:ascii="宋体" w:hAnsi="宋体" w:cs="宋体"/>
          <w:bCs/>
          <w:color w:val="auto"/>
          <w:sz w:val="28"/>
          <w:szCs w:val="28"/>
          <w:highlight w:val="none"/>
        </w:rPr>
        <w:t>建 设 工 程 廉 政 合 同</w:t>
      </w:r>
    </w:p>
    <w:tbl>
      <w:tblPr>
        <w:tblStyle w:val="50"/>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0"/>
      </w:tblGrid>
      <w:tr w14:paraId="2F5CE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480" w:type="dxa"/>
            <w:tcBorders>
              <w:top w:val="single" w:color="auto" w:sz="4" w:space="0"/>
              <w:left w:val="single" w:color="auto" w:sz="4" w:space="0"/>
              <w:bottom w:val="single" w:color="auto" w:sz="4" w:space="0"/>
              <w:right w:val="single" w:color="auto" w:sz="4" w:space="0"/>
            </w:tcBorders>
            <w:vAlign w:val="center"/>
          </w:tcPr>
          <w:p w14:paraId="49618BCC">
            <w:pPr>
              <w:keepNext w:val="0"/>
              <w:keepLines w:val="0"/>
              <w:suppressLineNumbers w:val="0"/>
              <w:autoSpaceDE w:val="0"/>
              <w:autoSpaceDN w:val="0"/>
              <w:adjustRightInd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 xml:space="preserve">建设单位（甲方）： </w:t>
            </w:r>
          </w:p>
        </w:tc>
      </w:tr>
      <w:tr w14:paraId="36828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0" w:type="dxa"/>
            <w:tcBorders>
              <w:top w:val="single" w:color="auto" w:sz="4" w:space="0"/>
              <w:left w:val="single" w:color="auto" w:sz="4" w:space="0"/>
              <w:bottom w:val="single" w:color="auto" w:sz="4" w:space="0"/>
              <w:right w:val="single" w:color="auto" w:sz="4" w:space="0"/>
            </w:tcBorders>
            <w:vAlign w:val="center"/>
          </w:tcPr>
          <w:p w14:paraId="74B1AA8F">
            <w:pPr>
              <w:keepNext w:val="0"/>
              <w:keepLines w:val="0"/>
              <w:suppressLineNumbers w:val="0"/>
              <w:autoSpaceDE w:val="0"/>
              <w:autoSpaceDN w:val="0"/>
              <w:adjustRightInd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中标单位（乙方）：</w:t>
            </w:r>
          </w:p>
        </w:tc>
      </w:tr>
      <w:tr w14:paraId="61E0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480" w:type="dxa"/>
            <w:tcBorders>
              <w:top w:val="single" w:color="auto" w:sz="4" w:space="0"/>
              <w:left w:val="single" w:color="auto" w:sz="4" w:space="0"/>
              <w:bottom w:val="single" w:color="auto" w:sz="4" w:space="0"/>
              <w:right w:val="single" w:color="auto" w:sz="4" w:space="0"/>
            </w:tcBorders>
            <w:vAlign w:val="center"/>
          </w:tcPr>
          <w:p w14:paraId="73DD452D">
            <w:pPr>
              <w:keepNext w:val="0"/>
              <w:keepLines w:val="0"/>
              <w:suppressLineNumbers w:val="0"/>
              <w:autoSpaceDE w:val="0"/>
              <w:autoSpaceDN w:val="0"/>
              <w:adjustRightInd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工程名称：</w:t>
            </w:r>
          </w:p>
        </w:tc>
      </w:tr>
      <w:tr w14:paraId="0AF2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9480" w:type="dxa"/>
            <w:tcBorders>
              <w:top w:val="single" w:color="auto" w:sz="4" w:space="0"/>
              <w:left w:val="single" w:color="auto" w:sz="4" w:space="0"/>
              <w:bottom w:val="single" w:color="auto" w:sz="4" w:space="0"/>
              <w:right w:val="single" w:color="auto" w:sz="4" w:space="0"/>
            </w:tcBorders>
            <w:vAlign w:val="center"/>
          </w:tcPr>
          <w:p w14:paraId="2FCAC3EC">
            <w:pPr>
              <w:keepNext w:val="0"/>
              <w:keepLines w:val="0"/>
              <w:suppressLineNumbers w:val="0"/>
              <w:autoSpaceDE w:val="0"/>
              <w:autoSpaceDN w:val="0"/>
              <w:adjustRightInd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建设工期：</w:t>
            </w:r>
          </w:p>
        </w:tc>
      </w:tr>
      <w:tr w14:paraId="1250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480" w:type="dxa"/>
            <w:tcBorders>
              <w:top w:val="single" w:color="auto" w:sz="4" w:space="0"/>
              <w:left w:val="single" w:color="auto" w:sz="4" w:space="0"/>
              <w:bottom w:val="single" w:color="auto" w:sz="4" w:space="0"/>
              <w:right w:val="single" w:color="auto" w:sz="4" w:space="0"/>
            </w:tcBorders>
            <w:vAlign w:val="center"/>
          </w:tcPr>
          <w:p w14:paraId="27751D73">
            <w:pPr>
              <w:keepNext w:val="0"/>
              <w:keepLines w:val="0"/>
              <w:suppressLineNumbers w:val="0"/>
              <w:autoSpaceDE w:val="0"/>
              <w:autoSpaceDN w:val="0"/>
              <w:adjustRightInd w:val="0"/>
              <w:spacing w:before="0" w:beforeAutospacing="0" w:after="0" w:afterAutospacing="0" w:line="360" w:lineRule="auto"/>
              <w:ind w:left="0" w:right="0"/>
              <w:rPr>
                <w:rFonts w:hint="default" w:ascii="宋体" w:hAnsi="宋体" w:cs="宋体"/>
                <w:color w:val="auto"/>
                <w:szCs w:val="21"/>
                <w:highlight w:val="none"/>
              </w:rPr>
            </w:pPr>
            <w:r>
              <w:rPr>
                <w:rFonts w:hint="eastAsia" w:ascii="宋体" w:hAnsi="宋体" w:cs="宋体"/>
                <w:color w:val="auto"/>
                <w:szCs w:val="21"/>
                <w:highlight w:val="none"/>
              </w:rPr>
              <w:t>建设地点：</w:t>
            </w:r>
          </w:p>
        </w:tc>
      </w:tr>
    </w:tbl>
    <w:p w14:paraId="5AF2D8DD">
      <w:pPr>
        <w:adjustRightInd w:val="0"/>
        <w:snapToGrid w:val="0"/>
        <w:spacing w:after="120" w:line="360" w:lineRule="auto"/>
        <w:ind w:firstLine="420" w:firstLineChars="200"/>
        <w:contextualSpacing/>
        <w:rPr>
          <w:rFonts w:ascii="宋体" w:hAnsi="宋体" w:cs="宋体"/>
          <w:color w:val="auto"/>
          <w:szCs w:val="21"/>
          <w:highlight w:val="none"/>
        </w:rPr>
      </w:pPr>
    </w:p>
    <w:p w14:paraId="1B5F32EB">
      <w:pPr>
        <w:adjustRightInd w:val="0"/>
        <w:snapToGrid w:val="0"/>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根据国家建设部、监察部《关于在工程建设中深入开展反对腐败和反对不正当竞争的通知》精神，坚决执行《中华人民共和国反不正当竞争法》、《中华人民共和国建筑法》、《中华人民共和国招标投标法》等有关法律法规和政策，为确保建设工程质量达到国家有关规定、争优创优、干部廉洁，在签订工程建设合同的同时，承发包双方必须签订工程廉政合同。</w:t>
      </w:r>
    </w:p>
    <w:p w14:paraId="663F98D5">
      <w:pPr>
        <w:adjustRightInd w:val="0"/>
        <w:snapToGrid w:val="0"/>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一、甲方不得接受乙方请吃、请玩；不得接受乙方赠送的礼品、礼金和各种有价证券、信用卡及其他支付凭证；不得接受乙方任何好处费及工程回扣；不得向乙方报销任何由甲方支付的费用；不得借用、租用乙方的交通、通讯工具等物品；不得参加乙方举行的任何祝贺庆典活动。</w:t>
      </w:r>
    </w:p>
    <w:p w14:paraId="76220AFD">
      <w:pPr>
        <w:adjustRightInd w:val="0"/>
        <w:snapToGrid w:val="0"/>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二、甲方工作人员的配偶、子女，不得承包或从事与工程有关的材料供应、工程分包、工程监理、工程装璜和装修、组织提供劳务等活动；不得向施工方推荐分包单位；不得要求施工方购买合同规定外的材料和设备。</w:t>
      </w:r>
    </w:p>
    <w:p w14:paraId="586C8E8A">
      <w:pPr>
        <w:adjustRightInd w:val="0"/>
        <w:snapToGrid w:val="0"/>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三、甲方人员向乙方索贿，经乙方或其他线索检举，被纪检监察机关立案查处认定的，由此产生的办案费用由甲方（索贿方单位或个人）承担。不论举报甲方或乙方的贿赂行为的举报人，经查证属实，可由查办案件的机关（单位）依照规定给予奖励。</w:t>
      </w:r>
    </w:p>
    <w:p w14:paraId="6B3592A9">
      <w:pPr>
        <w:adjustRightInd w:val="0"/>
        <w:snapToGrid w:val="0"/>
        <w:spacing w:after="120" w:line="360"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四、乙方不得以任何形式邀请甲方人员吃、玩或向甲方赠送礼品、礼金、各种有价证券、信用卡及其他支付凭证或物品。如有违反，由有关行政主管部门对乙方给予扣减应付工程款的3%—5%，或者中止工程建设合同。并视情节轻重，对乙方决策人和经办人以及甲方接受人员给予批评教育、党纪政纪处分、依法追究刑事责任。</w:t>
      </w:r>
    </w:p>
    <w:p w14:paraId="57D126A4">
      <w:pPr>
        <w:adjustRightInd w:val="0"/>
        <w:snapToGrid w:val="0"/>
        <w:spacing w:after="12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五、乙方在工程项目建设中贿赂甲方人员、中介方人员，被纪检监察机关或司法机关立案查处的，甲方有权中止工程建设合同。由此给甲方造成的损失以及发生的一切费用均由乙方承担。可在工程款中扣除。</w:t>
      </w:r>
    </w:p>
    <w:p w14:paraId="1ADCF647">
      <w:pPr>
        <w:adjustRightInd w:val="0"/>
        <w:snapToGrid w:val="0"/>
        <w:spacing w:after="12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六、甲乙双方人员赠送、贿赂、接受或索要钱物的行为，如果一方发生，另一方当事人应立即主动报告本单位领导和纪检监察机关或向检察机关举报。对不主动报告情况的有关人员，一经查出，必须视情节轻重给予批评教育、党纪政纪处分依法追究刑事责任。</w:t>
      </w:r>
    </w:p>
    <w:p w14:paraId="7D524416">
      <w:pPr>
        <w:adjustRightInd w:val="0"/>
        <w:snapToGrid w:val="0"/>
        <w:spacing w:after="12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七、凡是未按规定签订《工程廉政合同》的工程项目，不得擅自同意或者开展相关工作。违者将由纪检监察机关追究党纪政纪责任，由有关行政主管部门依照有关法律法规进行处罚。</w:t>
      </w:r>
    </w:p>
    <w:p w14:paraId="2170A294">
      <w:pPr>
        <w:adjustRightInd w:val="0"/>
        <w:snapToGrid w:val="0"/>
        <w:spacing w:after="12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八、甲乙双方单位法定代表人和分管领导、有关人员要严格履行《工程廉政合同》。履行《工程廉政合同》中的相互监督、自查自纠等情况，甲乙双方分别在工程建设合同中期要向本单位的纪检监察部门和监证的纪检监察机关、部门作出报告。纪检监察机关、部门可视情况进行定期不定期的检查。如有违反，对法定代表人主要领导或分管领导要从严追究责任。</w:t>
      </w:r>
    </w:p>
    <w:p w14:paraId="54E49B88">
      <w:pPr>
        <w:adjustRightInd w:val="0"/>
        <w:snapToGrid w:val="0"/>
        <w:spacing w:after="12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九、工程竣工验收同期，甲乙双方要分别向本单位的纪检监察部门和监证的纪检监察机关、部门汇报《工程廉政合同》的执行情况。</w:t>
      </w:r>
    </w:p>
    <w:p w14:paraId="2EC3621D">
      <w:pPr>
        <w:adjustRightInd w:val="0"/>
        <w:snapToGrid w:val="0"/>
        <w:spacing w:line="336" w:lineRule="auto"/>
        <w:ind w:firstLine="420" w:firstLineChars="200"/>
        <w:contextualSpacing/>
        <w:rPr>
          <w:rFonts w:ascii="宋体" w:hAnsi="宋体" w:cs="宋体"/>
          <w:bCs/>
          <w:color w:val="auto"/>
          <w:szCs w:val="21"/>
          <w:highlight w:val="none"/>
        </w:rPr>
      </w:pPr>
      <w:r>
        <w:rPr>
          <w:rFonts w:hint="eastAsia" w:ascii="宋体" w:hAnsi="宋体" w:cs="宋体"/>
          <w:color w:val="auto"/>
          <w:szCs w:val="21"/>
          <w:highlight w:val="none"/>
        </w:rPr>
        <w:t>十、</w:t>
      </w:r>
      <w:r>
        <w:rPr>
          <w:rFonts w:hint="eastAsia" w:ascii="宋体" w:hAnsi="宋体" w:cs="宋体"/>
          <w:bCs/>
          <w:color w:val="auto"/>
          <w:szCs w:val="21"/>
          <w:highlight w:val="none"/>
        </w:rPr>
        <w:t>本合同一式</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份，乙方执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w:t>
      </w:r>
      <w:r>
        <w:rPr>
          <w:rFonts w:hint="eastAsia" w:ascii="宋体" w:hAnsi="宋体" w:cs="宋体"/>
          <w:color w:val="auto"/>
          <w:szCs w:val="21"/>
          <w:highlight w:val="none"/>
        </w:rPr>
        <w:t>。</w:t>
      </w:r>
    </w:p>
    <w:p w14:paraId="2898204C">
      <w:pPr>
        <w:adjustRightInd w:val="0"/>
        <w:snapToGrid w:val="0"/>
        <w:spacing w:after="120" w:line="336" w:lineRule="auto"/>
        <w:ind w:firstLine="420" w:firstLineChars="200"/>
        <w:contextualSpacing/>
        <w:rPr>
          <w:rFonts w:ascii="宋体" w:hAnsi="宋体" w:cs="宋体"/>
          <w:color w:val="auto"/>
          <w:szCs w:val="21"/>
          <w:highlight w:val="none"/>
        </w:rPr>
      </w:pPr>
      <w:r>
        <w:rPr>
          <w:rFonts w:hint="eastAsia" w:ascii="宋体" w:hAnsi="宋体" w:cs="宋体"/>
          <w:color w:val="auto"/>
          <w:szCs w:val="21"/>
          <w:highlight w:val="none"/>
        </w:rPr>
        <w:t>十一、此合同自双方签字并经纪检监察机关、部门监证后即生效，并由本单位的纪检监察部门和监证的纪检监察机关、部门监督执行。</w:t>
      </w:r>
    </w:p>
    <w:p w14:paraId="4ADEA1B0">
      <w:pPr>
        <w:spacing w:line="360" w:lineRule="auto"/>
        <w:ind w:left="4095" w:hanging="4095" w:hangingChars="1950"/>
        <w:contextualSpacing/>
        <w:rPr>
          <w:rFonts w:ascii="宋体" w:hAnsi="宋体" w:cs="宋体"/>
          <w:color w:val="auto"/>
          <w:szCs w:val="21"/>
          <w:highlight w:val="none"/>
        </w:rPr>
      </w:pPr>
    </w:p>
    <w:p w14:paraId="3264059D">
      <w:pPr>
        <w:spacing w:line="360" w:lineRule="auto"/>
        <w:ind w:left="4095" w:hanging="4095" w:hangingChars="1950"/>
        <w:contextualSpacing/>
        <w:rPr>
          <w:rFonts w:ascii="宋体" w:hAnsi="宋体" w:cs="宋体"/>
          <w:color w:val="auto"/>
          <w:szCs w:val="21"/>
          <w:highlight w:val="none"/>
        </w:rPr>
      </w:pPr>
      <w:r>
        <w:rPr>
          <w:rFonts w:hint="eastAsia" w:ascii="宋体" w:hAnsi="宋体" w:cs="宋体"/>
          <w:color w:val="auto"/>
          <w:szCs w:val="21"/>
          <w:highlight w:val="none"/>
        </w:rPr>
        <w:t>甲方名称： （盖章）　</w:t>
      </w:r>
    </w:p>
    <w:p w14:paraId="4B2B38BF">
      <w:pPr>
        <w:adjustRightInd w:val="0"/>
        <w:snapToGrid w:val="0"/>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 xml:space="preserve">法定代表人：（签字）               </w:t>
      </w:r>
    </w:p>
    <w:p w14:paraId="1B23067C">
      <w:pPr>
        <w:adjustRightInd w:val="0"/>
        <w:snapToGrid w:val="0"/>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 xml:space="preserve">委托代理人：（签字）                </w:t>
      </w:r>
    </w:p>
    <w:p w14:paraId="06DCF904">
      <w:pPr>
        <w:adjustRightInd w:val="0"/>
        <w:snapToGrid w:val="0"/>
        <w:spacing w:line="360" w:lineRule="auto"/>
        <w:ind w:left="4620" w:hanging="4620" w:hangingChars="2200"/>
        <w:contextualSpacing/>
        <w:rPr>
          <w:rFonts w:ascii="宋体" w:hAnsi="宋体" w:cs="宋体"/>
          <w:color w:val="auto"/>
          <w:szCs w:val="21"/>
          <w:highlight w:val="none"/>
        </w:rPr>
      </w:pPr>
      <w:r>
        <w:rPr>
          <w:rFonts w:hint="eastAsia" w:ascii="宋体" w:hAnsi="宋体" w:cs="宋体"/>
          <w:color w:val="auto"/>
          <w:szCs w:val="21"/>
          <w:highlight w:val="none"/>
        </w:rPr>
        <w:t>住所：</w:t>
      </w:r>
    </w:p>
    <w:p w14:paraId="734E6459">
      <w:pPr>
        <w:adjustRightInd w:val="0"/>
        <w:snapToGrid w:val="0"/>
        <w:spacing w:line="360" w:lineRule="auto"/>
        <w:contextualSpacing/>
        <w:rPr>
          <w:rFonts w:ascii="宋体" w:hAnsi="宋体" w:cs="宋体"/>
          <w:color w:val="auto"/>
          <w:szCs w:val="21"/>
          <w:highlight w:val="none"/>
        </w:rPr>
      </w:pPr>
    </w:p>
    <w:p w14:paraId="56334BDD">
      <w:pPr>
        <w:adjustRightInd w:val="0"/>
        <w:snapToGrid w:val="0"/>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 xml:space="preserve">乙方名称：（盖章） </w:t>
      </w:r>
    </w:p>
    <w:p w14:paraId="0B784270">
      <w:pPr>
        <w:adjustRightInd w:val="0"/>
        <w:snapToGrid w:val="0"/>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法定代表人：（签字）</w:t>
      </w:r>
    </w:p>
    <w:p w14:paraId="1ECD287F">
      <w:pPr>
        <w:adjustRightInd w:val="0"/>
        <w:snapToGrid w:val="0"/>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委托代理人：（签字）</w:t>
      </w:r>
    </w:p>
    <w:p w14:paraId="0AA5043C">
      <w:pPr>
        <w:spacing w:line="360" w:lineRule="auto"/>
        <w:contextualSpacing/>
        <w:rPr>
          <w:rFonts w:ascii="宋体" w:hAnsi="宋体" w:cs="宋体"/>
          <w:color w:val="auto"/>
          <w:szCs w:val="21"/>
          <w:highlight w:val="none"/>
        </w:rPr>
      </w:pPr>
      <w:r>
        <w:rPr>
          <w:rFonts w:hint="eastAsia" w:ascii="宋体" w:hAnsi="宋体" w:cs="宋体"/>
          <w:color w:val="auto"/>
          <w:szCs w:val="21"/>
          <w:highlight w:val="none"/>
        </w:rPr>
        <w:t>住所：</w:t>
      </w:r>
    </w:p>
    <w:p w14:paraId="1039AF59">
      <w:pPr>
        <w:spacing w:line="360" w:lineRule="auto"/>
        <w:rPr>
          <w:rFonts w:hint="eastAsia" w:ascii="宋体" w:hAnsi="宋体" w:eastAsia="宋体" w:cs="仿宋_GB2312"/>
          <w:bCs/>
          <w:color w:val="auto"/>
          <w:szCs w:val="21"/>
          <w:highlight w:val="none"/>
          <w:lang w:eastAsia="zh-CN"/>
        </w:rPr>
      </w:pPr>
      <w:r>
        <w:rPr>
          <w:rFonts w:hint="eastAsia" w:ascii="宋体" w:hAnsi="宋体" w:eastAsia="宋体" w:cs="宋体"/>
          <w:b w:val="0"/>
          <w:bCs w:val="0"/>
          <w:color w:val="auto"/>
          <w:kern w:val="2"/>
          <w:sz w:val="21"/>
          <w:szCs w:val="21"/>
          <w:highlight w:val="none"/>
          <w:lang w:val="en-US" w:eastAsia="zh-CN" w:bidi="ar-SA"/>
        </w:rPr>
        <w:t>签订时间：      年     月    日</w:t>
      </w:r>
    </w:p>
    <w:p w14:paraId="746092AB">
      <w:pPr>
        <w:spacing w:line="360" w:lineRule="auto"/>
        <w:ind w:firstLine="422" w:firstLineChars="201"/>
        <w:rPr>
          <w:rFonts w:hint="eastAsia" w:ascii="宋体" w:hAnsi="宋体" w:eastAsia="宋体" w:cs="仿宋_GB2312"/>
          <w:bCs/>
          <w:color w:val="auto"/>
          <w:szCs w:val="21"/>
          <w:highlight w:val="none"/>
        </w:rPr>
      </w:pPr>
    </w:p>
    <w:p w14:paraId="1CA07D20">
      <w:pPr>
        <w:pStyle w:val="3"/>
        <w:spacing w:before="120" w:after="120" w:line="360" w:lineRule="auto"/>
        <w:jc w:val="center"/>
        <w:rPr>
          <w:rFonts w:hint="eastAsia" w:ascii="宋体" w:hAnsi="宋体"/>
          <w:bCs w:val="0"/>
          <w:color w:val="auto"/>
          <w:sz w:val="32"/>
          <w:highlight w:val="none"/>
        </w:rPr>
      </w:pPr>
      <w:r>
        <w:rPr>
          <w:rFonts w:hint="eastAsia" w:ascii="宋体" w:hAnsi="宋体"/>
          <w:bCs w:val="0"/>
          <w:color w:val="auto"/>
          <w:sz w:val="32"/>
          <w:highlight w:val="none"/>
        </w:rPr>
        <w:br w:type="page"/>
      </w:r>
      <w:bookmarkStart w:id="989" w:name="_Toc19215"/>
      <w:bookmarkStart w:id="990" w:name="_Toc12069"/>
      <w:r>
        <w:rPr>
          <w:rFonts w:hint="eastAsia" w:ascii="宋体" w:hAnsi="宋体"/>
          <w:bCs w:val="0"/>
          <w:color w:val="auto"/>
          <w:sz w:val="32"/>
          <w:highlight w:val="none"/>
        </w:rPr>
        <w:t>第五章 采购需求</w:t>
      </w:r>
      <w:bookmarkEnd w:id="830"/>
      <w:bookmarkEnd w:id="989"/>
      <w:bookmarkEnd w:id="990"/>
    </w:p>
    <w:p w14:paraId="53ED07B8">
      <w:pPr>
        <w:widowControl/>
        <w:shd w:val="clear" w:color="auto" w:fill="FFFFFF"/>
        <w:autoSpaceDE w:val="0"/>
        <w:snapToGrid w:val="0"/>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一、采购标的需实现的功能或者目标，以及为落实政府采购政策需满足的要求</w:t>
      </w:r>
    </w:p>
    <w:p w14:paraId="474E088B">
      <w:pPr>
        <w:pStyle w:val="404"/>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highlight w:val="none"/>
        </w:rPr>
      </w:pPr>
      <w:r>
        <w:rPr>
          <w:rFonts w:hint="eastAsia"/>
          <w:color w:val="auto"/>
          <w:highlight w:val="none"/>
        </w:rPr>
        <w:t>（一）</w:t>
      </w:r>
      <w:r>
        <w:rPr>
          <w:rFonts w:hint="eastAsia"/>
          <w:color w:val="auto"/>
          <w:szCs w:val="21"/>
          <w:highlight w:val="none"/>
        </w:rPr>
        <w:t>功能或者目标</w:t>
      </w:r>
      <w:r>
        <w:rPr>
          <w:color w:val="auto"/>
          <w:highlight w:val="none"/>
        </w:rPr>
        <w:br w:type="textWrapping"/>
      </w:r>
      <w:r>
        <w:rPr>
          <w:rFonts w:hint="eastAsia"/>
          <w:color w:val="auto"/>
          <w:highlight w:val="none"/>
        </w:rPr>
        <w:t xml:space="preserve">   </w:t>
      </w:r>
      <w:r>
        <w:rPr>
          <w:rFonts w:hint="eastAsia" w:ascii="宋体" w:hAnsi="宋体" w:cs="宋体"/>
          <w:color w:val="auto"/>
          <w:szCs w:val="21"/>
          <w:highlight w:val="none"/>
        </w:rPr>
        <w:t>完成2026年度东川区高标准农田建设项目设计服务，包括但不限于完成本项目初步设计及初步设计概算编制工作、施工图设计工作，配合采购人取得初步设计批复或主管部门审核意见；施工图满足施工需要，成果资料须经采购人认可并通过专家评审，完成高标准农田上图入库服务，同时提供相关后续服务。最终以采购人实际委托为准。</w:t>
      </w:r>
    </w:p>
    <w:p w14:paraId="5D709E89">
      <w:pPr>
        <w:widowControl/>
        <w:shd w:val="clear" w:color="auto" w:fill="FFFFFF"/>
        <w:autoSpaceDE w:val="0"/>
        <w:snapToGrid w:val="0"/>
        <w:spacing w:line="360" w:lineRule="auto"/>
        <w:ind w:firstLine="420" w:firstLineChars="200"/>
        <w:rPr>
          <w:rFonts w:hint="eastAsia"/>
          <w:color w:val="auto"/>
          <w:highlight w:val="none"/>
        </w:rPr>
      </w:pPr>
      <w:r>
        <w:rPr>
          <w:rFonts w:hint="eastAsia"/>
          <w:color w:val="auto"/>
          <w:highlight w:val="none"/>
        </w:rPr>
        <w:t>（二）落实政府采购政策</w:t>
      </w:r>
    </w:p>
    <w:p w14:paraId="17AA8927">
      <w:pPr>
        <w:widowControl/>
        <w:shd w:val="clear" w:color="auto" w:fill="FFFFFF"/>
        <w:autoSpaceDE w:val="0"/>
        <w:snapToGrid w:val="0"/>
        <w:spacing w:line="360" w:lineRule="auto"/>
        <w:ind w:firstLine="420" w:firstLineChars="200"/>
        <w:rPr>
          <w:color w:val="auto"/>
          <w:highlight w:val="none"/>
        </w:rPr>
      </w:pPr>
      <w:r>
        <w:rPr>
          <w:rFonts w:hint="eastAsia"/>
          <w:color w:val="auto"/>
          <w:highlight w:val="none"/>
        </w:rPr>
        <w:t>本项目专门面向中小企业采购，为落实《关于进一步加大政府采购支持中小企业力度的通知》（财库〔2022〕19号）、《政府采购促进中小企业发展管理办法》的通知财库〔2020〕46号；《关于政府采购支持监狱企业发展有关问题的通知》(财库[2014]68号)；《关于促进残疾人就业政府采购政策的通知》(财库[2017]141号)，参与采购项目的监狱、残疾人企业视同为小微企业。</w:t>
      </w:r>
      <w:r>
        <w:rPr>
          <w:rFonts w:hint="eastAsia"/>
          <w:color w:val="auto"/>
          <w:highlight w:val="none"/>
          <w:lang w:eastAsia="zh-CN"/>
        </w:rPr>
        <w:t>供应商应提供中小企业声明函或残疾人福利性单位声明函或监狱企业证明。</w:t>
      </w:r>
    </w:p>
    <w:p w14:paraId="045C49AE">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二、采购标的需执行的国家相关标准、行业标准、地方标准或者其他标准、规范</w:t>
      </w:r>
    </w:p>
    <w:p w14:paraId="5E9C25A1">
      <w:pPr>
        <w:widowControl/>
        <w:shd w:val="clear" w:color="auto" w:fill="FFFFFF"/>
        <w:autoSpaceDE w:val="0"/>
        <w:snapToGrid w:val="0"/>
        <w:spacing w:line="36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lang w:val="en-US" w:eastAsia="zh-CN"/>
        </w:rPr>
        <w:t>符合国家、地方现行行业相关规范要求，确保成果资料完整、真实准确、清晰有据，满足采购人要求，对成果资料质量终身负责。</w:t>
      </w:r>
    </w:p>
    <w:p w14:paraId="3E603798">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三、采购标的需满足的质量、安全、技术规格、物理特性等要求</w:t>
      </w:r>
    </w:p>
    <w:p w14:paraId="0C4193F8">
      <w:pPr>
        <w:spacing w:line="360" w:lineRule="auto"/>
        <w:ind w:firstLine="420" w:firstLineChars="200"/>
        <w:rPr>
          <w:rFonts w:hint="eastAsia" w:ascii="宋体" w:hAnsi="宋体"/>
          <w:color w:val="auto"/>
          <w:kern w:val="0"/>
          <w:szCs w:val="21"/>
          <w:highlight w:val="none"/>
        </w:rPr>
      </w:pPr>
      <w:r>
        <w:rPr>
          <w:rFonts w:hint="eastAsia" w:ascii="宋体" w:hAnsi="宋体" w:cs="宋体"/>
          <w:color w:val="auto"/>
          <w:szCs w:val="21"/>
          <w:highlight w:val="none"/>
        </w:rPr>
        <w:t>符合国家、地方现行行业相关规范要求，确保成果资料完整、真实准确、清晰有据，满足采购人要求，对成果资料质量终身负责。</w:t>
      </w:r>
    </w:p>
    <w:p w14:paraId="4AD64B17">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四、采购标的的数量、采购项目交付或者实施的时间和地点</w:t>
      </w:r>
    </w:p>
    <w:p w14:paraId="1A0B7B7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（一）采购标的的数量：</w:t>
      </w:r>
      <w:r>
        <w:rPr>
          <w:rFonts w:hint="eastAsia" w:ascii="宋体" w:hAnsi="宋体" w:cs="宋体"/>
          <w:color w:val="auto"/>
          <w:highlight w:val="none"/>
          <w:lang w:val="en-US" w:eastAsia="zh-CN"/>
        </w:rPr>
        <w:t>1</w:t>
      </w:r>
      <w:r>
        <w:rPr>
          <w:rFonts w:hint="eastAsia" w:ascii="宋体" w:hAnsi="宋体" w:cs="宋体"/>
          <w:color w:val="auto"/>
          <w:highlight w:val="none"/>
        </w:rPr>
        <w:t>项。</w:t>
      </w:r>
    </w:p>
    <w:p w14:paraId="05B7C9E3">
      <w:pPr>
        <w:spacing w:line="360" w:lineRule="auto"/>
        <w:ind w:firstLine="420" w:firstLineChars="200"/>
        <w:rPr>
          <w:rFonts w:hint="eastAsia" w:ascii="宋体" w:hAnsi="宋体" w:cs="宋体"/>
          <w:color w:val="auto"/>
          <w:highlight w:val="none"/>
          <w:lang w:eastAsia="zh-CN"/>
        </w:rPr>
      </w:pPr>
      <w:r>
        <w:rPr>
          <w:rFonts w:hint="eastAsia" w:ascii="宋体" w:hAnsi="宋体" w:cs="宋体"/>
          <w:color w:val="auto"/>
          <w:highlight w:val="none"/>
        </w:rPr>
        <w:t>采购预算：</w:t>
      </w:r>
      <w:r>
        <w:rPr>
          <w:rFonts w:hint="eastAsia" w:ascii="宋体" w:hAnsi="宋体" w:cs="宋体"/>
          <w:color w:val="auto"/>
          <w:highlight w:val="none"/>
          <w:lang w:val="en-US" w:eastAsia="zh-CN"/>
        </w:rPr>
        <w:t>262350.00元</w:t>
      </w:r>
      <w:r>
        <w:rPr>
          <w:rFonts w:hint="eastAsia" w:ascii="宋体" w:hAnsi="宋体" w:cs="宋体"/>
          <w:color w:val="auto"/>
          <w:highlight w:val="none"/>
          <w:lang w:eastAsia="zh-CN"/>
        </w:rPr>
        <w:t>。</w:t>
      </w:r>
    </w:p>
    <w:p w14:paraId="2D33E418">
      <w:pPr>
        <w:spacing w:line="360" w:lineRule="auto"/>
        <w:ind w:firstLine="420" w:firstLineChars="200"/>
        <w:rPr>
          <w:rFonts w:hint="eastAsia" w:ascii="宋体" w:hAnsi="宋体" w:cs="宋体"/>
          <w:color w:val="auto"/>
          <w:kern w:val="0"/>
          <w:highlight w:val="none"/>
        </w:rPr>
      </w:pPr>
      <w:r>
        <w:rPr>
          <w:rFonts w:hint="eastAsia" w:ascii="宋体" w:hAnsi="宋体" w:cs="宋体"/>
          <w:color w:val="auto"/>
          <w:highlight w:val="none"/>
        </w:rPr>
        <w:t>（二）采购项目交付的时间和地点</w:t>
      </w:r>
    </w:p>
    <w:p w14:paraId="7F7F87C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采购项目交付的时间：自合同签订之日起至全部委托内容完成为止，具体以采购人下达的通知为准，并在采购人规定期限内完成本项目涉及的所有工作。</w:t>
      </w:r>
    </w:p>
    <w:p w14:paraId="48116507">
      <w:pPr>
        <w:spacing w:line="360" w:lineRule="auto"/>
        <w:ind w:firstLine="420" w:firstLineChars="200"/>
        <w:rPr>
          <w:rFonts w:hint="eastAsia" w:ascii="宋体" w:hAnsi="宋体"/>
          <w:color w:val="auto"/>
          <w:kern w:val="0"/>
          <w:szCs w:val="21"/>
          <w:highlight w:val="none"/>
        </w:rPr>
      </w:pPr>
      <w:r>
        <w:rPr>
          <w:rFonts w:hint="eastAsia" w:ascii="宋体" w:hAnsi="宋体" w:cs="宋体"/>
          <w:color w:val="auto"/>
          <w:szCs w:val="21"/>
          <w:highlight w:val="none"/>
        </w:rPr>
        <w:t>采购项目交付的地点：</w:t>
      </w:r>
      <w:r>
        <w:rPr>
          <w:rFonts w:hint="eastAsia" w:ascii="宋体" w:hAnsi="宋体" w:cs="宋体"/>
          <w:color w:val="auto"/>
          <w:szCs w:val="21"/>
          <w:highlight w:val="none"/>
          <w:lang w:eastAsia="zh-CN"/>
        </w:rPr>
        <w:t>昆明市东川区农业农村局</w:t>
      </w:r>
      <w:r>
        <w:rPr>
          <w:rFonts w:hint="eastAsia" w:ascii="宋体" w:hAnsi="宋体" w:cs="宋体"/>
          <w:color w:val="auto"/>
          <w:szCs w:val="21"/>
          <w:highlight w:val="none"/>
        </w:rPr>
        <w:t>。</w:t>
      </w:r>
    </w:p>
    <w:p w14:paraId="5E5DA7F1">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五、采购标的需满足的服务标准、期限、效率等要求</w:t>
      </w:r>
    </w:p>
    <w:p w14:paraId="0A38232B">
      <w:pPr>
        <w:numPr>
          <w:ilvl w:val="255"/>
          <w:numId w:val="0"/>
        </w:numPr>
        <w:spacing w:line="360" w:lineRule="auto"/>
        <w:ind w:firstLine="420" w:firstLineChars="200"/>
        <w:rPr>
          <w:rFonts w:hint="eastAsia"/>
          <w:color w:val="auto"/>
          <w:highlight w:val="none"/>
        </w:rPr>
      </w:pPr>
      <w:r>
        <w:rPr>
          <w:rFonts w:hint="eastAsia" w:ascii="宋体" w:hAnsi="宋体" w:cs="宋体"/>
          <w:color w:val="auto"/>
          <w:szCs w:val="21"/>
          <w:highlight w:val="none"/>
        </w:rPr>
        <w:t>合同履行期限：</w:t>
      </w:r>
      <w:r>
        <w:rPr>
          <w:rFonts w:hint="eastAsia"/>
          <w:color w:val="auto"/>
          <w:highlight w:val="none"/>
        </w:rPr>
        <w:t>自合同签订之日起至全部委托内容完成为止，具体以采购人下达的通知为准，并在采购人规定期限内完成本项目涉及的所有工作。</w:t>
      </w:r>
    </w:p>
    <w:p w14:paraId="02ECFD54">
      <w:pPr>
        <w:numPr>
          <w:ilvl w:val="0"/>
          <w:numId w:val="9"/>
        </w:num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采购标的的验收标准</w:t>
      </w:r>
    </w:p>
    <w:p w14:paraId="58BF4041">
      <w:pPr>
        <w:spacing w:line="360" w:lineRule="auto"/>
        <w:ind w:firstLine="420" w:firstLineChars="200"/>
        <w:rPr>
          <w:rFonts w:hint="eastAsia" w:ascii="宋体" w:hAnsi="宋体"/>
          <w:bCs/>
          <w:color w:val="auto"/>
          <w:szCs w:val="21"/>
          <w:highlight w:val="none"/>
        </w:rPr>
      </w:pPr>
      <w:r>
        <w:rPr>
          <w:rFonts w:hint="eastAsia" w:ascii="宋体" w:hAnsi="宋体" w:cs="宋体"/>
          <w:color w:val="auto"/>
          <w:szCs w:val="21"/>
          <w:highlight w:val="none"/>
          <w:lang w:val="en-US" w:eastAsia="zh-CN"/>
        </w:rPr>
        <w:t>根据采购人实际委派工作进行服务，成果须符合国家、地方现行行业相关规范要求，确保成果资料完整、真实准确、清晰有据，满足采购人要求</w:t>
      </w:r>
      <w:r>
        <w:rPr>
          <w:rFonts w:hint="eastAsia" w:ascii="宋体" w:hAnsi="宋体" w:cs="宋体"/>
          <w:color w:val="auto"/>
          <w:szCs w:val="21"/>
          <w:highlight w:val="none"/>
        </w:rPr>
        <w:t>。</w:t>
      </w:r>
    </w:p>
    <w:p w14:paraId="3C10D50F">
      <w:pPr>
        <w:spacing w:line="360" w:lineRule="auto"/>
        <w:ind w:firstLine="422" w:firstLineChars="200"/>
        <w:rPr>
          <w:rFonts w:hint="eastAsia" w:ascii="宋体" w:hAnsi="宋体" w:cs="宋体"/>
          <w:b/>
          <w:bCs/>
          <w:color w:val="auto"/>
          <w:szCs w:val="21"/>
          <w:highlight w:val="none"/>
        </w:rPr>
      </w:pPr>
      <w:r>
        <w:rPr>
          <w:rFonts w:hint="eastAsia" w:ascii="宋体" w:hAnsi="宋体" w:cs="宋体"/>
          <w:b/>
          <w:bCs/>
          <w:color w:val="auto"/>
          <w:szCs w:val="21"/>
          <w:highlight w:val="none"/>
        </w:rPr>
        <w:t>七、采购标的的其他技术、服务等要求</w:t>
      </w:r>
    </w:p>
    <w:p w14:paraId="6CCA69F4">
      <w:pPr>
        <w:spacing w:line="360"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（一）</w:t>
      </w:r>
      <w:r>
        <w:rPr>
          <w:rFonts w:hint="eastAsia" w:ascii="宋体" w:hAnsi="宋体"/>
          <w:bCs/>
          <w:color w:val="auto"/>
          <w:highlight w:val="none"/>
        </w:rPr>
        <w:t>符合《中华人民共和国政府采购法》第二十二条规定的条件。</w:t>
      </w:r>
    </w:p>
    <w:p w14:paraId="31E631B9">
      <w:pPr>
        <w:pStyle w:val="404"/>
        <w:spacing w:line="360" w:lineRule="auto"/>
        <w:ind w:firstLine="420" w:firstLineChars="200"/>
        <w:rPr>
          <w:rFonts w:hint="eastAsia" w:ascii="宋体" w:hAnsi="宋体" w:cs="宋体"/>
          <w:b/>
          <w:bCs/>
          <w:color w:val="auto"/>
          <w:szCs w:val="21"/>
          <w:highlight w:val="none"/>
          <w:u w:val="none"/>
          <w:lang w:val="en-US" w:eastAsia="zh-CN"/>
        </w:rPr>
      </w:pPr>
      <w:r>
        <w:rPr>
          <w:rFonts w:hint="eastAsia" w:ascii="宋体" w:hAnsi="宋体" w:cs="宋体"/>
          <w:color w:val="auto"/>
          <w:highlight w:val="none"/>
        </w:rPr>
        <w:t>（二）</w:t>
      </w:r>
      <w:r>
        <w:rPr>
          <w:rFonts w:hint="eastAsia" w:ascii="宋体" w:hAnsi="宋体"/>
          <w:color w:val="auto"/>
          <w:highlight w:val="none"/>
        </w:rPr>
        <w:t>付款条件（进度和方式）</w:t>
      </w:r>
      <w:r>
        <w:rPr>
          <w:rFonts w:hint="eastAsia" w:ascii="宋体" w:hAnsi="宋体"/>
          <w:color w:val="auto"/>
          <w:highlight w:val="none"/>
          <w:lang w:eastAsia="zh-CN"/>
        </w:rPr>
        <w:t>：</w:t>
      </w:r>
      <w:r>
        <w:rPr>
          <w:rFonts w:hint="eastAsia" w:ascii="宋体" w:hAnsi="宋体"/>
          <w:b/>
          <w:bCs/>
          <w:color w:val="auto"/>
          <w:highlight w:val="none"/>
          <w:lang w:val="en-US" w:eastAsia="zh-CN"/>
        </w:rPr>
        <w:t>提交</w:t>
      </w:r>
      <w:r>
        <w:rPr>
          <w:rFonts w:hint="eastAsia" w:ascii="宋体" w:hAnsi="宋体" w:cs="宋体"/>
          <w:b/>
          <w:bCs/>
          <w:color w:val="auto"/>
          <w:szCs w:val="21"/>
          <w:highlight w:val="none"/>
          <w:u w:val="none"/>
          <w:lang w:val="en-US" w:eastAsia="zh-CN"/>
        </w:rPr>
        <w:t>初步设计成果经市级评审通过，且进场施工后支付至30%;后期拨款按照工程实施进度进行拨付，工程竣工验收后拨付至100%。</w:t>
      </w:r>
    </w:p>
    <w:p w14:paraId="47F51418">
      <w:pPr>
        <w:spacing w:line="360" w:lineRule="auto"/>
        <w:ind w:firstLine="420" w:firstLineChars="200"/>
        <w:rPr>
          <w:rFonts w:hint="eastAsia" w:ascii="宋体" w:hAnsi="宋体"/>
          <w:color w:val="auto"/>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三</w:t>
      </w:r>
      <w:r>
        <w:rPr>
          <w:rFonts w:hint="eastAsia" w:ascii="宋体" w:hAnsi="宋体"/>
          <w:color w:val="auto"/>
          <w:highlight w:val="none"/>
          <w:lang w:eastAsia="zh-CN"/>
        </w:rPr>
        <w:t>）</w:t>
      </w:r>
      <w:r>
        <w:rPr>
          <w:rFonts w:hint="eastAsia" w:ascii="宋体" w:hAnsi="宋体"/>
          <w:color w:val="auto"/>
          <w:highlight w:val="none"/>
        </w:rPr>
        <w:t>其它相关内容</w:t>
      </w:r>
      <w:r>
        <w:rPr>
          <w:rFonts w:hint="eastAsia" w:ascii="宋体" w:hAnsi="宋体"/>
          <w:color w:val="auto"/>
          <w:highlight w:val="none"/>
          <w:lang w:eastAsia="zh-CN"/>
        </w:rPr>
        <w:t>：</w:t>
      </w:r>
    </w:p>
    <w:p w14:paraId="2214942E">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1、按照国家法律、法规的有关规定，遵照客观、公平、公正的原则开展服务工作。</w:t>
      </w:r>
    </w:p>
    <w:p w14:paraId="2925FA0A">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2、独立完成项目服务工作，不得以任何形式将已接受的服务工作再委托给其他机构。</w:t>
      </w:r>
    </w:p>
    <w:p w14:paraId="6BDA86B6">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3、对在服务工作实施过程中遇到的重大事项、重大问题应及时向采购人报告。</w:t>
      </w:r>
    </w:p>
    <w:p w14:paraId="5D75F992">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4、在规定的时间内向采购人出具成果资料。</w:t>
      </w:r>
    </w:p>
    <w:p w14:paraId="1879E908">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5、按照采购人的要求，制定严格的质量保证措施，真实、准确、完整的反映和记录项目的情况，并对出具的报告的真实性、准确性和合法性负责。</w:t>
      </w:r>
    </w:p>
    <w:p w14:paraId="54F63F52">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6、不得提供内容不实或内容虚假的资料。</w:t>
      </w:r>
    </w:p>
    <w:p w14:paraId="085D402C">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7、不准利用工作知悉的商业秘密和内部信息谋取利益。</w:t>
      </w:r>
    </w:p>
    <w:p w14:paraId="2662DB4C">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8、在项目实施过程中需合理配置人员，提供好各项服务，提供的各项服务均需满足国家现行相关规范或标准。</w:t>
      </w:r>
    </w:p>
    <w:p w14:paraId="0545AF3E">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9、需接受采购人临时安排的与项目有关的工作。</w:t>
      </w:r>
    </w:p>
    <w:p w14:paraId="033EDD3A">
      <w:pPr>
        <w:spacing w:line="360" w:lineRule="auto"/>
        <w:ind w:firstLine="420" w:firstLineChars="200"/>
        <w:rPr>
          <w:rFonts w:hint="default" w:ascii="宋体" w:hAnsi="宋体"/>
          <w:color w:val="auto"/>
          <w:highlight w:val="none"/>
          <w:lang w:val="en-US" w:eastAsia="zh-CN"/>
        </w:rPr>
      </w:pPr>
      <w:r>
        <w:rPr>
          <w:rFonts w:hint="default" w:ascii="宋体" w:hAnsi="宋体"/>
          <w:color w:val="auto"/>
          <w:highlight w:val="none"/>
          <w:lang w:val="en-US" w:eastAsia="zh-CN"/>
        </w:rPr>
        <w:t>10、需严格按照招标文件指派人员，如随意更换人员采购人有权解除合同并向中标人索赔，如因不可抗力，确需更换人员，需经采购人同意。</w:t>
      </w:r>
    </w:p>
    <w:p w14:paraId="7A4FA690">
      <w:pPr>
        <w:pStyle w:val="442"/>
        <w:ind w:firstLine="420" w:firstLineChars="200"/>
        <w:rPr>
          <w:rFonts w:hint="eastAsia"/>
          <w:color w:val="auto"/>
          <w:highlight w:val="none"/>
          <w:lang w:val="en-US" w:eastAsia="zh-CN"/>
        </w:rPr>
      </w:pPr>
    </w:p>
    <w:p w14:paraId="3A107674">
      <w:pPr>
        <w:pStyle w:val="20"/>
        <w:jc w:val="center"/>
        <w:outlineLvl w:val="0"/>
        <w:rPr>
          <w:rFonts w:hint="eastAsia" w:ascii="宋体" w:hAnsi="宋体"/>
          <w:bCs/>
          <w:color w:val="auto"/>
          <w:sz w:val="32"/>
          <w:highlight w:val="none"/>
        </w:rPr>
      </w:pPr>
      <w:r>
        <w:rPr>
          <w:color w:val="auto"/>
          <w:highlight w:val="none"/>
        </w:rPr>
        <w:br w:type="page"/>
      </w:r>
      <w:bookmarkStart w:id="991" w:name="_Toc30002"/>
      <w:bookmarkStart w:id="992" w:name="_Toc13120"/>
      <w:bookmarkStart w:id="993" w:name="_Toc6904"/>
      <w:r>
        <w:rPr>
          <w:rFonts w:hint="eastAsia" w:ascii="宋体" w:hAnsi="宋体"/>
          <w:b/>
          <w:color w:val="auto"/>
          <w:sz w:val="32"/>
          <w:highlight w:val="none"/>
        </w:rPr>
        <w:t xml:space="preserve">第六章  </w:t>
      </w:r>
      <w:bookmarkEnd w:id="831"/>
      <w:bookmarkEnd w:id="832"/>
      <w:bookmarkEnd w:id="833"/>
      <w:bookmarkStart w:id="994" w:name="_Toc272420735"/>
      <w:r>
        <w:rPr>
          <w:rFonts w:hint="eastAsia" w:ascii="宋体" w:hAnsi="宋体"/>
          <w:b/>
          <w:color w:val="auto"/>
          <w:sz w:val="32"/>
          <w:highlight w:val="none"/>
        </w:rPr>
        <w:t>响应文件部分格式</w:t>
      </w:r>
      <w:bookmarkEnd w:id="991"/>
      <w:bookmarkEnd w:id="992"/>
      <w:bookmarkEnd w:id="993"/>
      <w:bookmarkEnd w:id="994"/>
    </w:p>
    <w:p w14:paraId="249D0B25">
      <w:pPr>
        <w:spacing w:line="360" w:lineRule="auto"/>
        <w:rPr>
          <w:color w:val="auto"/>
          <w:highlight w:val="none"/>
        </w:rPr>
      </w:pPr>
      <w:r>
        <w:rPr>
          <w:color w:val="auto"/>
          <w:highlight w:val="none"/>
        </w:rPr>
        <w:t>本章所提供格式未包括磋商需提供的全部内容，响应文件组成详见供应商须知，本章有格式要求的内容按格式要求填报，无格式要求的内容可自行填报。</w:t>
      </w:r>
    </w:p>
    <w:p w14:paraId="37C15D76">
      <w:pPr>
        <w:spacing w:line="360" w:lineRule="auto"/>
        <w:rPr>
          <w:color w:val="auto"/>
          <w:highlight w:val="none"/>
        </w:rPr>
      </w:pPr>
    </w:p>
    <w:p w14:paraId="0C9A415B">
      <w:pPr>
        <w:rPr>
          <w:rFonts w:hint="eastAsia" w:ascii="宋体" w:hAnsi="宋体" w:eastAsia="宋体"/>
          <w:color w:val="auto"/>
          <w:highlight w:val="none"/>
        </w:rPr>
      </w:pPr>
      <w:bookmarkStart w:id="995" w:name="_Toc466623437"/>
      <w:bookmarkStart w:id="996" w:name="_Toc23436"/>
      <w:bookmarkStart w:id="997" w:name="_Toc27323"/>
      <w:bookmarkStart w:id="998" w:name="_Toc25707"/>
      <w:bookmarkStart w:id="999" w:name="_Toc5052"/>
      <w:bookmarkStart w:id="1000" w:name="_Toc30462"/>
      <w:bookmarkStart w:id="1001" w:name="_Toc48484492"/>
      <w:bookmarkStart w:id="1002" w:name="_Toc48038758"/>
      <w:bookmarkStart w:id="1003" w:name="_Toc465778841"/>
      <w:bookmarkStart w:id="1004" w:name="_Toc509841345"/>
      <w:r>
        <w:rPr>
          <w:rFonts w:hint="eastAsia" w:ascii="宋体" w:hAnsi="宋体" w:eastAsia="宋体"/>
          <w:color w:val="auto"/>
          <w:highlight w:val="none"/>
        </w:rPr>
        <w:br w:type="page"/>
      </w:r>
    </w:p>
    <w:p w14:paraId="102B5B9A">
      <w:pPr>
        <w:pStyle w:val="4"/>
        <w:spacing w:line="360" w:lineRule="auto"/>
        <w:jc w:val="center"/>
        <w:rPr>
          <w:rFonts w:hint="eastAsia" w:ascii="宋体" w:hAnsi="宋体" w:eastAsia="宋体"/>
          <w:color w:val="auto"/>
          <w:szCs w:val="21"/>
          <w:highlight w:val="none"/>
        </w:rPr>
      </w:pPr>
      <w:r>
        <w:rPr>
          <w:rFonts w:hint="eastAsia" w:ascii="宋体" w:hAnsi="宋体" w:eastAsia="宋体"/>
          <w:color w:val="auto"/>
          <w:highlight w:val="none"/>
        </w:rPr>
        <w:t>第一部分  响应文件资格审查资料部分格式</w:t>
      </w:r>
      <w:bookmarkEnd w:id="995"/>
      <w:bookmarkEnd w:id="996"/>
      <w:bookmarkEnd w:id="997"/>
      <w:bookmarkEnd w:id="998"/>
      <w:bookmarkEnd w:id="999"/>
      <w:bookmarkEnd w:id="1000"/>
      <w:bookmarkEnd w:id="1001"/>
      <w:bookmarkEnd w:id="1002"/>
      <w:bookmarkEnd w:id="1003"/>
      <w:bookmarkEnd w:id="1004"/>
    </w:p>
    <w:p w14:paraId="71FC52DA">
      <w:pPr>
        <w:pStyle w:val="5"/>
        <w:spacing w:line="360" w:lineRule="auto"/>
        <w:jc w:val="center"/>
        <w:rPr>
          <w:rFonts w:hint="eastAsia" w:ascii="宋体" w:hAnsi="宋体"/>
          <w:color w:val="auto"/>
          <w:sz w:val="28"/>
          <w:szCs w:val="28"/>
          <w:highlight w:val="none"/>
        </w:rPr>
      </w:pPr>
      <w:bookmarkStart w:id="1005" w:name="_Toc14469"/>
      <w:r>
        <w:rPr>
          <w:rFonts w:hint="eastAsia" w:ascii="宋体" w:hAnsi="宋体"/>
          <w:color w:val="auto"/>
          <w:sz w:val="28"/>
          <w:szCs w:val="28"/>
          <w:highlight w:val="none"/>
          <w:lang w:val="en-US" w:eastAsia="zh-CN"/>
        </w:rPr>
        <w:t>一</w:t>
      </w:r>
      <w:r>
        <w:rPr>
          <w:rFonts w:ascii="宋体" w:hAnsi="宋体"/>
          <w:color w:val="auto"/>
          <w:sz w:val="28"/>
          <w:szCs w:val="28"/>
          <w:highlight w:val="none"/>
        </w:rPr>
        <w:t>、</w:t>
      </w:r>
      <w:r>
        <w:rPr>
          <w:rFonts w:hint="eastAsia" w:ascii="宋体" w:hAnsi="宋体"/>
          <w:color w:val="auto"/>
          <w:sz w:val="28"/>
          <w:szCs w:val="28"/>
          <w:highlight w:val="none"/>
        </w:rPr>
        <w:t>法人或者其他组织的营业执照等证明文件，自然人的身份证明</w:t>
      </w:r>
      <w:bookmarkEnd w:id="1005"/>
      <w:r>
        <w:rPr>
          <w:rFonts w:hint="eastAsia" w:ascii="宋体" w:hAnsi="宋体"/>
          <w:color w:val="auto"/>
          <w:sz w:val="28"/>
          <w:szCs w:val="28"/>
          <w:highlight w:val="none"/>
        </w:rPr>
        <w:t xml:space="preserve"> </w:t>
      </w:r>
    </w:p>
    <w:p w14:paraId="780366EF">
      <w:pPr>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附有效的法人或者其他组织的营业执照等证明文件的扫描件，若为自然人的附自然人的身份证明扫描件。且相关证明均在有效期内。</w:t>
      </w:r>
    </w:p>
    <w:p w14:paraId="1041F2E2">
      <w:pPr>
        <w:pStyle w:val="5"/>
        <w:spacing w:line="360" w:lineRule="auto"/>
        <w:jc w:val="center"/>
        <w:rPr>
          <w:rFonts w:hint="eastAsia" w:ascii="宋体" w:hAnsi="宋体"/>
          <w:color w:val="auto"/>
          <w:sz w:val="28"/>
          <w:szCs w:val="28"/>
          <w:highlight w:val="none"/>
        </w:rPr>
      </w:pPr>
      <w:bookmarkStart w:id="1006" w:name="_Toc19628"/>
      <w:bookmarkStart w:id="1007" w:name="_Toc25968"/>
      <w:bookmarkStart w:id="1008" w:name="_Toc21132"/>
      <w:bookmarkStart w:id="1009" w:name="_Toc8894"/>
      <w:r>
        <w:rPr>
          <w:rFonts w:hint="eastAsia" w:ascii="宋体" w:hAnsi="宋体"/>
          <w:color w:val="auto"/>
          <w:sz w:val="28"/>
          <w:szCs w:val="28"/>
          <w:highlight w:val="none"/>
          <w:lang w:val="en-US" w:eastAsia="zh-CN"/>
        </w:rPr>
        <w:t>二</w:t>
      </w:r>
      <w:r>
        <w:rPr>
          <w:rFonts w:hint="eastAsia" w:ascii="宋体" w:hAnsi="宋体"/>
          <w:color w:val="auto"/>
          <w:sz w:val="28"/>
          <w:szCs w:val="28"/>
          <w:highlight w:val="none"/>
        </w:rPr>
        <w:t>、</w:t>
      </w:r>
      <w:bookmarkEnd w:id="1006"/>
      <w:bookmarkEnd w:id="1007"/>
      <w:r>
        <w:rPr>
          <w:rFonts w:hint="eastAsia" w:ascii="宋体" w:hAnsi="宋体"/>
          <w:color w:val="auto"/>
          <w:sz w:val="28"/>
          <w:szCs w:val="28"/>
          <w:highlight w:val="none"/>
        </w:rPr>
        <w:t>具有良好的商业信誉和健全的财务会计制度</w:t>
      </w:r>
      <w:bookmarkEnd w:id="1008"/>
      <w:bookmarkEnd w:id="1009"/>
    </w:p>
    <w:p w14:paraId="4D0F731C">
      <w:pPr>
        <w:spacing w:line="360" w:lineRule="auto"/>
        <w:jc w:val="center"/>
        <w:rPr>
          <w:rFonts w:hint="eastAsia" w:ascii="宋体" w:hAnsi="宋体"/>
          <w:color w:val="auto"/>
          <w:szCs w:val="21"/>
          <w:highlight w:val="none"/>
        </w:rPr>
      </w:pPr>
      <w:r>
        <w:rPr>
          <w:rFonts w:hint="eastAsia" w:ascii="宋体" w:hAnsi="宋体"/>
          <w:b/>
          <w:color w:val="auto"/>
          <w:sz w:val="24"/>
          <w:highlight w:val="none"/>
        </w:rPr>
        <w:t>（一）承诺书或声明函</w:t>
      </w:r>
    </w:p>
    <w:p w14:paraId="64BFDD0D">
      <w:pPr>
        <w:spacing w:line="360" w:lineRule="auto"/>
        <w:ind w:firstLine="420" w:firstLineChars="200"/>
        <w:rPr>
          <w:rFonts w:hint="eastAsia" w:ascii="宋体" w:hAnsi="宋体" w:cs="宋体"/>
          <w:color w:val="auto"/>
          <w:szCs w:val="21"/>
          <w:highlight w:val="none"/>
        </w:rPr>
      </w:pPr>
      <w:r>
        <w:rPr>
          <w:rFonts w:hint="eastAsia" w:ascii="宋体" w:hAnsi="宋体"/>
          <w:color w:val="auto"/>
          <w:szCs w:val="21"/>
          <w:highlight w:val="none"/>
        </w:rPr>
        <w:t>提供承诺书或声明函</w:t>
      </w:r>
      <w:r>
        <w:rPr>
          <w:rFonts w:hint="eastAsia" w:ascii="宋体" w:hAnsi="宋体" w:cs="宋体"/>
          <w:color w:val="auto"/>
          <w:szCs w:val="21"/>
          <w:highlight w:val="none"/>
        </w:rPr>
        <w:t>并加盖电子签章，若为自然人的由自然人本人电子签章。</w:t>
      </w:r>
      <w:r>
        <w:rPr>
          <w:rFonts w:hint="eastAsia" w:hAnsi="宋体" w:cs="宋体"/>
          <w:color w:val="auto"/>
          <w:highlight w:val="none"/>
        </w:rPr>
        <w:t>（格式自拟）</w:t>
      </w:r>
    </w:p>
    <w:p w14:paraId="4652DE94">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（二）具有健全的财务会计制度</w:t>
      </w:r>
    </w:p>
    <w:p w14:paraId="7431ADD4">
      <w:pPr>
        <w:pStyle w:val="101"/>
        <w:spacing w:line="360" w:lineRule="auto"/>
        <w:ind w:firstLine="420" w:firstLineChars="200"/>
        <w:rPr>
          <w:color w:val="auto"/>
          <w:highlight w:val="none"/>
        </w:rPr>
      </w:pPr>
      <w:r>
        <w:rPr>
          <w:rFonts w:hint="eastAsia" w:ascii="宋体" w:hAnsi="宋体"/>
          <w:color w:val="auto"/>
          <w:szCs w:val="21"/>
          <w:highlight w:val="none"/>
        </w:rPr>
        <w:t>提供2024年或2025年经审计的财务报告及报表[包括资产负债表、现金流量表、利润表及财务报表附注（或财务状况说明书）]扫描件【注：供应商若为事业单位的则不需提供利润表，审计报告须经“注册会计师行业统一监管平台（http://acc.mof.gov.cn）”备案赋码，未完成备案赋码的，视为无效文件】，或银行出具的资信证明，或财政部门认可的政府采购专业担保机构针对本项目出具的投标担保函。</w:t>
      </w:r>
      <w:r>
        <w:rPr>
          <w:rFonts w:hint="eastAsia" w:hAnsi="宋体" w:cs="宋体"/>
          <w:color w:val="auto"/>
          <w:highlight w:val="none"/>
        </w:rPr>
        <w:t>（格式自拟）</w:t>
      </w:r>
    </w:p>
    <w:p w14:paraId="16798853">
      <w:pPr>
        <w:pStyle w:val="5"/>
        <w:spacing w:line="360" w:lineRule="auto"/>
        <w:jc w:val="center"/>
        <w:rPr>
          <w:rFonts w:hint="eastAsia" w:ascii="宋体" w:hAnsi="宋体"/>
          <w:color w:val="auto"/>
          <w:sz w:val="28"/>
          <w:szCs w:val="28"/>
          <w:highlight w:val="none"/>
        </w:rPr>
      </w:pPr>
      <w:bookmarkStart w:id="1010" w:name="_Toc18213"/>
      <w:r>
        <w:rPr>
          <w:rFonts w:hint="eastAsia" w:ascii="宋体" w:hAnsi="宋体"/>
          <w:color w:val="auto"/>
          <w:sz w:val="28"/>
          <w:szCs w:val="28"/>
          <w:highlight w:val="none"/>
          <w:lang w:val="en-US" w:eastAsia="zh-CN"/>
        </w:rPr>
        <w:t>三</w:t>
      </w:r>
      <w:r>
        <w:rPr>
          <w:rFonts w:hint="eastAsia" w:ascii="宋体" w:hAnsi="宋体"/>
          <w:color w:val="auto"/>
          <w:sz w:val="28"/>
          <w:szCs w:val="28"/>
          <w:highlight w:val="none"/>
        </w:rPr>
        <w:t>、具备履行合同所必需的设备和专业技术能力</w:t>
      </w:r>
      <w:bookmarkEnd w:id="1010"/>
    </w:p>
    <w:p w14:paraId="4F6F881B">
      <w:pPr>
        <w:pStyle w:val="28"/>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提供证明材料或声明函（声明函需加盖电子签章，若为自然人的由自然人本人电子签章）。（格式自拟）</w:t>
      </w:r>
    </w:p>
    <w:p w14:paraId="04C5573E">
      <w:pPr>
        <w:pStyle w:val="5"/>
        <w:spacing w:line="360" w:lineRule="auto"/>
        <w:jc w:val="center"/>
        <w:rPr>
          <w:rFonts w:hint="eastAsia" w:ascii="宋体" w:hAnsi="宋体"/>
          <w:color w:val="auto"/>
          <w:sz w:val="28"/>
          <w:szCs w:val="28"/>
          <w:highlight w:val="none"/>
        </w:rPr>
      </w:pPr>
      <w:bookmarkStart w:id="1011" w:name="_Toc31553"/>
      <w:r>
        <w:rPr>
          <w:rFonts w:hint="eastAsia" w:ascii="宋体" w:hAnsi="宋体"/>
          <w:color w:val="auto"/>
          <w:sz w:val="28"/>
          <w:szCs w:val="28"/>
          <w:highlight w:val="none"/>
          <w:lang w:val="en-US" w:eastAsia="zh-CN"/>
        </w:rPr>
        <w:t>四</w:t>
      </w:r>
      <w:r>
        <w:rPr>
          <w:rFonts w:hint="eastAsia" w:ascii="宋体" w:hAnsi="宋体"/>
          <w:color w:val="auto"/>
          <w:sz w:val="28"/>
          <w:szCs w:val="28"/>
          <w:highlight w:val="none"/>
        </w:rPr>
        <w:t>、有依法缴纳税收和社会保障资金的良好记录</w:t>
      </w:r>
      <w:bookmarkEnd w:id="1011"/>
    </w:p>
    <w:p w14:paraId="21B09A6D">
      <w:pPr>
        <w:pStyle w:val="28"/>
        <w:spacing w:line="360" w:lineRule="auto"/>
        <w:ind w:firstLine="420"/>
        <w:jc w:val="left"/>
        <w:rPr>
          <w:rFonts w:hint="eastAsia" w:hAnsi="宋体" w:cs="宋体"/>
          <w:color w:val="auto"/>
          <w:sz w:val="21"/>
          <w:highlight w:val="none"/>
        </w:rPr>
      </w:pPr>
      <w:r>
        <w:rPr>
          <w:rFonts w:hint="eastAsia" w:ascii="宋体" w:hAnsi="宋体" w:cs="宋体"/>
          <w:color w:val="auto"/>
          <w:sz w:val="21"/>
          <w:szCs w:val="22"/>
          <w:highlight w:val="none"/>
        </w:rPr>
        <w:t>供应商须提供</w:t>
      </w:r>
      <w:r>
        <w:rPr>
          <w:rFonts w:hint="eastAsia" w:ascii="宋体" w:hAnsi="宋体" w:cs="宋体"/>
          <w:color w:val="auto"/>
          <w:sz w:val="21"/>
          <w:szCs w:val="22"/>
          <w:highlight w:val="none"/>
          <w:lang w:val="en-US" w:eastAsia="zh-CN"/>
        </w:rPr>
        <w:t>2025年</w:t>
      </w:r>
      <w:r>
        <w:rPr>
          <w:rFonts w:hint="eastAsia" w:hAnsi="宋体" w:cs="宋体"/>
          <w:color w:val="auto"/>
          <w:sz w:val="21"/>
          <w:szCs w:val="22"/>
          <w:highlight w:val="none"/>
          <w:lang w:val="en-US" w:eastAsia="zh-CN"/>
        </w:rPr>
        <w:t>6</w:t>
      </w:r>
      <w:r>
        <w:rPr>
          <w:rFonts w:hint="eastAsia" w:ascii="宋体" w:hAnsi="宋体" w:cs="宋体"/>
          <w:color w:val="auto"/>
          <w:sz w:val="21"/>
          <w:szCs w:val="22"/>
          <w:highlight w:val="none"/>
          <w:lang w:val="en-US" w:eastAsia="zh-CN"/>
        </w:rPr>
        <w:t>月至</w:t>
      </w:r>
      <w:r>
        <w:rPr>
          <w:rFonts w:hint="eastAsia" w:ascii="宋体" w:hAnsi="宋体" w:cs="宋体"/>
          <w:color w:val="auto"/>
          <w:sz w:val="21"/>
          <w:szCs w:val="22"/>
          <w:highlight w:val="none"/>
        </w:rPr>
        <w:t>本项目</w:t>
      </w:r>
      <w:r>
        <w:rPr>
          <w:rFonts w:hint="eastAsia" w:ascii="宋体" w:hAnsi="宋体" w:cs="宋体"/>
          <w:color w:val="auto"/>
          <w:sz w:val="21"/>
          <w:szCs w:val="22"/>
          <w:highlight w:val="none"/>
          <w:lang w:val="en-US" w:eastAsia="zh-CN"/>
        </w:rPr>
        <w:t>响应</w:t>
      </w:r>
      <w:r>
        <w:rPr>
          <w:rFonts w:hint="eastAsia" w:ascii="宋体" w:hAnsi="宋体" w:cs="宋体"/>
          <w:color w:val="auto"/>
          <w:sz w:val="21"/>
          <w:szCs w:val="22"/>
          <w:highlight w:val="none"/>
        </w:rPr>
        <w:t>文件递交截止时间前任意时间段的纳税证明材料和社会保障资金证明材料；若依法免税或不需要缴纳社保资金的，应提供相应证明文件</w:t>
      </w:r>
      <w:r>
        <w:rPr>
          <w:rFonts w:hint="eastAsia" w:ascii="宋体" w:hAnsi="宋体" w:cs="宋体"/>
          <w:color w:val="auto"/>
          <w:sz w:val="21"/>
          <w:szCs w:val="22"/>
          <w:highlight w:val="none"/>
          <w:lang w:val="en-US" w:eastAsia="zh-CN"/>
        </w:rPr>
        <w:t>证明</w:t>
      </w:r>
      <w:r>
        <w:rPr>
          <w:rFonts w:hint="eastAsia" w:ascii="宋体" w:hAnsi="宋体" w:cs="宋体"/>
          <w:color w:val="auto"/>
          <w:sz w:val="21"/>
          <w:szCs w:val="22"/>
          <w:highlight w:val="none"/>
        </w:rPr>
        <w:t>其依法免税或不需要缴纳社会保障资金。</w:t>
      </w:r>
      <w:r>
        <w:rPr>
          <w:rFonts w:hint="eastAsia" w:hAnsi="宋体" w:cs="宋体"/>
          <w:color w:val="auto"/>
          <w:sz w:val="21"/>
          <w:highlight w:val="none"/>
        </w:rPr>
        <w:t>（格式自拟）</w:t>
      </w:r>
    </w:p>
    <w:p w14:paraId="00AB89CD">
      <w:pPr>
        <w:pStyle w:val="5"/>
        <w:spacing w:line="360" w:lineRule="auto"/>
        <w:jc w:val="center"/>
        <w:rPr>
          <w:rFonts w:hint="eastAsia" w:ascii="宋体" w:hAnsi="宋体"/>
          <w:color w:val="auto"/>
          <w:sz w:val="28"/>
          <w:szCs w:val="28"/>
          <w:highlight w:val="none"/>
        </w:rPr>
      </w:pPr>
      <w:bookmarkStart w:id="1012" w:name="_Toc45655254"/>
      <w:bookmarkStart w:id="1013" w:name="_Toc23400"/>
      <w:bookmarkStart w:id="1014" w:name="_Toc48038759"/>
      <w:bookmarkStart w:id="1015" w:name="_Toc16065"/>
      <w:bookmarkStart w:id="1016" w:name="_Toc48484493"/>
      <w:bookmarkStart w:id="1017" w:name="_Toc1156"/>
      <w:bookmarkStart w:id="1018" w:name="_Toc10068"/>
      <w:r>
        <w:rPr>
          <w:rFonts w:hint="eastAsia" w:ascii="宋体" w:hAnsi="宋体"/>
          <w:color w:val="auto"/>
          <w:sz w:val="28"/>
          <w:szCs w:val="28"/>
          <w:highlight w:val="none"/>
          <w:lang w:val="en-US" w:eastAsia="zh-CN"/>
        </w:rPr>
        <w:t>五</w:t>
      </w:r>
      <w:r>
        <w:rPr>
          <w:rFonts w:ascii="宋体" w:hAnsi="宋体"/>
          <w:color w:val="auto"/>
          <w:sz w:val="28"/>
          <w:szCs w:val="28"/>
          <w:highlight w:val="none"/>
        </w:rPr>
        <w:t>、</w:t>
      </w:r>
      <w:bookmarkStart w:id="1019" w:name="_Toc525742152"/>
      <w:bookmarkStart w:id="1020" w:name="_Toc525742066"/>
      <w:r>
        <w:rPr>
          <w:rFonts w:ascii="宋体" w:hAnsi="宋体"/>
          <w:color w:val="auto"/>
          <w:sz w:val="28"/>
          <w:szCs w:val="28"/>
          <w:highlight w:val="none"/>
        </w:rPr>
        <w:t>在经营活动中没有重大违法记录的书面声明</w:t>
      </w:r>
      <w:bookmarkEnd w:id="1012"/>
      <w:bookmarkEnd w:id="1013"/>
      <w:bookmarkEnd w:id="1014"/>
      <w:bookmarkEnd w:id="1015"/>
      <w:bookmarkEnd w:id="1016"/>
      <w:bookmarkEnd w:id="1017"/>
      <w:bookmarkEnd w:id="1018"/>
      <w:bookmarkEnd w:id="1019"/>
      <w:bookmarkEnd w:id="1020"/>
    </w:p>
    <w:p w14:paraId="1F02B486">
      <w:pPr>
        <w:spacing w:line="360" w:lineRule="auto"/>
        <w:ind w:firstLine="420" w:firstLineChars="200"/>
        <w:rPr>
          <w:rFonts w:hint="eastAsia" w:hAnsi="宋体" w:cs="宋体"/>
          <w:color w:val="auto"/>
          <w:highlight w:val="none"/>
        </w:rPr>
      </w:pPr>
      <w:r>
        <w:rPr>
          <w:rFonts w:hint="eastAsia" w:ascii="宋体" w:hAnsi="宋体" w:cs="宋体"/>
          <w:color w:val="auto"/>
          <w:szCs w:val="21"/>
          <w:highlight w:val="none"/>
        </w:rPr>
        <w:t>提供供应商参与本次竞争性磋商活动的前三年内（以响应文件递交截止时间为准），在经营活动中没有重大违法记录的书面声明并加盖电子签章（若为自然人的由自然人本人电子签章）。</w:t>
      </w:r>
      <w:r>
        <w:rPr>
          <w:rFonts w:hint="eastAsia" w:hAnsi="宋体" w:cs="宋体"/>
          <w:color w:val="auto"/>
          <w:highlight w:val="none"/>
        </w:rPr>
        <w:t>（格式自拟）</w:t>
      </w:r>
    </w:p>
    <w:p w14:paraId="6757AD55">
      <w:pPr>
        <w:pStyle w:val="5"/>
        <w:spacing w:line="360" w:lineRule="auto"/>
        <w:jc w:val="center"/>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val="en-US" w:eastAsia="zh-CN"/>
        </w:rPr>
        <w:t>六</w:t>
      </w:r>
      <w:r>
        <w:rPr>
          <w:rFonts w:ascii="宋体" w:hAnsi="宋体"/>
          <w:color w:val="auto"/>
          <w:sz w:val="28"/>
          <w:szCs w:val="28"/>
          <w:highlight w:val="none"/>
        </w:rPr>
        <w:t>、</w:t>
      </w:r>
      <w:r>
        <w:rPr>
          <w:rFonts w:hint="eastAsia" w:ascii="宋体" w:hAnsi="宋体"/>
          <w:color w:val="auto"/>
          <w:sz w:val="28"/>
          <w:szCs w:val="28"/>
          <w:highlight w:val="none"/>
          <w:lang w:val="en-US" w:eastAsia="zh-CN"/>
        </w:rPr>
        <w:t>不属于不得参与采购活动情形的承诺书</w:t>
      </w:r>
    </w:p>
    <w:p w14:paraId="47AC7C03">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单位负责人为同一人或者存在直接控股、管理关系的不同供应商，不得参加同一项目包的政府采购活动</w:t>
      </w:r>
      <w:r>
        <w:rPr>
          <w:rFonts w:hint="eastAsia" w:ascii="宋体" w:hAnsi="宋体" w:cs="宋体"/>
          <w:color w:val="auto"/>
          <w:szCs w:val="21"/>
          <w:highlight w:val="none"/>
          <w:lang w:eastAsia="zh-CN"/>
        </w:rPr>
        <w:t>。除单一来源采购项目外，为采购项目提供整体设计、规范编制或者项目管理、监理、检测等服务的供应商，不得再参加该采购项目的其他采购活动。</w:t>
      </w:r>
    </w:p>
    <w:p w14:paraId="41A85993">
      <w:pPr>
        <w:spacing w:line="360" w:lineRule="auto"/>
        <w:ind w:firstLine="420" w:firstLineChars="200"/>
        <w:rPr>
          <w:rFonts w:hint="eastAsia" w:ascii="宋体" w:hAnsi="宋体"/>
          <w:color w:val="auto"/>
          <w:sz w:val="28"/>
          <w:szCs w:val="28"/>
          <w:highlight w:val="none"/>
        </w:rPr>
      </w:pPr>
      <w:r>
        <w:rPr>
          <w:rFonts w:hint="eastAsia" w:ascii="宋体" w:hAnsi="宋体" w:cs="宋体"/>
          <w:color w:val="auto"/>
          <w:szCs w:val="21"/>
          <w:highlight w:val="none"/>
          <w:lang w:eastAsia="zh-CN"/>
        </w:rPr>
        <w:t>提供承诺书或者证明材料</w:t>
      </w:r>
      <w:r>
        <w:rPr>
          <w:rFonts w:hint="eastAsia" w:ascii="宋体" w:hAnsi="宋体" w:cs="宋体"/>
          <w:color w:val="auto"/>
          <w:szCs w:val="21"/>
          <w:highlight w:val="none"/>
        </w:rPr>
        <w:t>并加盖电子签章（若为自然人的由自然人本人电子签章）。</w:t>
      </w:r>
      <w:r>
        <w:rPr>
          <w:rFonts w:hint="eastAsia" w:hAnsi="宋体" w:cs="宋体"/>
          <w:color w:val="auto"/>
          <w:highlight w:val="none"/>
        </w:rPr>
        <w:t>（格式自拟）</w:t>
      </w:r>
      <w:r>
        <w:rPr>
          <w:rFonts w:hint="eastAsia" w:hAnsi="宋体" w:cs="宋体"/>
          <w:color w:val="auto"/>
          <w:highlight w:val="none"/>
          <w:lang w:eastAsia="zh-CN"/>
        </w:rPr>
        <w:t>。</w:t>
      </w:r>
    </w:p>
    <w:p w14:paraId="4093518E">
      <w:pPr>
        <w:pStyle w:val="5"/>
        <w:spacing w:line="360" w:lineRule="auto"/>
        <w:jc w:val="center"/>
        <w:rPr>
          <w:rFonts w:hint="eastAsia" w:ascii="宋体" w:hAnsi="宋体"/>
          <w:color w:val="auto"/>
          <w:sz w:val="28"/>
          <w:szCs w:val="28"/>
          <w:highlight w:val="none"/>
        </w:rPr>
      </w:pPr>
      <w:r>
        <w:rPr>
          <w:rFonts w:hint="eastAsia" w:ascii="宋体" w:hAnsi="宋体"/>
          <w:color w:val="auto"/>
          <w:sz w:val="28"/>
          <w:szCs w:val="28"/>
          <w:highlight w:val="none"/>
          <w:lang w:val="en-US" w:eastAsia="zh-CN"/>
        </w:rPr>
        <w:t>七</w:t>
      </w:r>
      <w:r>
        <w:rPr>
          <w:rFonts w:hint="eastAsia" w:ascii="宋体" w:hAnsi="宋体"/>
          <w:color w:val="auto"/>
          <w:sz w:val="28"/>
          <w:szCs w:val="28"/>
          <w:highlight w:val="none"/>
        </w:rPr>
        <w:t>、</w:t>
      </w:r>
      <w:bookmarkStart w:id="1021" w:name="_Toc28401"/>
      <w:r>
        <w:rPr>
          <w:rFonts w:hint="eastAsia" w:ascii="宋体" w:hAnsi="宋体"/>
          <w:color w:val="auto"/>
          <w:sz w:val="28"/>
          <w:szCs w:val="28"/>
          <w:highlight w:val="none"/>
        </w:rPr>
        <w:t>声明函</w:t>
      </w:r>
    </w:p>
    <w:p w14:paraId="625A8A4A">
      <w:pPr>
        <w:pStyle w:val="44"/>
        <w:spacing w:before="0" w:beforeAutospacing="0" w:after="0" w:afterAutospacing="0" w:line="360" w:lineRule="auto"/>
        <w:jc w:val="center"/>
        <w:rPr>
          <w:rFonts w:hint="eastAsia"/>
          <w:b/>
          <w:color w:val="auto"/>
          <w:kern w:val="2"/>
          <w:sz w:val="21"/>
          <w:szCs w:val="21"/>
          <w:highlight w:val="none"/>
        </w:rPr>
      </w:pPr>
      <w:r>
        <w:rPr>
          <w:rFonts w:hint="eastAsia"/>
          <w:b/>
          <w:color w:val="auto"/>
          <w:kern w:val="2"/>
          <w:sz w:val="21"/>
          <w:szCs w:val="21"/>
          <w:highlight w:val="none"/>
          <w:lang w:eastAsia="zh-CN"/>
        </w:rPr>
        <w:t>（</w:t>
      </w:r>
      <w:r>
        <w:rPr>
          <w:rFonts w:hint="eastAsia"/>
          <w:b/>
          <w:color w:val="auto"/>
          <w:kern w:val="2"/>
          <w:sz w:val="21"/>
          <w:szCs w:val="21"/>
          <w:highlight w:val="none"/>
          <w:lang w:val="en-US" w:eastAsia="zh-CN"/>
        </w:rPr>
        <w:t>一</w:t>
      </w:r>
      <w:r>
        <w:rPr>
          <w:rFonts w:hint="eastAsia"/>
          <w:b/>
          <w:color w:val="auto"/>
          <w:kern w:val="2"/>
          <w:sz w:val="21"/>
          <w:szCs w:val="21"/>
          <w:highlight w:val="none"/>
          <w:lang w:eastAsia="zh-CN"/>
        </w:rPr>
        <w:t>）</w:t>
      </w:r>
      <w:r>
        <w:rPr>
          <w:rFonts w:hint="eastAsia"/>
          <w:b/>
          <w:color w:val="auto"/>
          <w:kern w:val="2"/>
          <w:sz w:val="21"/>
          <w:szCs w:val="21"/>
          <w:highlight w:val="none"/>
        </w:rPr>
        <w:t>中小企业声明函（工程、服务）</w:t>
      </w:r>
    </w:p>
    <w:p w14:paraId="125BD0B2">
      <w:pPr>
        <w:pStyle w:val="44"/>
        <w:spacing w:before="0" w:beforeAutospacing="0" w:after="0" w:afterAutospacing="0"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本公司（联合体）郑重声明，根据《政府采购促进中小企业发展管理办法》（财库﹝2020﹞46 号）的规定，本公司（联合体）参加</w:t>
      </w:r>
      <w:r>
        <w:rPr>
          <w:rFonts w:hint="eastAsia"/>
          <w:color w:val="auto"/>
          <w:kern w:val="2"/>
          <w:sz w:val="21"/>
          <w:szCs w:val="21"/>
          <w:highlight w:val="none"/>
          <w:u w:val="single"/>
        </w:rPr>
        <w:t xml:space="preserve"> （单位名称） </w:t>
      </w:r>
      <w:r>
        <w:rPr>
          <w:rFonts w:hint="eastAsia"/>
          <w:color w:val="auto"/>
          <w:kern w:val="2"/>
          <w:sz w:val="21"/>
          <w:szCs w:val="21"/>
          <w:highlight w:val="none"/>
        </w:rPr>
        <w:t>的</w:t>
      </w:r>
      <w:r>
        <w:rPr>
          <w:rFonts w:hint="eastAsia"/>
          <w:color w:val="auto"/>
          <w:kern w:val="2"/>
          <w:sz w:val="21"/>
          <w:szCs w:val="21"/>
          <w:highlight w:val="none"/>
          <w:u w:val="single"/>
        </w:rPr>
        <w:t xml:space="preserve"> （项目名称） </w:t>
      </w:r>
      <w:r>
        <w:rPr>
          <w:rFonts w:hint="eastAsia"/>
          <w:color w:val="auto"/>
          <w:kern w:val="2"/>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19B1E15">
      <w:pPr>
        <w:pStyle w:val="44"/>
        <w:spacing w:before="0" w:beforeAutospacing="0" w:after="0" w:afterAutospacing="0"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1.</w:t>
      </w:r>
      <w:r>
        <w:rPr>
          <w:rFonts w:hint="eastAsia"/>
          <w:color w:val="auto"/>
          <w:kern w:val="2"/>
          <w:sz w:val="21"/>
          <w:szCs w:val="21"/>
          <w:highlight w:val="none"/>
          <w:u w:val="single"/>
        </w:rPr>
        <w:t xml:space="preserve"> （标的名称） </w:t>
      </w:r>
      <w:r>
        <w:rPr>
          <w:rFonts w:hint="eastAsia"/>
          <w:color w:val="auto"/>
          <w:kern w:val="2"/>
          <w:sz w:val="21"/>
          <w:szCs w:val="21"/>
          <w:highlight w:val="none"/>
        </w:rPr>
        <w:t>，属于</w:t>
      </w:r>
      <w:r>
        <w:rPr>
          <w:rFonts w:hint="eastAsia"/>
          <w:color w:val="auto"/>
          <w:kern w:val="2"/>
          <w:sz w:val="21"/>
          <w:szCs w:val="21"/>
          <w:highlight w:val="none"/>
          <w:u w:val="single"/>
        </w:rPr>
        <w:t xml:space="preserve"> （采购文件中明确的所属行业） </w:t>
      </w:r>
      <w:r>
        <w:rPr>
          <w:rFonts w:hint="eastAsia"/>
          <w:color w:val="auto"/>
          <w:kern w:val="2"/>
          <w:sz w:val="21"/>
          <w:szCs w:val="21"/>
          <w:highlight w:val="none"/>
        </w:rPr>
        <w:t>；承建（承接）企业为</w:t>
      </w:r>
      <w:r>
        <w:rPr>
          <w:rFonts w:hint="eastAsia"/>
          <w:color w:val="auto"/>
          <w:kern w:val="2"/>
          <w:sz w:val="21"/>
          <w:szCs w:val="21"/>
          <w:highlight w:val="none"/>
          <w:u w:val="single"/>
        </w:rPr>
        <w:t xml:space="preserve"> （企业名称） </w:t>
      </w:r>
      <w:r>
        <w:rPr>
          <w:rFonts w:hint="eastAsia"/>
          <w:color w:val="auto"/>
          <w:kern w:val="2"/>
          <w:sz w:val="21"/>
          <w:szCs w:val="21"/>
          <w:highlight w:val="none"/>
        </w:rPr>
        <w:t>，从业人员</w:t>
      </w:r>
      <w:r>
        <w:rPr>
          <w:rFonts w:hint="eastAsia"/>
          <w:color w:val="auto"/>
          <w:kern w:val="2"/>
          <w:sz w:val="21"/>
          <w:szCs w:val="21"/>
          <w:highlight w:val="none"/>
          <w:u w:val="single"/>
        </w:rPr>
        <w:t xml:space="preserve">      </w:t>
      </w:r>
      <w:r>
        <w:rPr>
          <w:rFonts w:hint="eastAsia"/>
          <w:color w:val="auto"/>
          <w:kern w:val="2"/>
          <w:sz w:val="21"/>
          <w:szCs w:val="21"/>
          <w:highlight w:val="none"/>
        </w:rPr>
        <w:t>人，营业收入为</w:t>
      </w:r>
      <w:r>
        <w:rPr>
          <w:rFonts w:hint="eastAsia"/>
          <w:color w:val="auto"/>
          <w:kern w:val="2"/>
          <w:sz w:val="21"/>
          <w:szCs w:val="21"/>
          <w:highlight w:val="none"/>
          <w:u w:val="single"/>
        </w:rPr>
        <w:t xml:space="preserve">     </w:t>
      </w:r>
      <w:r>
        <w:rPr>
          <w:rFonts w:hint="eastAsia"/>
          <w:color w:val="auto"/>
          <w:kern w:val="2"/>
          <w:sz w:val="21"/>
          <w:szCs w:val="21"/>
          <w:highlight w:val="none"/>
        </w:rPr>
        <w:t>万元，资产总额为</w:t>
      </w:r>
      <w:r>
        <w:rPr>
          <w:rFonts w:hint="eastAsia"/>
          <w:color w:val="auto"/>
          <w:kern w:val="2"/>
          <w:sz w:val="21"/>
          <w:szCs w:val="21"/>
          <w:highlight w:val="none"/>
          <w:u w:val="single"/>
        </w:rPr>
        <w:t xml:space="preserve">    </w:t>
      </w:r>
      <w:r>
        <w:rPr>
          <w:rFonts w:hint="eastAsia"/>
          <w:color w:val="auto"/>
          <w:kern w:val="2"/>
          <w:sz w:val="21"/>
          <w:szCs w:val="21"/>
          <w:highlight w:val="none"/>
        </w:rPr>
        <w:t>万元，属于</w:t>
      </w:r>
      <w:r>
        <w:rPr>
          <w:rFonts w:hint="eastAsia"/>
          <w:color w:val="auto"/>
          <w:kern w:val="2"/>
          <w:sz w:val="21"/>
          <w:szCs w:val="21"/>
          <w:highlight w:val="none"/>
          <w:u w:val="single"/>
        </w:rPr>
        <w:t xml:space="preserve"> （中型企业、小型企业、微型企业） </w:t>
      </w:r>
      <w:r>
        <w:rPr>
          <w:rFonts w:hint="eastAsia"/>
          <w:color w:val="auto"/>
          <w:kern w:val="2"/>
          <w:sz w:val="21"/>
          <w:szCs w:val="21"/>
          <w:highlight w:val="none"/>
        </w:rPr>
        <w:t>；</w:t>
      </w:r>
    </w:p>
    <w:p w14:paraId="037507D7">
      <w:pPr>
        <w:pStyle w:val="44"/>
        <w:spacing w:before="0" w:beforeAutospacing="0" w:after="0" w:afterAutospacing="0"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2.</w:t>
      </w:r>
      <w:r>
        <w:rPr>
          <w:rFonts w:hint="eastAsia"/>
          <w:color w:val="auto"/>
          <w:kern w:val="2"/>
          <w:sz w:val="21"/>
          <w:szCs w:val="21"/>
          <w:highlight w:val="none"/>
          <w:u w:val="single"/>
        </w:rPr>
        <w:t xml:space="preserve"> （标的名称） </w:t>
      </w:r>
      <w:r>
        <w:rPr>
          <w:rFonts w:hint="eastAsia"/>
          <w:color w:val="auto"/>
          <w:kern w:val="2"/>
          <w:sz w:val="21"/>
          <w:szCs w:val="21"/>
          <w:highlight w:val="none"/>
        </w:rPr>
        <w:t>，属于</w:t>
      </w:r>
      <w:r>
        <w:rPr>
          <w:rFonts w:hint="eastAsia"/>
          <w:color w:val="auto"/>
          <w:kern w:val="2"/>
          <w:sz w:val="21"/>
          <w:szCs w:val="21"/>
          <w:highlight w:val="none"/>
          <w:u w:val="single"/>
        </w:rPr>
        <w:t xml:space="preserve"> （采购文件中明确的所属行业） </w:t>
      </w:r>
      <w:r>
        <w:rPr>
          <w:rFonts w:hint="eastAsia"/>
          <w:color w:val="auto"/>
          <w:kern w:val="2"/>
          <w:sz w:val="21"/>
          <w:szCs w:val="21"/>
          <w:highlight w:val="none"/>
        </w:rPr>
        <w:t>；承建（承接）企业为</w:t>
      </w:r>
      <w:r>
        <w:rPr>
          <w:rFonts w:hint="eastAsia"/>
          <w:color w:val="auto"/>
          <w:kern w:val="2"/>
          <w:sz w:val="21"/>
          <w:szCs w:val="21"/>
          <w:highlight w:val="none"/>
          <w:u w:val="single"/>
        </w:rPr>
        <w:t xml:space="preserve"> （企业名称） </w:t>
      </w:r>
      <w:r>
        <w:rPr>
          <w:rFonts w:hint="eastAsia"/>
          <w:color w:val="auto"/>
          <w:kern w:val="2"/>
          <w:sz w:val="21"/>
          <w:szCs w:val="21"/>
          <w:highlight w:val="none"/>
        </w:rPr>
        <w:t>，从业人员</w:t>
      </w:r>
      <w:r>
        <w:rPr>
          <w:rFonts w:hint="eastAsia"/>
          <w:color w:val="auto"/>
          <w:kern w:val="2"/>
          <w:sz w:val="21"/>
          <w:szCs w:val="21"/>
          <w:highlight w:val="none"/>
          <w:u w:val="single"/>
        </w:rPr>
        <w:t xml:space="preserve">      </w:t>
      </w:r>
      <w:r>
        <w:rPr>
          <w:rFonts w:hint="eastAsia"/>
          <w:color w:val="auto"/>
          <w:kern w:val="2"/>
          <w:sz w:val="21"/>
          <w:szCs w:val="21"/>
          <w:highlight w:val="none"/>
        </w:rPr>
        <w:t>人，营业收入为</w:t>
      </w:r>
      <w:r>
        <w:rPr>
          <w:rFonts w:hint="eastAsia"/>
          <w:color w:val="auto"/>
          <w:kern w:val="2"/>
          <w:sz w:val="21"/>
          <w:szCs w:val="21"/>
          <w:highlight w:val="none"/>
          <w:u w:val="single"/>
        </w:rPr>
        <w:t xml:space="preserve">     </w:t>
      </w:r>
      <w:r>
        <w:rPr>
          <w:rFonts w:hint="eastAsia"/>
          <w:color w:val="auto"/>
          <w:kern w:val="2"/>
          <w:sz w:val="21"/>
          <w:szCs w:val="21"/>
          <w:highlight w:val="none"/>
        </w:rPr>
        <w:t>万元，资产总额为</w:t>
      </w:r>
      <w:r>
        <w:rPr>
          <w:rFonts w:hint="eastAsia"/>
          <w:color w:val="auto"/>
          <w:kern w:val="2"/>
          <w:sz w:val="21"/>
          <w:szCs w:val="21"/>
          <w:highlight w:val="none"/>
          <w:u w:val="single"/>
        </w:rPr>
        <w:t xml:space="preserve">    </w:t>
      </w:r>
      <w:r>
        <w:rPr>
          <w:rFonts w:hint="eastAsia"/>
          <w:color w:val="auto"/>
          <w:kern w:val="2"/>
          <w:sz w:val="21"/>
          <w:szCs w:val="21"/>
          <w:highlight w:val="none"/>
        </w:rPr>
        <w:t>万元，属于</w:t>
      </w:r>
      <w:r>
        <w:rPr>
          <w:rFonts w:hint="eastAsia"/>
          <w:color w:val="auto"/>
          <w:kern w:val="2"/>
          <w:sz w:val="21"/>
          <w:szCs w:val="21"/>
          <w:highlight w:val="none"/>
          <w:u w:val="single"/>
        </w:rPr>
        <w:t xml:space="preserve"> （中型企业、小型企业、微型企业）；</w:t>
      </w:r>
    </w:p>
    <w:p w14:paraId="06C4FE0B">
      <w:pPr>
        <w:pStyle w:val="44"/>
        <w:spacing w:before="0" w:beforeAutospacing="0" w:after="0" w:afterAutospacing="0"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以上企业，不属于大企业的分支机构，不存在控股股东为大企业的情形，也不存在与大企业的负责人为同一人的情形。</w:t>
      </w:r>
    </w:p>
    <w:p w14:paraId="748A2EE5">
      <w:pPr>
        <w:pStyle w:val="44"/>
        <w:spacing w:before="0" w:beforeAutospacing="0" w:after="0" w:afterAutospacing="0"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本企业对上述声明内容的真实性负责。如有虚假，将依法承担相应责任。</w:t>
      </w:r>
    </w:p>
    <w:p w14:paraId="3B0F6345">
      <w:pPr>
        <w:pStyle w:val="44"/>
        <w:spacing w:before="0" w:beforeAutospacing="0" w:after="0" w:afterAutospacing="0" w:line="360" w:lineRule="auto"/>
        <w:ind w:firstLine="420" w:firstLineChars="200"/>
        <w:rPr>
          <w:rFonts w:hint="eastAsia"/>
          <w:color w:val="auto"/>
          <w:sz w:val="21"/>
          <w:szCs w:val="21"/>
          <w:highlight w:val="none"/>
        </w:rPr>
      </w:pPr>
    </w:p>
    <w:p w14:paraId="2E8B31BE">
      <w:pPr>
        <w:pStyle w:val="44"/>
        <w:spacing w:before="0" w:beforeAutospacing="0" w:after="0" w:afterAutospacing="0" w:line="360" w:lineRule="auto"/>
        <w:ind w:firstLine="420" w:firstLineChars="200"/>
        <w:rPr>
          <w:rFonts w:hint="eastAsia"/>
          <w:color w:val="auto"/>
          <w:sz w:val="21"/>
          <w:szCs w:val="21"/>
          <w:highlight w:val="none"/>
          <w:u w:val="single"/>
        </w:rPr>
      </w:pPr>
      <w:r>
        <w:rPr>
          <w:rFonts w:hint="eastAsia"/>
          <w:color w:val="auto"/>
          <w:sz w:val="21"/>
          <w:szCs w:val="21"/>
          <w:highlight w:val="none"/>
          <w:lang w:val="en-US" w:eastAsia="zh-CN"/>
        </w:rPr>
        <w:t>供应商</w:t>
      </w:r>
      <w:r>
        <w:rPr>
          <w:rFonts w:hint="eastAsia"/>
          <w:bCs/>
          <w:color w:val="auto"/>
          <w:sz w:val="21"/>
          <w:szCs w:val="21"/>
          <w:highlight w:val="none"/>
        </w:rPr>
        <w:t>（</w:t>
      </w:r>
      <w:r>
        <w:rPr>
          <w:rFonts w:hint="eastAsia"/>
          <w:color w:val="auto"/>
          <w:sz w:val="21"/>
          <w:szCs w:val="21"/>
          <w:highlight w:val="none"/>
        </w:rPr>
        <w:t>电子签章</w:t>
      </w:r>
      <w:r>
        <w:rPr>
          <w:rFonts w:hint="eastAsia"/>
          <w:bCs/>
          <w:color w:val="auto"/>
          <w:sz w:val="21"/>
          <w:szCs w:val="21"/>
          <w:highlight w:val="none"/>
        </w:rPr>
        <w:t>）</w:t>
      </w:r>
      <w:r>
        <w:rPr>
          <w:rFonts w:hint="eastAsia"/>
          <w:color w:val="auto"/>
          <w:sz w:val="21"/>
          <w:szCs w:val="21"/>
          <w:highlight w:val="none"/>
        </w:rPr>
        <w:t>：</w:t>
      </w:r>
      <w:r>
        <w:rPr>
          <w:rFonts w:hint="eastAsia"/>
          <w:color w:val="auto"/>
          <w:sz w:val="21"/>
          <w:szCs w:val="21"/>
          <w:highlight w:val="none"/>
          <w:u w:val="single"/>
        </w:rPr>
        <w:t xml:space="preserve">                 </w:t>
      </w:r>
    </w:p>
    <w:p w14:paraId="29D2D298">
      <w:pPr>
        <w:pStyle w:val="44"/>
        <w:spacing w:before="0" w:beforeAutospacing="0" w:after="0" w:afterAutospacing="0" w:line="360" w:lineRule="auto"/>
        <w:ind w:firstLine="420" w:firstLineChars="200"/>
        <w:rPr>
          <w:rFonts w:hint="eastAsia"/>
          <w:color w:val="auto"/>
          <w:sz w:val="21"/>
          <w:szCs w:val="21"/>
          <w:highlight w:val="none"/>
        </w:rPr>
      </w:pPr>
      <w:r>
        <w:rPr>
          <w:rFonts w:hint="eastAsia"/>
          <w:color w:val="auto"/>
          <w:sz w:val="21"/>
          <w:szCs w:val="21"/>
          <w:highlight w:val="none"/>
        </w:rPr>
        <w:t>日    期：</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rPr>
        <w:t>日</w:t>
      </w:r>
    </w:p>
    <w:p w14:paraId="3F2F8D4F">
      <w:pPr>
        <w:keepNext w:val="0"/>
        <w:keepLines w:val="0"/>
        <w:suppressLineNumbers w:val="0"/>
        <w:autoSpaceDE w:val="0"/>
        <w:autoSpaceDN w:val="0"/>
        <w:adjustRightInd w:val="0"/>
        <w:spacing w:before="0" w:beforeAutospacing="0" w:after="0" w:afterAutospacing="0" w:line="360" w:lineRule="auto"/>
        <w:ind w:left="0" w:right="0" w:firstLine="420" w:firstLineChars="200"/>
        <w:rPr>
          <w:rFonts w:hint="eastAsia"/>
          <w:b/>
          <w:bCs/>
          <w:color w:val="auto"/>
          <w:highlight w:val="none"/>
        </w:rPr>
      </w:pPr>
      <w:r>
        <w:rPr>
          <w:rFonts w:hint="eastAsia"/>
          <w:color w:val="auto"/>
          <w:sz w:val="21"/>
          <w:szCs w:val="21"/>
          <w:highlight w:val="none"/>
        </w:rPr>
        <w:t>（若为中小微型企业的需填写，否则不需填写）</w:t>
      </w:r>
    </w:p>
    <w:p w14:paraId="7F01AE55">
      <w:pPr>
        <w:keepNext w:val="0"/>
        <w:keepLines w:val="0"/>
        <w:suppressLineNumbers w:val="0"/>
        <w:autoSpaceDE w:val="0"/>
        <w:autoSpaceDN w:val="0"/>
        <w:adjustRightInd w:val="0"/>
        <w:spacing w:before="0" w:beforeAutospacing="0" w:after="0" w:afterAutospacing="0" w:line="360" w:lineRule="auto"/>
        <w:ind w:left="0" w:right="0" w:firstLine="422" w:firstLineChars="200"/>
        <w:rPr>
          <w:rFonts w:hint="eastAsia"/>
          <w:b/>
          <w:bCs/>
          <w:color w:val="auto"/>
          <w:highlight w:val="none"/>
        </w:rPr>
      </w:pPr>
      <w:r>
        <w:rPr>
          <w:rFonts w:hint="eastAsia"/>
          <w:b/>
          <w:bCs/>
          <w:color w:val="auto"/>
          <w:highlight w:val="none"/>
        </w:rPr>
        <w:t>注：</w:t>
      </w:r>
      <w:r>
        <w:rPr>
          <w:rFonts w:hint="eastAsia" w:ascii="宋体" w:hAnsi="宋体"/>
          <w:b/>
          <w:bCs/>
          <w:color w:val="auto"/>
          <w:szCs w:val="21"/>
          <w:highlight w:val="none"/>
        </w:rPr>
        <w:t>从业人员、营业收入、资产总额填报上一年度数据，无上一年度数据的新成立企业可不填报。</w:t>
      </w:r>
      <w:r>
        <w:rPr>
          <w:rFonts w:hint="eastAsia"/>
          <w:b/>
          <w:bCs/>
          <w:color w:val="auto"/>
          <w:highlight w:val="none"/>
        </w:rPr>
        <w:t>本项目对应的中小企业划分标准所属行业：</w:t>
      </w:r>
      <w:r>
        <w:rPr>
          <w:rFonts w:hint="eastAsia" w:ascii="宋体" w:hAnsi="宋体"/>
          <w:b/>
          <w:bCs/>
          <w:color w:val="auto"/>
          <w:highlight w:val="none"/>
        </w:rPr>
        <w:t>其他未列明行业</w:t>
      </w:r>
      <w:r>
        <w:rPr>
          <w:rFonts w:hint="eastAsia"/>
          <w:b/>
          <w:bCs/>
          <w:color w:val="auto"/>
          <w:highlight w:val="none"/>
        </w:rPr>
        <w:t>。</w:t>
      </w:r>
    </w:p>
    <w:p w14:paraId="523EA6D5">
      <w:pPr>
        <w:pStyle w:val="44"/>
        <w:spacing w:line="360" w:lineRule="auto"/>
        <w:rPr>
          <w:rFonts w:hint="eastAsia"/>
          <w:color w:val="auto"/>
          <w:kern w:val="2"/>
          <w:sz w:val="21"/>
          <w:szCs w:val="21"/>
          <w:highlight w:val="none"/>
        </w:rPr>
      </w:pPr>
    </w:p>
    <w:p w14:paraId="0E2314C8">
      <w:pPr>
        <w:pStyle w:val="44"/>
        <w:spacing w:line="360" w:lineRule="auto"/>
        <w:jc w:val="center"/>
        <w:rPr>
          <w:rFonts w:hint="eastAsia"/>
          <w:b/>
          <w:color w:val="auto"/>
          <w:kern w:val="2"/>
          <w:sz w:val="21"/>
          <w:szCs w:val="21"/>
          <w:highlight w:val="none"/>
        </w:rPr>
      </w:pPr>
      <w:r>
        <w:rPr>
          <w:rFonts w:hint="eastAsia"/>
          <w:b/>
          <w:color w:val="auto"/>
          <w:kern w:val="2"/>
          <w:sz w:val="21"/>
          <w:szCs w:val="21"/>
          <w:highlight w:val="none"/>
        </w:rPr>
        <w:br w:type="page"/>
      </w:r>
      <w:r>
        <w:rPr>
          <w:rFonts w:hint="eastAsia"/>
          <w:b/>
          <w:color w:val="auto"/>
          <w:kern w:val="2"/>
          <w:sz w:val="21"/>
          <w:szCs w:val="21"/>
          <w:highlight w:val="none"/>
        </w:rPr>
        <w:t>（二）残疾人福利性单位声明函</w:t>
      </w:r>
    </w:p>
    <w:p w14:paraId="425FE63B">
      <w:pPr>
        <w:pStyle w:val="44"/>
        <w:spacing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66935D6">
      <w:pPr>
        <w:pStyle w:val="44"/>
        <w:spacing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本单位对上述声明的真实性负责。如有虚假，将依法承担相应责任。</w:t>
      </w:r>
    </w:p>
    <w:p w14:paraId="7A397B62">
      <w:pPr>
        <w:spacing w:line="360" w:lineRule="auto"/>
        <w:ind w:firstLine="525"/>
        <w:rPr>
          <w:rFonts w:hint="eastAsia" w:ascii="宋体" w:hAnsi="宋体"/>
          <w:color w:val="auto"/>
          <w:szCs w:val="21"/>
          <w:highlight w:val="none"/>
        </w:rPr>
      </w:pPr>
      <w:r>
        <w:rPr>
          <w:rFonts w:hint="eastAsia" w:ascii="宋体" w:hAnsi="宋体"/>
          <w:color w:val="auto"/>
          <w:szCs w:val="21"/>
          <w:highlight w:val="none"/>
        </w:rPr>
        <w:t xml:space="preserve">  供应商</w:t>
      </w:r>
      <w:r>
        <w:rPr>
          <w:rFonts w:hint="eastAsia" w:ascii="宋体" w:hAnsi="宋体"/>
          <w:bCs/>
          <w:color w:val="auto"/>
          <w:szCs w:val="21"/>
          <w:highlight w:val="none"/>
        </w:rPr>
        <w:t>（电子签章）</w:t>
      </w:r>
      <w:r>
        <w:rPr>
          <w:rFonts w:hint="eastAsia" w:ascii="宋体" w:hAnsi="宋体"/>
          <w:color w:val="auto"/>
          <w:szCs w:val="21"/>
          <w:highlight w:val="none"/>
        </w:rPr>
        <w:t>：</w:t>
      </w:r>
      <w:r>
        <w:rPr>
          <w:rFonts w:hint="eastAsia" w:ascii="宋体" w:hAnsi="宋体"/>
          <w:color w:val="auto"/>
          <w:szCs w:val="21"/>
          <w:highlight w:val="none"/>
          <w:u w:val="single"/>
        </w:rPr>
        <w:t xml:space="preserve">                 </w:t>
      </w:r>
    </w:p>
    <w:p w14:paraId="579E7884">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056917C">
      <w:pPr>
        <w:pStyle w:val="44"/>
        <w:spacing w:line="360" w:lineRule="auto"/>
        <w:rPr>
          <w:rFonts w:hint="eastAsia"/>
          <w:b/>
          <w:color w:val="auto"/>
          <w:kern w:val="2"/>
          <w:sz w:val="21"/>
          <w:szCs w:val="21"/>
          <w:highlight w:val="none"/>
        </w:rPr>
      </w:pPr>
      <w:r>
        <w:rPr>
          <w:rFonts w:hint="eastAsia"/>
          <w:color w:val="auto"/>
          <w:kern w:val="2"/>
          <w:sz w:val="21"/>
          <w:szCs w:val="21"/>
          <w:highlight w:val="none"/>
        </w:rPr>
        <w:t>（若为残疾人福利性单位的需填写，否则无需填写）</w:t>
      </w:r>
    </w:p>
    <w:p w14:paraId="25A85F4E">
      <w:pPr>
        <w:pStyle w:val="44"/>
        <w:spacing w:line="360" w:lineRule="auto"/>
        <w:jc w:val="center"/>
        <w:rPr>
          <w:rFonts w:hint="eastAsia"/>
          <w:b/>
          <w:color w:val="auto"/>
          <w:kern w:val="2"/>
          <w:sz w:val="21"/>
          <w:szCs w:val="21"/>
          <w:highlight w:val="none"/>
        </w:rPr>
      </w:pPr>
    </w:p>
    <w:p w14:paraId="799A1D85">
      <w:pPr>
        <w:pStyle w:val="44"/>
        <w:spacing w:line="360" w:lineRule="auto"/>
        <w:ind w:left="0" w:leftChars="0" w:right="0" w:rightChars="0" w:firstLine="0" w:firstLineChars="0"/>
        <w:jc w:val="center"/>
        <w:rPr>
          <w:rFonts w:hint="eastAsia"/>
          <w:b/>
          <w:color w:val="auto"/>
          <w:kern w:val="2"/>
          <w:sz w:val="21"/>
          <w:szCs w:val="21"/>
          <w:highlight w:val="none"/>
        </w:rPr>
      </w:pPr>
      <w:r>
        <w:rPr>
          <w:rFonts w:hint="eastAsia"/>
          <w:b/>
          <w:color w:val="auto"/>
          <w:kern w:val="2"/>
          <w:sz w:val="21"/>
          <w:szCs w:val="21"/>
          <w:highlight w:val="none"/>
        </w:rPr>
        <w:t>（三）监狱企业证明</w:t>
      </w:r>
    </w:p>
    <w:p w14:paraId="0D693854">
      <w:pPr>
        <w:pStyle w:val="44"/>
        <w:spacing w:line="360" w:lineRule="auto"/>
        <w:ind w:firstLine="420" w:firstLineChars="200"/>
        <w:rPr>
          <w:rFonts w:hint="eastAsia"/>
          <w:color w:val="auto"/>
          <w:kern w:val="2"/>
          <w:sz w:val="21"/>
          <w:szCs w:val="21"/>
          <w:highlight w:val="none"/>
        </w:rPr>
      </w:pPr>
      <w:r>
        <w:rPr>
          <w:rFonts w:hint="eastAsia"/>
          <w:color w:val="auto"/>
          <w:kern w:val="2"/>
          <w:sz w:val="21"/>
          <w:szCs w:val="21"/>
          <w:highlight w:val="none"/>
        </w:rPr>
        <w:t>须提供由省级以上监狱管理局、戒毒管理局(含新疆生产建设兵团)出具的属于监狱企业的证明文件。</w:t>
      </w:r>
    </w:p>
    <w:p w14:paraId="456EF37C">
      <w:pPr>
        <w:pStyle w:val="21"/>
        <w:spacing w:line="360" w:lineRule="auto"/>
        <w:ind w:left="776" w:leftChars="179" w:hanging="400" w:hangingChars="200"/>
        <w:rPr>
          <w:color w:val="auto"/>
          <w:szCs w:val="21"/>
          <w:highlight w:val="none"/>
        </w:rPr>
      </w:pPr>
    </w:p>
    <w:p w14:paraId="4C279F59">
      <w:pPr>
        <w:spacing w:line="360" w:lineRule="auto"/>
        <w:ind w:firstLine="525"/>
        <w:rPr>
          <w:rFonts w:hint="eastAsia" w:ascii="宋体" w:hAnsi="宋体"/>
          <w:color w:val="auto"/>
          <w:szCs w:val="21"/>
          <w:highlight w:val="none"/>
        </w:rPr>
      </w:pPr>
      <w:r>
        <w:rPr>
          <w:rFonts w:hint="eastAsia" w:ascii="宋体" w:hAnsi="宋体"/>
          <w:color w:val="auto"/>
          <w:szCs w:val="21"/>
          <w:highlight w:val="none"/>
        </w:rPr>
        <w:t xml:space="preserve"> 供应商</w:t>
      </w:r>
      <w:r>
        <w:rPr>
          <w:rFonts w:hint="eastAsia" w:ascii="宋体" w:hAnsi="宋体"/>
          <w:bCs/>
          <w:color w:val="auto"/>
          <w:szCs w:val="21"/>
          <w:highlight w:val="none"/>
        </w:rPr>
        <w:t>（电子签章）</w:t>
      </w:r>
      <w:r>
        <w:rPr>
          <w:rFonts w:hint="eastAsia" w:ascii="宋体" w:hAnsi="宋体"/>
          <w:color w:val="auto"/>
          <w:szCs w:val="21"/>
          <w:highlight w:val="none"/>
        </w:rPr>
        <w:t>：</w:t>
      </w:r>
      <w:r>
        <w:rPr>
          <w:rFonts w:hint="eastAsia" w:ascii="宋体" w:hAnsi="宋体"/>
          <w:color w:val="auto"/>
          <w:szCs w:val="21"/>
          <w:highlight w:val="none"/>
          <w:u w:val="single"/>
        </w:rPr>
        <w:t xml:space="preserve">                 </w:t>
      </w:r>
    </w:p>
    <w:p w14:paraId="76F10522">
      <w:pPr>
        <w:spacing w:line="360" w:lineRule="auto"/>
        <w:ind w:firstLine="525"/>
        <w:jc w:val="left"/>
        <w:rPr>
          <w:rFonts w:hint="eastAsia" w:ascii="宋体" w:hAnsi="宋体"/>
          <w:color w:val="auto"/>
          <w:szCs w:val="21"/>
          <w:highlight w:val="none"/>
        </w:rPr>
      </w:pPr>
      <w:r>
        <w:rPr>
          <w:rFonts w:hint="eastAsia" w:ascii="宋体" w:hAnsi="宋体"/>
          <w:color w:val="auto"/>
          <w:szCs w:val="21"/>
          <w:highlight w:val="none"/>
        </w:rPr>
        <w:t xml:space="preserve"> 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5D6B79EA">
      <w:pPr>
        <w:pStyle w:val="20"/>
        <w:rPr>
          <w:rFonts w:hint="eastAsia" w:ascii="宋体" w:hAnsi="宋体"/>
          <w:color w:val="auto"/>
          <w:sz w:val="21"/>
          <w:szCs w:val="22"/>
          <w:highlight w:val="none"/>
        </w:rPr>
      </w:pPr>
      <w:r>
        <w:rPr>
          <w:rFonts w:hint="eastAsia" w:ascii="宋体" w:hAnsi="宋体"/>
          <w:color w:val="auto"/>
          <w:sz w:val="21"/>
          <w:szCs w:val="22"/>
          <w:highlight w:val="none"/>
        </w:rPr>
        <w:t>（若为监狱企业的需填写，否则无需填写）</w:t>
      </w:r>
    </w:p>
    <w:p w14:paraId="7F52B9CE">
      <w:pPr>
        <w:spacing w:line="360" w:lineRule="auto"/>
        <w:jc w:val="center"/>
        <w:rPr>
          <w:rFonts w:hint="eastAsia" w:ascii="宋体" w:hAnsi="宋体"/>
          <w:color w:val="auto"/>
          <w:sz w:val="28"/>
          <w:szCs w:val="28"/>
          <w:highlight w:val="none"/>
        </w:rPr>
      </w:pPr>
    </w:p>
    <w:p w14:paraId="4A21D00B">
      <w:pPr>
        <w:pStyle w:val="5"/>
        <w:spacing w:line="360" w:lineRule="auto"/>
        <w:jc w:val="center"/>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val="en-US" w:eastAsia="zh-CN"/>
        </w:rPr>
        <w:br w:type="page"/>
      </w:r>
      <w:bookmarkEnd w:id="1021"/>
      <w:bookmarkStart w:id="1022" w:name="_Toc465778842"/>
      <w:bookmarkStart w:id="1023" w:name="_Toc31582"/>
      <w:bookmarkStart w:id="1024" w:name="_Toc48038760"/>
      <w:bookmarkStart w:id="1025" w:name="_Toc462068417"/>
      <w:bookmarkStart w:id="1026" w:name="_Toc509841346"/>
      <w:bookmarkStart w:id="1027" w:name="_Toc48484494"/>
      <w:bookmarkStart w:id="1028" w:name="_Toc1062"/>
      <w:bookmarkStart w:id="1029" w:name="_Toc23566"/>
      <w:bookmarkStart w:id="1030" w:name="_Toc18262"/>
      <w:bookmarkStart w:id="1031" w:name="_Toc4047"/>
      <w:bookmarkStart w:id="1032" w:name="_Toc466623438"/>
      <w:r>
        <w:rPr>
          <w:rFonts w:hint="eastAsia" w:ascii="宋体" w:hAnsi="宋体"/>
          <w:color w:val="auto"/>
          <w:sz w:val="28"/>
          <w:szCs w:val="28"/>
          <w:highlight w:val="none"/>
          <w:lang w:val="en-US" w:eastAsia="zh-CN"/>
        </w:rPr>
        <w:t>八</w:t>
      </w:r>
      <w:r>
        <w:rPr>
          <w:rFonts w:ascii="宋体" w:hAnsi="宋体"/>
          <w:color w:val="auto"/>
          <w:sz w:val="28"/>
          <w:szCs w:val="28"/>
          <w:highlight w:val="none"/>
        </w:rPr>
        <w:t>、</w:t>
      </w:r>
      <w:r>
        <w:rPr>
          <w:rFonts w:hint="eastAsia" w:ascii="宋体" w:hAnsi="宋体"/>
          <w:color w:val="auto"/>
          <w:sz w:val="28"/>
          <w:szCs w:val="28"/>
          <w:highlight w:val="none"/>
          <w:lang w:val="en-US" w:eastAsia="zh-CN"/>
        </w:rPr>
        <w:t>本项目的特定资格要求</w:t>
      </w:r>
    </w:p>
    <w:p w14:paraId="221E3184">
      <w:pPr>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1、资质要求</w:t>
      </w:r>
    </w:p>
    <w:p w14:paraId="06C00E9A">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按资格要求附相关证明材料。</w:t>
      </w:r>
    </w:p>
    <w:p w14:paraId="086E3A41">
      <w:pPr>
        <w:jc w:val="center"/>
        <w:rPr>
          <w:rFonts w:hint="eastAsia" w:ascii="宋体" w:hAnsi="宋体" w:cs="宋体"/>
          <w:color w:val="auto"/>
          <w:szCs w:val="21"/>
          <w:highlight w:val="none"/>
          <w:lang w:val="en-US" w:eastAsia="zh-CN"/>
        </w:rPr>
      </w:pPr>
    </w:p>
    <w:p w14:paraId="7A98D446">
      <w:pPr>
        <w:jc w:val="center"/>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2、项目负责人</w:t>
      </w:r>
    </w:p>
    <w:tbl>
      <w:tblPr>
        <w:tblStyle w:val="50"/>
        <w:tblW w:w="9650" w:type="dxa"/>
        <w:jc w:val="center"/>
        <w:tblLayout w:type="fixed"/>
        <w:tblCellMar>
          <w:top w:w="0" w:type="dxa"/>
          <w:left w:w="0" w:type="dxa"/>
          <w:bottom w:w="0" w:type="dxa"/>
          <w:right w:w="0" w:type="dxa"/>
        </w:tblCellMar>
      </w:tblPr>
      <w:tblGrid>
        <w:gridCol w:w="1239"/>
        <w:gridCol w:w="1173"/>
        <w:gridCol w:w="1287"/>
        <w:gridCol w:w="1448"/>
        <w:gridCol w:w="2092"/>
        <w:gridCol w:w="2411"/>
      </w:tblGrid>
      <w:tr w14:paraId="3608492F">
        <w:tblPrEx>
          <w:tblCellMar>
            <w:top w:w="0" w:type="dxa"/>
            <w:left w:w="0" w:type="dxa"/>
            <w:bottom w:w="0" w:type="dxa"/>
            <w:right w:w="0" w:type="dxa"/>
          </w:tblCellMar>
        </w:tblPrEx>
        <w:trPr>
          <w:trHeight w:val="463"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34DC4090">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姓   名</w:t>
            </w:r>
          </w:p>
        </w:tc>
        <w:tc>
          <w:tcPr>
            <w:tcW w:w="1173" w:type="dxa"/>
            <w:tcBorders>
              <w:top w:val="single" w:color="000000" w:sz="4" w:space="0"/>
              <w:left w:val="single" w:color="000000" w:sz="4" w:space="0"/>
              <w:bottom w:val="single" w:color="000000" w:sz="4" w:space="0"/>
              <w:right w:val="single" w:color="000000" w:sz="4" w:space="0"/>
            </w:tcBorders>
            <w:vAlign w:val="center"/>
          </w:tcPr>
          <w:p w14:paraId="78C051BA">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14:paraId="3E3ACBD0">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年   龄</w:t>
            </w:r>
          </w:p>
        </w:tc>
        <w:tc>
          <w:tcPr>
            <w:tcW w:w="1448" w:type="dxa"/>
            <w:tcBorders>
              <w:top w:val="single" w:color="000000" w:sz="4" w:space="0"/>
              <w:left w:val="single" w:color="000000" w:sz="4" w:space="0"/>
              <w:bottom w:val="single" w:color="000000" w:sz="4" w:space="0"/>
              <w:right w:val="single" w:color="000000" w:sz="4" w:space="0"/>
            </w:tcBorders>
            <w:vAlign w:val="center"/>
          </w:tcPr>
          <w:p w14:paraId="6626822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4D53B185">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学历</w:t>
            </w:r>
          </w:p>
        </w:tc>
        <w:tc>
          <w:tcPr>
            <w:tcW w:w="2411" w:type="dxa"/>
            <w:tcBorders>
              <w:top w:val="single" w:color="000000" w:sz="4" w:space="0"/>
              <w:left w:val="single" w:color="000000" w:sz="4" w:space="0"/>
              <w:bottom w:val="single" w:color="000000" w:sz="4" w:space="0"/>
              <w:right w:val="single" w:color="000000" w:sz="4" w:space="0"/>
            </w:tcBorders>
            <w:vAlign w:val="center"/>
          </w:tcPr>
          <w:p w14:paraId="61B0B401">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00258B31">
        <w:tblPrEx>
          <w:tblCellMar>
            <w:top w:w="0" w:type="dxa"/>
            <w:left w:w="0" w:type="dxa"/>
            <w:bottom w:w="0" w:type="dxa"/>
            <w:right w:w="0" w:type="dxa"/>
          </w:tblCellMar>
        </w:tblPrEx>
        <w:trPr>
          <w:trHeight w:val="466"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650A777C">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职   称</w:t>
            </w:r>
          </w:p>
        </w:tc>
        <w:tc>
          <w:tcPr>
            <w:tcW w:w="1173" w:type="dxa"/>
            <w:tcBorders>
              <w:top w:val="single" w:color="000000" w:sz="4" w:space="0"/>
              <w:left w:val="single" w:color="000000" w:sz="4" w:space="0"/>
              <w:bottom w:val="single" w:color="000000" w:sz="4" w:space="0"/>
              <w:right w:val="single" w:color="000000" w:sz="4" w:space="0"/>
            </w:tcBorders>
            <w:vAlign w:val="center"/>
          </w:tcPr>
          <w:p w14:paraId="363DDEFC">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1287" w:type="dxa"/>
            <w:tcBorders>
              <w:top w:val="single" w:color="000000" w:sz="4" w:space="0"/>
              <w:left w:val="single" w:color="000000" w:sz="4" w:space="0"/>
              <w:bottom w:val="single" w:color="000000" w:sz="4" w:space="0"/>
              <w:right w:val="single" w:color="000000" w:sz="4" w:space="0"/>
            </w:tcBorders>
            <w:vAlign w:val="center"/>
          </w:tcPr>
          <w:p w14:paraId="207B3E60">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职   务</w:t>
            </w:r>
          </w:p>
        </w:tc>
        <w:tc>
          <w:tcPr>
            <w:tcW w:w="1448" w:type="dxa"/>
            <w:tcBorders>
              <w:top w:val="single" w:color="000000" w:sz="4" w:space="0"/>
              <w:left w:val="single" w:color="000000" w:sz="4" w:space="0"/>
              <w:bottom w:val="single" w:color="000000" w:sz="4" w:space="0"/>
              <w:right w:val="single" w:color="000000" w:sz="4" w:space="0"/>
            </w:tcBorders>
            <w:vAlign w:val="center"/>
          </w:tcPr>
          <w:p w14:paraId="51BF7A6D">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5561770F">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拟在本工程任职</w:t>
            </w:r>
          </w:p>
        </w:tc>
        <w:tc>
          <w:tcPr>
            <w:tcW w:w="2411" w:type="dxa"/>
            <w:tcBorders>
              <w:top w:val="single" w:color="000000" w:sz="4" w:space="0"/>
              <w:left w:val="single" w:color="000000" w:sz="4" w:space="0"/>
              <w:bottom w:val="single" w:color="000000" w:sz="4" w:space="0"/>
              <w:right w:val="single" w:color="000000" w:sz="4" w:space="0"/>
            </w:tcBorders>
            <w:vAlign w:val="center"/>
          </w:tcPr>
          <w:p w14:paraId="27AE486D">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7CF53FB8">
        <w:tblPrEx>
          <w:tblCellMar>
            <w:top w:w="0" w:type="dxa"/>
            <w:left w:w="0" w:type="dxa"/>
            <w:bottom w:w="0" w:type="dxa"/>
            <w:right w:w="0" w:type="dxa"/>
          </w:tblCellMar>
        </w:tblPrEx>
        <w:trPr>
          <w:trHeight w:val="463" w:hRule="exact"/>
          <w:jc w:val="center"/>
        </w:trPr>
        <w:tc>
          <w:tcPr>
            <w:tcW w:w="3699" w:type="dxa"/>
            <w:gridSpan w:val="3"/>
            <w:tcBorders>
              <w:top w:val="nil"/>
              <w:left w:val="single" w:color="000000" w:sz="4" w:space="0"/>
              <w:bottom w:val="single" w:color="000000" w:sz="4" w:space="0"/>
              <w:right w:val="single" w:color="000000" w:sz="4" w:space="0"/>
            </w:tcBorders>
            <w:vAlign w:val="center"/>
          </w:tcPr>
          <w:p w14:paraId="23D561A4">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eastAsia" w:ascii="宋体" w:hAnsi="宋体" w:cs="Times New Roman"/>
                <w:color w:val="auto"/>
                <w:szCs w:val="21"/>
                <w:highlight w:val="none"/>
              </w:rPr>
              <w:t>注册证编号</w:t>
            </w:r>
          </w:p>
        </w:tc>
        <w:tc>
          <w:tcPr>
            <w:tcW w:w="5951" w:type="dxa"/>
            <w:gridSpan w:val="3"/>
            <w:tcBorders>
              <w:top w:val="single" w:color="000000" w:sz="4" w:space="0"/>
              <w:left w:val="single" w:color="000000" w:sz="4" w:space="0"/>
              <w:bottom w:val="single" w:color="000000" w:sz="4" w:space="0"/>
              <w:right w:val="single" w:color="000000" w:sz="4" w:space="0"/>
            </w:tcBorders>
            <w:vAlign w:val="center"/>
          </w:tcPr>
          <w:p w14:paraId="79809FE1">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283E17BB">
        <w:tblPrEx>
          <w:tblCellMar>
            <w:top w:w="0" w:type="dxa"/>
            <w:left w:w="0" w:type="dxa"/>
            <w:bottom w:w="0" w:type="dxa"/>
            <w:right w:w="0" w:type="dxa"/>
          </w:tblCellMar>
        </w:tblPrEx>
        <w:trPr>
          <w:trHeight w:val="466"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13E66467">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毕业学校</w:t>
            </w:r>
          </w:p>
        </w:tc>
        <w:tc>
          <w:tcPr>
            <w:tcW w:w="8411" w:type="dxa"/>
            <w:gridSpan w:val="5"/>
            <w:tcBorders>
              <w:top w:val="nil"/>
              <w:left w:val="single" w:color="000000" w:sz="4" w:space="0"/>
              <w:bottom w:val="single" w:color="000000" w:sz="4" w:space="0"/>
              <w:right w:val="single" w:color="000000" w:sz="4" w:space="0"/>
            </w:tcBorders>
            <w:vAlign w:val="center"/>
          </w:tcPr>
          <w:p w14:paraId="1F4E73D3">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年毕业于                     学校       专业</w:t>
            </w:r>
          </w:p>
        </w:tc>
      </w:tr>
      <w:tr w14:paraId="7421086A">
        <w:tblPrEx>
          <w:tblCellMar>
            <w:top w:w="0" w:type="dxa"/>
            <w:left w:w="0" w:type="dxa"/>
            <w:bottom w:w="0" w:type="dxa"/>
            <w:right w:w="0" w:type="dxa"/>
          </w:tblCellMar>
        </w:tblPrEx>
        <w:trPr>
          <w:trHeight w:val="463" w:hRule="exact"/>
          <w:jc w:val="center"/>
        </w:trPr>
        <w:tc>
          <w:tcPr>
            <w:tcW w:w="9650" w:type="dxa"/>
            <w:gridSpan w:val="6"/>
            <w:tcBorders>
              <w:top w:val="single" w:color="000000" w:sz="4" w:space="0"/>
              <w:left w:val="single" w:color="000000" w:sz="4" w:space="0"/>
              <w:bottom w:val="nil"/>
              <w:right w:val="single" w:color="000000" w:sz="4" w:space="0"/>
            </w:tcBorders>
            <w:vAlign w:val="center"/>
          </w:tcPr>
          <w:p w14:paraId="7AF4E618">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主要工作经历</w:t>
            </w:r>
          </w:p>
        </w:tc>
      </w:tr>
      <w:tr w14:paraId="670A0BB7">
        <w:tblPrEx>
          <w:tblCellMar>
            <w:top w:w="0" w:type="dxa"/>
            <w:left w:w="0" w:type="dxa"/>
            <w:bottom w:w="0" w:type="dxa"/>
            <w:right w:w="0" w:type="dxa"/>
          </w:tblCellMar>
        </w:tblPrEx>
        <w:trPr>
          <w:trHeight w:val="463"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7A87025B">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时   间</w:t>
            </w: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43930D16">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eastAsia" w:ascii="宋体" w:hAnsi="宋体" w:cs="Times New Roman"/>
                <w:color w:val="auto"/>
                <w:szCs w:val="21"/>
                <w:highlight w:val="none"/>
              </w:rPr>
              <w:t>设计</w:t>
            </w:r>
            <w:r>
              <w:rPr>
                <w:rFonts w:hint="default" w:ascii="宋体" w:hAnsi="宋体" w:cs="Times New Roman"/>
                <w:color w:val="auto"/>
                <w:szCs w:val="21"/>
                <w:highlight w:val="none"/>
              </w:rPr>
              <w:t>过的类似项目名称</w:t>
            </w:r>
          </w:p>
        </w:tc>
        <w:tc>
          <w:tcPr>
            <w:tcW w:w="2092" w:type="dxa"/>
            <w:tcBorders>
              <w:top w:val="single" w:color="000000" w:sz="4" w:space="0"/>
              <w:left w:val="single" w:color="000000" w:sz="4" w:space="0"/>
              <w:bottom w:val="single" w:color="000000" w:sz="4" w:space="0"/>
              <w:right w:val="single" w:color="000000" w:sz="4" w:space="0"/>
            </w:tcBorders>
            <w:vAlign w:val="center"/>
          </w:tcPr>
          <w:p w14:paraId="205A6361">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工程概况说明</w:t>
            </w:r>
          </w:p>
        </w:tc>
        <w:tc>
          <w:tcPr>
            <w:tcW w:w="2411" w:type="dxa"/>
            <w:tcBorders>
              <w:top w:val="single" w:color="000000" w:sz="4" w:space="0"/>
              <w:left w:val="single" w:color="000000" w:sz="4" w:space="0"/>
              <w:bottom w:val="single" w:color="000000" w:sz="4" w:space="0"/>
              <w:right w:val="single" w:color="000000" w:sz="4" w:space="0"/>
            </w:tcBorders>
            <w:vAlign w:val="center"/>
          </w:tcPr>
          <w:p w14:paraId="6E6C9193">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r>
              <w:rPr>
                <w:rFonts w:hint="default" w:ascii="宋体" w:hAnsi="宋体" w:cs="Times New Roman"/>
                <w:color w:val="auto"/>
                <w:szCs w:val="21"/>
                <w:highlight w:val="none"/>
              </w:rPr>
              <w:t>发包人及联系电话</w:t>
            </w:r>
          </w:p>
        </w:tc>
      </w:tr>
      <w:tr w14:paraId="4FB73F46">
        <w:tblPrEx>
          <w:tblCellMar>
            <w:top w:w="0" w:type="dxa"/>
            <w:left w:w="0" w:type="dxa"/>
            <w:bottom w:w="0" w:type="dxa"/>
            <w:right w:w="0" w:type="dxa"/>
          </w:tblCellMar>
        </w:tblPrEx>
        <w:trPr>
          <w:trHeight w:val="692"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4D65217E">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1F586911">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574849AD">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31F5545D">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1D6D7DBC">
        <w:tblPrEx>
          <w:tblCellMar>
            <w:top w:w="0" w:type="dxa"/>
            <w:left w:w="0" w:type="dxa"/>
            <w:bottom w:w="0" w:type="dxa"/>
            <w:right w:w="0" w:type="dxa"/>
          </w:tblCellMar>
        </w:tblPrEx>
        <w:trPr>
          <w:trHeight w:val="689"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0C550BBF">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37850C3C">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29BAA0E">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23843E40">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5697CCA4">
        <w:tblPrEx>
          <w:tblCellMar>
            <w:top w:w="0" w:type="dxa"/>
            <w:left w:w="0" w:type="dxa"/>
            <w:bottom w:w="0" w:type="dxa"/>
            <w:right w:w="0" w:type="dxa"/>
          </w:tblCellMar>
        </w:tblPrEx>
        <w:trPr>
          <w:trHeight w:val="691"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0CFBD2E3">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167BF36A">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2A35AE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08B3579">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2099CE98">
        <w:tblPrEx>
          <w:tblCellMar>
            <w:top w:w="0" w:type="dxa"/>
            <w:left w:w="0" w:type="dxa"/>
            <w:bottom w:w="0" w:type="dxa"/>
            <w:right w:w="0" w:type="dxa"/>
          </w:tblCellMar>
        </w:tblPrEx>
        <w:trPr>
          <w:trHeight w:val="689"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5B42344E">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2E416C34">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0EC3B90">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18C5A6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58853342">
        <w:tblPrEx>
          <w:tblCellMar>
            <w:top w:w="0" w:type="dxa"/>
            <w:left w:w="0" w:type="dxa"/>
            <w:bottom w:w="0" w:type="dxa"/>
            <w:right w:w="0" w:type="dxa"/>
          </w:tblCellMar>
        </w:tblPrEx>
        <w:trPr>
          <w:trHeight w:val="691"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6F85AB65">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66751C3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0F9DA389">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4FA33868">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0651D864">
        <w:tblPrEx>
          <w:tblCellMar>
            <w:top w:w="0" w:type="dxa"/>
            <w:left w:w="0" w:type="dxa"/>
            <w:bottom w:w="0" w:type="dxa"/>
            <w:right w:w="0" w:type="dxa"/>
          </w:tblCellMar>
        </w:tblPrEx>
        <w:trPr>
          <w:trHeight w:val="689"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005EBBCA">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7257C71D">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29282BD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6AB2510C">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73FFD211">
        <w:tblPrEx>
          <w:tblCellMar>
            <w:top w:w="0" w:type="dxa"/>
            <w:left w:w="0" w:type="dxa"/>
            <w:bottom w:w="0" w:type="dxa"/>
            <w:right w:w="0" w:type="dxa"/>
          </w:tblCellMar>
        </w:tblPrEx>
        <w:trPr>
          <w:trHeight w:val="691"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1590CA0A">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2DF9E54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45EF8988">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4A4B412">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r w14:paraId="33418653">
        <w:tblPrEx>
          <w:tblCellMar>
            <w:top w:w="0" w:type="dxa"/>
            <w:left w:w="0" w:type="dxa"/>
            <w:bottom w:w="0" w:type="dxa"/>
            <w:right w:w="0" w:type="dxa"/>
          </w:tblCellMar>
        </w:tblPrEx>
        <w:trPr>
          <w:trHeight w:val="689" w:hRule="exact"/>
          <w:jc w:val="center"/>
        </w:trPr>
        <w:tc>
          <w:tcPr>
            <w:tcW w:w="1239" w:type="dxa"/>
            <w:tcBorders>
              <w:top w:val="single" w:color="000000" w:sz="4" w:space="0"/>
              <w:left w:val="single" w:color="000000" w:sz="4" w:space="0"/>
              <w:bottom w:val="single" w:color="000000" w:sz="4" w:space="0"/>
              <w:right w:val="single" w:color="000000" w:sz="4" w:space="0"/>
            </w:tcBorders>
            <w:vAlign w:val="center"/>
          </w:tcPr>
          <w:p w14:paraId="0DDF7AAE">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3908" w:type="dxa"/>
            <w:gridSpan w:val="3"/>
            <w:tcBorders>
              <w:top w:val="single" w:color="000000" w:sz="4" w:space="0"/>
              <w:left w:val="single" w:color="000000" w:sz="4" w:space="0"/>
              <w:bottom w:val="single" w:color="000000" w:sz="4" w:space="0"/>
              <w:right w:val="single" w:color="000000" w:sz="4" w:space="0"/>
            </w:tcBorders>
            <w:vAlign w:val="center"/>
          </w:tcPr>
          <w:p w14:paraId="21A6E08C">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092" w:type="dxa"/>
            <w:tcBorders>
              <w:top w:val="single" w:color="000000" w:sz="4" w:space="0"/>
              <w:left w:val="single" w:color="000000" w:sz="4" w:space="0"/>
              <w:bottom w:val="single" w:color="000000" w:sz="4" w:space="0"/>
              <w:right w:val="single" w:color="000000" w:sz="4" w:space="0"/>
            </w:tcBorders>
            <w:vAlign w:val="center"/>
          </w:tcPr>
          <w:p w14:paraId="596FD593">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c>
          <w:tcPr>
            <w:tcW w:w="2411" w:type="dxa"/>
            <w:tcBorders>
              <w:top w:val="single" w:color="000000" w:sz="4" w:space="0"/>
              <w:left w:val="single" w:color="000000" w:sz="4" w:space="0"/>
              <w:bottom w:val="single" w:color="000000" w:sz="4" w:space="0"/>
              <w:right w:val="single" w:color="000000" w:sz="4" w:space="0"/>
            </w:tcBorders>
            <w:vAlign w:val="center"/>
          </w:tcPr>
          <w:p w14:paraId="0F4CA22B">
            <w:pPr>
              <w:keepNext w:val="0"/>
              <w:keepLines w:val="0"/>
              <w:suppressLineNumbers w:val="0"/>
              <w:spacing w:before="0" w:beforeAutospacing="0" w:after="0" w:afterAutospacing="0" w:line="360" w:lineRule="auto"/>
              <w:ind w:left="0" w:right="0"/>
              <w:jc w:val="center"/>
              <w:rPr>
                <w:rFonts w:hint="default" w:ascii="宋体" w:hAnsi="宋体" w:cs="Times New Roman"/>
                <w:color w:val="auto"/>
                <w:szCs w:val="21"/>
                <w:highlight w:val="none"/>
              </w:rPr>
            </w:pPr>
          </w:p>
        </w:tc>
      </w:tr>
    </w:tbl>
    <w:p w14:paraId="7E586786">
      <w:pPr>
        <w:jc w:val="center"/>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注：按资格要求附项目负责人相关证明材料的原件扫描件。</w:t>
      </w:r>
    </w:p>
    <w:p w14:paraId="17D97C41">
      <w:pPr>
        <w:jc w:val="center"/>
        <w:rPr>
          <w:rFonts w:hint="default" w:ascii="宋体" w:hAnsi="宋体" w:cs="宋体"/>
          <w:color w:val="auto"/>
          <w:szCs w:val="21"/>
          <w:highlight w:val="none"/>
          <w:lang w:val="en-US" w:eastAsia="zh-CN"/>
        </w:rPr>
      </w:pPr>
    </w:p>
    <w:p w14:paraId="639E6B12">
      <w:pPr>
        <w:rPr>
          <w:rFonts w:hint="eastAsia" w:ascii="宋体" w:hAnsi="宋体" w:eastAsia="宋体"/>
          <w:color w:val="auto"/>
          <w:highlight w:val="none"/>
        </w:rPr>
      </w:pPr>
      <w:r>
        <w:rPr>
          <w:rFonts w:hint="eastAsia" w:ascii="宋体" w:hAnsi="宋体" w:eastAsia="宋体"/>
          <w:color w:val="auto"/>
          <w:highlight w:val="none"/>
        </w:rPr>
        <w:br w:type="page"/>
      </w:r>
    </w:p>
    <w:p w14:paraId="555ECFE8">
      <w:pPr>
        <w:pStyle w:val="4"/>
        <w:spacing w:line="360" w:lineRule="auto"/>
        <w:jc w:val="center"/>
        <w:rPr>
          <w:rFonts w:hint="eastAsia" w:ascii="宋体" w:hAnsi="宋体" w:eastAsia="宋体"/>
          <w:color w:val="auto"/>
          <w:highlight w:val="none"/>
        </w:rPr>
      </w:pPr>
      <w:r>
        <w:rPr>
          <w:rFonts w:hint="eastAsia" w:ascii="宋体" w:hAnsi="宋体" w:eastAsia="宋体"/>
          <w:color w:val="auto"/>
          <w:highlight w:val="none"/>
        </w:rPr>
        <w:t>第二部分  响应文件商务部分格式</w:t>
      </w:r>
      <w:bookmarkEnd w:id="1022"/>
      <w:bookmarkEnd w:id="1023"/>
      <w:bookmarkEnd w:id="1024"/>
      <w:bookmarkEnd w:id="1025"/>
      <w:bookmarkEnd w:id="1026"/>
      <w:bookmarkEnd w:id="1027"/>
      <w:bookmarkEnd w:id="1028"/>
      <w:bookmarkEnd w:id="1029"/>
      <w:bookmarkEnd w:id="1030"/>
      <w:bookmarkEnd w:id="1031"/>
      <w:bookmarkEnd w:id="1032"/>
    </w:p>
    <w:p w14:paraId="315AEC18">
      <w:pPr>
        <w:pStyle w:val="6"/>
        <w:spacing w:line="360" w:lineRule="auto"/>
        <w:jc w:val="center"/>
        <w:rPr>
          <w:rFonts w:hint="eastAsia" w:ascii="宋体" w:hAnsi="宋体" w:eastAsia="宋体"/>
          <w:color w:val="auto"/>
          <w:highlight w:val="none"/>
        </w:rPr>
      </w:pPr>
      <w:bookmarkStart w:id="1033" w:name="_Toc301941675"/>
      <w:bookmarkStart w:id="1034" w:name="_Toc272420740"/>
      <w:bookmarkStart w:id="1035" w:name="_Toc261779790"/>
      <w:bookmarkStart w:id="1036" w:name="_Toc272409750"/>
      <w:bookmarkStart w:id="1037" w:name="_Toc261957649"/>
      <w:bookmarkStart w:id="1038" w:name="_Toc301950945"/>
      <w:bookmarkStart w:id="1039" w:name="_Toc232393551"/>
      <w:r>
        <w:rPr>
          <w:rFonts w:hint="eastAsia" w:ascii="宋体" w:hAnsi="宋体" w:eastAsia="宋体"/>
          <w:color w:val="auto"/>
          <w:highlight w:val="none"/>
        </w:rPr>
        <w:t>一、法定代表人（或自然人本人）身份证明书</w:t>
      </w:r>
      <w:bookmarkEnd w:id="1033"/>
      <w:bookmarkEnd w:id="1034"/>
      <w:bookmarkEnd w:id="1035"/>
      <w:bookmarkEnd w:id="1036"/>
      <w:bookmarkEnd w:id="1037"/>
      <w:bookmarkEnd w:id="1038"/>
      <w:bookmarkEnd w:id="1039"/>
    </w:p>
    <w:p w14:paraId="08203561">
      <w:pPr>
        <w:spacing w:line="360" w:lineRule="auto"/>
        <w:rPr>
          <w:rFonts w:hint="eastAsia" w:ascii="宋体" w:hAnsi="宋体"/>
          <w:color w:val="auto"/>
          <w:highlight w:val="none"/>
        </w:rPr>
      </w:pPr>
    </w:p>
    <w:p w14:paraId="56AC89DA">
      <w:pPr>
        <w:spacing w:line="360" w:lineRule="auto"/>
        <w:ind w:firstLine="612"/>
        <w:rPr>
          <w:rFonts w:hint="eastAsia" w:ascii="宋体" w:hAnsi="宋体"/>
          <w:color w:val="auto"/>
          <w:szCs w:val="21"/>
          <w:highlight w:val="none"/>
        </w:rPr>
      </w:pPr>
      <w:r>
        <w:rPr>
          <w:rFonts w:hint="eastAsia" w:ascii="宋体" w:hAnsi="宋体"/>
          <w:color w:val="auto"/>
          <w:szCs w:val="21"/>
          <w:highlight w:val="none"/>
        </w:rPr>
        <w:t>单位名称：</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（自然人可用“/”表示）</w:t>
      </w:r>
      <w:r>
        <w:rPr>
          <w:rFonts w:hint="eastAsia" w:ascii="宋体" w:hAnsi="宋体"/>
          <w:color w:val="auto"/>
          <w:szCs w:val="21"/>
          <w:highlight w:val="none"/>
          <w:u w:val="single"/>
        </w:rPr>
        <w:tab/>
      </w:r>
      <w:r>
        <w:rPr>
          <w:rFonts w:hint="eastAsia" w:ascii="宋体" w:hAnsi="宋体"/>
          <w:color w:val="auto"/>
          <w:szCs w:val="21"/>
          <w:highlight w:val="none"/>
          <w:u w:val="single"/>
        </w:rPr>
        <w:tab/>
      </w:r>
    </w:p>
    <w:p w14:paraId="34315234">
      <w:pPr>
        <w:spacing w:line="360" w:lineRule="auto"/>
        <w:ind w:firstLine="610"/>
        <w:rPr>
          <w:rFonts w:hint="eastAsia" w:ascii="宋体" w:hAnsi="宋体"/>
          <w:color w:val="auto"/>
          <w:szCs w:val="21"/>
          <w:highlight w:val="none"/>
          <w:u w:val="single"/>
        </w:rPr>
      </w:pPr>
      <w:r>
        <w:rPr>
          <w:rFonts w:hint="eastAsia" w:ascii="宋体" w:hAnsi="宋体"/>
          <w:color w:val="auto"/>
          <w:szCs w:val="21"/>
          <w:highlight w:val="none"/>
        </w:rPr>
        <w:t>单位性质：</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（自然人可用“/”表示）</w:t>
      </w:r>
      <w:r>
        <w:rPr>
          <w:rFonts w:hint="eastAsia" w:ascii="宋体" w:hAnsi="宋体"/>
          <w:color w:val="auto"/>
          <w:szCs w:val="21"/>
          <w:highlight w:val="none"/>
          <w:u w:val="single"/>
        </w:rPr>
        <w:tab/>
      </w:r>
    </w:p>
    <w:p w14:paraId="632B5ED8">
      <w:pPr>
        <w:spacing w:line="360" w:lineRule="auto"/>
        <w:ind w:firstLine="610"/>
        <w:rPr>
          <w:rFonts w:hint="eastAsia" w:ascii="宋体" w:hAnsi="宋体"/>
          <w:color w:val="auto"/>
          <w:szCs w:val="21"/>
          <w:highlight w:val="none"/>
          <w:u w:val="single"/>
        </w:rPr>
      </w:pPr>
      <w:r>
        <w:rPr>
          <w:rFonts w:hint="eastAsia" w:ascii="宋体" w:hAnsi="宋体"/>
          <w:color w:val="auto"/>
          <w:szCs w:val="21"/>
          <w:highlight w:val="none"/>
        </w:rPr>
        <w:t>地    址：</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ab/>
      </w:r>
    </w:p>
    <w:p w14:paraId="11E26907">
      <w:pPr>
        <w:spacing w:line="360" w:lineRule="auto"/>
        <w:ind w:firstLine="610"/>
        <w:rPr>
          <w:rFonts w:hint="eastAsia" w:ascii="宋体" w:hAnsi="宋体"/>
          <w:color w:val="auto"/>
          <w:szCs w:val="21"/>
          <w:highlight w:val="none"/>
        </w:rPr>
      </w:pPr>
      <w:r>
        <w:rPr>
          <w:rFonts w:hint="eastAsia" w:ascii="宋体" w:hAnsi="宋体"/>
          <w:color w:val="auto"/>
          <w:szCs w:val="21"/>
          <w:highlight w:val="none"/>
        </w:rPr>
        <w:t>成立时间：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（自然人可用“/”表示）</w:t>
      </w:r>
    </w:p>
    <w:p w14:paraId="35E3DBE1">
      <w:pPr>
        <w:spacing w:line="360" w:lineRule="auto"/>
        <w:ind w:firstLine="610"/>
        <w:rPr>
          <w:rFonts w:hint="eastAsia" w:ascii="宋体" w:hAnsi="宋体"/>
          <w:color w:val="auto"/>
          <w:szCs w:val="21"/>
          <w:highlight w:val="none"/>
          <w:u w:val="single"/>
        </w:rPr>
      </w:pPr>
      <w:r>
        <w:rPr>
          <w:rFonts w:hint="eastAsia" w:ascii="宋体" w:hAnsi="宋体"/>
          <w:color w:val="auto"/>
          <w:szCs w:val="21"/>
          <w:highlight w:val="none"/>
        </w:rPr>
        <w:t>经营期限：</w:t>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（自然人可用“/”表示）      </w:t>
      </w:r>
    </w:p>
    <w:p w14:paraId="01771245">
      <w:pPr>
        <w:spacing w:line="360" w:lineRule="auto"/>
        <w:ind w:firstLine="610"/>
        <w:rPr>
          <w:rFonts w:hint="eastAsia" w:ascii="宋体" w:hAnsi="宋体"/>
          <w:color w:val="auto"/>
          <w:szCs w:val="21"/>
          <w:highlight w:val="none"/>
          <w:u w:val="single"/>
        </w:rPr>
      </w:pPr>
      <w:r>
        <w:rPr>
          <w:rFonts w:hint="eastAsia" w:ascii="宋体" w:hAnsi="宋体"/>
          <w:color w:val="auto"/>
          <w:szCs w:val="21"/>
          <w:highlight w:val="none"/>
        </w:rPr>
        <w:t>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性别：</w:t>
      </w:r>
      <w:r>
        <w:rPr>
          <w:rFonts w:hint="eastAsia" w:ascii="宋体" w:hAnsi="宋体"/>
          <w:color w:val="auto"/>
          <w:szCs w:val="21"/>
          <w:highlight w:val="none"/>
          <w:u w:val="single"/>
        </w:rPr>
        <w:t xml:space="preserve">    </w:t>
      </w:r>
      <w:r>
        <w:rPr>
          <w:rFonts w:hint="eastAsia" w:ascii="宋体" w:hAnsi="宋体"/>
          <w:color w:val="auto"/>
          <w:szCs w:val="21"/>
          <w:highlight w:val="none"/>
        </w:rPr>
        <w:t>年龄：</w:t>
      </w:r>
      <w:r>
        <w:rPr>
          <w:rFonts w:hint="eastAsia" w:ascii="宋体" w:hAnsi="宋体"/>
          <w:color w:val="auto"/>
          <w:szCs w:val="21"/>
          <w:highlight w:val="none"/>
          <w:u w:val="single"/>
        </w:rPr>
        <w:t xml:space="preserve">      </w:t>
      </w:r>
      <w:r>
        <w:rPr>
          <w:rFonts w:hint="eastAsia" w:ascii="宋体" w:hAnsi="宋体"/>
          <w:color w:val="auto"/>
          <w:szCs w:val="21"/>
          <w:highlight w:val="none"/>
        </w:rPr>
        <w:t>职务：</w:t>
      </w:r>
      <w:r>
        <w:rPr>
          <w:rFonts w:hint="eastAsia" w:ascii="宋体" w:hAnsi="宋体"/>
          <w:color w:val="auto"/>
          <w:szCs w:val="21"/>
          <w:highlight w:val="none"/>
          <w:u w:val="single"/>
        </w:rPr>
        <w:tab/>
      </w:r>
      <w:r>
        <w:rPr>
          <w:rFonts w:hint="eastAsia" w:ascii="宋体" w:hAnsi="宋体"/>
          <w:color w:val="auto"/>
          <w:szCs w:val="21"/>
          <w:highlight w:val="none"/>
          <w:u w:val="single"/>
        </w:rPr>
        <w:tab/>
      </w:r>
      <w:r>
        <w:rPr>
          <w:rFonts w:hint="eastAsia" w:ascii="宋体" w:hAnsi="宋体"/>
          <w:color w:val="auto"/>
          <w:szCs w:val="21"/>
          <w:highlight w:val="none"/>
          <w:u w:val="single"/>
        </w:rPr>
        <w:t xml:space="preserve"> </w:t>
      </w:r>
    </w:p>
    <w:p w14:paraId="50049823">
      <w:pPr>
        <w:spacing w:line="360" w:lineRule="auto"/>
        <w:ind w:firstLine="610"/>
        <w:rPr>
          <w:rFonts w:hint="eastAsia" w:ascii="宋体" w:hAnsi="宋体"/>
          <w:color w:val="auto"/>
          <w:szCs w:val="21"/>
          <w:highlight w:val="none"/>
        </w:rPr>
      </w:pPr>
      <w:r>
        <w:rPr>
          <w:rFonts w:hint="eastAsia" w:ascii="宋体" w:hAnsi="宋体"/>
          <w:color w:val="auto"/>
          <w:szCs w:val="21"/>
          <w:highlight w:val="none"/>
        </w:rPr>
        <w:t>系</w:t>
      </w:r>
      <w:r>
        <w:rPr>
          <w:rFonts w:hint="eastAsia" w:ascii="宋体" w:hAnsi="宋体"/>
          <w:color w:val="auto"/>
          <w:szCs w:val="21"/>
          <w:highlight w:val="none"/>
          <w:u w:val="single"/>
        </w:rPr>
        <w:t xml:space="preserve">          （供应商单位名称，若为自然人可用“/”表示）      </w:t>
      </w:r>
      <w:r>
        <w:rPr>
          <w:rFonts w:hint="eastAsia" w:ascii="宋体" w:hAnsi="宋体"/>
          <w:color w:val="auto"/>
          <w:szCs w:val="21"/>
          <w:highlight w:val="none"/>
        </w:rPr>
        <w:t>的法定代表人。</w:t>
      </w:r>
    </w:p>
    <w:p w14:paraId="5B4D63F6">
      <w:pPr>
        <w:spacing w:line="360" w:lineRule="auto"/>
        <w:ind w:firstLine="610"/>
        <w:rPr>
          <w:rFonts w:hint="eastAsia" w:ascii="宋体" w:hAnsi="宋体"/>
          <w:color w:val="auto"/>
          <w:szCs w:val="21"/>
          <w:highlight w:val="none"/>
        </w:rPr>
      </w:pPr>
    </w:p>
    <w:p w14:paraId="4300B33A">
      <w:pPr>
        <w:spacing w:line="360" w:lineRule="auto"/>
        <w:ind w:firstLine="610"/>
        <w:rPr>
          <w:rFonts w:hint="eastAsia" w:ascii="宋体" w:hAnsi="宋体"/>
          <w:color w:val="auto"/>
          <w:szCs w:val="21"/>
          <w:highlight w:val="none"/>
        </w:rPr>
      </w:pPr>
      <w:r>
        <w:rPr>
          <w:rFonts w:hint="eastAsia" w:ascii="宋体" w:hAnsi="宋体"/>
          <w:color w:val="auto"/>
          <w:szCs w:val="21"/>
          <w:highlight w:val="none"/>
        </w:rPr>
        <w:t>特此证明。</w:t>
      </w:r>
    </w:p>
    <w:p w14:paraId="0CE89044">
      <w:pPr>
        <w:tabs>
          <w:tab w:val="left" w:pos="720"/>
          <w:tab w:val="left" w:pos="900"/>
        </w:tabs>
        <w:spacing w:line="360" w:lineRule="auto"/>
        <w:ind w:firstLine="420" w:firstLineChars="200"/>
        <w:rPr>
          <w:rFonts w:hint="eastAsia" w:ascii="宋体" w:hAnsi="宋体"/>
          <w:color w:val="auto"/>
          <w:szCs w:val="21"/>
          <w:highlight w:val="none"/>
        </w:rPr>
      </w:pPr>
    </w:p>
    <w:p w14:paraId="50F32C29">
      <w:pPr>
        <w:tabs>
          <w:tab w:val="left" w:pos="720"/>
          <w:tab w:val="left" w:pos="900"/>
        </w:tabs>
        <w:spacing w:line="360" w:lineRule="auto"/>
        <w:ind w:firstLine="420" w:firstLineChars="200"/>
        <w:rPr>
          <w:rFonts w:hint="eastAsia" w:ascii="宋体" w:hAnsi="宋体"/>
          <w:color w:val="auto"/>
          <w:szCs w:val="21"/>
          <w:highlight w:val="none"/>
        </w:rPr>
      </w:pPr>
    </w:p>
    <w:p w14:paraId="1BF20839">
      <w:pPr>
        <w:tabs>
          <w:tab w:val="left" w:pos="720"/>
          <w:tab w:val="left" w:pos="900"/>
        </w:tabs>
        <w:spacing w:line="360" w:lineRule="auto"/>
        <w:ind w:firstLine="420" w:firstLineChars="200"/>
        <w:rPr>
          <w:rFonts w:hint="eastAsia" w:ascii="宋体" w:hAnsi="宋体"/>
          <w:color w:val="auto"/>
          <w:szCs w:val="21"/>
          <w:highlight w:val="none"/>
        </w:rPr>
      </w:pPr>
    </w:p>
    <w:p w14:paraId="2F3238B1">
      <w:pPr>
        <w:tabs>
          <w:tab w:val="left" w:pos="720"/>
          <w:tab w:val="left" w:pos="900"/>
        </w:tabs>
        <w:spacing w:line="360" w:lineRule="auto"/>
        <w:ind w:firstLine="3990" w:firstLineChars="1900"/>
        <w:rPr>
          <w:rFonts w:hint="eastAsia" w:ascii="宋体" w:hAnsi="宋体"/>
          <w:color w:val="auto"/>
          <w:szCs w:val="21"/>
          <w:highlight w:val="none"/>
        </w:rPr>
      </w:pPr>
    </w:p>
    <w:p w14:paraId="34B5AACE">
      <w:pPr>
        <w:tabs>
          <w:tab w:val="left" w:pos="720"/>
          <w:tab w:val="left" w:pos="900"/>
        </w:tabs>
        <w:spacing w:line="360" w:lineRule="auto"/>
        <w:ind w:firstLine="3990" w:firstLineChars="1900"/>
        <w:rPr>
          <w:rFonts w:hint="eastAsia" w:ascii="宋体" w:hAnsi="宋体"/>
          <w:color w:val="auto"/>
          <w:szCs w:val="21"/>
          <w:highlight w:val="none"/>
        </w:rPr>
      </w:pPr>
    </w:p>
    <w:p w14:paraId="386665C5">
      <w:pPr>
        <w:spacing w:line="360" w:lineRule="auto"/>
        <w:ind w:firstLine="2125" w:firstLineChars="1012"/>
        <w:rPr>
          <w:rFonts w:hint="eastAsia" w:ascii="宋体" w:hAnsi="宋体"/>
          <w:color w:val="auto"/>
          <w:szCs w:val="21"/>
          <w:highlight w:val="none"/>
        </w:rPr>
      </w:pPr>
      <w:r>
        <w:rPr>
          <w:rFonts w:hint="eastAsia" w:ascii="宋体" w:hAnsi="宋体"/>
          <w:color w:val="auto"/>
          <w:szCs w:val="21"/>
          <w:highlight w:val="none"/>
        </w:rPr>
        <w:t>供应商：</w:t>
      </w:r>
      <w:r>
        <w:rPr>
          <w:rFonts w:hint="eastAsia" w:ascii="宋体" w:hAnsi="宋体"/>
          <w:color w:val="auto"/>
          <w:szCs w:val="21"/>
          <w:highlight w:val="none"/>
          <w:u w:val="single"/>
        </w:rPr>
        <w:t xml:space="preserve">   （电子签章，若为自然人的，自然人本人电子签章即可）</w:t>
      </w:r>
    </w:p>
    <w:p w14:paraId="4B5B149A">
      <w:pPr>
        <w:spacing w:line="360" w:lineRule="auto"/>
        <w:ind w:firstLine="2125" w:firstLineChars="1012"/>
        <w:rPr>
          <w:rFonts w:hint="eastAsia" w:ascii="宋体" w:hAnsi="宋体"/>
          <w:color w:val="auto"/>
          <w:szCs w:val="21"/>
          <w:highlight w:val="none"/>
        </w:rPr>
      </w:pPr>
      <w:r>
        <w:rPr>
          <w:rFonts w:hint="eastAsia" w:ascii="宋体" w:hAnsi="宋体"/>
          <w:color w:val="auto"/>
          <w:szCs w:val="21"/>
          <w:highlight w:val="none"/>
        </w:rPr>
        <w:t>日    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0323037">
      <w:pPr>
        <w:spacing w:line="360" w:lineRule="auto"/>
        <w:ind w:firstLine="2125" w:firstLineChars="1012"/>
        <w:rPr>
          <w:rFonts w:hint="eastAsia" w:ascii="宋体" w:hAnsi="宋体"/>
          <w:color w:val="auto"/>
          <w:szCs w:val="21"/>
          <w:highlight w:val="none"/>
        </w:rPr>
      </w:pPr>
    </w:p>
    <w:p w14:paraId="20706069">
      <w:pPr>
        <w:spacing w:line="360" w:lineRule="auto"/>
        <w:ind w:firstLine="495" w:firstLineChars="236"/>
        <w:rPr>
          <w:rFonts w:hint="eastAsia" w:ascii="宋体" w:hAnsi="宋体"/>
          <w:color w:val="auto"/>
          <w:szCs w:val="21"/>
          <w:highlight w:val="none"/>
        </w:rPr>
      </w:pPr>
      <w:r>
        <w:rPr>
          <w:rFonts w:hint="eastAsia" w:ascii="宋体" w:hAnsi="宋体"/>
          <w:color w:val="auto"/>
          <w:szCs w:val="21"/>
          <w:highlight w:val="none"/>
        </w:rPr>
        <w:t>附：</w:t>
      </w:r>
      <w:r>
        <w:rPr>
          <w:rFonts w:hint="eastAsia" w:ascii="宋体" w:hAnsi="宋体"/>
          <w:color w:val="auto"/>
          <w:highlight w:val="none"/>
        </w:rPr>
        <w:t>法定代表人身份证原件扫描件或自然人本人身份证扫描件。</w:t>
      </w:r>
    </w:p>
    <w:p w14:paraId="122F58FE">
      <w:pPr>
        <w:spacing w:line="360" w:lineRule="auto"/>
        <w:ind w:firstLine="2428" w:firstLineChars="1012"/>
        <w:rPr>
          <w:rFonts w:hint="eastAsia" w:ascii="宋体" w:hAnsi="宋体"/>
          <w:color w:val="auto"/>
          <w:sz w:val="24"/>
          <w:highlight w:val="none"/>
        </w:rPr>
      </w:pPr>
    </w:p>
    <w:p w14:paraId="67ED0F37">
      <w:pPr>
        <w:spacing w:line="360" w:lineRule="auto"/>
        <w:rPr>
          <w:rFonts w:hint="eastAsia" w:ascii="宋体" w:hAnsi="宋体"/>
          <w:color w:val="auto"/>
          <w:highlight w:val="none"/>
        </w:rPr>
      </w:pPr>
    </w:p>
    <w:p w14:paraId="0C6D9610">
      <w:pPr>
        <w:spacing w:line="360" w:lineRule="auto"/>
        <w:rPr>
          <w:rFonts w:hint="eastAsia" w:ascii="宋体" w:hAnsi="宋体"/>
          <w:color w:val="auto"/>
          <w:sz w:val="24"/>
          <w:highlight w:val="none"/>
        </w:rPr>
      </w:pPr>
    </w:p>
    <w:p w14:paraId="6322988F">
      <w:pPr>
        <w:spacing w:line="360" w:lineRule="auto"/>
        <w:rPr>
          <w:rFonts w:hint="eastAsia" w:ascii="宋体" w:hAnsi="宋体"/>
          <w:color w:val="auto"/>
          <w:sz w:val="24"/>
          <w:highlight w:val="none"/>
        </w:rPr>
      </w:pPr>
    </w:p>
    <w:p w14:paraId="4143A15B">
      <w:pPr>
        <w:pStyle w:val="6"/>
        <w:spacing w:line="360" w:lineRule="auto"/>
        <w:jc w:val="center"/>
        <w:rPr>
          <w:rFonts w:hint="eastAsia" w:ascii="宋体" w:hAnsi="宋体" w:eastAsia="宋体"/>
          <w:color w:val="auto"/>
          <w:highlight w:val="none"/>
        </w:rPr>
      </w:pPr>
      <w:bookmarkStart w:id="1040" w:name="_Toc301941676"/>
      <w:bookmarkStart w:id="1041" w:name="_Toc272409751"/>
      <w:bookmarkStart w:id="1042" w:name="_Toc261957650"/>
      <w:bookmarkStart w:id="1043" w:name="_Toc261779791"/>
      <w:bookmarkStart w:id="1044" w:name="_Toc301950946"/>
      <w:bookmarkStart w:id="1045" w:name="_Toc232393552"/>
      <w:bookmarkStart w:id="1046" w:name="_Toc272420741"/>
      <w:r>
        <w:rPr>
          <w:rFonts w:hint="eastAsia" w:ascii="宋体" w:hAnsi="宋体" w:eastAsia="宋体"/>
          <w:color w:val="auto"/>
          <w:highlight w:val="none"/>
        </w:rPr>
        <w:br w:type="page"/>
      </w:r>
      <w:r>
        <w:rPr>
          <w:rFonts w:hint="eastAsia" w:ascii="宋体" w:hAnsi="宋体" w:eastAsia="宋体"/>
          <w:color w:val="auto"/>
          <w:highlight w:val="none"/>
        </w:rPr>
        <w:t>二、响应文件签署授权委托书</w:t>
      </w:r>
      <w:bookmarkEnd w:id="1040"/>
      <w:bookmarkEnd w:id="1041"/>
      <w:bookmarkEnd w:id="1042"/>
      <w:bookmarkEnd w:id="1043"/>
      <w:bookmarkEnd w:id="1044"/>
      <w:bookmarkEnd w:id="1045"/>
      <w:bookmarkEnd w:id="1046"/>
    </w:p>
    <w:p w14:paraId="5A92001E">
      <w:pPr>
        <w:spacing w:line="360" w:lineRule="auto"/>
        <w:rPr>
          <w:rFonts w:hint="eastAsia" w:ascii="宋体" w:hAnsi="宋体"/>
          <w:color w:val="auto"/>
          <w:szCs w:val="21"/>
          <w:highlight w:val="none"/>
        </w:rPr>
      </w:pPr>
    </w:p>
    <w:p w14:paraId="2E1B537E">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本授权委托书声明：我</w:t>
      </w:r>
      <w:r>
        <w:rPr>
          <w:rFonts w:hint="eastAsia" w:ascii="宋体" w:hAnsi="宋体"/>
          <w:color w:val="auto"/>
          <w:szCs w:val="21"/>
          <w:highlight w:val="none"/>
          <w:u w:val="single"/>
        </w:rPr>
        <w:t xml:space="preserve">             </w:t>
      </w:r>
      <w:r>
        <w:rPr>
          <w:rFonts w:hint="eastAsia" w:ascii="宋体" w:hAnsi="宋体"/>
          <w:color w:val="auto"/>
          <w:szCs w:val="21"/>
          <w:highlight w:val="none"/>
        </w:rPr>
        <w:t>（姓名）系</w:t>
      </w:r>
      <w:r>
        <w:rPr>
          <w:rFonts w:hint="eastAsia" w:ascii="宋体" w:hAnsi="宋体"/>
          <w:color w:val="auto"/>
          <w:szCs w:val="21"/>
          <w:highlight w:val="none"/>
          <w:u w:val="single"/>
        </w:rPr>
        <w:t xml:space="preserve">                 （供应商名称，自然人可用“/”表示）</w:t>
      </w:r>
      <w:r>
        <w:rPr>
          <w:rFonts w:hint="eastAsia" w:ascii="宋体" w:hAnsi="宋体"/>
          <w:color w:val="auto"/>
          <w:szCs w:val="21"/>
          <w:highlight w:val="none"/>
        </w:rPr>
        <w:t>的法定代表人，现授权委托</w:t>
      </w:r>
      <w:r>
        <w:rPr>
          <w:rFonts w:hint="eastAsia" w:ascii="宋体" w:hAnsi="宋体"/>
          <w:color w:val="auto"/>
          <w:szCs w:val="21"/>
          <w:highlight w:val="none"/>
          <w:u w:val="single"/>
        </w:rPr>
        <w:t xml:space="preserve">    （姓名）    </w:t>
      </w:r>
      <w:r>
        <w:rPr>
          <w:rFonts w:hint="eastAsia" w:ascii="宋体" w:hAnsi="宋体"/>
          <w:color w:val="auto"/>
          <w:szCs w:val="21"/>
          <w:highlight w:val="none"/>
        </w:rPr>
        <w:t>为我公司签署本项目的响应文件的法定代表人授权委托代理人，我承认代理人全权代表我所签署的本项目的响应文件的内容。</w:t>
      </w:r>
    </w:p>
    <w:p w14:paraId="695EE562">
      <w:pPr>
        <w:spacing w:line="360" w:lineRule="auto"/>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委托期限：</w:t>
      </w:r>
      <w:r>
        <w:rPr>
          <w:rFonts w:hint="eastAsia" w:ascii="宋体" w:hAnsi="宋体"/>
          <w:color w:val="auto"/>
          <w:szCs w:val="21"/>
          <w:highlight w:val="none"/>
          <w:u w:val="single"/>
        </w:rPr>
        <w:t xml:space="preserve">             </w:t>
      </w:r>
    </w:p>
    <w:p w14:paraId="7892CDEB">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代理人无转委托权，特此委托。</w:t>
      </w:r>
    </w:p>
    <w:p w14:paraId="32F2B119">
      <w:pPr>
        <w:spacing w:line="360" w:lineRule="auto"/>
        <w:ind w:left="1260"/>
        <w:rPr>
          <w:rFonts w:hint="eastAsia" w:ascii="宋体" w:hAnsi="宋体"/>
          <w:color w:val="auto"/>
          <w:szCs w:val="21"/>
          <w:highlight w:val="none"/>
        </w:rPr>
      </w:pPr>
    </w:p>
    <w:p w14:paraId="2380E852">
      <w:pPr>
        <w:spacing w:line="360" w:lineRule="auto"/>
        <w:ind w:left="1260"/>
        <w:rPr>
          <w:rFonts w:hint="eastAsia" w:ascii="宋体" w:hAnsi="宋体"/>
          <w:color w:val="auto"/>
          <w:szCs w:val="21"/>
          <w:highlight w:val="none"/>
        </w:rPr>
      </w:pPr>
    </w:p>
    <w:p w14:paraId="235D5C45">
      <w:pPr>
        <w:spacing w:line="360" w:lineRule="auto"/>
        <w:ind w:left="1260"/>
        <w:rPr>
          <w:rFonts w:hint="eastAsia" w:ascii="宋体" w:hAnsi="宋体"/>
          <w:color w:val="auto"/>
          <w:szCs w:val="21"/>
          <w:highlight w:val="none"/>
        </w:rPr>
      </w:pPr>
    </w:p>
    <w:p w14:paraId="4FA98BAC">
      <w:pPr>
        <w:spacing w:line="360" w:lineRule="auto"/>
        <w:ind w:left="1260"/>
        <w:rPr>
          <w:rFonts w:hint="eastAsia" w:ascii="宋体" w:hAnsi="宋体"/>
          <w:color w:val="auto"/>
          <w:szCs w:val="21"/>
          <w:highlight w:val="none"/>
        </w:rPr>
      </w:pPr>
    </w:p>
    <w:p w14:paraId="36601FB3">
      <w:pPr>
        <w:spacing w:line="360" w:lineRule="auto"/>
        <w:ind w:left="1260"/>
        <w:rPr>
          <w:rFonts w:hint="eastAsia" w:ascii="宋体" w:hAnsi="宋体"/>
          <w:color w:val="auto"/>
          <w:szCs w:val="21"/>
          <w:highlight w:val="none"/>
        </w:rPr>
      </w:pPr>
    </w:p>
    <w:p w14:paraId="20ACE42E">
      <w:pPr>
        <w:spacing w:line="360" w:lineRule="auto"/>
        <w:ind w:left="1260"/>
        <w:rPr>
          <w:rFonts w:hint="eastAsia" w:ascii="宋体" w:hAnsi="宋体"/>
          <w:color w:val="auto"/>
          <w:szCs w:val="21"/>
          <w:highlight w:val="none"/>
        </w:rPr>
      </w:pPr>
    </w:p>
    <w:p w14:paraId="23BA7D7F">
      <w:pPr>
        <w:spacing w:line="360" w:lineRule="auto"/>
        <w:ind w:left="1260"/>
        <w:rPr>
          <w:rFonts w:hint="eastAsia" w:ascii="宋体" w:hAnsi="宋体"/>
          <w:color w:val="auto"/>
          <w:szCs w:val="21"/>
          <w:highlight w:val="none"/>
        </w:rPr>
      </w:pPr>
    </w:p>
    <w:p w14:paraId="446D413C">
      <w:pPr>
        <w:spacing w:line="360" w:lineRule="auto"/>
        <w:ind w:left="1260" w:firstLine="735"/>
        <w:rPr>
          <w:rFonts w:hint="eastAsia" w:ascii="宋体" w:hAnsi="宋体"/>
          <w:color w:val="auto"/>
          <w:szCs w:val="21"/>
          <w:highlight w:val="none"/>
          <w:u w:val="single"/>
        </w:rPr>
      </w:pPr>
      <w:r>
        <w:rPr>
          <w:rFonts w:hint="eastAsia" w:ascii="宋体" w:hAnsi="宋体"/>
          <w:color w:val="auto"/>
          <w:szCs w:val="21"/>
          <w:highlight w:val="none"/>
        </w:rPr>
        <w:t>代理人：</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性别：</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年龄：</w:t>
      </w:r>
      <w:r>
        <w:rPr>
          <w:rFonts w:hint="eastAsia" w:ascii="宋体" w:hAnsi="宋体"/>
          <w:color w:val="auto"/>
          <w:szCs w:val="21"/>
          <w:highlight w:val="none"/>
          <w:u w:val="single"/>
        </w:rPr>
        <w:t xml:space="preserve">       </w:t>
      </w:r>
    </w:p>
    <w:p w14:paraId="2E6C7B4E">
      <w:pPr>
        <w:spacing w:line="360" w:lineRule="auto"/>
        <w:ind w:left="1260" w:firstLine="735"/>
        <w:rPr>
          <w:rFonts w:hint="eastAsia" w:ascii="宋体" w:hAnsi="宋体"/>
          <w:color w:val="auto"/>
          <w:szCs w:val="21"/>
          <w:highlight w:val="none"/>
          <w:u w:val="single"/>
        </w:rPr>
      </w:pPr>
      <w:r>
        <w:rPr>
          <w:rFonts w:hint="eastAsia" w:ascii="宋体" w:hAnsi="宋体"/>
          <w:color w:val="auto"/>
          <w:szCs w:val="21"/>
          <w:highlight w:val="none"/>
        </w:rPr>
        <w:t>身份证号码：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职务：</w:t>
      </w:r>
      <w:r>
        <w:rPr>
          <w:rFonts w:hint="eastAsia" w:ascii="宋体" w:hAnsi="宋体"/>
          <w:color w:val="auto"/>
          <w:szCs w:val="21"/>
          <w:highlight w:val="none"/>
          <w:u w:val="single"/>
        </w:rPr>
        <w:t xml:space="preserve">                </w:t>
      </w:r>
    </w:p>
    <w:p w14:paraId="12C33761">
      <w:pPr>
        <w:spacing w:line="360" w:lineRule="auto"/>
        <w:ind w:left="1260" w:firstLine="735"/>
        <w:rPr>
          <w:rFonts w:hint="eastAsia" w:ascii="宋体" w:hAnsi="宋体"/>
          <w:color w:val="auto"/>
          <w:szCs w:val="21"/>
          <w:highlight w:val="none"/>
        </w:rPr>
      </w:pPr>
      <w:r>
        <w:rPr>
          <w:rFonts w:hint="eastAsia" w:ascii="宋体" w:hAnsi="宋体"/>
          <w:color w:val="auto"/>
          <w:szCs w:val="21"/>
          <w:highlight w:val="none"/>
        </w:rPr>
        <w:t>供应商：</w:t>
      </w:r>
      <w:r>
        <w:rPr>
          <w:rFonts w:hint="eastAsia" w:ascii="宋体" w:hAnsi="宋体"/>
          <w:color w:val="auto"/>
          <w:szCs w:val="21"/>
          <w:highlight w:val="none"/>
          <w:u w:val="single"/>
        </w:rPr>
        <w:t xml:space="preserve">      （电子签章，若为自然人无需签章）    </w:t>
      </w:r>
    </w:p>
    <w:p w14:paraId="6630481F">
      <w:pPr>
        <w:spacing w:line="360" w:lineRule="auto"/>
        <w:ind w:left="1260" w:firstLine="735"/>
        <w:rPr>
          <w:rFonts w:hint="eastAsia" w:ascii="宋体" w:hAnsi="宋体"/>
          <w:color w:val="auto"/>
          <w:szCs w:val="21"/>
          <w:highlight w:val="none"/>
        </w:rPr>
      </w:pPr>
      <w:r>
        <w:rPr>
          <w:color w:val="auto"/>
          <w:highlight w:val="none"/>
        </w:rPr>
        <w:t>法定代表人</w:t>
      </w:r>
      <w:r>
        <w:rPr>
          <w:rFonts w:hint="eastAsia"/>
          <w:color w:val="auto"/>
          <w:highlight w:val="none"/>
        </w:rPr>
        <w:t>或自然人本人</w:t>
      </w:r>
      <w:r>
        <w:rPr>
          <w:color w:val="auto"/>
          <w:highlight w:val="none"/>
        </w:rPr>
        <w:t>：</w:t>
      </w:r>
      <w:r>
        <w:rPr>
          <w:color w:val="auto"/>
          <w:highlight w:val="none"/>
          <w:u w:val="single"/>
        </w:rPr>
        <w:t xml:space="preserve">   （</w:t>
      </w:r>
      <w:r>
        <w:rPr>
          <w:rFonts w:hint="eastAsia"/>
          <w:color w:val="auto"/>
          <w:highlight w:val="none"/>
          <w:u w:val="single"/>
        </w:rPr>
        <w:t>电子签章</w:t>
      </w:r>
      <w:r>
        <w:rPr>
          <w:color w:val="auto"/>
          <w:highlight w:val="none"/>
          <w:u w:val="single"/>
        </w:rPr>
        <w:t xml:space="preserve">）         </w:t>
      </w:r>
    </w:p>
    <w:p w14:paraId="654BBCD4">
      <w:pPr>
        <w:spacing w:line="360" w:lineRule="auto"/>
        <w:ind w:left="1260" w:firstLine="735"/>
        <w:rPr>
          <w:rFonts w:hint="eastAsia" w:ascii="宋体" w:hAnsi="宋体"/>
          <w:color w:val="auto"/>
          <w:szCs w:val="21"/>
          <w:highlight w:val="none"/>
        </w:rPr>
      </w:pPr>
      <w:r>
        <w:rPr>
          <w:rFonts w:hint="eastAsia" w:ascii="宋体" w:hAnsi="宋体"/>
          <w:color w:val="auto"/>
          <w:szCs w:val="21"/>
          <w:highlight w:val="none"/>
        </w:rPr>
        <w:t>授权委托日期：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597FC9D">
      <w:pPr>
        <w:spacing w:line="360" w:lineRule="auto"/>
        <w:ind w:left="1260"/>
        <w:rPr>
          <w:rFonts w:hint="eastAsia" w:ascii="宋体" w:hAnsi="宋体"/>
          <w:color w:val="auto"/>
          <w:szCs w:val="21"/>
          <w:highlight w:val="none"/>
        </w:rPr>
      </w:pPr>
    </w:p>
    <w:p w14:paraId="52C2E694">
      <w:pPr>
        <w:spacing w:line="360" w:lineRule="auto"/>
        <w:ind w:left="1260"/>
        <w:rPr>
          <w:rFonts w:hint="eastAsia" w:ascii="宋体" w:hAnsi="宋体"/>
          <w:color w:val="auto"/>
          <w:szCs w:val="21"/>
          <w:highlight w:val="none"/>
        </w:rPr>
      </w:pPr>
    </w:p>
    <w:p w14:paraId="1A14A9EA">
      <w:pPr>
        <w:spacing w:line="360" w:lineRule="auto"/>
        <w:ind w:left="1260"/>
        <w:rPr>
          <w:rFonts w:hint="eastAsia" w:ascii="宋体" w:hAnsi="宋体"/>
          <w:color w:val="auto"/>
          <w:szCs w:val="21"/>
          <w:highlight w:val="none"/>
        </w:rPr>
      </w:pPr>
    </w:p>
    <w:p w14:paraId="25C729EF">
      <w:pPr>
        <w:spacing w:line="360" w:lineRule="auto"/>
        <w:jc w:val="left"/>
        <w:rPr>
          <w:rFonts w:hint="eastAsia" w:ascii="宋体" w:hAnsi="宋体"/>
          <w:color w:val="auto"/>
          <w:sz w:val="24"/>
          <w:highlight w:val="none"/>
        </w:rPr>
      </w:pPr>
      <w:r>
        <w:rPr>
          <w:rFonts w:hint="eastAsia" w:ascii="宋体" w:hAnsi="宋体"/>
          <w:color w:val="auto"/>
          <w:szCs w:val="21"/>
          <w:highlight w:val="none"/>
        </w:rPr>
        <w:t>附：授权代理人身份证扫描件。</w:t>
      </w:r>
    </w:p>
    <w:p w14:paraId="64A08AF1">
      <w:pPr>
        <w:spacing w:line="360" w:lineRule="auto"/>
        <w:ind w:left="1260"/>
        <w:rPr>
          <w:rFonts w:hint="eastAsia" w:ascii="宋体" w:hAnsi="宋体"/>
          <w:color w:val="auto"/>
          <w:sz w:val="24"/>
          <w:highlight w:val="none"/>
        </w:rPr>
      </w:pPr>
    </w:p>
    <w:p w14:paraId="7DFF2693">
      <w:pPr>
        <w:spacing w:line="360" w:lineRule="auto"/>
        <w:ind w:left="1260"/>
        <w:rPr>
          <w:rFonts w:hint="eastAsia" w:ascii="宋体" w:hAnsi="宋体"/>
          <w:color w:val="auto"/>
          <w:sz w:val="24"/>
          <w:highlight w:val="none"/>
        </w:rPr>
      </w:pPr>
    </w:p>
    <w:p w14:paraId="4077CC3D">
      <w:pPr>
        <w:spacing w:line="360" w:lineRule="auto"/>
        <w:ind w:left="1260"/>
        <w:rPr>
          <w:rFonts w:hint="eastAsia" w:ascii="宋体" w:hAnsi="宋体"/>
          <w:color w:val="auto"/>
          <w:sz w:val="24"/>
          <w:highlight w:val="none"/>
        </w:rPr>
      </w:pPr>
    </w:p>
    <w:p w14:paraId="4EE31D4C">
      <w:pPr>
        <w:spacing w:line="360" w:lineRule="auto"/>
        <w:ind w:left="1260"/>
        <w:rPr>
          <w:rFonts w:hint="eastAsia" w:ascii="宋体" w:hAnsi="宋体"/>
          <w:color w:val="auto"/>
          <w:sz w:val="24"/>
          <w:highlight w:val="none"/>
        </w:rPr>
      </w:pPr>
    </w:p>
    <w:p w14:paraId="79E7BDFA">
      <w:pPr>
        <w:pStyle w:val="6"/>
        <w:spacing w:line="360" w:lineRule="auto"/>
        <w:jc w:val="center"/>
        <w:rPr>
          <w:rFonts w:hint="default" w:ascii="宋体" w:hAnsi="宋体" w:eastAsia="宋体"/>
          <w:color w:val="auto"/>
          <w:highlight w:val="none"/>
          <w:lang w:val="en-US" w:eastAsia="zh-CN"/>
        </w:rPr>
      </w:pPr>
      <w:r>
        <w:rPr>
          <w:rFonts w:hint="eastAsia" w:ascii="宋体" w:hAnsi="宋体" w:eastAsia="宋体"/>
          <w:color w:val="auto"/>
          <w:highlight w:val="none"/>
        </w:rPr>
        <w:br w:type="page"/>
      </w:r>
      <w:r>
        <w:rPr>
          <w:rFonts w:hint="eastAsia" w:ascii="宋体" w:hAnsi="宋体" w:eastAsia="宋体"/>
          <w:color w:val="auto"/>
          <w:highlight w:val="none"/>
        </w:rPr>
        <w:t>三、</w:t>
      </w:r>
      <w:r>
        <w:rPr>
          <w:rFonts w:hint="eastAsia" w:ascii="宋体" w:hAnsi="宋体" w:eastAsia="宋体"/>
          <w:color w:val="auto"/>
          <w:highlight w:val="none"/>
          <w:lang w:val="en-US" w:eastAsia="zh-CN"/>
        </w:rPr>
        <w:t>供应商承诺书</w:t>
      </w:r>
    </w:p>
    <w:p w14:paraId="17421A44">
      <w:pPr>
        <w:spacing w:line="360" w:lineRule="auto"/>
        <w:jc w:val="center"/>
        <w:rPr>
          <w:rFonts w:hint="eastAsia" w:ascii="宋体" w:hAnsi="宋体"/>
          <w:b/>
          <w:color w:val="auto"/>
          <w:sz w:val="24"/>
          <w:highlight w:val="none"/>
        </w:rPr>
      </w:pPr>
      <w:bookmarkStart w:id="1047" w:name="_Toc301950947"/>
      <w:bookmarkStart w:id="1048" w:name="_Toc261957653"/>
      <w:bookmarkStart w:id="1049" w:name="_Toc272420744"/>
      <w:bookmarkStart w:id="1050" w:name="_Toc232393556"/>
      <w:bookmarkStart w:id="1051" w:name="_Toc261779796"/>
      <w:bookmarkStart w:id="1052" w:name="_Toc272409754"/>
      <w:bookmarkStart w:id="1053" w:name="_Toc301941677"/>
      <w:r>
        <w:rPr>
          <w:rFonts w:hint="eastAsia" w:ascii="宋体" w:hAnsi="宋体"/>
          <w:b/>
          <w:color w:val="auto"/>
          <w:sz w:val="24"/>
          <w:highlight w:val="none"/>
        </w:rPr>
        <w:t>供应商承诺书（一）</w:t>
      </w:r>
    </w:p>
    <w:p w14:paraId="4DE6EB6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我单位（个人）</w:t>
      </w:r>
      <w:r>
        <w:rPr>
          <w:rFonts w:hint="eastAsia" w:ascii="宋体" w:hAnsi="宋体" w:eastAsia="宋体" w:cs="宋体"/>
          <w:color w:val="auto"/>
          <w:szCs w:val="21"/>
          <w:highlight w:val="none"/>
        </w:rPr>
        <w:t>参与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项目的</w:t>
      </w:r>
      <w:r>
        <w:rPr>
          <w:rFonts w:hint="eastAsia" w:ascii="宋体" w:hAnsi="宋体" w:eastAsia="宋体" w:cs="宋体"/>
          <w:color w:val="auto"/>
          <w:szCs w:val="21"/>
          <w:highlight w:val="none"/>
          <w:lang w:val="en-US" w:eastAsia="zh-CN"/>
        </w:rPr>
        <w:t>竞争性磋商活动</w:t>
      </w:r>
      <w:r>
        <w:rPr>
          <w:rFonts w:hint="eastAsia" w:ascii="宋体" w:hAnsi="宋体" w:eastAsia="宋体" w:cs="宋体"/>
          <w:color w:val="auto"/>
          <w:szCs w:val="21"/>
          <w:highlight w:val="none"/>
        </w:rPr>
        <w:t>，现作如下承诺：</w:t>
      </w:r>
    </w:p>
    <w:p w14:paraId="3E750AC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1、我公司参与此次竞争性磋商活动所提交的所有资料都是合法、真实、有效的。</w:t>
      </w:r>
    </w:p>
    <w:p w14:paraId="01A3B78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2、不与其他供应商串通投标、围标，依法、依规公平竞争，不损害</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或其他供应商的合法权益。</w:t>
      </w:r>
    </w:p>
    <w:p w14:paraId="62F5BD5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3、不转让、出租、出借资质证书、人员岗位证书，不以法律、法规禁止的方式投标。</w:t>
      </w:r>
    </w:p>
    <w:p w14:paraId="16B90DF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4、不与</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代理机构串通投标，不损害国家利益、社会公共利益或其他当事人的合法权益。</w:t>
      </w:r>
    </w:p>
    <w:p w14:paraId="641C08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5、不向</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、磋商小组成员、监督人员行贿。</w:t>
      </w:r>
    </w:p>
    <w:p w14:paraId="15A3C84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6、不扰乱公共资源交易正常秩序。</w:t>
      </w:r>
    </w:p>
    <w:p w14:paraId="432711E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7、不进行虚假恶意投诉。</w:t>
      </w:r>
    </w:p>
    <w:p w14:paraId="71B9C2C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8、因违反法律、法规或相关规定被查处的，不干预案件查处。</w:t>
      </w:r>
    </w:p>
    <w:p w14:paraId="6534B51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如违反以上承诺，涉嫌违纪违法、犯罪的，由纪检监察机关、行政监管部门、公安机关依法调查处理。违法、违规或不良行为事实成立的，承担相关责任。给</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造成损失的，依法承担赔偿责任。</w:t>
      </w:r>
    </w:p>
    <w:p w14:paraId="026F00C0">
      <w:pPr>
        <w:spacing w:line="360" w:lineRule="auto"/>
        <w:rPr>
          <w:rFonts w:hint="eastAsia" w:ascii="宋体" w:hAnsi="宋体"/>
          <w:bCs/>
          <w:color w:val="auto"/>
          <w:szCs w:val="21"/>
          <w:highlight w:val="none"/>
        </w:rPr>
      </w:pPr>
    </w:p>
    <w:p w14:paraId="705F5CD4">
      <w:pPr>
        <w:spacing w:line="360" w:lineRule="auto"/>
        <w:rPr>
          <w:color w:val="auto"/>
          <w:highlight w:val="none"/>
        </w:rPr>
      </w:pPr>
      <w:r>
        <w:rPr>
          <w:rFonts w:hint="eastAsia" w:ascii="宋体" w:hAnsi="宋体"/>
          <w:color w:val="auto"/>
          <w:szCs w:val="21"/>
          <w:highlight w:val="none"/>
        </w:rPr>
        <w:t>供应商：</w:t>
      </w:r>
      <w:r>
        <w:rPr>
          <w:rFonts w:hint="eastAsia" w:ascii="宋体" w:hAnsi="宋体"/>
          <w:color w:val="auto"/>
          <w:highlight w:val="none"/>
          <w:u w:val="single"/>
        </w:rPr>
        <w:t xml:space="preserve">  （电子签章</w:t>
      </w:r>
      <w:r>
        <w:rPr>
          <w:rFonts w:hint="eastAsia" w:ascii="宋体" w:hAnsi="宋体" w:cs="宋体"/>
          <w:color w:val="auto"/>
          <w:highlight w:val="none"/>
          <w:u w:val="single"/>
        </w:rPr>
        <w:t>，若为自然人无需签章</w:t>
      </w:r>
      <w:r>
        <w:rPr>
          <w:rFonts w:hint="eastAsia" w:ascii="宋体" w:hAnsi="宋体"/>
          <w:color w:val="auto"/>
          <w:highlight w:val="none"/>
          <w:u w:val="single"/>
        </w:rPr>
        <w:t xml:space="preserve">）    </w:t>
      </w:r>
    </w:p>
    <w:p w14:paraId="51B6C323">
      <w:pPr>
        <w:spacing w:line="360" w:lineRule="auto"/>
        <w:rPr>
          <w:rFonts w:ascii="宋体" w:hAnsi="宋体"/>
          <w:color w:val="auto"/>
          <w:szCs w:val="21"/>
          <w:highlight w:val="none"/>
        </w:rPr>
      </w:pPr>
    </w:p>
    <w:p w14:paraId="6A8C0EE3">
      <w:pPr>
        <w:spacing w:line="360" w:lineRule="auto"/>
        <w:rPr>
          <w:rFonts w:hint="eastAsia"/>
          <w:color w:val="auto"/>
          <w:szCs w:val="21"/>
          <w:highlight w:val="none"/>
        </w:rPr>
      </w:pPr>
      <w:r>
        <w:rPr>
          <w:rFonts w:hint="eastAsia" w:ascii="宋体" w:hAnsi="宋体"/>
          <w:color w:val="auto"/>
          <w:szCs w:val="21"/>
          <w:highlight w:val="none"/>
        </w:rPr>
        <w:t>供应商法定代表人或自然人本人：</w:t>
      </w:r>
      <w:r>
        <w:rPr>
          <w:rFonts w:hint="eastAsia" w:ascii="宋体" w:hAnsi="宋体"/>
          <w:color w:val="auto"/>
          <w:highlight w:val="none"/>
          <w:u w:val="single"/>
        </w:rPr>
        <w:t xml:space="preserve">（电子签章）  </w:t>
      </w:r>
      <w:r>
        <w:rPr>
          <w:rFonts w:hint="eastAsia"/>
          <w:color w:val="auto"/>
          <w:szCs w:val="21"/>
          <w:highlight w:val="none"/>
        </w:rPr>
        <w:t xml:space="preserve">              </w:t>
      </w:r>
    </w:p>
    <w:p w14:paraId="49B547C6">
      <w:pPr>
        <w:widowControl/>
        <w:shd w:val="clear" w:color="auto" w:fill="FFFFFF"/>
        <w:spacing w:before="100" w:beforeAutospacing="0" w:after="100" w:afterAutospacing="0" w:line="360" w:lineRule="auto"/>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s="Times New Roman"/>
          <w:color w:val="auto"/>
          <w:kern w:val="2"/>
          <w:sz w:val="21"/>
          <w:szCs w:val="21"/>
          <w:highlight w:val="none"/>
          <w:lang w:val="en-US" w:eastAsia="zh-CN" w:bidi="ar-SA"/>
        </w:rPr>
        <w:t>日期</w:t>
      </w:r>
      <w:r>
        <w:rPr>
          <w:rFonts w:hint="eastAsia" w:ascii="宋体" w:hAnsi="宋体" w:eastAsia="宋体" w:cs="Times New Roman"/>
          <w:color w:val="auto"/>
          <w:kern w:val="2"/>
          <w:sz w:val="21"/>
          <w:szCs w:val="21"/>
          <w:highlight w:val="none"/>
          <w:lang w:val="en-US" w:eastAsia="zh-CN" w:bidi="ar-SA"/>
        </w:rPr>
        <w:t>：    年   月   日</w:t>
      </w:r>
    </w:p>
    <w:p w14:paraId="2F689334">
      <w:pPr>
        <w:widowControl/>
        <w:shd w:val="clear" w:color="auto" w:fill="FFFFFF"/>
        <w:spacing w:before="100" w:beforeAutospacing="0" w:after="100" w:afterAutospacing="0" w:line="360" w:lineRule="auto"/>
        <w:jc w:val="left"/>
        <w:rPr>
          <w:rFonts w:ascii="宋体" w:hAnsi="宋体" w:eastAsia="宋体" w:cs="Times New Roman"/>
          <w:color w:val="auto"/>
          <w:kern w:val="2"/>
          <w:sz w:val="21"/>
          <w:szCs w:val="21"/>
          <w:highlight w:val="none"/>
          <w:lang w:val="en-US" w:eastAsia="zh-CN" w:bidi="ar-SA"/>
        </w:rPr>
      </w:pPr>
    </w:p>
    <w:p w14:paraId="613C7225">
      <w:pPr>
        <w:spacing w:line="360" w:lineRule="auto"/>
        <w:jc w:val="center"/>
        <w:rPr>
          <w:rFonts w:hint="eastAsia" w:ascii="宋体" w:hAnsi="宋体"/>
          <w:bCs/>
          <w:color w:val="auto"/>
          <w:szCs w:val="21"/>
          <w:highlight w:val="none"/>
        </w:rPr>
      </w:pPr>
      <w:r>
        <w:rPr>
          <w:rFonts w:hint="eastAsia"/>
          <w:color w:val="auto"/>
          <w:szCs w:val="21"/>
          <w:highlight w:val="none"/>
        </w:rPr>
        <w:br w:type="page"/>
      </w:r>
      <w:r>
        <w:rPr>
          <w:rFonts w:hint="eastAsia" w:ascii="宋体" w:hAnsi="宋体" w:cs="宋体"/>
          <w:b/>
          <w:bCs/>
          <w:color w:val="auto"/>
          <w:sz w:val="24"/>
          <w:highlight w:val="none"/>
        </w:rPr>
        <w:t>供应商承诺书（二）</w:t>
      </w:r>
    </w:p>
    <w:p w14:paraId="042D1508">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我单位</w:t>
      </w:r>
      <w:r>
        <w:rPr>
          <w:rFonts w:hint="eastAsia" w:ascii="宋体" w:hAnsi="宋体" w:cs="Times New Roman"/>
          <w:color w:val="auto"/>
          <w:kern w:val="2"/>
          <w:sz w:val="21"/>
          <w:szCs w:val="21"/>
          <w:highlight w:val="none"/>
          <w:lang w:val="en-US" w:eastAsia="zh-CN" w:bidi="ar-SA"/>
        </w:rPr>
        <w:t>（个人）</w:t>
      </w:r>
      <w:r>
        <w:rPr>
          <w:rFonts w:hint="eastAsia" w:ascii="宋体" w:hAnsi="宋体" w:eastAsia="宋体" w:cs="Times New Roman"/>
          <w:color w:val="auto"/>
          <w:kern w:val="2"/>
          <w:sz w:val="21"/>
          <w:szCs w:val="21"/>
          <w:highlight w:val="none"/>
          <w:lang w:val="en-US" w:eastAsia="zh-CN" w:bidi="ar-SA"/>
        </w:rPr>
        <w:t>作为</w:t>
      </w:r>
      <w:r>
        <w:rPr>
          <w:rFonts w:hint="eastAsia" w:ascii="宋体" w:hAnsi="宋体" w:eastAsia="宋体" w:cs="Times New Roman"/>
          <w:color w:val="auto"/>
          <w:kern w:val="2"/>
          <w:sz w:val="21"/>
          <w:szCs w:val="21"/>
          <w:highlight w:val="none"/>
          <w:u w:val="single"/>
          <w:lang w:val="en-US" w:eastAsia="zh-CN" w:bidi="ar-SA"/>
        </w:rPr>
        <w:t xml:space="preserve">   （项目名称）  </w:t>
      </w:r>
      <w:r>
        <w:rPr>
          <w:rFonts w:hint="eastAsia" w:ascii="宋体" w:hAnsi="宋体" w:eastAsia="宋体" w:cs="Times New Roman"/>
          <w:color w:val="auto"/>
          <w:kern w:val="2"/>
          <w:sz w:val="21"/>
          <w:szCs w:val="21"/>
          <w:highlight w:val="none"/>
          <w:lang w:val="en-US" w:eastAsia="zh-CN" w:bidi="ar-SA"/>
        </w:rPr>
        <w:t>项目的供应商,现作出如下承诺:</w:t>
      </w:r>
    </w:p>
    <w:p w14:paraId="75AF5694">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1.</w:t>
      </w:r>
      <w:r>
        <w:rPr>
          <w:rFonts w:hint="eastAsia" w:ascii="宋体" w:hAnsi="宋体" w:eastAsia="宋体" w:cs="Times New Roman"/>
          <w:color w:val="auto"/>
          <w:kern w:val="0"/>
          <w:sz w:val="24"/>
          <w:szCs w:val="20"/>
          <w:highlight w:val="none"/>
          <w:lang w:val="en-US" w:eastAsia="zh-CN" w:bidi="ar-SA"/>
        </w:rPr>
        <w:t xml:space="preserve"> </w:t>
      </w:r>
      <w:r>
        <w:rPr>
          <w:rFonts w:hint="eastAsia" w:ascii="宋体" w:hAnsi="宋体" w:eastAsia="宋体" w:cs="Times New Roman"/>
          <w:color w:val="auto"/>
          <w:kern w:val="2"/>
          <w:sz w:val="21"/>
          <w:szCs w:val="21"/>
          <w:highlight w:val="none"/>
          <w:lang w:val="en-US" w:eastAsia="zh-CN" w:bidi="ar-SA"/>
        </w:rPr>
        <w:t>坚决贯彻落实习近平总书记关于扫黑除恶专项斗争的重要指示精神，按照党中央</w:t>
      </w:r>
      <w:r>
        <w:rPr>
          <w:rFonts w:hint="eastAsia" w:ascii="宋体" w:hAnsi="宋体" w:cs="Times New Roman"/>
          <w:color w:val="auto"/>
          <w:kern w:val="2"/>
          <w:sz w:val="21"/>
          <w:szCs w:val="21"/>
          <w:highlight w:val="none"/>
          <w:lang w:val="en-US" w:eastAsia="zh-CN" w:bidi="ar-SA"/>
        </w:rPr>
        <w:t>、</w:t>
      </w:r>
      <w:r>
        <w:rPr>
          <w:rFonts w:hint="eastAsia" w:ascii="宋体" w:hAnsi="宋体" w:eastAsia="宋体" w:cs="Times New Roman"/>
          <w:color w:val="auto"/>
          <w:kern w:val="2"/>
          <w:sz w:val="21"/>
          <w:szCs w:val="21"/>
          <w:highlight w:val="none"/>
          <w:lang w:val="en-US" w:eastAsia="zh-CN" w:bidi="ar-SA"/>
        </w:rPr>
        <w:t>国务院、省委</w:t>
      </w:r>
      <w:r>
        <w:rPr>
          <w:rFonts w:hint="eastAsia" w:ascii="宋体" w:hAnsi="宋体" w:cs="Times New Roman"/>
          <w:color w:val="auto"/>
          <w:kern w:val="2"/>
          <w:sz w:val="21"/>
          <w:szCs w:val="21"/>
          <w:highlight w:val="none"/>
          <w:lang w:val="en-US" w:eastAsia="zh-CN" w:bidi="ar-SA"/>
        </w:rPr>
        <w:t>、</w:t>
      </w:r>
      <w:r>
        <w:rPr>
          <w:rFonts w:hint="eastAsia" w:ascii="宋体" w:hAnsi="宋体" w:eastAsia="宋体" w:cs="Times New Roman"/>
          <w:color w:val="auto"/>
          <w:kern w:val="2"/>
          <w:sz w:val="21"/>
          <w:szCs w:val="21"/>
          <w:highlight w:val="none"/>
          <w:lang w:val="en-US" w:eastAsia="zh-CN" w:bidi="ar-SA"/>
        </w:rPr>
        <w:t>省政府的决策部署，扎实开展好全省扫黑除恶专项斗争，营造良好的市场秩序；</w:t>
      </w:r>
    </w:p>
    <w:p w14:paraId="4FF9EB95">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2.严格遵守与项目相关的有关法律法规，公开、公平、公正和诚实信用参加本项目投标；</w:t>
      </w:r>
    </w:p>
    <w:p w14:paraId="64AEBE67">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3.不与其他供应商相互串通投标或者与采购人、代理机构串通投标；</w:t>
      </w:r>
    </w:p>
    <w:p w14:paraId="3B75A182">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4.不向采购人、代理机构或者评审委员会成员行贿谋取中标（成交）；</w:t>
      </w:r>
    </w:p>
    <w:p w14:paraId="57AD7417">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5.不以他人名义投标，挂靠、借用资质投标或者以其他方式弄虚作假，骗取中标（成交）；</w:t>
      </w:r>
    </w:p>
    <w:p w14:paraId="69366E62">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6.不以暴力手段胁迫其他潜在供应商放弃投标，或胁迫中标人放弃中标（成交），强揽工程（项目）；</w:t>
      </w:r>
    </w:p>
    <w:p w14:paraId="02CFB71E">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7.不恶意举报投诉中标人（成交人）或其他潜在供应商，干扰采购活动正常秩序；</w:t>
      </w:r>
    </w:p>
    <w:p w14:paraId="0E8E8205">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8.不将中标（成交）项目转让给他人，不将中标（成交）项目肢解分别转让给他人，不将中标（成交）项目违法分包给他人；</w:t>
      </w:r>
    </w:p>
    <w:p w14:paraId="4FF0122D">
      <w:pPr>
        <w:widowControl/>
        <w:shd w:val="clear" w:color="auto" w:fill="FFFFFF"/>
        <w:spacing w:before="100" w:beforeAutospacing="0" w:after="100" w:afterAutospacing="0" w:line="450" w:lineRule="atLeast"/>
        <w:ind w:firstLine="420" w:firstLineChars="200"/>
        <w:jc w:val="left"/>
        <w:rPr>
          <w:rFonts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9.在投标过程中，秉承诚实、信用、公平、公正的原则开展工作，出具的各类书面文件、证件及资料均真实、有效，不弄虚作假。</w:t>
      </w:r>
    </w:p>
    <w:p w14:paraId="034B0855">
      <w:pPr>
        <w:widowControl/>
        <w:shd w:val="clear" w:color="auto" w:fill="FFFFFF"/>
        <w:spacing w:before="100" w:beforeAutospacing="0" w:after="100" w:afterAutospacing="0" w:line="450" w:lineRule="atLeast"/>
        <w:ind w:firstLine="420" w:firstLineChars="200"/>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若违反上述行为，本供应商自愿承担相关责任，接受招标投标监督管理部门、纪检监察部门或司法机关调查处理。</w:t>
      </w:r>
    </w:p>
    <w:p w14:paraId="347561A2">
      <w:pPr>
        <w:spacing w:line="480" w:lineRule="auto"/>
        <w:rPr>
          <w:rFonts w:hint="eastAsia" w:ascii="宋体" w:hAnsi="宋体"/>
          <w:bCs/>
          <w:color w:val="auto"/>
          <w:szCs w:val="21"/>
          <w:highlight w:val="none"/>
        </w:rPr>
      </w:pPr>
    </w:p>
    <w:p w14:paraId="14BAD931">
      <w:pPr>
        <w:spacing w:line="360" w:lineRule="auto"/>
        <w:rPr>
          <w:color w:val="auto"/>
          <w:highlight w:val="none"/>
        </w:rPr>
      </w:pPr>
      <w:r>
        <w:rPr>
          <w:rFonts w:hint="eastAsia" w:ascii="宋体" w:hAnsi="宋体"/>
          <w:color w:val="auto"/>
          <w:szCs w:val="21"/>
          <w:highlight w:val="none"/>
        </w:rPr>
        <w:t>供应商：</w:t>
      </w:r>
      <w:r>
        <w:rPr>
          <w:rFonts w:hint="eastAsia" w:ascii="宋体" w:hAnsi="宋体"/>
          <w:color w:val="auto"/>
          <w:highlight w:val="none"/>
          <w:u w:val="single"/>
        </w:rPr>
        <w:t xml:space="preserve">  （电子签章</w:t>
      </w:r>
      <w:r>
        <w:rPr>
          <w:rFonts w:hint="eastAsia" w:ascii="宋体" w:hAnsi="宋体" w:cs="宋体"/>
          <w:color w:val="auto"/>
          <w:highlight w:val="none"/>
          <w:u w:val="single"/>
        </w:rPr>
        <w:t>，若为自然人无需签章</w:t>
      </w:r>
      <w:r>
        <w:rPr>
          <w:rFonts w:hint="eastAsia" w:ascii="宋体" w:hAnsi="宋体"/>
          <w:color w:val="auto"/>
          <w:highlight w:val="none"/>
          <w:u w:val="single"/>
        </w:rPr>
        <w:t xml:space="preserve">）    </w:t>
      </w:r>
    </w:p>
    <w:p w14:paraId="224EA419">
      <w:pPr>
        <w:spacing w:line="360" w:lineRule="auto"/>
        <w:rPr>
          <w:rFonts w:ascii="宋体" w:hAnsi="宋体"/>
          <w:color w:val="auto"/>
          <w:szCs w:val="21"/>
          <w:highlight w:val="none"/>
        </w:rPr>
      </w:pPr>
    </w:p>
    <w:p w14:paraId="05AAC328">
      <w:pPr>
        <w:spacing w:line="480" w:lineRule="auto"/>
        <w:rPr>
          <w:rFonts w:hint="eastAsia"/>
          <w:color w:val="auto"/>
          <w:szCs w:val="21"/>
          <w:highlight w:val="none"/>
        </w:rPr>
      </w:pPr>
      <w:r>
        <w:rPr>
          <w:rFonts w:hint="eastAsia" w:ascii="宋体" w:hAnsi="宋体"/>
          <w:color w:val="auto"/>
          <w:szCs w:val="21"/>
          <w:highlight w:val="none"/>
        </w:rPr>
        <w:t>供应商法定代表人或自然人本人：</w:t>
      </w:r>
      <w:r>
        <w:rPr>
          <w:rFonts w:hint="eastAsia" w:ascii="宋体" w:hAnsi="宋体"/>
          <w:color w:val="auto"/>
          <w:highlight w:val="none"/>
          <w:u w:val="single"/>
        </w:rPr>
        <w:t xml:space="preserve">（电子签章）  </w:t>
      </w:r>
      <w:r>
        <w:rPr>
          <w:rFonts w:hint="eastAsia"/>
          <w:color w:val="auto"/>
          <w:szCs w:val="21"/>
          <w:highlight w:val="none"/>
        </w:rPr>
        <w:t xml:space="preserve">            </w:t>
      </w:r>
    </w:p>
    <w:p w14:paraId="38AF21C7">
      <w:pPr>
        <w:tabs>
          <w:tab w:val="left" w:pos="1560"/>
        </w:tabs>
        <w:spacing w:line="360" w:lineRule="auto"/>
        <w:jc w:val="left"/>
        <w:rPr>
          <w:rFonts w:hint="eastAsia"/>
          <w:color w:val="auto"/>
          <w:szCs w:val="21"/>
          <w:highlight w:val="none"/>
        </w:rPr>
      </w:pPr>
      <w:r>
        <w:rPr>
          <w:rFonts w:hint="eastAsia"/>
          <w:color w:val="auto"/>
          <w:szCs w:val="21"/>
          <w:highlight w:val="none"/>
          <w:lang w:val="en-US" w:eastAsia="zh-CN"/>
        </w:rPr>
        <w:t>日期</w:t>
      </w:r>
      <w:r>
        <w:rPr>
          <w:rFonts w:hint="eastAsia"/>
          <w:color w:val="auto"/>
          <w:szCs w:val="21"/>
          <w:highlight w:val="none"/>
        </w:rPr>
        <w:t>：    年   月   日</w:t>
      </w:r>
    </w:p>
    <w:p w14:paraId="60E72B55">
      <w:pPr>
        <w:tabs>
          <w:tab w:val="left" w:pos="1560"/>
        </w:tabs>
        <w:spacing w:line="360" w:lineRule="auto"/>
        <w:jc w:val="left"/>
        <w:rPr>
          <w:rFonts w:hint="eastAsia" w:ascii="宋体" w:hAnsi="宋体"/>
          <w:color w:val="auto"/>
          <w:szCs w:val="21"/>
          <w:highlight w:val="none"/>
        </w:rPr>
      </w:pPr>
    </w:p>
    <w:p w14:paraId="429D2F1E">
      <w:pPr>
        <w:rPr>
          <w:rFonts w:hint="eastAsia" w:ascii="宋体" w:hAnsi="宋体" w:cs="宋体"/>
          <w:b/>
          <w:bCs/>
          <w:color w:val="auto"/>
          <w:sz w:val="24"/>
          <w:highlight w:val="none"/>
        </w:rPr>
      </w:pPr>
      <w:r>
        <w:rPr>
          <w:rFonts w:hint="eastAsia" w:ascii="宋体" w:hAnsi="宋体" w:cs="宋体"/>
          <w:b/>
          <w:bCs/>
          <w:color w:val="auto"/>
          <w:sz w:val="24"/>
          <w:highlight w:val="none"/>
        </w:rPr>
        <w:br w:type="page"/>
      </w:r>
    </w:p>
    <w:p w14:paraId="7607414F">
      <w:pPr>
        <w:shd w:val="clear"/>
        <w:spacing w:line="360" w:lineRule="auto"/>
        <w:jc w:val="center"/>
        <w:rPr>
          <w:rFonts w:ascii="宋体" w:hAnsi="宋体"/>
          <w:color w:val="auto"/>
          <w:sz w:val="24"/>
          <w:highlight w:val="none"/>
        </w:rPr>
      </w:pP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承诺书（三）</w:t>
      </w:r>
    </w:p>
    <w:p w14:paraId="51C896C3">
      <w:pPr>
        <w:shd w:val="clear"/>
        <w:spacing w:line="48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若我单位</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个人</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有幸</w:t>
      </w:r>
      <w:r>
        <w:rPr>
          <w:rFonts w:hint="eastAsia" w:ascii="宋体" w:hAnsi="宋体" w:cs="宋体"/>
          <w:bCs/>
          <w:color w:val="auto"/>
          <w:szCs w:val="21"/>
          <w:highlight w:val="none"/>
          <w:lang w:val="en-US" w:eastAsia="zh-CN"/>
        </w:rPr>
        <w:t>成交</w:t>
      </w:r>
      <w:r>
        <w:rPr>
          <w:rFonts w:hint="eastAsia" w:ascii="宋体" w:hAnsi="宋体" w:cs="宋体"/>
          <w:bCs/>
          <w:color w:val="auto"/>
          <w:szCs w:val="21"/>
          <w:highlight w:val="none"/>
        </w:rPr>
        <w:t>，做出以下承诺：</w:t>
      </w:r>
    </w:p>
    <w:p w14:paraId="2E8889E7">
      <w:pPr>
        <w:widowControl/>
        <w:shd w:val="clear" w:color="auto"/>
        <w:spacing w:line="360" w:lineRule="auto"/>
        <w:ind w:firstLine="420" w:firstLineChars="200"/>
        <w:jc w:val="left"/>
        <w:rPr>
          <w:rFonts w:hint="eastAsia" w:ascii="宋体" w:hAnsi="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rPr>
        <w:t xml:space="preserve">1、我方在本项目使用任何产品和服务(包括部分使用)时，不会产生因第三方提出侵犯其专利权、商标权或其它知识产权而引起的法律和经济纠纷，如因专利权、商标权或其它知识产权而引起法律和经济纠纷，由我方担所有相关责任。 </w:t>
      </w:r>
    </w:p>
    <w:p w14:paraId="643EF041">
      <w:pPr>
        <w:widowControl/>
        <w:shd w:val="clear" w:color="auto"/>
        <w:spacing w:line="360" w:lineRule="auto"/>
        <w:ind w:firstLine="420" w:firstLineChars="200"/>
        <w:jc w:val="left"/>
        <w:rPr>
          <w:rFonts w:hint="eastAsia" w:ascii="宋体" w:hAnsi="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rPr>
        <w:t xml:space="preserve">2、采购人享有本项目实施过程中产生的知识成果及知识产权，并依据实际情况对采购标的涉及的知识产权进行处理。 </w:t>
      </w:r>
    </w:p>
    <w:p w14:paraId="04C4F3F8">
      <w:pPr>
        <w:widowControl/>
        <w:shd w:val="clear" w:color="auto"/>
        <w:spacing w:line="360" w:lineRule="auto"/>
        <w:ind w:firstLine="420" w:firstLineChars="200"/>
        <w:jc w:val="left"/>
        <w:rPr>
          <w:rFonts w:hint="eastAsia" w:ascii="宋体" w:hAnsi="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rPr>
        <w:t xml:space="preserve">3、我方如欲在项目实施过程中采用自有知识成果，使用该知识成果后，我方提供相关技术文档，并承诺提供无限期技术支持，采购人享有永久使用权。 </w:t>
      </w:r>
    </w:p>
    <w:p w14:paraId="3337C08C">
      <w:pPr>
        <w:widowControl/>
        <w:shd w:val="clear" w:color="auto"/>
        <w:spacing w:line="360" w:lineRule="auto"/>
        <w:ind w:firstLine="420" w:firstLineChars="200"/>
        <w:jc w:val="left"/>
        <w:rPr>
          <w:rFonts w:hint="eastAsia" w:ascii="宋体" w:hAnsi="宋体" w:eastAsia="宋体" w:cs="宋体"/>
          <w:bCs/>
          <w:color w:val="auto"/>
          <w:szCs w:val="21"/>
          <w:highlight w:val="none"/>
          <w:lang w:eastAsia="zh-CN"/>
        </w:rPr>
      </w:pPr>
      <w:r>
        <w:rPr>
          <w:rFonts w:hint="eastAsia" w:ascii="宋体" w:hAnsi="宋体" w:cs="宋体"/>
          <w:bCs/>
          <w:color w:val="auto"/>
          <w:kern w:val="0"/>
          <w:szCs w:val="21"/>
          <w:highlight w:val="none"/>
          <w:shd w:val="clear" w:color="auto" w:fill="FFFFFF"/>
        </w:rPr>
        <w:t>4、严格遵守法律法规，不存在侵犯他人知识产权、版权等行为</w:t>
      </w:r>
      <w:r>
        <w:rPr>
          <w:rFonts w:hint="eastAsia" w:ascii="宋体" w:hAnsi="宋体" w:cs="宋体"/>
          <w:bCs/>
          <w:color w:val="auto"/>
          <w:kern w:val="0"/>
          <w:szCs w:val="21"/>
          <w:highlight w:val="none"/>
          <w:shd w:val="clear" w:color="auto" w:fill="FFFFFF"/>
          <w:lang w:eastAsia="zh-CN"/>
        </w:rPr>
        <w:t>。</w:t>
      </w:r>
    </w:p>
    <w:p w14:paraId="5AF7263C">
      <w:pPr>
        <w:shd w:val="clear"/>
        <w:spacing w:line="360" w:lineRule="auto"/>
        <w:ind w:firstLine="420" w:firstLineChars="200"/>
        <w:rPr>
          <w:color w:val="auto"/>
          <w:highlight w:val="none"/>
        </w:rPr>
      </w:pPr>
      <w:r>
        <w:rPr>
          <w:rFonts w:hint="eastAsia" w:ascii="宋体" w:hAnsi="宋体" w:cs="宋体"/>
          <w:color w:val="auto"/>
          <w:szCs w:val="21"/>
          <w:highlight w:val="none"/>
        </w:rPr>
        <w:t>5、我单位承诺能完全响应招标文件所有要求。</w:t>
      </w:r>
    </w:p>
    <w:p w14:paraId="6B172A04">
      <w:pPr>
        <w:shd w:val="clea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若不能按照上述承诺完成的，采购人可以单方面与我单位解除合同，由我单位承担因此给采购人造成的</w:t>
      </w:r>
      <w:r>
        <w:rPr>
          <w:rFonts w:hint="eastAsia" w:ascii="宋体" w:hAnsi="宋体" w:cs="宋体"/>
          <w:color w:val="auto"/>
          <w:szCs w:val="21"/>
          <w:highlight w:val="none"/>
        </w:rPr>
        <w:t>全部经济损失和法律责任。</w:t>
      </w:r>
    </w:p>
    <w:p w14:paraId="30E62272">
      <w:pPr>
        <w:shd w:val="clea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lang w:val="en-US" w:eastAsia="zh-CN"/>
        </w:rPr>
        <w:t>供应商</w:t>
      </w:r>
      <w:r>
        <w:rPr>
          <w:rFonts w:hint="eastAsia" w:ascii="宋体" w:hAnsi="宋体"/>
          <w:bCs/>
          <w:color w:val="auto"/>
          <w:szCs w:val="21"/>
          <w:highlight w:val="none"/>
        </w:rPr>
        <w:t>：</w:t>
      </w:r>
      <w:r>
        <w:rPr>
          <w:rFonts w:hint="eastAsia" w:ascii="宋体" w:hAnsi="宋体"/>
          <w:bCs/>
          <w:color w:val="auto"/>
          <w:szCs w:val="21"/>
          <w:highlight w:val="none"/>
          <w:u w:val="single"/>
        </w:rPr>
        <w:t xml:space="preserve">  （电子签章</w:t>
      </w:r>
      <w:r>
        <w:rPr>
          <w:rFonts w:hint="eastAsia" w:ascii="宋体" w:hAnsi="宋体" w:cs="宋体"/>
          <w:color w:val="auto"/>
          <w:highlight w:val="none"/>
          <w:u w:val="single"/>
        </w:rPr>
        <w:t>，若为自然人无需签章</w:t>
      </w:r>
      <w:r>
        <w:rPr>
          <w:rFonts w:hint="eastAsia" w:ascii="宋体" w:hAnsi="宋体"/>
          <w:bCs/>
          <w:color w:val="auto"/>
          <w:szCs w:val="21"/>
          <w:highlight w:val="none"/>
          <w:u w:val="single"/>
        </w:rPr>
        <w:t xml:space="preserve">）         </w:t>
      </w:r>
    </w:p>
    <w:p w14:paraId="488FEF79">
      <w:pPr>
        <w:shd w:val="clear"/>
        <w:spacing w:line="480" w:lineRule="auto"/>
        <w:ind w:firstLine="420" w:firstLineChars="200"/>
        <w:rPr>
          <w:color w:val="auto"/>
          <w:szCs w:val="21"/>
          <w:highlight w:val="none"/>
        </w:rPr>
      </w:pPr>
      <w:r>
        <w:rPr>
          <w:rFonts w:hint="eastAsia" w:ascii="宋体" w:hAnsi="宋体"/>
          <w:bCs/>
          <w:color w:val="auto"/>
          <w:szCs w:val="21"/>
          <w:highlight w:val="none"/>
          <w:lang w:val="en-US" w:eastAsia="zh-CN"/>
        </w:rPr>
        <w:t>供应商</w:t>
      </w:r>
      <w:r>
        <w:rPr>
          <w:rFonts w:hint="eastAsia" w:ascii="宋体" w:hAnsi="宋体"/>
          <w:bCs/>
          <w:color w:val="auto"/>
          <w:szCs w:val="21"/>
          <w:highlight w:val="none"/>
        </w:rPr>
        <w:t>法定代表人</w:t>
      </w:r>
      <w:r>
        <w:rPr>
          <w:rFonts w:hint="eastAsia" w:ascii="宋体" w:hAnsi="宋体"/>
          <w:color w:val="auto"/>
          <w:szCs w:val="21"/>
          <w:highlight w:val="none"/>
        </w:rPr>
        <w:t>或自然人本人</w:t>
      </w:r>
      <w:r>
        <w:rPr>
          <w:rFonts w:hint="eastAsia" w:ascii="宋体" w:hAnsi="宋体"/>
          <w:bCs/>
          <w:color w:val="auto"/>
          <w:szCs w:val="21"/>
          <w:highlight w:val="none"/>
        </w:rPr>
        <w:t>（电子签章）：</w:t>
      </w:r>
      <w:r>
        <w:rPr>
          <w:rFonts w:hint="eastAsia" w:ascii="宋体" w:hAnsi="宋体"/>
          <w:bCs/>
          <w:color w:val="auto"/>
          <w:szCs w:val="21"/>
          <w:highlight w:val="none"/>
          <w:u w:val="single"/>
        </w:rPr>
        <w:t xml:space="preserve">              </w:t>
      </w:r>
      <w:r>
        <w:rPr>
          <w:rFonts w:hint="eastAsia"/>
          <w:color w:val="auto"/>
          <w:szCs w:val="21"/>
          <w:highlight w:val="none"/>
        </w:rPr>
        <w:t xml:space="preserve">              </w:t>
      </w:r>
    </w:p>
    <w:p w14:paraId="6E7D6DA1">
      <w:pPr>
        <w:pStyle w:val="44"/>
        <w:shd w:val="clear" w:color="auto"/>
        <w:spacing w:beforeAutospacing="0" w:afterAutospacing="0" w:line="480" w:lineRule="auto"/>
        <w:ind w:firstLine="420" w:firstLineChars="200"/>
        <w:rPr>
          <w:rFonts w:hint="eastAsia"/>
          <w:color w:val="auto"/>
          <w:kern w:val="2"/>
          <w:sz w:val="21"/>
          <w:szCs w:val="21"/>
          <w:highlight w:val="none"/>
        </w:rPr>
      </w:pPr>
      <w:r>
        <w:rPr>
          <w:rFonts w:hint="eastAsia"/>
          <w:color w:val="auto"/>
          <w:kern w:val="2"/>
          <w:sz w:val="21"/>
          <w:szCs w:val="21"/>
          <w:highlight w:val="none"/>
          <w:lang w:val="en-US" w:eastAsia="zh-CN"/>
        </w:rPr>
        <w:t>日期</w:t>
      </w:r>
      <w:r>
        <w:rPr>
          <w:rFonts w:hint="eastAsia"/>
          <w:color w:val="auto"/>
          <w:kern w:val="2"/>
          <w:sz w:val="21"/>
          <w:szCs w:val="21"/>
          <w:highlight w:val="none"/>
        </w:rPr>
        <w:t>：    年   月   日</w:t>
      </w:r>
    </w:p>
    <w:p w14:paraId="38B86E62">
      <w:pPr>
        <w:pStyle w:val="44"/>
        <w:shd w:val="clear" w:color="auto"/>
        <w:spacing w:beforeAutospacing="0" w:afterAutospacing="0" w:line="480" w:lineRule="auto"/>
        <w:ind w:firstLine="420" w:firstLineChars="200"/>
        <w:rPr>
          <w:rFonts w:hint="eastAsia"/>
          <w:color w:val="auto"/>
          <w:kern w:val="2"/>
          <w:sz w:val="21"/>
          <w:szCs w:val="21"/>
          <w:highlight w:val="none"/>
        </w:rPr>
      </w:pPr>
    </w:p>
    <w:p w14:paraId="564A2BEC">
      <w:pPr>
        <w:pStyle w:val="44"/>
        <w:shd w:val="clear" w:color="auto"/>
        <w:spacing w:beforeAutospacing="0" w:afterAutospacing="0" w:line="480" w:lineRule="auto"/>
        <w:ind w:firstLine="420" w:firstLineChars="200"/>
        <w:rPr>
          <w:rFonts w:hint="eastAsia"/>
          <w:color w:val="auto"/>
          <w:kern w:val="2"/>
          <w:sz w:val="21"/>
          <w:szCs w:val="21"/>
          <w:highlight w:val="none"/>
        </w:rPr>
      </w:pPr>
    </w:p>
    <w:p w14:paraId="2A5AA71E">
      <w:pPr>
        <w:shd w:val="clear"/>
        <w:spacing w:line="360" w:lineRule="auto"/>
        <w:jc w:val="center"/>
        <w:rPr>
          <w:rFonts w:ascii="宋体" w:hAnsi="宋体"/>
          <w:color w:val="auto"/>
          <w:sz w:val="24"/>
          <w:highlight w:val="none"/>
        </w:rPr>
      </w:pPr>
      <w:r>
        <w:rPr>
          <w:rFonts w:hint="eastAsia" w:ascii="宋体" w:hAnsi="宋体" w:eastAsia="宋体" w:cs="宋体"/>
          <w:b/>
          <w:bCs/>
          <w:color w:val="auto"/>
          <w:sz w:val="24"/>
          <w:highlight w:val="none"/>
          <w:lang w:val="en-US" w:eastAsia="zh-CN"/>
        </w:rPr>
        <w:br w:type="page"/>
      </w:r>
      <w:r>
        <w:rPr>
          <w:rFonts w:hint="eastAsia" w:ascii="宋体" w:hAnsi="宋体" w:cs="宋体"/>
          <w:b/>
          <w:bCs/>
          <w:color w:val="auto"/>
          <w:sz w:val="24"/>
          <w:highlight w:val="none"/>
          <w:lang w:val="en-US" w:eastAsia="zh-CN"/>
        </w:rPr>
        <w:t>供应商</w:t>
      </w:r>
      <w:r>
        <w:rPr>
          <w:rFonts w:hint="eastAsia" w:ascii="宋体" w:hAnsi="宋体" w:cs="宋体"/>
          <w:b/>
          <w:bCs/>
          <w:color w:val="auto"/>
          <w:sz w:val="24"/>
          <w:highlight w:val="none"/>
        </w:rPr>
        <w:t>承诺书（</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w:t>
      </w:r>
    </w:p>
    <w:p w14:paraId="0D539102">
      <w:pPr>
        <w:pStyle w:val="44"/>
        <w:shd w:val="clear" w:color="auto"/>
        <w:spacing w:beforeAutospacing="0" w:afterAutospacing="0" w:line="480" w:lineRule="auto"/>
        <w:ind w:firstLine="420" w:firstLineChars="200"/>
        <w:rPr>
          <w:color w:val="auto"/>
          <w:kern w:val="2"/>
          <w:sz w:val="21"/>
          <w:szCs w:val="21"/>
          <w:highlight w:val="none"/>
        </w:rPr>
      </w:pPr>
      <w:r>
        <w:rPr>
          <w:rFonts w:hint="eastAsia"/>
          <w:color w:val="auto"/>
          <w:kern w:val="2"/>
          <w:sz w:val="21"/>
          <w:szCs w:val="21"/>
          <w:highlight w:val="none"/>
        </w:rPr>
        <w:t>我单位</w:t>
      </w:r>
      <w:r>
        <w:rPr>
          <w:rFonts w:hint="eastAsia"/>
          <w:color w:val="auto"/>
          <w:kern w:val="2"/>
          <w:sz w:val="21"/>
          <w:szCs w:val="21"/>
          <w:highlight w:val="none"/>
          <w:lang w:eastAsia="zh-CN"/>
        </w:rPr>
        <w:t>（</w:t>
      </w:r>
      <w:r>
        <w:rPr>
          <w:rFonts w:hint="eastAsia"/>
          <w:color w:val="auto"/>
          <w:kern w:val="2"/>
          <w:sz w:val="21"/>
          <w:szCs w:val="21"/>
          <w:highlight w:val="none"/>
          <w:lang w:val="en-US" w:eastAsia="zh-CN"/>
        </w:rPr>
        <w:t>个人</w:t>
      </w:r>
      <w:r>
        <w:rPr>
          <w:rFonts w:hint="eastAsia"/>
          <w:color w:val="auto"/>
          <w:kern w:val="2"/>
          <w:sz w:val="21"/>
          <w:szCs w:val="21"/>
          <w:highlight w:val="none"/>
          <w:lang w:eastAsia="zh-CN"/>
        </w:rPr>
        <w:t>）</w:t>
      </w:r>
      <w:r>
        <w:rPr>
          <w:rFonts w:hint="eastAsia"/>
          <w:color w:val="auto"/>
          <w:kern w:val="2"/>
          <w:sz w:val="21"/>
          <w:szCs w:val="21"/>
          <w:highlight w:val="none"/>
        </w:rPr>
        <w:t>作为</w:t>
      </w:r>
      <w:r>
        <w:rPr>
          <w:rFonts w:hint="eastAsia"/>
          <w:color w:val="auto"/>
          <w:kern w:val="2"/>
          <w:sz w:val="21"/>
          <w:szCs w:val="21"/>
          <w:highlight w:val="none"/>
          <w:u w:val="single"/>
        </w:rPr>
        <w:t xml:space="preserve">   （项目名称）  </w:t>
      </w:r>
      <w:r>
        <w:rPr>
          <w:rFonts w:hint="eastAsia"/>
          <w:color w:val="auto"/>
          <w:kern w:val="2"/>
          <w:sz w:val="21"/>
          <w:szCs w:val="21"/>
          <w:highlight w:val="none"/>
        </w:rPr>
        <w:t>项目的</w:t>
      </w:r>
      <w:r>
        <w:rPr>
          <w:rFonts w:hint="eastAsia"/>
          <w:color w:val="auto"/>
          <w:kern w:val="2"/>
          <w:sz w:val="21"/>
          <w:szCs w:val="21"/>
          <w:highlight w:val="none"/>
          <w:lang w:val="en-US" w:eastAsia="zh-CN"/>
        </w:rPr>
        <w:t>供应商</w:t>
      </w:r>
      <w:r>
        <w:rPr>
          <w:rFonts w:hint="eastAsia"/>
          <w:color w:val="auto"/>
          <w:kern w:val="2"/>
          <w:sz w:val="21"/>
          <w:szCs w:val="21"/>
          <w:highlight w:val="none"/>
          <w:lang w:eastAsia="zh-CN"/>
        </w:rPr>
        <w:t>，</w:t>
      </w:r>
      <w:r>
        <w:rPr>
          <w:rFonts w:hint="eastAsia"/>
          <w:color w:val="auto"/>
          <w:kern w:val="2"/>
          <w:sz w:val="21"/>
          <w:szCs w:val="21"/>
          <w:highlight w:val="none"/>
        </w:rPr>
        <w:t>现作出如下承诺:</w:t>
      </w:r>
    </w:p>
    <w:p w14:paraId="36DE74AF">
      <w:pPr>
        <w:pStyle w:val="44"/>
        <w:shd w:val="clear" w:color="auto"/>
        <w:spacing w:beforeAutospacing="0" w:afterAutospacing="0" w:line="480" w:lineRule="auto"/>
        <w:ind w:firstLine="420" w:firstLineChars="200"/>
        <w:rPr>
          <w:rFonts w:hint="default" w:eastAsia="宋体"/>
          <w:color w:val="auto"/>
          <w:kern w:val="2"/>
          <w:sz w:val="21"/>
          <w:szCs w:val="21"/>
          <w:highlight w:val="none"/>
          <w:lang w:val="en-US" w:eastAsia="zh-CN"/>
        </w:rPr>
      </w:pPr>
      <w:r>
        <w:rPr>
          <w:rFonts w:hint="eastAsia"/>
          <w:color w:val="auto"/>
          <w:kern w:val="2"/>
          <w:sz w:val="21"/>
          <w:szCs w:val="21"/>
          <w:highlight w:val="none"/>
          <w:lang w:val="en-US" w:eastAsia="zh-CN"/>
        </w:rPr>
        <w:t>所提供资料完全响应磋商文件要求，符合“符合性评审标准”要求。</w:t>
      </w:r>
    </w:p>
    <w:p w14:paraId="61BBF3CF">
      <w:pPr>
        <w:shd w:val="clear"/>
        <w:spacing w:line="480" w:lineRule="auto"/>
        <w:ind w:firstLine="420" w:firstLineChars="200"/>
        <w:rPr>
          <w:rFonts w:hint="eastAsia" w:ascii="宋体" w:hAnsi="宋体"/>
          <w:bCs/>
          <w:color w:val="auto"/>
          <w:szCs w:val="21"/>
          <w:highlight w:val="none"/>
        </w:rPr>
      </w:pPr>
      <w:r>
        <w:rPr>
          <w:rFonts w:hint="eastAsia"/>
          <w:color w:val="auto"/>
          <w:kern w:val="2"/>
          <w:sz w:val="21"/>
          <w:szCs w:val="21"/>
          <w:highlight w:val="none"/>
        </w:rPr>
        <w:t>若</w:t>
      </w:r>
      <w:r>
        <w:rPr>
          <w:rFonts w:hint="eastAsia" w:ascii="Times New Roman" w:eastAsia="宋体"/>
          <w:color w:val="auto"/>
          <w:kern w:val="2"/>
          <w:sz w:val="21"/>
          <w:szCs w:val="21"/>
          <w:highlight w:val="none"/>
          <w:lang w:val="en-US" w:eastAsia="zh-CN"/>
        </w:rPr>
        <w:t>违反上述承诺或经查实与承诺不符的</w:t>
      </w:r>
      <w:r>
        <w:rPr>
          <w:rFonts w:hint="eastAsia"/>
          <w:color w:val="auto"/>
          <w:kern w:val="2"/>
          <w:sz w:val="21"/>
          <w:szCs w:val="21"/>
          <w:highlight w:val="none"/>
        </w:rPr>
        <w:t>，本</w:t>
      </w:r>
      <w:r>
        <w:rPr>
          <w:rFonts w:hint="eastAsia"/>
          <w:color w:val="auto"/>
          <w:kern w:val="2"/>
          <w:sz w:val="21"/>
          <w:szCs w:val="21"/>
          <w:highlight w:val="none"/>
          <w:lang w:val="en-US" w:eastAsia="zh-CN"/>
        </w:rPr>
        <w:t>供应商</w:t>
      </w:r>
      <w:r>
        <w:rPr>
          <w:rFonts w:hint="eastAsia"/>
          <w:color w:val="auto"/>
          <w:kern w:val="2"/>
          <w:sz w:val="21"/>
          <w:szCs w:val="21"/>
          <w:highlight w:val="none"/>
        </w:rPr>
        <w:t>自愿承担相关责任，接受招标投标监督管理部门、纪检监察部门或司法机关调查处理。</w:t>
      </w:r>
    </w:p>
    <w:p w14:paraId="68EB3810">
      <w:pPr>
        <w:shd w:val="clea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lang w:val="en-US" w:eastAsia="zh-CN"/>
        </w:rPr>
        <w:t>供应商</w:t>
      </w:r>
      <w:r>
        <w:rPr>
          <w:rFonts w:hint="eastAsia" w:ascii="宋体" w:hAnsi="宋体"/>
          <w:bCs/>
          <w:color w:val="auto"/>
          <w:szCs w:val="21"/>
          <w:highlight w:val="none"/>
        </w:rPr>
        <w:t>：</w:t>
      </w:r>
      <w:r>
        <w:rPr>
          <w:rFonts w:hint="eastAsia" w:ascii="宋体" w:hAnsi="宋体"/>
          <w:bCs/>
          <w:color w:val="auto"/>
          <w:szCs w:val="21"/>
          <w:highlight w:val="none"/>
          <w:u w:val="single"/>
        </w:rPr>
        <w:t xml:space="preserve">  （电子签章</w:t>
      </w:r>
      <w:r>
        <w:rPr>
          <w:rFonts w:hint="eastAsia" w:ascii="宋体" w:hAnsi="宋体" w:cs="宋体"/>
          <w:color w:val="auto"/>
          <w:highlight w:val="none"/>
          <w:u w:val="single"/>
        </w:rPr>
        <w:t>，若为自然人无需签章</w:t>
      </w:r>
      <w:r>
        <w:rPr>
          <w:rFonts w:hint="eastAsia" w:ascii="宋体" w:hAnsi="宋体"/>
          <w:bCs/>
          <w:color w:val="auto"/>
          <w:szCs w:val="21"/>
          <w:highlight w:val="none"/>
          <w:u w:val="single"/>
        </w:rPr>
        <w:t xml:space="preserve">）         </w:t>
      </w:r>
    </w:p>
    <w:p w14:paraId="6E13429A">
      <w:pPr>
        <w:shd w:val="clear"/>
        <w:spacing w:line="480" w:lineRule="auto"/>
        <w:ind w:firstLine="420" w:firstLineChars="200"/>
        <w:rPr>
          <w:color w:val="auto"/>
          <w:szCs w:val="21"/>
          <w:highlight w:val="none"/>
        </w:rPr>
      </w:pPr>
      <w:r>
        <w:rPr>
          <w:rFonts w:hint="eastAsia" w:ascii="宋体" w:hAnsi="宋体"/>
          <w:bCs/>
          <w:color w:val="auto"/>
          <w:szCs w:val="21"/>
          <w:highlight w:val="none"/>
          <w:lang w:val="en-US" w:eastAsia="zh-CN"/>
        </w:rPr>
        <w:t>供应商</w:t>
      </w:r>
      <w:r>
        <w:rPr>
          <w:rFonts w:hint="eastAsia" w:ascii="宋体" w:hAnsi="宋体"/>
          <w:bCs/>
          <w:color w:val="auto"/>
          <w:szCs w:val="21"/>
          <w:highlight w:val="none"/>
        </w:rPr>
        <w:t>法定代表人</w:t>
      </w:r>
      <w:r>
        <w:rPr>
          <w:rFonts w:hint="eastAsia" w:ascii="宋体" w:hAnsi="宋体"/>
          <w:color w:val="auto"/>
          <w:szCs w:val="21"/>
          <w:highlight w:val="none"/>
        </w:rPr>
        <w:t>或自然人本人</w:t>
      </w:r>
      <w:r>
        <w:rPr>
          <w:rFonts w:hint="eastAsia" w:ascii="宋体" w:hAnsi="宋体"/>
          <w:bCs/>
          <w:color w:val="auto"/>
          <w:szCs w:val="21"/>
          <w:highlight w:val="none"/>
        </w:rPr>
        <w:t>（电子签章）：</w:t>
      </w:r>
      <w:r>
        <w:rPr>
          <w:rFonts w:hint="eastAsia" w:ascii="宋体" w:hAnsi="宋体"/>
          <w:bCs/>
          <w:color w:val="auto"/>
          <w:szCs w:val="21"/>
          <w:highlight w:val="none"/>
          <w:u w:val="single"/>
        </w:rPr>
        <w:t xml:space="preserve">              </w:t>
      </w:r>
      <w:r>
        <w:rPr>
          <w:rFonts w:hint="eastAsia"/>
          <w:color w:val="auto"/>
          <w:szCs w:val="21"/>
          <w:highlight w:val="none"/>
        </w:rPr>
        <w:t xml:space="preserve">              </w:t>
      </w:r>
    </w:p>
    <w:p w14:paraId="05719C96">
      <w:pPr>
        <w:shd w:val="clea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lang w:val="en-US" w:eastAsia="zh-CN"/>
        </w:rPr>
        <w:t>日期</w:t>
      </w:r>
      <w:r>
        <w:rPr>
          <w:rFonts w:hint="eastAsia" w:ascii="宋体" w:hAnsi="宋体"/>
          <w:bCs/>
          <w:color w:val="auto"/>
          <w:szCs w:val="21"/>
          <w:highlight w:val="none"/>
        </w:rPr>
        <w:t>：    年   月   日</w:t>
      </w:r>
    </w:p>
    <w:p w14:paraId="2D584113">
      <w:pPr>
        <w:shd w:val="clear"/>
        <w:spacing w:line="480" w:lineRule="auto"/>
        <w:ind w:firstLine="420" w:firstLineChars="200"/>
        <w:rPr>
          <w:rFonts w:hint="eastAsia" w:ascii="宋体" w:hAnsi="宋体"/>
          <w:bCs/>
          <w:color w:val="auto"/>
          <w:szCs w:val="21"/>
          <w:highlight w:val="none"/>
        </w:rPr>
      </w:pPr>
    </w:p>
    <w:p w14:paraId="116F54E5">
      <w:pPr>
        <w:pStyle w:val="28"/>
        <w:rPr>
          <w:rFonts w:hint="eastAsia" w:ascii="宋体" w:hAnsi="宋体"/>
          <w:bCs/>
          <w:color w:val="auto"/>
          <w:szCs w:val="21"/>
          <w:highlight w:val="none"/>
        </w:rPr>
      </w:pPr>
    </w:p>
    <w:p w14:paraId="38BC5193">
      <w:pPr>
        <w:shd w:val="clear"/>
        <w:spacing w:line="360" w:lineRule="auto"/>
        <w:jc w:val="center"/>
        <w:rPr>
          <w:rFonts w:hint="eastAsia" w:ascii="宋体" w:hAnsi="宋体" w:eastAsia="宋体" w:cs="宋体"/>
          <w:b/>
          <w:bCs/>
          <w:color w:val="auto"/>
          <w:sz w:val="24"/>
          <w:highlight w:val="none"/>
          <w:lang w:val="en-US" w:eastAsia="zh-CN"/>
        </w:rPr>
      </w:pPr>
    </w:p>
    <w:p w14:paraId="28B91908">
      <w:pPr>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br w:type="page"/>
      </w:r>
    </w:p>
    <w:p w14:paraId="6D2819FF">
      <w:pPr>
        <w:shd w:val="clear"/>
        <w:spacing w:line="360" w:lineRule="auto"/>
        <w:jc w:val="center"/>
        <w:rPr>
          <w:rFonts w:hint="eastAsia" w:ascii="宋体" w:hAnsi="宋体" w:cs="宋体"/>
          <w:b w:val="0"/>
          <w:bCs w:val="0"/>
          <w:color w:val="auto"/>
          <w:sz w:val="28"/>
          <w:szCs w:val="28"/>
          <w:highlight w:val="none"/>
          <w:lang w:val="en-US" w:eastAsia="zh-CN"/>
        </w:rPr>
      </w:pPr>
      <w:r>
        <w:rPr>
          <w:rFonts w:hint="eastAsia" w:ascii="宋体" w:hAnsi="宋体" w:cs="宋体"/>
          <w:b/>
          <w:bCs/>
          <w:color w:val="auto"/>
          <w:sz w:val="24"/>
          <w:highlight w:val="none"/>
          <w:lang w:val="en-US" w:eastAsia="zh-CN"/>
        </w:rPr>
        <w:t>供应商</w:t>
      </w:r>
      <w:r>
        <w:rPr>
          <w:rFonts w:hint="eastAsia" w:ascii="宋体" w:hAnsi="宋体" w:eastAsia="宋体" w:cs="宋体"/>
          <w:b/>
          <w:bCs/>
          <w:color w:val="auto"/>
          <w:sz w:val="24"/>
          <w:highlight w:val="none"/>
          <w:lang w:val="en-US" w:eastAsia="zh-CN"/>
        </w:rPr>
        <w:t>承诺书（五）</w:t>
      </w:r>
    </w:p>
    <w:p w14:paraId="1D6297B7">
      <w:pPr>
        <w:spacing w:line="59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我单位（个人）作为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（项目名称）的</w:t>
      </w:r>
      <w:r>
        <w:rPr>
          <w:rFonts w:hint="eastAsia"/>
          <w:color w:val="auto"/>
          <w:kern w:val="2"/>
          <w:sz w:val="21"/>
          <w:szCs w:val="21"/>
          <w:highlight w:val="none"/>
          <w:lang w:val="en-US" w:eastAsia="zh-CN"/>
        </w:rPr>
        <w:t>供应商</w:t>
      </w:r>
      <w:r>
        <w:rPr>
          <w:rFonts w:hint="eastAsia" w:ascii="宋体" w:hAnsi="宋体" w:eastAsia="宋体" w:cs="宋体"/>
          <w:color w:val="auto"/>
          <w:szCs w:val="21"/>
          <w:highlight w:val="none"/>
          <w:lang w:val="en-US" w:eastAsia="zh-CN"/>
        </w:rPr>
        <w:t>,现作出如下承诺：</w:t>
      </w:r>
    </w:p>
    <w:p w14:paraId="61D4EAF5">
      <w:pPr>
        <w:spacing w:line="59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（1）若我方</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lang w:val="en-US" w:eastAsia="zh-CN"/>
        </w:rPr>
        <w:t>，承诺在领取</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lang w:val="en-US" w:eastAsia="zh-CN"/>
        </w:rPr>
        <w:t>通知书</w:t>
      </w:r>
      <w:r>
        <w:rPr>
          <w:rFonts w:hint="eastAsia" w:ascii="宋体" w:hAnsi="宋体" w:cs="宋体"/>
          <w:color w:val="auto"/>
          <w:szCs w:val="21"/>
          <w:highlight w:val="none"/>
          <w:lang w:val="en-US" w:eastAsia="zh-CN"/>
        </w:rPr>
        <w:t>时按文件规定</w:t>
      </w:r>
      <w:r>
        <w:rPr>
          <w:rFonts w:hint="eastAsia" w:ascii="宋体" w:hAnsi="宋体" w:eastAsia="宋体" w:cs="宋体"/>
          <w:color w:val="auto"/>
          <w:szCs w:val="21"/>
          <w:highlight w:val="none"/>
          <w:lang w:val="en-US" w:eastAsia="zh-CN"/>
        </w:rPr>
        <w:t>一次性全额支付代理</w:t>
      </w:r>
      <w:r>
        <w:rPr>
          <w:rFonts w:hint="eastAsia" w:ascii="宋体" w:hAnsi="宋体" w:cs="宋体"/>
          <w:color w:val="auto"/>
          <w:szCs w:val="21"/>
          <w:highlight w:val="none"/>
          <w:lang w:val="en-US" w:eastAsia="zh-CN"/>
        </w:rPr>
        <w:t>服务</w:t>
      </w:r>
      <w:r>
        <w:rPr>
          <w:rFonts w:hint="eastAsia" w:ascii="宋体" w:hAnsi="宋体" w:eastAsia="宋体" w:cs="宋体"/>
          <w:color w:val="auto"/>
          <w:szCs w:val="21"/>
          <w:highlight w:val="none"/>
          <w:lang w:val="en-US" w:eastAsia="zh-CN"/>
        </w:rPr>
        <w:t>费。</w:t>
      </w:r>
    </w:p>
    <w:p w14:paraId="41BD615D">
      <w:pPr>
        <w:spacing w:line="59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（2）无论</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lang w:val="en-US" w:eastAsia="zh-CN"/>
        </w:rPr>
        <w:t>结果如何，</w:t>
      </w:r>
      <w:r>
        <w:rPr>
          <w:rFonts w:hint="eastAsia" w:ascii="宋体" w:hAnsi="宋体" w:cs="宋体"/>
          <w:color w:val="auto"/>
          <w:szCs w:val="21"/>
          <w:highlight w:val="none"/>
          <w:lang w:val="en-US" w:eastAsia="zh-CN"/>
        </w:rPr>
        <w:t>我方愿意</w:t>
      </w:r>
      <w:r>
        <w:rPr>
          <w:rFonts w:hint="eastAsia" w:ascii="宋体" w:hAnsi="宋体" w:eastAsia="宋体" w:cs="宋体"/>
          <w:color w:val="auto"/>
          <w:szCs w:val="21"/>
          <w:highlight w:val="none"/>
          <w:lang w:val="en-US" w:eastAsia="zh-CN"/>
        </w:rPr>
        <w:t>承担参加本次</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lang w:val="en-US" w:eastAsia="zh-CN"/>
        </w:rPr>
        <w:t>活动所发生的</w:t>
      </w:r>
      <w:r>
        <w:rPr>
          <w:rFonts w:hint="eastAsia" w:ascii="宋体" w:hAnsi="宋体" w:cs="宋体"/>
          <w:color w:val="auto"/>
          <w:szCs w:val="21"/>
          <w:highlight w:val="none"/>
          <w:lang w:val="en-US" w:eastAsia="zh-CN"/>
        </w:rPr>
        <w:t>一切</w:t>
      </w:r>
      <w:r>
        <w:rPr>
          <w:rFonts w:hint="eastAsia" w:ascii="宋体" w:hAnsi="宋体" w:eastAsia="宋体" w:cs="宋体"/>
          <w:color w:val="auto"/>
          <w:szCs w:val="21"/>
          <w:highlight w:val="none"/>
          <w:lang w:val="en-US" w:eastAsia="zh-CN"/>
        </w:rPr>
        <w:t>费用，采购人不给予</w:t>
      </w:r>
      <w:r>
        <w:rPr>
          <w:rFonts w:hint="eastAsia" w:ascii="宋体" w:hAnsi="宋体" w:cs="宋体"/>
          <w:color w:val="auto"/>
          <w:szCs w:val="21"/>
          <w:highlight w:val="none"/>
          <w:lang w:val="en-US" w:eastAsia="zh-CN"/>
        </w:rPr>
        <w:t>任何</w:t>
      </w:r>
      <w:r>
        <w:rPr>
          <w:rFonts w:hint="eastAsia" w:ascii="宋体" w:hAnsi="宋体" w:eastAsia="宋体" w:cs="宋体"/>
          <w:color w:val="auto"/>
          <w:szCs w:val="21"/>
          <w:highlight w:val="none"/>
          <w:lang w:val="en-US" w:eastAsia="zh-CN"/>
        </w:rPr>
        <w:t>经济补偿。</w:t>
      </w:r>
    </w:p>
    <w:p w14:paraId="340E00C2">
      <w:pPr>
        <w:spacing w:line="59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我方保证上述信息的真实和准确，并愿意承担因我方就此弄虚作假所引起的一切法律后果。</w:t>
      </w:r>
    </w:p>
    <w:p w14:paraId="731DC323">
      <w:pPr>
        <w:spacing w:line="59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特此承诺！</w:t>
      </w:r>
    </w:p>
    <w:p w14:paraId="1053ACE7">
      <w:pPr>
        <w:spacing w:line="590" w:lineRule="exact"/>
        <w:ind w:firstLine="420" w:firstLineChars="200"/>
        <w:jc w:val="left"/>
        <w:rPr>
          <w:rFonts w:hint="eastAsia" w:ascii="宋体" w:hAnsi="宋体" w:cs="宋体"/>
          <w:color w:val="auto"/>
          <w:szCs w:val="21"/>
          <w:highlight w:val="none"/>
          <w:lang w:val="en-US" w:eastAsia="zh-CN"/>
        </w:rPr>
      </w:pPr>
    </w:p>
    <w:p w14:paraId="1218750F">
      <w:pPr>
        <w:shd w:val="clea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lang w:val="en-US" w:eastAsia="zh-CN"/>
        </w:rPr>
        <w:t>供应商</w:t>
      </w:r>
      <w:r>
        <w:rPr>
          <w:rFonts w:hint="eastAsia" w:ascii="宋体" w:hAnsi="宋体"/>
          <w:bCs/>
          <w:color w:val="auto"/>
          <w:szCs w:val="21"/>
          <w:highlight w:val="none"/>
        </w:rPr>
        <w:t>：</w:t>
      </w:r>
      <w:r>
        <w:rPr>
          <w:rFonts w:hint="eastAsia" w:ascii="宋体" w:hAnsi="宋体"/>
          <w:bCs/>
          <w:color w:val="auto"/>
          <w:szCs w:val="21"/>
          <w:highlight w:val="none"/>
          <w:u w:val="single"/>
        </w:rPr>
        <w:t xml:space="preserve">  （电子签章</w:t>
      </w:r>
      <w:r>
        <w:rPr>
          <w:rFonts w:hint="eastAsia" w:ascii="宋体" w:hAnsi="宋体" w:cs="宋体"/>
          <w:color w:val="auto"/>
          <w:highlight w:val="none"/>
          <w:u w:val="single"/>
        </w:rPr>
        <w:t>，若为自然人无需签章</w:t>
      </w:r>
      <w:r>
        <w:rPr>
          <w:rFonts w:hint="eastAsia" w:ascii="宋体" w:hAnsi="宋体"/>
          <w:bCs/>
          <w:color w:val="auto"/>
          <w:szCs w:val="21"/>
          <w:highlight w:val="none"/>
          <w:u w:val="single"/>
        </w:rPr>
        <w:t xml:space="preserve">）         </w:t>
      </w:r>
    </w:p>
    <w:p w14:paraId="44C891FF">
      <w:pPr>
        <w:shd w:val="clear"/>
        <w:spacing w:line="480" w:lineRule="auto"/>
        <w:ind w:firstLine="420" w:firstLineChars="200"/>
        <w:rPr>
          <w:color w:val="auto"/>
          <w:szCs w:val="21"/>
          <w:highlight w:val="none"/>
        </w:rPr>
      </w:pPr>
      <w:r>
        <w:rPr>
          <w:rFonts w:hint="eastAsia" w:ascii="宋体" w:hAnsi="宋体"/>
          <w:bCs/>
          <w:color w:val="auto"/>
          <w:szCs w:val="21"/>
          <w:highlight w:val="none"/>
          <w:lang w:val="en-US" w:eastAsia="zh-CN"/>
        </w:rPr>
        <w:t>供应商</w:t>
      </w:r>
      <w:r>
        <w:rPr>
          <w:rFonts w:hint="eastAsia" w:ascii="宋体" w:hAnsi="宋体"/>
          <w:bCs/>
          <w:color w:val="auto"/>
          <w:szCs w:val="21"/>
          <w:highlight w:val="none"/>
        </w:rPr>
        <w:t>法定代表人</w:t>
      </w:r>
      <w:r>
        <w:rPr>
          <w:rFonts w:hint="eastAsia" w:ascii="宋体" w:hAnsi="宋体"/>
          <w:color w:val="auto"/>
          <w:szCs w:val="21"/>
          <w:highlight w:val="none"/>
        </w:rPr>
        <w:t>或自然人本人</w:t>
      </w:r>
      <w:r>
        <w:rPr>
          <w:rFonts w:hint="eastAsia" w:ascii="宋体" w:hAnsi="宋体"/>
          <w:bCs/>
          <w:color w:val="auto"/>
          <w:szCs w:val="21"/>
          <w:highlight w:val="none"/>
        </w:rPr>
        <w:t>（电子签章）：</w:t>
      </w:r>
      <w:r>
        <w:rPr>
          <w:rFonts w:hint="eastAsia" w:ascii="宋体" w:hAnsi="宋体"/>
          <w:bCs/>
          <w:color w:val="auto"/>
          <w:szCs w:val="21"/>
          <w:highlight w:val="none"/>
          <w:u w:val="single"/>
        </w:rPr>
        <w:t xml:space="preserve">              </w:t>
      </w:r>
      <w:r>
        <w:rPr>
          <w:rFonts w:hint="eastAsia"/>
          <w:color w:val="auto"/>
          <w:szCs w:val="21"/>
          <w:highlight w:val="none"/>
        </w:rPr>
        <w:t xml:space="preserve">              </w:t>
      </w:r>
    </w:p>
    <w:p w14:paraId="75BE4686">
      <w:pPr>
        <w:tabs>
          <w:tab w:val="left" w:pos="1560"/>
        </w:tabs>
        <w:spacing w:line="360" w:lineRule="auto"/>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lang w:val="en-US" w:eastAsia="zh-CN"/>
        </w:rPr>
        <w:t>日期</w:t>
      </w:r>
      <w:r>
        <w:rPr>
          <w:rFonts w:hint="eastAsia" w:ascii="宋体" w:hAnsi="宋体"/>
          <w:bCs/>
          <w:color w:val="auto"/>
          <w:szCs w:val="21"/>
          <w:highlight w:val="none"/>
        </w:rPr>
        <w:t>：    年   月   日</w:t>
      </w:r>
    </w:p>
    <w:p w14:paraId="6F7DA75E">
      <w:pPr>
        <w:tabs>
          <w:tab w:val="left" w:pos="1560"/>
        </w:tabs>
        <w:spacing w:line="360" w:lineRule="auto"/>
        <w:ind w:firstLine="643" w:firstLineChars="200"/>
        <w:jc w:val="left"/>
        <w:rPr>
          <w:rFonts w:hint="eastAsia" w:ascii="宋体" w:hAnsi="宋体"/>
          <w:b/>
          <w:bCs/>
          <w:color w:val="auto"/>
          <w:sz w:val="32"/>
          <w:szCs w:val="32"/>
          <w:highlight w:val="none"/>
        </w:rPr>
      </w:pPr>
    </w:p>
    <w:p w14:paraId="06673492">
      <w:pPr>
        <w:pStyle w:val="28"/>
        <w:spacing w:line="360" w:lineRule="auto"/>
        <w:rPr>
          <w:rFonts w:hint="eastAsia" w:hAnsi="宋体"/>
          <w:b/>
          <w:bCs/>
          <w:color w:val="auto"/>
          <w:sz w:val="32"/>
          <w:szCs w:val="32"/>
          <w:highlight w:val="none"/>
        </w:rPr>
      </w:pPr>
    </w:p>
    <w:p w14:paraId="4058887A">
      <w:pPr>
        <w:spacing w:line="360" w:lineRule="auto"/>
        <w:rPr>
          <w:color w:val="auto"/>
          <w:highlight w:val="none"/>
        </w:rPr>
      </w:pPr>
    </w:p>
    <w:p w14:paraId="6670A316">
      <w:pPr>
        <w:rPr>
          <w:rFonts w:hint="eastAsia" w:ascii="宋体" w:hAnsi="宋体" w:eastAsia="宋体"/>
          <w:color w:val="auto"/>
          <w:highlight w:val="none"/>
        </w:rPr>
      </w:pPr>
      <w:r>
        <w:rPr>
          <w:rFonts w:hint="eastAsia" w:ascii="宋体" w:hAnsi="宋体" w:eastAsia="宋体"/>
          <w:color w:val="auto"/>
          <w:highlight w:val="none"/>
          <w:lang w:val="en-US" w:eastAsia="zh-CN"/>
        </w:rPr>
        <w:br w:type="page"/>
      </w:r>
      <w:bookmarkEnd w:id="1047"/>
      <w:bookmarkEnd w:id="1048"/>
      <w:bookmarkEnd w:id="1049"/>
      <w:bookmarkEnd w:id="1050"/>
      <w:bookmarkEnd w:id="1051"/>
      <w:bookmarkEnd w:id="1052"/>
      <w:bookmarkEnd w:id="1053"/>
      <w:bookmarkStart w:id="1054" w:name="_Toc48038761"/>
      <w:bookmarkStart w:id="1055" w:name="_Toc16220"/>
      <w:bookmarkStart w:id="1056" w:name="_Toc48484495"/>
      <w:bookmarkStart w:id="1057" w:name="_Toc31433"/>
      <w:bookmarkStart w:id="1058" w:name="_Toc19578"/>
      <w:bookmarkStart w:id="1059" w:name="_Toc466623439"/>
      <w:bookmarkStart w:id="1060" w:name="_Toc4734"/>
      <w:bookmarkStart w:id="1061" w:name="_Toc9473"/>
      <w:bookmarkStart w:id="1062" w:name="_Toc465778843"/>
      <w:bookmarkStart w:id="1063" w:name="_Toc462068418"/>
      <w:bookmarkStart w:id="1064" w:name="_Toc272420746"/>
      <w:bookmarkStart w:id="1065" w:name="_Toc509841347"/>
    </w:p>
    <w:p w14:paraId="775F0022">
      <w:pPr>
        <w:pStyle w:val="4"/>
        <w:spacing w:line="360" w:lineRule="auto"/>
        <w:jc w:val="center"/>
        <w:rPr>
          <w:rFonts w:hint="eastAsia" w:ascii="宋体" w:hAnsi="宋体" w:eastAsia="宋体"/>
          <w:color w:val="auto"/>
          <w:highlight w:val="none"/>
        </w:rPr>
      </w:pPr>
      <w:r>
        <w:rPr>
          <w:rFonts w:hint="eastAsia" w:ascii="宋体" w:hAnsi="宋体" w:eastAsia="宋体"/>
          <w:color w:val="auto"/>
          <w:highlight w:val="none"/>
        </w:rPr>
        <w:t xml:space="preserve">第三部分  </w:t>
      </w:r>
      <w:bookmarkStart w:id="1066" w:name="_Toc232393558"/>
      <w:r>
        <w:rPr>
          <w:rFonts w:hint="eastAsia" w:ascii="宋体" w:hAnsi="宋体" w:eastAsia="宋体"/>
          <w:color w:val="auto"/>
          <w:highlight w:val="none"/>
        </w:rPr>
        <w:t>响应文件报价部分格式</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14:paraId="1295023A">
      <w:pPr>
        <w:pStyle w:val="6"/>
        <w:spacing w:line="360" w:lineRule="auto"/>
        <w:jc w:val="center"/>
        <w:rPr>
          <w:rFonts w:hint="eastAsia" w:ascii="宋体" w:hAnsi="宋体" w:eastAsia="宋体"/>
          <w:color w:val="auto"/>
          <w:highlight w:val="none"/>
        </w:rPr>
      </w:pPr>
      <w:r>
        <w:rPr>
          <w:rFonts w:hint="eastAsia" w:ascii="宋体" w:hAnsi="宋体" w:eastAsia="宋体"/>
          <w:color w:val="auto"/>
          <w:highlight w:val="none"/>
        </w:rPr>
        <w:t>一、报价说明</w:t>
      </w:r>
    </w:p>
    <w:p w14:paraId="798337D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1、本报价依据本项目供应商须知的有关条款进行编制。</w:t>
      </w:r>
    </w:p>
    <w:p w14:paraId="3A0346D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2、开标一览表中所填入的磋商报价，包括完成本竞争性磋商项目所有</w:t>
      </w:r>
      <w:r>
        <w:rPr>
          <w:rFonts w:hint="eastAsia" w:ascii="宋体" w:hAnsi="宋体"/>
          <w:color w:val="auto"/>
          <w:highlight w:val="none"/>
        </w:rPr>
        <w:t>工作</w:t>
      </w:r>
      <w:r>
        <w:rPr>
          <w:rFonts w:hint="eastAsia" w:ascii="宋体" w:hAnsi="宋体"/>
          <w:color w:val="auto"/>
          <w:szCs w:val="21"/>
          <w:highlight w:val="none"/>
        </w:rPr>
        <w:t>的所有费用。</w:t>
      </w:r>
    </w:p>
    <w:p w14:paraId="2AC0B3D7">
      <w:pPr>
        <w:spacing w:line="360" w:lineRule="auto"/>
        <w:ind w:firstLine="403" w:firstLineChars="192"/>
        <w:rPr>
          <w:rFonts w:hint="eastAsia" w:ascii="宋体" w:hAnsi="宋体"/>
          <w:color w:val="auto"/>
          <w:szCs w:val="21"/>
          <w:highlight w:val="none"/>
        </w:rPr>
      </w:pPr>
      <w:r>
        <w:rPr>
          <w:rFonts w:hint="eastAsia" w:ascii="宋体" w:hAnsi="宋体"/>
          <w:color w:val="auto"/>
          <w:szCs w:val="21"/>
          <w:highlight w:val="none"/>
        </w:rPr>
        <w:t>3、本报价的币种为</w:t>
      </w:r>
      <w:r>
        <w:rPr>
          <w:rFonts w:hint="eastAsia" w:ascii="宋体" w:hAnsi="宋体"/>
          <w:color w:val="auto"/>
          <w:szCs w:val="21"/>
          <w:highlight w:val="none"/>
          <w:u w:val="single"/>
        </w:rPr>
        <w:t xml:space="preserve">  人民币  </w:t>
      </w:r>
      <w:r>
        <w:rPr>
          <w:rFonts w:hint="eastAsia" w:ascii="宋体" w:hAnsi="宋体"/>
          <w:color w:val="auto"/>
          <w:szCs w:val="21"/>
          <w:highlight w:val="none"/>
        </w:rPr>
        <w:t>。</w:t>
      </w:r>
    </w:p>
    <w:p w14:paraId="3DC018DF">
      <w:pPr>
        <w:spacing w:line="360" w:lineRule="auto"/>
        <w:ind w:firstLine="403" w:firstLineChars="192"/>
        <w:rPr>
          <w:rFonts w:hint="eastAsia" w:ascii="宋体" w:hAnsi="宋体"/>
          <w:color w:val="auto"/>
          <w:szCs w:val="21"/>
          <w:highlight w:val="none"/>
        </w:rPr>
      </w:pPr>
      <w:r>
        <w:rPr>
          <w:rFonts w:hint="eastAsia" w:ascii="宋体" w:hAnsi="宋体"/>
          <w:color w:val="auto"/>
          <w:szCs w:val="21"/>
          <w:highlight w:val="none"/>
        </w:rPr>
        <w:t>4、供应商应将磋商报价需要说明的事项，用文字书写在本项之后。</w:t>
      </w:r>
    </w:p>
    <w:p w14:paraId="0C5A62FF">
      <w:pPr>
        <w:spacing w:line="360" w:lineRule="auto"/>
        <w:jc w:val="both"/>
        <w:rPr>
          <w:rFonts w:hint="eastAsia" w:ascii="宋体" w:hAnsi="宋体"/>
          <w:color w:val="auto"/>
          <w:sz w:val="24"/>
          <w:highlight w:val="none"/>
        </w:rPr>
      </w:pPr>
    </w:p>
    <w:p w14:paraId="02947821">
      <w:pPr>
        <w:pStyle w:val="6"/>
        <w:spacing w:line="360" w:lineRule="auto"/>
        <w:jc w:val="center"/>
        <w:rPr>
          <w:rFonts w:hint="eastAsia" w:ascii="宋体" w:hAnsi="宋体" w:eastAsia="宋体"/>
          <w:color w:val="auto"/>
          <w:highlight w:val="none"/>
        </w:rPr>
      </w:pPr>
      <w:r>
        <w:rPr>
          <w:rFonts w:hint="eastAsia" w:ascii="宋体" w:hAnsi="宋体" w:eastAsia="宋体"/>
          <w:color w:val="auto"/>
          <w:highlight w:val="none"/>
        </w:rPr>
        <w:t>二、磋商（开标）一览表</w:t>
      </w:r>
    </w:p>
    <w:p w14:paraId="14D132E7">
      <w:pPr>
        <w:spacing w:line="360" w:lineRule="auto"/>
        <w:rPr>
          <w:color w:val="auto"/>
          <w:sz w:val="18"/>
          <w:szCs w:val="21"/>
          <w:highlight w:val="none"/>
        </w:rPr>
      </w:pPr>
      <w:r>
        <w:rPr>
          <w:rFonts w:hint="eastAsia" w:ascii="宋体" w:hAnsi="宋体"/>
          <w:color w:val="auto"/>
          <w:szCs w:val="21"/>
          <w:highlight w:val="none"/>
        </w:rPr>
        <w:t xml:space="preserve">项目名称： </w:t>
      </w:r>
    </w:p>
    <w:tbl>
      <w:tblPr>
        <w:tblStyle w:val="50"/>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94"/>
        <w:gridCol w:w="6606"/>
      </w:tblGrid>
      <w:tr w14:paraId="791CB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648" w:type="dxa"/>
            <w:vAlign w:val="center"/>
          </w:tcPr>
          <w:p w14:paraId="389A8224">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r>
              <w:rPr>
                <w:rFonts w:hint="eastAsia" w:ascii="宋体" w:hAnsi="宋体"/>
                <w:color w:val="auto"/>
                <w:highlight w:val="none"/>
              </w:rPr>
              <w:t>序号</w:t>
            </w:r>
          </w:p>
        </w:tc>
        <w:tc>
          <w:tcPr>
            <w:tcW w:w="1494" w:type="dxa"/>
            <w:vAlign w:val="center"/>
          </w:tcPr>
          <w:p w14:paraId="1A7F6EBB">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r>
              <w:rPr>
                <w:rFonts w:hint="eastAsia" w:ascii="宋体" w:hAnsi="宋体"/>
                <w:color w:val="auto"/>
                <w:highlight w:val="none"/>
              </w:rPr>
              <w:t>项    目</w:t>
            </w:r>
          </w:p>
        </w:tc>
        <w:tc>
          <w:tcPr>
            <w:tcW w:w="6606" w:type="dxa"/>
            <w:vAlign w:val="center"/>
          </w:tcPr>
          <w:p w14:paraId="25C7B2A2">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r>
              <w:rPr>
                <w:rFonts w:hint="eastAsia" w:ascii="宋体" w:hAnsi="宋体"/>
                <w:color w:val="auto"/>
                <w:highlight w:val="none"/>
              </w:rPr>
              <w:t>内      容</w:t>
            </w:r>
          </w:p>
        </w:tc>
      </w:tr>
      <w:tr w14:paraId="4D20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jc w:val="center"/>
        </w:trPr>
        <w:tc>
          <w:tcPr>
            <w:tcW w:w="648" w:type="dxa"/>
            <w:vAlign w:val="center"/>
          </w:tcPr>
          <w:p w14:paraId="5E48949D">
            <w:pPr>
              <w:keepNext w:val="0"/>
              <w:keepLines w:val="0"/>
              <w:suppressLineNumbers w:val="0"/>
              <w:spacing w:before="0" w:beforeAutospacing="0" w:after="0" w:afterAutospacing="0" w:line="360" w:lineRule="auto"/>
              <w:ind w:left="0" w:right="0"/>
              <w:jc w:val="center"/>
              <w:rPr>
                <w:rFonts w:hint="eastAsia" w:ascii="宋体" w:hAnsi="宋体"/>
                <w:bCs/>
                <w:color w:val="auto"/>
                <w:highlight w:val="none"/>
              </w:rPr>
            </w:pPr>
            <w:r>
              <w:rPr>
                <w:rFonts w:hint="eastAsia" w:ascii="宋体" w:hAnsi="宋体"/>
                <w:bCs/>
                <w:color w:val="auto"/>
                <w:highlight w:val="none"/>
              </w:rPr>
              <w:t>1</w:t>
            </w:r>
          </w:p>
        </w:tc>
        <w:tc>
          <w:tcPr>
            <w:tcW w:w="1494" w:type="dxa"/>
            <w:vAlign w:val="center"/>
          </w:tcPr>
          <w:p w14:paraId="6691EF49">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bookmarkStart w:id="1067" w:name="_Hlk138780695"/>
            <w:r>
              <w:rPr>
                <w:rFonts w:hint="eastAsia" w:ascii="宋体" w:hAnsi="宋体"/>
                <w:color w:val="auto"/>
                <w:highlight w:val="none"/>
              </w:rPr>
              <w:t>磋商报价</w:t>
            </w:r>
            <w:bookmarkEnd w:id="1067"/>
          </w:p>
        </w:tc>
        <w:tc>
          <w:tcPr>
            <w:tcW w:w="6606" w:type="dxa"/>
            <w:vAlign w:val="center"/>
          </w:tcPr>
          <w:p w14:paraId="55B15466">
            <w:pPr>
              <w:keepNext w:val="0"/>
              <w:keepLines w:val="0"/>
              <w:suppressLineNumbers w:val="0"/>
              <w:spacing w:before="0" w:beforeAutospacing="0" w:after="0" w:afterAutospacing="0" w:line="360" w:lineRule="auto"/>
              <w:ind w:left="0" w:right="0"/>
              <w:jc w:val="center"/>
              <w:rPr>
                <w:rFonts w:hint="default" w:ascii="宋体" w:hAnsi="宋体" w:eastAsia="宋体"/>
                <w:color w:val="auto"/>
                <w:highlight w:val="none"/>
                <w:lang w:val="en-US" w:eastAsia="zh-CN"/>
              </w:rPr>
            </w:pPr>
          </w:p>
        </w:tc>
      </w:tr>
      <w:tr w14:paraId="0A28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648" w:type="dxa"/>
            <w:vAlign w:val="center"/>
          </w:tcPr>
          <w:p w14:paraId="0011AC78">
            <w:pPr>
              <w:keepNext w:val="0"/>
              <w:keepLines w:val="0"/>
              <w:suppressLineNumbers w:val="0"/>
              <w:spacing w:before="0" w:beforeAutospacing="0" w:after="0" w:afterAutospacing="0" w:line="360" w:lineRule="auto"/>
              <w:ind w:left="0" w:right="0"/>
              <w:jc w:val="center"/>
              <w:rPr>
                <w:rFonts w:hint="eastAsia" w:ascii="宋体" w:hAnsi="宋体"/>
                <w:bCs/>
                <w:color w:val="auto"/>
                <w:highlight w:val="none"/>
              </w:rPr>
            </w:pPr>
            <w:r>
              <w:rPr>
                <w:rFonts w:hint="eastAsia" w:ascii="宋体" w:hAnsi="宋体"/>
                <w:bCs/>
                <w:color w:val="auto"/>
                <w:highlight w:val="none"/>
              </w:rPr>
              <w:t>2</w:t>
            </w:r>
          </w:p>
        </w:tc>
        <w:tc>
          <w:tcPr>
            <w:tcW w:w="1494" w:type="dxa"/>
            <w:vAlign w:val="center"/>
          </w:tcPr>
          <w:p w14:paraId="41123748">
            <w:pPr>
              <w:keepNext w:val="0"/>
              <w:keepLines w:val="0"/>
              <w:suppressLineNumbers w:val="0"/>
              <w:spacing w:before="0" w:beforeAutospacing="0" w:after="0" w:afterAutospacing="0" w:line="360" w:lineRule="auto"/>
              <w:ind w:left="0" w:right="0"/>
              <w:jc w:val="center"/>
              <w:rPr>
                <w:rFonts w:hint="eastAsia" w:ascii="宋体" w:hAnsi="宋体"/>
                <w:b/>
                <w:color w:val="auto"/>
                <w:highlight w:val="none"/>
              </w:rPr>
            </w:pPr>
            <w:r>
              <w:rPr>
                <w:rFonts w:hint="eastAsia" w:ascii="宋体" w:hAnsi="宋体"/>
                <w:color w:val="auto"/>
                <w:highlight w:val="none"/>
              </w:rPr>
              <w:t>合同履行期限</w:t>
            </w:r>
          </w:p>
        </w:tc>
        <w:tc>
          <w:tcPr>
            <w:tcW w:w="6606" w:type="dxa"/>
            <w:vAlign w:val="center"/>
          </w:tcPr>
          <w:p w14:paraId="72DFAE21">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p>
        </w:tc>
      </w:tr>
      <w:tr w14:paraId="1D19F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648" w:type="dxa"/>
            <w:vAlign w:val="center"/>
          </w:tcPr>
          <w:p w14:paraId="40A65C9E">
            <w:pPr>
              <w:keepNext w:val="0"/>
              <w:keepLines w:val="0"/>
              <w:suppressLineNumbers w:val="0"/>
              <w:spacing w:before="0" w:beforeAutospacing="0" w:after="0" w:afterAutospacing="0" w:line="360" w:lineRule="auto"/>
              <w:ind w:left="0" w:right="0"/>
              <w:jc w:val="center"/>
              <w:rPr>
                <w:rFonts w:hint="eastAsia" w:ascii="宋体" w:hAnsi="宋体"/>
                <w:bCs/>
                <w:color w:val="auto"/>
                <w:highlight w:val="none"/>
              </w:rPr>
            </w:pPr>
            <w:r>
              <w:rPr>
                <w:rFonts w:hint="eastAsia" w:ascii="宋体" w:hAnsi="宋体"/>
                <w:bCs/>
                <w:color w:val="auto"/>
                <w:highlight w:val="none"/>
              </w:rPr>
              <w:t>3</w:t>
            </w:r>
          </w:p>
        </w:tc>
        <w:tc>
          <w:tcPr>
            <w:tcW w:w="1494" w:type="dxa"/>
            <w:vAlign w:val="center"/>
          </w:tcPr>
          <w:p w14:paraId="493BDF62">
            <w:pPr>
              <w:keepNext w:val="0"/>
              <w:keepLines w:val="0"/>
              <w:suppressLineNumbers w:val="0"/>
              <w:spacing w:before="0" w:beforeAutospacing="0" w:after="0" w:afterAutospacing="0" w:line="360" w:lineRule="auto"/>
              <w:ind w:left="0" w:right="0"/>
              <w:jc w:val="center"/>
              <w:rPr>
                <w:rFonts w:hint="eastAsia" w:ascii="宋体" w:hAnsi="宋体"/>
                <w:b/>
                <w:color w:val="auto"/>
                <w:highlight w:val="none"/>
              </w:rPr>
            </w:pPr>
            <w:r>
              <w:rPr>
                <w:rFonts w:hint="eastAsia" w:ascii="宋体" w:hAnsi="宋体"/>
                <w:color w:val="auto"/>
                <w:highlight w:val="none"/>
              </w:rPr>
              <w:t>质量承诺</w:t>
            </w:r>
          </w:p>
        </w:tc>
        <w:tc>
          <w:tcPr>
            <w:tcW w:w="6606" w:type="dxa"/>
            <w:vAlign w:val="center"/>
          </w:tcPr>
          <w:p w14:paraId="18F57F1B">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p>
        </w:tc>
      </w:tr>
      <w:tr w14:paraId="1A857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648" w:type="dxa"/>
            <w:vAlign w:val="center"/>
          </w:tcPr>
          <w:p w14:paraId="07A89E10">
            <w:pPr>
              <w:keepNext w:val="0"/>
              <w:keepLines w:val="0"/>
              <w:suppressLineNumbers w:val="0"/>
              <w:spacing w:before="0" w:beforeAutospacing="0" w:after="0" w:afterAutospacing="0" w:line="360" w:lineRule="auto"/>
              <w:ind w:left="0" w:right="0"/>
              <w:jc w:val="center"/>
              <w:rPr>
                <w:rFonts w:hint="eastAsia" w:ascii="宋体" w:hAnsi="宋体" w:eastAsia="宋体"/>
                <w:bCs/>
                <w:color w:val="auto"/>
                <w:highlight w:val="none"/>
                <w:lang w:eastAsia="zh-CN"/>
              </w:rPr>
            </w:pPr>
            <w:r>
              <w:rPr>
                <w:rFonts w:hint="eastAsia" w:ascii="宋体" w:hAnsi="宋体"/>
                <w:bCs/>
                <w:color w:val="auto"/>
                <w:highlight w:val="none"/>
                <w:lang w:val="en-US" w:eastAsia="zh-CN"/>
              </w:rPr>
              <w:t>4</w:t>
            </w:r>
          </w:p>
        </w:tc>
        <w:tc>
          <w:tcPr>
            <w:tcW w:w="1494" w:type="dxa"/>
            <w:vAlign w:val="center"/>
          </w:tcPr>
          <w:p w14:paraId="6AC47DB6">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r>
              <w:rPr>
                <w:rFonts w:hint="eastAsia" w:ascii="宋体" w:hAnsi="宋体"/>
                <w:color w:val="auto"/>
                <w:highlight w:val="none"/>
              </w:rPr>
              <w:t>说明</w:t>
            </w:r>
          </w:p>
        </w:tc>
        <w:tc>
          <w:tcPr>
            <w:tcW w:w="6606" w:type="dxa"/>
            <w:vAlign w:val="center"/>
          </w:tcPr>
          <w:p w14:paraId="0F17AE46">
            <w:pPr>
              <w:keepNext w:val="0"/>
              <w:keepLines w:val="0"/>
              <w:suppressLineNumbers w:val="0"/>
              <w:spacing w:before="0" w:beforeAutospacing="0" w:after="0" w:afterAutospacing="0" w:line="360" w:lineRule="auto"/>
              <w:ind w:left="0" w:right="0"/>
              <w:jc w:val="center"/>
              <w:rPr>
                <w:rFonts w:hint="eastAsia" w:ascii="宋体" w:hAnsi="宋体"/>
                <w:color w:val="auto"/>
                <w:highlight w:val="none"/>
              </w:rPr>
            </w:pPr>
          </w:p>
        </w:tc>
      </w:tr>
    </w:tbl>
    <w:p w14:paraId="0C33D3A9">
      <w:pPr>
        <w:spacing w:line="360" w:lineRule="auto"/>
        <w:rPr>
          <w:color w:val="auto"/>
          <w:highlight w:val="none"/>
        </w:rPr>
      </w:pPr>
    </w:p>
    <w:p w14:paraId="3B4BBF41">
      <w:pPr>
        <w:spacing w:line="360" w:lineRule="auto"/>
        <w:rPr>
          <w:color w:val="auto"/>
          <w:highlight w:val="none"/>
        </w:rPr>
      </w:pPr>
      <w:r>
        <w:rPr>
          <w:rFonts w:hint="eastAsia" w:ascii="宋体" w:hAnsi="宋体"/>
          <w:b/>
          <w:bCs/>
          <w:color w:val="auto"/>
          <w:szCs w:val="21"/>
          <w:highlight w:val="none"/>
        </w:rPr>
        <w:t>供应商：</w:t>
      </w:r>
      <w:r>
        <w:rPr>
          <w:rFonts w:hint="eastAsia" w:ascii="宋体" w:hAnsi="宋体"/>
          <w:b/>
          <w:bCs/>
          <w:color w:val="auto"/>
          <w:highlight w:val="none"/>
          <w:u w:val="single"/>
        </w:rPr>
        <w:t xml:space="preserve">  （电子签章，若为自然人无需签章）    </w:t>
      </w:r>
    </w:p>
    <w:p w14:paraId="63F4F7AE">
      <w:pPr>
        <w:spacing w:line="360" w:lineRule="auto"/>
        <w:rPr>
          <w:rFonts w:hint="eastAsia" w:ascii="宋体" w:hAnsi="宋体"/>
          <w:b/>
          <w:bCs/>
          <w:color w:val="auto"/>
          <w:szCs w:val="21"/>
          <w:highlight w:val="none"/>
        </w:rPr>
      </w:pPr>
    </w:p>
    <w:p w14:paraId="47CEAA99">
      <w:pPr>
        <w:spacing w:line="360" w:lineRule="auto"/>
        <w:rPr>
          <w:color w:val="auto"/>
          <w:highlight w:val="none"/>
        </w:rPr>
      </w:pPr>
      <w:r>
        <w:rPr>
          <w:rFonts w:hint="eastAsia" w:ascii="宋体" w:hAnsi="宋体"/>
          <w:b/>
          <w:bCs/>
          <w:color w:val="auto"/>
          <w:szCs w:val="21"/>
          <w:highlight w:val="none"/>
        </w:rPr>
        <w:t>供应商法定代表人或自然人本人：</w:t>
      </w:r>
      <w:r>
        <w:rPr>
          <w:rFonts w:hint="eastAsia" w:ascii="宋体" w:hAnsi="宋体"/>
          <w:b/>
          <w:bCs/>
          <w:color w:val="auto"/>
          <w:highlight w:val="none"/>
          <w:u w:val="single"/>
        </w:rPr>
        <w:t xml:space="preserve">（电子签章）  </w:t>
      </w:r>
    </w:p>
    <w:p w14:paraId="5E7387FF">
      <w:pPr>
        <w:spacing w:line="360" w:lineRule="auto"/>
        <w:rPr>
          <w:rFonts w:hint="eastAsia" w:ascii="宋体" w:hAnsi="宋体"/>
          <w:b/>
          <w:bCs/>
          <w:color w:val="auto"/>
          <w:szCs w:val="21"/>
          <w:highlight w:val="none"/>
        </w:rPr>
      </w:pPr>
    </w:p>
    <w:p w14:paraId="04AAE18D">
      <w:pPr>
        <w:spacing w:line="360" w:lineRule="auto"/>
        <w:rPr>
          <w:rFonts w:hint="eastAsia" w:ascii="宋体" w:hAnsi="宋体"/>
          <w:b/>
          <w:bCs/>
          <w:color w:val="auto"/>
          <w:szCs w:val="21"/>
          <w:highlight w:val="none"/>
        </w:rPr>
      </w:pPr>
      <w:r>
        <w:rPr>
          <w:rFonts w:hint="eastAsia" w:ascii="宋体" w:hAnsi="宋体"/>
          <w:b/>
          <w:bCs/>
          <w:color w:val="auto"/>
          <w:szCs w:val="21"/>
          <w:highlight w:val="none"/>
        </w:rPr>
        <w:t>填表时间：    年   月   日</w:t>
      </w:r>
    </w:p>
    <w:p w14:paraId="1135285E">
      <w:pPr>
        <w:spacing w:line="360" w:lineRule="auto"/>
        <w:rPr>
          <w:rFonts w:hint="eastAsia" w:ascii="宋体" w:hAnsi="宋体"/>
          <w:b/>
          <w:bCs/>
          <w:color w:val="auto"/>
          <w:szCs w:val="21"/>
          <w:highlight w:val="none"/>
        </w:rPr>
      </w:pPr>
    </w:p>
    <w:p w14:paraId="3F5A52C0">
      <w:pPr>
        <w:pStyle w:val="49"/>
        <w:ind w:left="0" w:leftChars="0" w:firstLine="0" w:firstLineChars="0"/>
        <w:jc w:val="left"/>
        <w:rPr>
          <w:color w:val="auto"/>
          <w:highlight w:val="none"/>
        </w:rPr>
      </w:pPr>
      <w:r>
        <w:rPr>
          <w:color w:val="auto"/>
          <w:highlight w:val="none"/>
        </w:rPr>
        <w:br w:type="page"/>
      </w:r>
    </w:p>
    <w:p w14:paraId="7244B0CF">
      <w:pPr>
        <w:pStyle w:val="6"/>
        <w:numPr>
          <w:ilvl w:val="0"/>
          <w:numId w:val="0"/>
        </w:numPr>
        <w:spacing w:line="360" w:lineRule="auto"/>
        <w:jc w:val="center"/>
        <w:rPr>
          <w:rFonts w:hint="eastAsia" w:ascii="宋体" w:hAnsi="宋体" w:eastAsia="宋体" w:cs="Times New Roman"/>
          <w:b/>
          <w:bCs/>
          <w:color w:val="auto"/>
          <w:kern w:val="0"/>
          <w:sz w:val="28"/>
          <w:szCs w:val="28"/>
          <w:highlight w:val="none"/>
          <w:lang w:val="en-US" w:eastAsia="zh-CN" w:bidi="ar-SA"/>
        </w:rPr>
        <w:sectPr>
          <w:pgSz w:w="11906" w:h="16838"/>
          <w:pgMar w:top="1440" w:right="1800" w:bottom="1118" w:left="1800" w:header="720" w:footer="991" w:gutter="0"/>
          <w:cols w:space="720" w:num="1"/>
        </w:sectPr>
      </w:pPr>
      <w:bookmarkStart w:id="1068" w:name="_Toc30425671"/>
      <w:bookmarkStart w:id="1069" w:name="_Toc34057482"/>
      <w:bookmarkStart w:id="1070" w:name="_Toc10146"/>
      <w:bookmarkStart w:id="1071" w:name="_Toc22302990"/>
      <w:bookmarkStart w:id="1072" w:name="_Toc48484496"/>
      <w:bookmarkStart w:id="1073" w:name="_Toc23404"/>
      <w:bookmarkStart w:id="1074" w:name="_Toc26270954"/>
      <w:bookmarkStart w:id="1075" w:name="_Toc48038762"/>
      <w:bookmarkStart w:id="1076" w:name="_Toc19408"/>
    </w:p>
    <w:p w14:paraId="6158F98F">
      <w:pPr>
        <w:pStyle w:val="6"/>
        <w:spacing w:line="360" w:lineRule="auto"/>
        <w:jc w:val="center"/>
        <w:rPr>
          <w:rFonts w:hint="eastAsia" w:ascii="宋体" w:hAnsi="宋体" w:eastAsia="宋体"/>
          <w:color w:val="auto"/>
          <w:highlight w:val="none"/>
        </w:rPr>
      </w:pPr>
      <w:r>
        <w:rPr>
          <w:rFonts w:hint="eastAsia" w:ascii="宋体" w:hAnsi="宋体" w:eastAsia="宋体"/>
          <w:color w:val="auto"/>
          <w:highlight w:val="none"/>
        </w:rPr>
        <w:t>三、磋商函</w:t>
      </w:r>
    </w:p>
    <w:p w14:paraId="79D7ABFE">
      <w:pPr>
        <w:spacing w:line="360" w:lineRule="auto"/>
        <w:rPr>
          <w:color w:val="auto"/>
          <w:highlight w:val="none"/>
        </w:rPr>
      </w:pPr>
      <w:r>
        <w:rPr>
          <w:color w:val="auto"/>
          <w:sz w:val="24"/>
          <w:highlight w:val="none"/>
          <w:u w:val="single"/>
        </w:rPr>
        <w:t xml:space="preserve">   </w:t>
      </w:r>
      <w:r>
        <w:rPr>
          <w:color w:val="auto"/>
          <w:highlight w:val="none"/>
          <w:u w:val="single"/>
        </w:rPr>
        <w:t xml:space="preserve">（采购人全称）  </w:t>
      </w:r>
      <w:r>
        <w:rPr>
          <w:color w:val="auto"/>
          <w:highlight w:val="none"/>
        </w:rPr>
        <w:t>：</w:t>
      </w:r>
    </w:p>
    <w:p w14:paraId="103ED4DD">
      <w:pPr>
        <w:spacing w:line="360" w:lineRule="auto"/>
        <w:ind w:firstLine="490"/>
        <w:rPr>
          <w:rFonts w:hint="eastAsia" w:ascii="宋体" w:hAnsi="宋体"/>
          <w:color w:val="auto"/>
          <w:szCs w:val="21"/>
          <w:highlight w:val="none"/>
          <w:u w:val="single"/>
        </w:rPr>
      </w:pPr>
      <w:r>
        <w:rPr>
          <w:rFonts w:hint="eastAsia" w:ascii="宋体" w:hAnsi="宋体"/>
          <w:color w:val="auto"/>
          <w:szCs w:val="21"/>
          <w:highlight w:val="none"/>
        </w:rPr>
        <w:t>1、</w:t>
      </w:r>
      <w:r>
        <w:rPr>
          <w:color w:val="auto"/>
          <w:highlight w:val="none"/>
        </w:rPr>
        <w:t>根据你方竞争性磋商项目</w:t>
      </w:r>
      <w:r>
        <w:rPr>
          <w:color w:val="auto"/>
          <w:highlight w:val="none"/>
          <w:u w:val="single"/>
        </w:rPr>
        <w:t xml:space="preserve">   （项目名称）  </w:t>
      </w:r>
      <w:r>
        <w:rPr>
          <w:color w:val="auto"/>
          <w:highlight w:val="none"/>
        </w:rPr>
        <w:t>文件，</w:t>
      </w:r>
      <w:r>
        <w:rPr>
          <w:rFonts w:hint="eastAsia"/>
          <w:color w:val="auto"/>
          <w:highlight w:val="none"/>
        </w:rPr>
        <w:t>根据</w:t>
      </w:r>
      <w:r>
        <w:rPr>
          <w:color w:val="auto"/>
          <w:highlight w:val="none"/>
        </w:rPr>
        <w:t>《中华人民共和国政府采购法》、</w:t>
      </w:r>
      <w:r>
        <w:rPr>
          <w:rFonts w:hint="eastAsia" w:ascii="宋体" w:hAnsi="宋体" w:cs="宋体"/>
          <w:color w:val="auto"/>
          <w:szCs w:val="21"/>
          <w:highlight w:val="none"/>
        </w:rPr>
        <w:t>中华人民共和国财政部令第87号《政府采购货物和服务招标投标管理办法》、</w:t>
      </w:r>
      <w:r>
        <w:rPr>
          <w:color w:val="auto"/>
          <w:highlight w:val="none"/>
        </w:rPr>
        <w:t>财政部关于印发《政府采购竞争性磋商采购方式管理暂行办法》的通知（财库【2014】214号）等有关规定，经踏勘项目现场和研究上述竞争性磋商文件的供应商须知、合同条款、技术标准与要求及其他有关文件后，我方愿以磋商报价：</w:t>
      </w:r>
      <w:r>
        <w:rPr>
          <w:rFonts w:hint="eastAsia"/>
          <w:color w:val="auto"/>
          <w:highlight w:val="none"/>
          <w:u w:val="single"/>
          <w:lang w:val="en-US" w:eastAsia="zh-CN"/>
        </w:rPr>
        <w:t xml:space="preserve">      </w:t>
      </w:r>
      <w:r>
        <w:rPr>
          <w:rFonts w:hint="eastAsia" w:ascii="宋体" w:hAnsi="宋体" w:cs="宋体"/>
          <w:b/>
          <w:bCs/>
          <w:color w:val="auto"/>
          <w:kern w:val="0"/>
          <w:szCs w:val="21"/>
          <w:highlight w:val="none"/>
        </w:rPr>
        <w:t>元</w:t>
      </w:r>
      <w:r>
        <w:rPr>
          <w:color w:val="auto"/>
          <w:spacing w:val="7"/>
          <w:szCs w:val="21"/>
          <w:highlight w:val="none"/>
        </w:rPr>
        <w:t>；</w:t>
      </w:r>
      <w:r>
        <w:rPr>
          <w:rFonts w:hint="eastAsia"/>
          <w:color w:val="auto"/>
          <w:spacing w:val="7"/>
          <w:highlight w:val="none"/>
        </w:rPr>
        <w:t>合同履行期限</w:t>
      </w:r>
      <w:r>
        <w:rPr>
          <w:color w:val="auto"/>
          <w:spacing w:val="7"/>
          <w:highlight w:val="none"/>
        </w:rPr>
        <w:t>：</w:t>
      </w:r>
      <w:r>
        <w:rPr>
          <w:color w:val="auto"/>
          <w:spacing w:val="7"/>
          <w:highlight w:val="none"/>
          <w:u w:val="single"/>
        </w:rPr>
        <w:t xml:space="preserve">     </w:t>
      </w:r>
      <w:r>
        <w:rPr>
          <w:color w:val="auto"/>
          <w:spacing w:val="7"/>
          <w:highlight w:val="none"/>
        </w:rPr>
        <w:t>；质量承诺：</w:t>
      </w:r>
      <w:r>
        <w:rPr>
          <w:color w:val="auto"/>
          <w:spacing w:val="7"/>
          <w:highlight w:val="none"/>
          <w:u w:val="single"/>
        </w:rPr>
        <w:t xml:space="preserve">     </w:t>
      </w:r>
      <w:r>
        <w:rPr>
          <w:color w:val="auto"/>
          <w:spacing w:val="7"/>
          <w:highlight w:val="none"/>
        </w:rPr>
        <w:t>；</w:t>
      </w:r>
      <w:r>
        <w:rPr>
          <w:color w:val="auto"/>
          <w:highlight w:val="none"/>
        </w:rPr>
        <w:t>承担本项目的全部工作。并按上述合同条款、</w:t>
      </w:r>
      <w:r>
        <w:rPr>
          <w:rFonts w:hint="eastAsia"/>
          <w:color w:val="auto"/>
          <w:highlight w:val="none"/>
        </w:rPr>
        <w:t>采购需求</w:t>
      </w:r>
      <w:r>
        <w:rPr>
          <w:color w:val="auto"/>
          <w:highlight w:val="none"/>
        </w:rPr>
        <w:t>完成本项目工作，承担缺陷责任。</w:t>
      </w:r>
    </w:p>
    <w:p w14:paraId="77B0E57B">
      <w:pPr>
        <w:spacing w:line="360" w:lineRule="auto"/>
        <w:ind w:firstLine="49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highlight w:val="none"/>
        </w:rPr>
        <w:t>我方</w:t>
      </w:r>
      <w:r>
        <w:rPr>
          <w:rFonts w:hint="eastAsia" w:ascii="宋体" w:hAnsi="宋体"/>
          <w:color w:val="auto"/>
          <w:szCs w:val="21"/>
          <w:highlight w:val="none"/>
        </w:rPr>
        <w:t>承诺我们的磋商报价不低于我们自身的成本。</w:t>
      </w:r>
    </w:p>
    <w:p w14:paraId="31DE7DFF">
      <w:pPr>
        <w:spacing w:line="360" w:lineRule="auto"/>
        <w:ind w:firstLine="490"/>
        <w:rPr>
          <w:rFonts w:hint="eastAsia" w:ascii="宋体" w:hAnsi="宋体"/>
          <w:color w:val="auto"/>
          <w:szCs w:val="21"/>
          <w:highlight w:val="none"/>
        </w:rPr>
      </w:pPr>
      <w:r>
        <w:rPr>
          <w:rFonts w:hint="eastAsia" w:ascii="宋体" w:hAnsi="宋体"/>
          <w:color w:val="auto"/>
          <w:szCs w:val="21"/>
          <w:highlight w:val="none"/>
        </w:rPr>
        <w:t>3、我方已详细审核全部竞争性磋商文件，包括修改文件（如有）及有关附件。</w:t>
      </w:r>
    </w:p>
    <w:p w14:paraId="0F69583F">
      <w:pPr>
        <w:spacing w:line="360" w:lineRule="auto"/>
        <w:ind w:firstLine="490"/>
        <w:rPr>
          <w:rFonts w:hint="eastAsia" w:ascii="宋体" w:hAnsi="宋体"/>
          <w:color w:val="auto"/>
          <w:szCs w:val="21"/>
          <w:highlight w:val="none"/>
        </w:rPr>
      </w:pPr>
      <w:r>
        <w:rPr>
          <w:rFonts w:hint="eastAsia" w:ascii="宋体" w:hAnsi="宋体"/>
          <w:color w:val="auto"/>
          <w:szCs w:val="21"/>
          <w:highlight w:val="none"/>
        </w:rPr>
        <w:t>4、</w:t>
      </w:r>
      <w:r>
        <w:rPr>
          <w:color w:val="auto"/>
          <w:highlight w:val="none"/>
        </w:rPr>
        <w:t>一旦我方成交，我方保证按响应文件承诺的</w:t>
      </w:r>
      <w:r>
        <w:rPr>
          <w:rFonts w:hint="eastAsia"/>
          <w:color w:val="auto"/>
          <w:highlight w:val="none"/>
        </w:rPr>
        <w:t>合同履行期限</w:t>
      </w:r>
      <w:r>
        <w:rPr>
          <w:color w:val="auto"/>
          <w:highlight w:val="none"/>
        </w:rPr>
        <w:t>及质量承诺完成本项目合同范围内工作任务。</w:t>
      </w:r>
    </w:p>
    <w:p w14:paraId="23ABDC77">
      <w:pPr>
        <w:spacing w:line="360" w:lineRule="auto"/>
        <w:ind w:firstLine="490"/>
        <w:rPr>
          <w:rFonts w:hint="eastAsia" w:ascii="宋体" w:hAnsi="宋体"/>
          <w:color w:val="auto"/>
          <w:szCs w:val="21"/>
          <w:highlight w:val="none"/>
        </w:rPr>
      </w:pPr>
      <w:r>
        <w:rPr>
          <w:rFonts w:hint="eastAsia" w:ascii="宋体" w:hAnsi="宋体"/>
          <w:color w:val="auto"/>
          <w:szCs w:val="21"/>
          <w:highlight w:val="none"/>
        </w:rPr>
        <w:t>5、</w:t>
      </w:r>
      <w:r>
        <w:rPr>
          <w:color w:val="auto"/>
          <w:highlight w:val="none"/>
        </w:rPr>
        <w:t>我方同意所提交的响应文件在竞争性磋商文件的供应商须知中规定的磋商有效期内有效，在此期间内如果成交，我方将受此约束。</w:t>
      </w:r>
    </w:p>
    <w:p w14:paraId="463A0DA5">
      <w:pPr>
        <w:spacing w:line="360" w:lineRule="auto"/>
        <w:ind w:firstLine="490"/>
        <w:rPr>
          <w:rFonts w:hint="eastAsia" w:ascii="宋体" w:hAnsi="宋体"/>
          <w:color w:val="auto"/>
          <w:szCs w:val="21"/>
          <w:highlight w:val="none"/>
        </w:rPr>
      </w:pPr>
      <w:r>
        <w:rPr>
          <w:rFonts w:hint="eastAsia" w:ascii="宋体" w:hAnsi="宋体"/>
          <w:color w:val="auto"/>
          <w:szCs w:val="21"/>
          <w:highlight w:val="none"/>
        </w:rPr>
        <w:t>6、除非另外达成协议并生效，你方的成交通知书和本响应文件将成为约束双方的合同文件的组成部分。</w:t>
      </w:r>
    </w:p>
    <w:p w14:paraId="2AB6D3B4">
      <w:pPr>
        <w:spacing w:line="360" w:lineRule="auto"/>
        <w:ind w:firstLine="490"/>
        <w:rPr>
          <w:rFonts w:hint="eastAsia" w:ascii="宋体" w:hAnsi="宋体"/>
          <w:color w:val="auto"/>
          <w:szCs w:val="21"/>
          <w:highlight w:val="none"/>
        </w:rPr>
      </w:pPr>
      <w:r>
        <w:rPr>
          <w:rFonts w:hint="eastAsia" w:ascii="宋体" w:hAnsi="宋体"/>
          <w:color w:val="auto"/>
          <w:szCs w:val="21"/>
          <w:highlight w:val="none"/>
        </w:rPr>
        <w:t xml:space="preserve">      </w:t>
      </w:r>
    </w:p>
    <w:p w14:paraId="29774617">
      <w:pPr>
        <w:tabs>
          <w:tab w:val="left" w:pos="1560"/>
        </w:tabs>
        <w:spacing w:line="360" w:lineRule="auto"/>
        <w:ind w:firstLine="1470" w:firstLineChars="700"/>
        <w:jc w:val="left"/>
        <w:rPr>
          <w:rFonts w:hint="eastAsia" w:ascii="宋体" w:hAnsi="宋体"/>
          <w:color w:val="auto"/>
          <w:szCs w:val="21"/>
          <w:highlight w:val="none"/>
        </w:rPr>
      </w:pPr>
    </w:p>
    <w:p w14:paraId="5F1CC6E1">
      <w:pPr>
        <w:tabs>
          <w:tab w:val="left" w:pos="1560"/>
        </w:tabs>
        <w:spacing w:line="360" w:lineRule="auto"/>
        <w:ind w:firstLine="1470" w:firstLineChars="700"/>
        <w:jc w:val="left"/>
        <w:rPr>
          <w:rFonts w:hint="eastAsia" w:ascii="宋体" w:hAnsi="宋体"/>
          <w:color w:val="auto"/>
          <w:szCs w:val="21"/>
          <w:highlight w:val="none"/>
        </w:rPr>
      </w:pPr>
      <w:r>
        <w:rPr>
          <w:rFonts w:hint="eastAsia" w:ascii="宋体" w:hAnsi="宋体"/>
          <w:color w:val="auto"/>
          <w:szCs w:val="21"/>
          <w:highlight w:val="none"/>
        </w:rPr>
        <w:t>供应商名称：（电子签章，若为自然人无需签章）</w:t>
      </w:r>
    </w:p>
    <w:p w14:paraId="43B77780">
      <w:pPr>
        <w:tabs>
          <w:tab w:val="left" w:pos="1560"/>
        </w:tabs>
        <w:spacing w:line="360" w:lineRule="auto"/>
        <w:ind w:firstLine="1470" w:firstLineChars="700"/>
        <w:jc w:val="left"/>
        <w:rPr>
          <w:rFonts w:hint="eastAsia" w:ascii="宋体" w:hAnsi="宋体"/>
          <w:color w:val="auto"/>
          <w:szCs w:val="21"/>
          <w:highlight w:val="none"/>
        </w:rPr>
      </w:pPr>
      <w:r>
        <w:rPr>
          <w:rFonts w:hint="eastAsia" w:ascii="宋体" w:hAnsi="宋体"/>
          <w:color w:val="auto"/>
          <w:szCs w:val="21"/>
          <w:highlight w:val="none"/>
        </w:rPr>
        <w:t>供应商</w:t>
      </w:r>
      <w:r>
        <w:rPr>
          <w:rFonts w:hint="eastAsia" w:ascii="宋体" w:hAnsi="宋体" w:cs="宋体"/>
          <w:bCs/>
          <w:color w:val="auto"/>
          <w:szCs w:val="21"/>
          <w:highlight w:val="none"/>
        </w:rPr>
        <w:t>法定代表人或自然人本人</w:t>
      </w:r>
      <w:r>
        <w:rPr>
          <w:rFonts w:hint="eastAsia" w:ascii="宋体" w:hAnsi="宋体"/>
          <w:color w:val="auto"/>
          <w:szCs w:val="21"/>
          <w:highlight w:val="none"/>
        </w:rPr>
        <w:t>：（电子签章）</w:t>
      </w:r>
    </w:p>
    <w:p w14:paraId="57062C00">
      <w:pPr>
        <w:tabs>
          <w:tab w:val="left" w:pos="1560"/>
        </w:tabs>
        <w:spacing w:line="360" w:lineRule="auto"/>
        <w:ind w:firstLine="1470" w:firstLineChars="700"/>
        <w:jc w:val="left"/>
        <w:rPr>
          <w:rFonts w:hint="eastAsia" w:ascii="宋体" w:hAnsi="宋体"/>
          <w:color w:val="auto"/>
          <w:szCs w:val="21"/>
          <w:highlight w:val="none"/>
        </w:rPr>
      </w:pPr>
      <w:r>
        <w:rPr>
          <w:rFonts w:hint="eastAsia" w:ascii="宋体" w:hAnsi="宋体"/>
          <w:color w:val="auto"/>
          <w:szCs w:val="21"/>
          <w:highlight w:val="none"/>
        </w:rPr>
        <w:t>地址：（包括电话、传真、邮编）</w:t>
      </w:r>
    </w:p>
    <w:p w14:paraId="7F8F3A0B">
      <w:pPr>
        <w:tabs>
          <w:tab w:val="left" w:pos="1560"/>
        </w:tabs>
        <w:spacing w:line="360" w:lineRule="auto"/>
        <w:ind w:firstLine="1470" w:firstLineChars="700"/>
        <w:jc w:val="left"/>
        <w:rPr>
          <w:rFonts w:hint="eastAsia" w:ascii="宋体" w:hAnsi="宋体"/>
          <w:color w:val="auto"/>
          <w:szCs w:val="21"/>
          <w:highlight w:val="none"/>
        </w:rPr>
      </w:pPr>
      <w:r>
        <w:rPr>
          <w:rFonts w:hint="eastAsia" w:ascii="宋体" w:hAnsi="宋体"/>
          <w:color w:val="auto"/>
          <w:szCs w:val="21"/>
          <w:highlight w:val="none"/>
        </w:rPr>
        <w:t>银行账号：（包括开户行地址、电话、传真、邮编）</w:t>
      </w:r>
    </w:p>
    <w:p w14:paraId="661E0A43">
      <w:pPr>
        <w:bidi w:val="0"/>
        <w:ind w:firstLine="1470" w:firstLineChars="700"/>
        <w:rPr>
          <w:rFonts w:hint="eastAsia"/>
          <w:color w:val="auto"/>
          <w:highlight w:val="none"/>
        </w:rPr>
      </w:pPr>
      <w:r>
        <w:rPr>
          <w:rFonts w:hint="eastAsia"/>
          <w:color w:val="auto"/>
          <w:highlight w:val="none"/>
        </w:rPr>
        <w:t>日期：      年    月    日</w:t>
      </w:r>
      <w:bookmarkEnd w:id="1068"/>
      <w:bookmarkEnd w:id="1069"/>
      <w:bookmarkEnd w:id="1070"/>
      <w:bookmarkEnd w:id="1071"/>
      <w:bookmarkEnd w:id="1072"/>
      <w:bookmarkEnd w:id="1073"/>
      <w:bookmarkEnd w:id="1074"/>
      <w:bookmarkEnd w:id="1075"/>
      <w:bookmarkEnd w:id="1076"/>
    </w:p>
    <w:p w14:paraId="2DC166E9">
      <w:pPr>
        <w:bidi w:val="0"/>
        <w:ind w:firstLine="1470" w:firstLineChars="700"/>
        <w:rPr>
          <w:color w:val="auto"/>
          <w:highlight w:val="none"/>
        </w:rPr>
      </w:pPr>
      <w:r>
        <w:rPr>
          <w:color w:val="auto"/>
          <w:highlight w:val="none"/>
        </w:rPr>
        <w:br w:type="page"/>
      </w:r>
    </w:p>
    <w:p w14:paraId="6F95C7B1">
      <w:pPr>
        <w:pStyle w:val="4"/>
        <w:spacing w:line="360" w:lineRule="auto"/>
        <w:jc w:val="center"/>
        <w:rPr>
          <w:rFonts w:hint="eastAsia" w:ascii="宋体" w:hAnsi="宋体"/>
          <w:b w:val="0"/>
          <w:bCs w:val="0"/>
          <w:color w:val="auto"/>
          <w:highlight w:val="none"/>
        </w:rPr>
      </w:pPr>
      <w:bookmarkStart w:id="1077" w:name="_Toc466623440"/>
      <w:bookmarkStart w:id="1078" w:name="_Toc5638"/>
      <w:bookmarkStart w:id="1079" w:name="_Toc16556"/>
      <w:bookmarkStart w:id="1080" w:name="_Toc272420750"/>
      <w:bookmarkStart w:id="1081" w:name="_Toc48484498"/>
      <w:bookmarkStart w:id="1082" w:name="_Toc48038764"/>
      <w:bookmarkStart w:id="1083" w:name="_Toc27279"/>
      <w:bookmarkStart w:id="1084" w:name="_Toc509841348"/>
      <w:bookmarkStart w:id="1085" w:name="_Toc3808"/>
      <w:bookmarkStart w:id="1086" w:name="_Toc22282"/>
      <w:bookmarkStart w:id="1087" w:name="_Toc465778844"/>
      <w:r>
        <w:rPr>
          <w:rFonts w:hint="eastAsia" w:ascii="宋体" w:hAnsi="宋体" w:eastAsia="宋体"/>
          <w:color w:val="auto"/>
          <w:highlight w:val="none"/>
        </w:rPr>
        <w:t>第四部分  响应文件技术部分格式</w:t>
      </w:r>
      <w:bookmarkEnd w:id="1077"/>
      <w:bookmarkEnd w:id="1078"/>
      <w:bookmarkEnd w:id="1079"/>
      <w:bookmarkEnd w:id="1080"/>
      <w:bookmarkEnd w:id="1081"/>
      <w:bookmarkEnd w:id="1082"/>
      <w:bookmarkEnd w:id="1083"/>
      <w:bookmarkEnd w:id="1084"/>
      <w:bookmarkEnd w:id="1085"/>
      <w:bookmarkEnd w:id="1086"/>
      <w:bookmarkEnd w:id="1087"/>
    </w:p>
    <w:p w14:paraId="7DC4CC20">
      <w:pPr>
        <w:spacing w:line="360" w:lineRule="auto"/>
        <w:rPr>
          <w:rFonts w:hint="eastAsia" w:ascii="宋体" w:hAnsi="宋体" w:eastAsia="宋体"/>
          <w:color w:val="auto"/>
          <w:szCs w:val="21"/>
          <w:highlight w:val="none"/>
          <w:lang w:eastAsia="zh-CN"/>
        </w:rPr>
      </w:pPr>
      <w:r>
        <w:rPr>
          <w:rFonts w:hint="eastAsia"/>
          <w:b/>
          <w:color w:val="auto"/>
          <w:highlight w:val="none"/>
        </w:rPr>
        <w:t>技术部分文件应包含但不限于以下内容</w:t>
      </w:r>
      <w:r>
        <w:rPr>
          <w:rFonts w:hint="eastAsia"/>
          <w:b/>
          <w:color w:val="auto"/>
          <w:highlight w:val="none"/>
          <w:lang w:eastAsia="zh-CN"/>
        </w:rPr>
        <w:t>：</w:t>
      </w:r>
    </w:p>
    <w:p w14:paraId="269D1DF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cs="Arial"/>
          <w:b/>
          <w:color w:val="auto"/>
          <w:spacing w:val="8"/>
          <w:kern w:val="0"/>
          <w:highlight w:val="none"/>
        </w:rPr>
      </w:pPr>
      <w:bookmarkStart w:id="1088" w:name="_Toc48038765"/>
      <w:bookmarkStart w:id="1089" w:name="_Toc48484499"/>
      <w:r>
        <w:rPr>
          <w:rFonts w:hint="eastAsia" w:ascii="宋体" w:hAnsi="宋体" w:cs="Arial"/>
          <w:b/>
          <w:color w:val="auto"/>
          <w:spacing w:val="8"/>
          <w:kern w:val="0"/>
          <w:highlight w:val="none"/>
        </w:rPr>
        <w:t>1、</w:t>
      </w:r>
      <w:r>
        <w:rPr>
          <w:rFonts w:hint="eastAsia" w:ascii="宋体" w:hAnsi="宋体" w:eastAsia="宋体" w:cs="宋体"/>
          <w:b/>
          <w:bCs/>
          <w:color w:val="auto"/>
          <w:szCs w:val="21"/>
          <w:highlight w:val="none"/>
          <w:lang w:val="en-US" w:eastAsia="zh-CN"/>
        </w:rPr>
        <w:t>对项目的认识理解及重难点分析</w:t>
      </w:r>
    </w:p>
    <w:p w14:paraId="0AD1ED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rPr>
          <w:rFonts w:hint="eastAsia" w:ascii="宋体" w:hAnsi="宋体" w:cs="Arial"/>
          <w:b/>
          <w:color w:val="auto"/>
          <w:spacing w:val="8"/>
          <w:kern w:val="0"/>
          <w:highlight w:val="none"/>
          <w:lang w:val="en-US" w:eastAsia="zh-CN"/>
        </w:rPr>
      </w:pPr>
      <w:r>
        <w:rPr>
          <w:rFonts w:hint="eastAsia" w:ascii="宋体" w:hAnsi="宋体" w:cs="Arial"/>
          <w:b/>
          <w:color w:val="auto"/>
          <w:spacing w:val="8"/>
          <w:kern w:val="0"/>
          <w:highlight w:val="none"/>
        </w:rPr>
        <w:t>2、</w:t>
      </w:r>
      <w:r>
        <w:rPr>
          <w:rFonts w:hint="eastAsia" w:ascii="宋体" w:hAnsi="宋体" w:cs="Arial"/>
          <w:b/>
          <w:color w:val="auto"/>
          <w:spacing w:val="8"/>
          <w:kern w:val="0"/>
          <w:highlight w:val="none"/>
          <w:lang w:val="en-US" w:eastAsia="zh-CN"/>
        </w:rPr>
        <w:t>设计方案</w:t>
      </w:r>
    </w:p>
    <w:p w14:paraId="048CD8A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cs="Arial"/>
          <w:b/>
          <w:color w:val="auto"/>
          <w:spacing w:val="8"/>
          <w:kern w:val="0"/>
          <w:highlight w:val="none"/>
        </w:rPr>
      </w:pPr>
      <w:r>
        <w:rPr>
          <w:rFonts w:hint="eastAsia" w:ascii="宋体" w:hAnsi="宋体" w:cs="Arial"/>
          <w:b/>
          <w:color w:val="auto"/>
          <w:spacing w:val="8"/>
          <w:kern w:val="0"/>
          <w:highlight w:val="none"/>
          <w:lang w:val="en-US" w:eastAsia="zh-CN"/>
        </w:rPr>
        <w:t>3、</w:t>
      </w:r>
      <w:r>
        <w:rPr>
          <w:rFonts w:hint="eastAsia" w:ascii="宋体" w:hAnsi="宋体" w:cs="宋体"/>
          <w:b/>
          <w:bCs/>
          <w:color w:val="auto"/>
          <w:szCs w:val="21"/>
          <w:highlight w:val="none"/>
          <w:lang w:val="en-US" w:eastAsia="zh-CN"/>
        </w:rPr>
        <w:t>设计进度</w:t>
      </w:r>
      <w:r>
        <w:rPr>
          <w:rFonts w:hint="eastAsia" w:ascii="宋体" w:hAnsi="宋体" w:eastAsia="宋体" w:cs="宋体"/>
          <w:b/>
          <w:bCs/>
          <w:color w:val="auto"/>
          <w:szCs w:val="21"/>
          <w:highlight w:val="none"/>
          <w:lang w:val="en-US" w:eastAsia="zh-CN"/>
        </w:rPr>
        <w:t>计划</w:t>
      </w:r>
    </w:p>
    <w:p w14:paraId="74125B1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eastAsia="宋体" w:cs="Arial"/>
          <w:b/>
          <w:color w:val="auto"/>
          <w:spacing w:val="8"/>
          <w:kern w:val="0"/>
          <w:highlight w:val="none"/>
          <w:lang w:eastAsia="zh-CN"/>
        </w:rPr>
      </w:pPr>
      <w:r>
        <w:rPr>
          <w:rFonts w:hint="eastAsia" w:ascii="宋体" w:hAnsi="宋体" w:cs="Arial"/>
          <w:b/>
          <w:color w:val="auto"/>
          <w:spacing w:val="8"/>
          <w:kern w:val="0"/>
          <w:highlight w:val="none"/>
          <w:lang w:val="en-US" w:eastAsia="zh-CN"/>
        </w:rPr>
        <w:t>4</w:t>
      </w:r>
      <w:r>
        <w:rPr>
          <w:rFonts w:hint="eastAsia" w:ascii="宋体" w:hAnsi="宋体" w:cs="Arial"/>
          <w:b/>
          <w:color w:val="auto"/>
          <w:spacing w:val="8"/>
          <w:kern w:val="0"/>
          <w:highlight w:val="none"/>
        </w:rPr>
        <w:t>、</w:t>
      </w:r>
      <w:r>
        <w:rPr>
          <w:rFonts w:hint="eastAsia" w:ascii="宋体" w:hAnsi="宋体" w:cs="Arial"/>
          <w:b/>
          <w:color w:val="auto"/>
          <w:spacing w:val="8"/>
          <w:kern w:val="0"/>
          <w:highlight w:val="none"/>
          <w:lang w:val="en-US" w:eastAsia="zh-CN"/>
        </w:rPr>
        <w:t>质量保障措施</w:t>
      </w:r>
    </w:p>
    <w:p w14:paraId="4791701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eastAsia" w:ascii="宋体" w:hAnsi="宋体" w:cs="Arial"/>
          <w:b/>
          <w:color w:val="auto"/>
          <w:spacing w:val="8"/>
          <w:kern w:val="0"/>
          <w:highlight w:val="none"/>
        </w:rPr>
      </w:pPr>
      <w:r>
        <w:rPr>
          <w:rFonts w:hint="eastAsia" w:ascii="宋体" w:hAnsi="宋体" w:cs="Arial"/>
          <w:b/>
          <w:color w:val="auto"/>
          <w:spacing w:val="8"/>
          <w:kern w:val="0"/>
          <w:highlight w:val="none"/>
          <w:lang w:val="en-US" w:eastAsia="zh-CN"/>
        </w:rPr>
        <w:t>5</w:t>
      </w:r>
      <w:r>
        <w:rPr>
          <w:rFonts w:hint="eastAsia" w:ascii="宋体" w:hAnsi="宋体" w:cs="Arial"/>
          <w:b/>
          <w:color w:val="auto"/>
          <w:spacing w:val="8"/>
          <w:kern w:val="0"/>
          <w:highlight w:val="none"/>
        </w:rPr>
        <w:t>、人员及管理机构</w:t>
      </w:r>
    </w:p>
    <w:p w14:paraId="43EF45C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left"/>
        <w:textAlignment w:val="auto"/>
        <w:rPr>
          <w:rFonts w:hint="default" w:eastAsia="宋体"/>
          <w:color w:val="auto"/>
          <w:highlight w:val="none"/>
          <w:lang w:val="en-US" w:eastAsia="zh-CN"/>
        </w:rPr>
      </w:pPr>
      <w:r>
        <w:rPr>
          <w:rFonts w:hint="eastAsia" w:ascii="宋体" w:hAnsi="宋体" w:cs="Arial"/>
          <w:b/>
          <w:color w:val="auto"/>
          <w:spacing w:val="8"/>
          <w:kern w:val="0"/>
          <w:highlight w:val="none"/>
          <w:lang w:val="en-US" w:eastAsia="zh-CN"/>
        </w:rPr>
        <w:t>6、企业业绩</w:t>
      </w:r>
    </w:p>
    <w:p w14:paraId="0265D50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olor w:val="auto"/>
          <w:highlight w:val="none"/>
        </w:rPr>
      </w:pPr>
      <w:r>
        <w:rPr>
          <w:rFonts w:hint="eastAsia" w:ascii="宋体" w:hAnsi="宋体"/>
          <w:color w:val="auto"/>
          <w:szCs w:val="21"/>
          <w:highlight w:val="none"/>
        </w:rPr>
        <w:t>注：本章所提供格式未包括磋商需提供的全部内容，本章有格式要求的内容按格式要求填报，无格式要求的内容可自行填报</w:t>
      </w:r>
      <w:r>
        <w:rPr>
          <w:rFonts w:hint="eastAsia" w:ascii="宋体" w:hAnsi="宋体"/>
          <w:color w:val="auto"/>
          <w:highlight w:val="none"/>
        </w:rPr>
        <w:t>。</w:t>
      </w:r>
    </w:p>
    <w:bookmarkEnd w:id="1088"/>
    <w:bookmarkEnd w:id="1089"/>
    <w:p w14:paraId="17A924AA">
      <w:pPr>
        <w:spacing w:line="360" w:lineRule="auto"/>
        <w:rPr>
          <w:color w:val="auto"/>
          <w:highlight w:val="none"/>
        </w:rPr>
      </w:pPr>
    </w:p>
    <w:sectPr>
      <w:pgSz w:w="11906" w:h="16838"/>
      <w:pgMar w:top="1440" w:right="1800" w:bottom="1118" w:left="1800" w:header="720" w:footer="99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Microsoft YaHei UI">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五只小可爱">
    <w:altName w:val="宋体"/>
    <w:panose1 w:val="02000503000000000000"/>
    <w:charset w:val="86"/>
    <w:family w:val="auto"/>
    <w:pitch w:val="default"/>
    <w:sig w:usb0="00000000" w:usb1="00000000" w:usb2="00000012" w:usb3="00000000" w:csb0="00040001" w:csb1="00000000"/>
  </w:font>
  <w:font w:name="Verdana">
    <w:panose1 w:val="020B0604030504040204"/>
    <w:charset w:val="00"/>
    <w:family w:val="swiss"/>
    <w:pitch w:val="default"/>
    <w:sig w:usb0="A00006FF" w:usb1="4000205B" w:usb2="00000010" w:usb3="00000000" w:csb0="2000019F" w:csb1="00000000"/>
  </w:font>
  <w:font w:name="Arial Black">
    <w:panose1 w:val="020B0A04020102020204"/>
    <w:charset w:val="00"/>
    <w:family w:val="swiss"/>
    <w:pitch w:val="default"/>
    <w:sig w:usb0="A00002AF" w:usb1="400078FB" w:usb2="00000000" w:usb3="00000000" w:csb0="6000009F" w:csb1="DFD7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Good Times">
    <w:altName w:val="Segoe Print"/>
    <w:panose1 w:val="00000500000000000000"/>
    <w:charset w:val="00"/>
    <w:family w:val="auto"/>
    <w:pitch w:val="default"/>
    <w:sig w:usb0="00000000" w:usb1="00000000" w:usb2="00000000" w:usb3="00000000" w:csb0="00000003"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decorative"/>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00A3E">
    <w:pPr>
      <w:pStyle w:val="3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48D5F">
    <w:pPr>
      <w:pStyle w:val="33"/>
      <w:framePr w:wrap="around" w:vAnchor="text" w:hAnchor="margin" w:xAlign="center" w:y="1"/>
      <w:rPr>
        <w:rStyle w:val="55"/>
      </w:rPr>
    </w:pPr>
    <w:r>
      <w:fldChar w:fldCharType="begin"/>
    </w:r>
    <w:r>
      <w:rPr>
        <w:rStyle w:val="55"/>
      </w:rPr>
      <w:instrText xml:space="preserve">PAGE  </w:instrText>
    </w:r>
    <w:r>
      <w:fldChar w:fldCharType="end"/>
    </w:r>
  </w:p>
  <w:p w14:paraId="02E04756">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DA0DB">
    <w:pPr>
      <w:pStyle w:val="33"/>
      <w:jc w:val="center"/>
    </w:pPr>
    <w:r>
      <w:fldChar w:fldCharType="begin"/>
    </w:r>
    <w:r>
      <w:instrText xml:space="preserve">PAGE   \* MERGEFORMAT</w:instrText>
    </w:r>
    <w:r>
      <w:fldChar w:fldCharType="separate"/>
    </w:r>
    <w:r>
      <w:rPr>
        <w:lang w:val="zh-CN"/>
      </w:rPr>
      <w:t>1</w:t>
    </w:r>
    <w:r>
      <w:rPr>
        <w:lang w:val="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A1609">
    <w:pPr>
      <w:pStyle w:val="33"/>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48</w:t>
    </w:r>
    <w:r>
      <w:rPr>
        <w:rFonts w:ascii="宋体" w:hAnsi="宋体"/>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5D633">
    <w:pPr>
      <w:pStyle w:val="34"/>
      <w:jc w:val="right"/>
      <w:rPr>
        <w:rFonts w:hint="default" w:ascii="宋体" w:hAnsi="宋体" w:eastAsia="宋体" w:cs="黑体"/>
        <w:bCs/>
        <w:lang w:val="en-US" w:eastAsia="zh-CN"/>
      </w:rPr>
    </w:pPr>
    <w:r>
      <w:rPr>
        <w:rFonts w:hint="eastAsia" w:ascii="宋体" w:hAnsi="宋体" w:cs="黑体"/>
        <w:bCs/>
      </w:rPr>
      <w:t xml:space="preserve">                                                                      YT-ZB-2</w:t>
    </w:r>
    <w:r>
      <w:rPr>
        <w:rFonts w:hint="eastAsia" w:ascii="宋体" w:hAnsi="宋体" w:cs="黑体"/>
        <w:bCs/>
        <w:lang w:val="en-US" w:eastAsia="zh-CN"/>
      </w:rPr>
      <w:t>6176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9FC92D"/>
    <w:multiLevelType w:val="singleLevel"/>
    <w:tmpl w:val="979FC92D"/>
    <w:lvl w:ilvl="0" w:tentative="0">
      <w:start w:val="3"/>
      <w:numFmt w:val="chineseCounting"/>
      <w:suff w:val="space"/>
      <w:lvlText w:val="第%1章"/>
      <w:lvlJc w:val="left"/>
      <w:rPr>
        <w:rFonts w:hint="eastAsia"/>
      </w:rPr>
    </w:lvl>
  </w:abstractNum>
  <w:abstractNum w:abstractNumId="1">
    <w:nsid w:val="BF205925"/>
    <w:multiLevelType w:val="multilevel"/>
    <w:tmpl w:val="BF205925"/>
    <w:lvl w:ilvl="0" w:tentative="0">
      <w:start w:val="1"/>
      <w:numFmt w:val="none"/>
      <w:pStyle w:val="541"/>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000000C"/>
    <w:multiLevelType w:val="multilevel"/>
    <w:tmpl w:val="0000000C"/>
    <w:lvl w:ilvl="0" w:tentative="0">
      <w:start w:val="1"/>
      <w:numFmt w:val="none"/>
      <w:lvlText w:val=""/>
      <w:lvlJc w:val="left"/>
      <w:pPr>
        <w:tabs>
          <w:tab w:val="left" w:pos="432"/>
        </w:tabs>
        <w:ind w:left="432" w:hanging="432"/>
      </w:pPr>
      <w:rPr>
        <w:rFonts w:hint="eastAsia"/>
      </w:rPr>
    </w:lvl>
    <w:lvl w:ilvl="1" w:tentative="0">
      <w:start w:val="1"/>
      <w:numFmt w:val="none"/>
      <w:pStyle w:val="544"/>
      <w:lvlText w:val=" "/>
      <w:lvlJc w:val="left"/>
      <w:pPr>
        <w:tabs>
          <w:tab w:val="left" w:pos="576"/>
        </w:tabs>
        <w:ind w:left="576" w:hanging="576"/>
      </w:pPr>
      <w:rPr>
        <w:rFonts w:hint="eastAsia"/>
      </w:rPr>
    </w:lvl>
    <w:lvl w:ilvl="2" w:tentative="0">
      <w:start w:val="1"/>
      <w:numFmt w:val="none"/>
      <w:pStyle w:val="545"/>
      <w:lvlText w:val=""/>
      <w:lvlJc w:val="left"/>
      <w:pPr>
        <w:tabs>
          <w:tab w:val="left" w:pos="720"/>
        </w:tabs>
        <w:ind w:left="720" w:hanging="720"/>
      </w:pPr>
      <w:rPr>
        <w:rFonts w:hint="eastAsia"/>
      </w:rPr>
    </w:lvl>
    <w:lvl w:ilvl="3" w:tentative="0">
      <w:start w:val="1"/>
      <w:numFmt w:val="none"/>
      <w:pStyle w:val="546"/>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
    <w:nsid w:val="229734FF"/>
    <w:multiLevelType w:val="multilevel"/>
    <w:tmpl w:val="229734FF"/>
    <w:lvl w:ilvl="0" w:tentative="0">
      <w:start w:val="1"/>
      <w:numFmt w:val="decimal"/>
      <w:lvlText w:val="第%1条"/>
      <w:lvlJc w:val="left"/>
      <w:pPr>
        <w:ind w:left="0" w:firstLine="0"/>
      </w:pPr>
    </w:lvl>
    <w:lvl w:ilvl="1" w:tentative="0">
      <w:start w:val="1"/>
      <w:numFmt w:val="decimal"/>
      <w:lvlText w:val="%1.%2"/>
      <w:lvlJc w:val="left"/>
      <w:pPr>
        <w:ind w:left="0" w:firstLine="0"/>
      </w:pPr>
    </w:lvl>
    <w:lvl w:ilvl="2" w:tentative="0">
      <w:start w:val="1"/>
      <w:numFmt w:val="decimal"/>
      <w:lvlText w:val="%1.%2.%3"/>
      <w:lvlJc w:val="left"/>
      <w:pPr>
        <w:ind w:left="0" w:firstLine="0"/>
      </w:pPr>
    </w:lvl>
    <w:lvl w:ilvl="3" w:tentative="0">
      <w:start w:val="1"/>
      <w:numFmt w:val="decimal"/>
      <w:lvlText w:val="%1.%2.%3.%4"/>
      <w:lvlJc w:val="left"/>
      <w:pPr>
        <w:ind w:left="0"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4">
    <w:nsid w:val="24B973C8"/>
    <w:multiLevelType w:val="multilevel"/>
    <w:tmpl w:val="24B973C8"/>
    <w:lvl w:ilvl="0" w:tentative="0">
      <w:start w:val="1"/>
      <w:numFmt w:val="decimal"/>
      <w:lvlText w:val="%1、"/>
      <w:lvlJc w:val="left"/>
      <w:pPr>
        <w:ind w:left="360" w:hanging="360"/>
      </w:pPr>
      <w:rPr>
        <w:rFonts w:hint="default"/>
      </w:rPr>
    </w:lvl>
    <w:lvl w:ilvl="1" w:tentative="0">
      <w:start w:val="1"/>
      <w:numFmt w:val="lowerLetter"/>
      <w:pStyle w:val="504"/>
      <w:lvlText w:val="%2)"/>
      <w:lvlJc w:val="left"/>
      <w:pPr>
        <w:ind w:left="840" w:hanging="420"/>
      </w:pPr>
    </w:lvl>
    <w:lvl w:ilvl="2" w:tentative="0">
      <w:start w:val="1"/>
      <w:numFmt w:val="lowerRoman"/>
      <w:pStyle w:val="499"/>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EA7CC80"/>
    <w:multiLevelType w:val="singleLevel"/>
    <w:tmpl w:val="3EA7CC80"/>
    <w:lvl w:ilvl="0" w:tentative="0">
      <w:start w:val="10"/>
      <w:numFmt w:val="decimal"/>
      <w:suff w:val="space"/>
      <w:lvlText w:val="%1."/>
      <w:lvlJc w:val="left"/>
    </w:lvl>
  </w:abstractNum>
  <w:abstractNum w:abstractNumId="6">
    <w:nsid w:val="4ADD8031"/>
    <w:multiLevelType w:val="singleLevel"/>
    <w:tmpl w:val="4ADD8031"/>
    <w:lvl w:ilvl="0" w:tentative="0">
      <w:start w:val="9"/>
      <w:numFmt w:val="chineseCounting"/>
      <w:pStyle w:val="16"/>
      <w:suff w:val="nothing"/>
      <w:lvlText w:val="%1、"/>
      <w:lvlJc w:val="left"/>
      <w:rPr>
        <w:rFonts w:hint="eastAsia"/>
      </w:rPr>
    </w:lvl>
  </w:abstractNum>
  <w:abstractNum w:abstractNumId="7">
    <w:nsid w:val="54EA798F"/>
    <w:multiLevelType w:val="singleLevel"/>
    <w:tmpl w:val="54EA798F"/>
    <w:lvl w:ilvl="0" w:tentative="0">
      <w:start w:val="6"/>
      <w:numFmt w:val="chineseCounting"/>
      <w:suff w:val="nothing"/>
      <w:lvlText w:val="%1、"/>
      <w:lvlJc w:val="left"/>
      <w:rPr>
        <w:rFonts w:hint="eastAsia"/>
      </w:rPr>
    </w:lvl>
  </w:abstractNum>
  <w:abstractNum w:abstractNumId="8">
    <w:nsid w:val="5F7F52D8"/>
    <w:multiLevelType w:val="multilevel"/>
    <w:tmpl w:val="5F7F52D8"/>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pStyle w:val="547"/>
      <w:lvlText w:val="%5)"/>
      <w:lvlJc w:val="left"/>
      <w:pPr>
        <w:tabs>
          <w:tab w:val="left" w:pos="2632"/>
        </w:tabs>
        <w:ind w:left="2632" w:hanging="420"/>
      </w:pPr>
    </w:lvl>
    <w:lvl w:ilvl="5" w:tentative="0">
      <w:start w:val="1"/>
      <w:numFmt w:val="lowerRoman"/>
      <w:lvlText w:val="%6."/>
      <w:lvlJc w:val="right"/>
      <w:pPr>
        <w:tabs>
          <w:tab w:val="left" w:pos="3052"/>
        </w:tabs>
        <w:ind w:left="3052" w:hanging="420"/>
      </w:pPr>
    </w:lvl>
    <w:lvl w:ilvl="6" w:tentative="0">
      <w:start w:val="1"/>
      <w:numFmt w:val="decimal"/>
      <w:lvlText w:val="%7."/>
      <w:lvlJc w:val="left"/>
      <w:pPr>
        <w:tabs>
          <w:tab w:val="left" w:pos="3472"/>
        </w:tabs>
        <w:ind w:left="3472" w:hanging="420"/>
      </w:pPr>
    </w:lvl>
    <w:lvl w:ilvl="7" w:tentative="0">
      <w:start w:val="1"/>
      <w:numFmt w:val="lowerLetter"/>
      <w:lvlText w:val="%8)"/>
      <w:lvlJc w:val="left"/>
      <w:pPr>
        <w:tabs>
          <w:tab w:val="left" w:pos="3892"/>
        </w:tabs>
        <w:ind w:left="3892" w:hanging="420"/>
      </w:pPr>
    </w:lvl>
    <w:lvl w:ilvl="8" w:tentative="0">
      <w:start w:val="1"/>
      <w:numFmt w:val="lowerRoman"/>
      <w:lvlText w:val="%9."/>
      <w:lvlJc w:val="right"/>
      <w:pPr>
        <w:tabs>
          <w:tab w:val="left" w:pos="4312"/>
        </w:tabs>
        <w:ind w:left="4312" w:hanging="420"/>
      </w:pPr>
    </w:lvl>
  </w:abstractNum>
  <w:num w:numId="1">
    <w:abstractNumId w:val="6"/>
  </w:num>
  <w:num w:numId="2">
    <w:abstractNumId w:val="4"/>
  </w:num>
  <w:num w:numId="3">
    <w:abstractNumId w:val="1"/>
    <w:lvlOverride w:ilvl="2">
      <w:startOverride w:val="1"/>
    </w:lvlOverride>
  </w:num>
  <w:num w:numId="4">
    <w:abstractNumId w:val="3"/>
    <w:lvlOverride w:ilvl="0">
      <w:lvl w:ilvl="0" w:tentative="1">
        <w:start w:val="1"/>
        <w:numFmt w:val="decimal"/>
        <w:pStyle w:val="543"/>
        <w:lvlText w:val="第%1条"/>
        <w:lvlJc w:val="left"/>
        <w:pPr>
          <w:ind w:left="0" w:firstLine="0"/>
        </w:pPr>
      </w:lvl>
    </w:lvlOverride>
    <w:lvlOverride w:ilvl="1">
      <w:lvl w:ilvl="1" w:tentative="1">
        <w:start w:val="1"/>
        <w:numFmt w:val="decimal"/>
        <w:lvlText w:val="%1.%2"/>
        <w:lvlJc w:val="left"/>
        <w:pPr>
          <w:ind w:left="0" w:firstLine="0"/>
        </w:pPr>
      </w:lvl>
    </w:lvlOverride>
    <w:lvlOverride w:ilvl="2">
      <w:lvl w:ilvl="2" w:tentative="1">
        <w:start w:val="1"/>
        <w:numFmt w:val="decimal"/>
        <w:lvlText w:val="%1.%2.%3"/>
        <w:lvlJc w:val="left"/>
        <w:pPr>
          <w:ind w:left="0" w:firstLine="0"/>
        </w:pPr>
      </w:lvl>
    </w:lvlOverride>
    <w:lvlOverride w:ilvl="3">
      <w:lvl w:ilvl="3" w:tentative="1">
        <w:start w:val="1"/>
        <w:numFmt w:val="decimal"/>
        <w:lvlText w:val="%1.%2.%3.%4"/>
        <w:lvlJc w:val="left"/>
        <w:pPr>
          <w:ind w:left="0" w:firstLine="0"/>
        </w:pPr>
      </w:lvl>
    </w:lvlOverride>
    <w:lvlOverride w:ilvl="4">
      <w:lvl w:ilvl="4" w:tentative="1">
        <w:start w:val="1"/>
        <w:numFmt w:val="decimal"/>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5">
    <w:abstractNumId w:val="2"/>
  </w:num>
  <w:num w:numId="6">
    <w:abstractNumId w:val="8"/>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RkZjM1MDI3YzU4ZTdjYTcwOGFiOTNlNWMwZDdmMWEifQ=="/>
  </w:docVars>
  <w:rsids>
    <w:rsidRoot w:val="00172A27"/>
    <w:rsid w:val="0000481D"/>
    <w:rsid w:val="00026036"/>
    <w:rsid w:val="000273CC"/>
    <w:rsid w:val="00033E58"/>
    <w:rsid w:val="00035A46"/>
    <w:rsid w:val="000376C2"/>
    <w:rsid w:val="00037CA2"/>
    <w:rsid w:val="00041B50"/>
    <w:rsid w:val="00042FC5"/>
    <w:rsid w:val="000451E9"/>
    <w:rsid w:val="00045FF6"/>
    <w:rsid w:val="000469FC"/>
    <w:rsid w:val="000540F4"/>
    <w:rsid w:val="000608B5"/>
    <w:rsid w:val="000611E6"/>
    <w:rsid w:val="000619BF"/>
    <w:rsid w:val="0006355F"/>
    <w:rsid w:val="00063756"/>
    <w:rsid w:val="000700D5"/>
    <w:rsid w:val="00076018"/>
    <w:rsid w:val="00076791"/>
    <w:rsid w:val="000826AA"/>
    <w:rsid w:val="000866FE"/>
    <w:rsid w:val="00087AB7"/>
    <w:rsid w:val="0009049B"/>
    <w:rsid w:val="00092D72"/>
    <w:rsid w:val="00095818"/>
    <w:rsid w:val="00096A44"/>
    <w:rsid w:val="000A306E"/>
    <w:rsid w:val="000A49F0"/>
    <w:rsid w:val="000A6DAA"/>
    <w:rsid w:val="000A727B"/>
    <w:rsid w:val="000B1F97"/>
    <w:rsid w:val="000B6124"/>
    <w:rsid w:val="000C02F0"/>
    <w:rsid w:val="000C0CD6"/>
    <w:rsid w:val="000C1E06"/>
    <w:rsid w:val="000C36AF"/>
    <w:rsid w:val="000C77BA"/>
    <w:rsid w:val="000D1E4F"/>
    <w:rsid w:val="000D38D6"/>
    <w:rsid w:val="000D48F7"/>
    <w:rsid w:val="000D63E8"/>
    <w:rsid w:val="000D6A2C"/>
    <w:rsid w:val="000E0972"/>
    <w:rsid w:val="000E1628"/>
    <w:rsid w:val="000E2B22"/>
    <w:rsid w:val="000F7482"/>
    <w:rsid w:val="001002C8"/>
    <w:rsid w:val="00100512"/>
    <w:rsid w:val="001065B5"/>
    <w:rsid w:val="00114C2E"/>
    <w:rsid w:val="00116EDD"/>
    <w:rsid w:val="00120CF9"/>
    <w:rsid w:val="0012646F"/>
    <w:rsid w:val="0012752B"/>
    <w:rsid w:val="00136D8E"/>
    <w:rsid w:val="00146197"/>
    <w:rsid w:val="001465AE"/>
    <w:rsid w:val="00150486"/>
    <w:rsid w:val="001649F2"/>
    <w:rsid w:val="00166C85"/>
    <w:rsid w:val="00175D26"/>
    <w:rsid w:val="00177746"/>
    <w:rsid w:val="00177D31"/>
    <w:rsid w:val="00184B11"/>
    <w:rsid w:val="00185A28"/>
    <w:rsid w:val="00186F68"/>
    <w:rsid w:val="00187D83"/>
    <w:rsid w:val="00190E13"/>
    <w:rsid w:val="001939F3"/>
    <w:rsid w:val="00193C6D"/>
    <w:rsid w:val="001A1456"/>
    <w:rsid w:val="001A1784"/>
    <w:rsid w:val="001A6B33"/>
    <w:rsid w:val="001B1585"/>
    <w:rsid w:val="001B26EF"/>
    <w:rsid w:val="001B331C"/>
    <w:rsid w:val="001B3731"/>
    <w:rsid w:val="001B4B1A"/>
    <w:rsid w:val="001B4E03"/>
    <w:rsid w:val="001B66A2"/>
    <w:rsid w:val="001C147A"/>
    <w:rsid w:val="001C2619"/>
    <w:rsid w:val="001C2E1B"/>
    <w:rsid w:val="001C46C3"/>
    <w:rsid w:val="001D5D9C"/>
    <w:rsid w:val="001E0D20"/>
    <w:rsid w:val="001F3786"/>
    <w:rsid w:val="001F503D"/>
    <w:rsid w:val="001F6509"/>
    <w:rsid w:val="001F687C"/>
    <w:rsid w:val="001F6E6A"/>
    <w:rsid w:val="00202EB6"/>
    <w:rsid w:val="0020625D"/>
    <w:rsid w:val="002100EB"/>
    <w:rsid w:val="002108C2"/>
    <w:rsid w:val="00210FCC"/>
    <w:rsid w:val="0021383B"/>
    <w:rsid w:val="00215D56"/>
    <w:rsid w:val="0022398F"/>
    <w:rsid w:val="00224018"/>
    <w:rsid w:val="002307E8"/>
    <w:rsid w:val="002366D9"/>
    <w:rsid w:val="00237F3C"/>
    <w:rsid w:val="00247790"/>
    <w:rsid w:val="00251324"/>
    <w:rsid w:val="00254722"/>
    <w:rsid w:val="0026169F"/>
    <w:rsid w:val="00261CAE"/>
    <w:rsid w:val="00264906"/>
    <w:rsid w:val="00272661"/>
    <w:rsid w:val="00276E33"/>
    <w:rsid w:val="00290533"/>
    <w:rsid w:val="002A3369"/>
    <w:rsid w:val="002A70E2"/>
    <w:rsid w:val="002C35A6"/>
    <w:rsid w:val="002C4F8D"/>
    <w:rsid w:val="002C569B"/>
    <w:rsid w:val="002C5F88"/>
    <w:rsid w:val="002D1571"/>
    <w:rsid w:val="002E3F3E"/>
    <w:rsid w:val="002E529B"/>
    <w:rsid w:val="002F0842"/>
    <w:rsid w:val="002F1A3A"/>
    <w:rsid w:val="002F294B"/>
    <w:rsid w:val="002F384A"/>
    <w:rsid w:val="002F7217"/>
    <w:rsid w:val="00300E72"/>
    <w:rsid w:val="003020E5"/>
    <w:rsid w:val="00304940"/>
    <w:rsid w:val="00306FD5"/>
    <w:rsid w:val="00307FF5"/>
    <w:rsid w:val="00310E74"/>
    <w:rsid w:val="003174A0"/>
    <w:rsid w:val="003215E3"/>
    <w:rsid w:val="003250B5"/>
    <w:rsid w:val="00326F23"/>
    <w:rsid w:val="00327CB1"/>
    <w:rsid w:val="00330E87"/>
    <w:rsid w:val="00331F8B"/>
    <w:rsid w:val="00334FF8"/>
    <w:rsid w:val="00337596"/>
    <w:rsid w:val="003378BE"/>
    <w:rsid w:val="0034279C"/>
    <w:rsid w:val="003453D8"/>
    <w:rsid w:val="00345FF3"/>
    <w:rsid w:val="00347561"/>
    <w:rsid w:val="00352925"/>
    <w:rsid w:val="00354CF0"/>
    <w:rsid w:val="00361B53"/>
    <w:rsid w:val="0036526C"/>
    <w:rsid w:val="00366A08"/>
    <w:rsid w:val="003703FC"/>
    <w:rsid w:val="0037609B"/>
    <w:rsid w:val="00380B03"/>
    <w:rsid w:val="003826B5"/>
    <w:rsid w:val="003912F6"/>
    <w:rsid w:val="00392AB0"/>
    <w:rsid w:val="00397CA5"/>
    <w:rsid w:val="003A1654"/>
    <w:rsid w:val="003A7DDD"/>
    <w:rsid w:val="003B0A6A"/>
    <w:rsid w:val="003B1603"/>
    <w:rsid w:val="003C0C73"/>
    <w:rsid w:val="003C1438"/>
    <w:rsid w:val="003C25B2"/>
    <w:rsid w:val="003D18A7"/>
    <w:rsid w:val="003D24BA"/>
    <w:rsid w:val="003D4DFE"/>
    <w:rsid w:val="003E00D4"/>
    <w:rsid w:val="003E36C1"/>
    <w:rsid w:val="003E7A91"/>
    <w:rsid w:val="003E7D07"/>
    <w:rsid w:val="003F2BA4"/>
    <w:rsid w:val="003F50DA"/>
    <w:rsid w:val="003F5A79"/>
    <w:rsid w:val="003F5D76"/>
    <w:rsid w:val="003F7991"/>
    <w:rsid w:val="00404BC9"/>
    <w:rsid w:val="004055C1"/>
    <w:rsid w:val="00410D30"/>
    <w:rsid w:val="00424906"/>
    <w:rsid w:val="00432797"/>
    <w:rsid w:val="00433441"/>
    <w:rsid w:val="004347C8"/>
    <w:rsid w:val="004434CF"/>
    <w:rsid w:val="00444192"/>
    <w:rsid w:val="00445047"/>
    <w:rsid w:val="00445A97"/>
    <w:rsid w:val="00452ACC"/>
    <w:rsid w:val="004559D4"/>
    <w:rsid w:val="00465824"/>
    <w:rsid w:val="00466F56"/>
    <w:rsid w:val="00471E34"/>
    <w:rsid w:val="00472FEE"/>
    <w:rsid w:val="004753F5"/>
    <w:rsid w:val="00493252"/>
    <w:rsid w:val="004A06E2"/>
    <w:rsid w:val="004A3200"/>
    <w:rsid w:val="004A415A"/>
    <w:rsid w:val="004A520E"/>
    <w:rsid w:val="004A7BEB"/>
    <w:rsid w:val="004B0593"/>
    <w:rsid w:val="004B0A52"/>
    <w:rsid w:val="004B4C74"/>
    <w:rsid w:val="004B5E25"/>
    <w:rsid w:val="004B7F13"/>
    <w:rsid w:val="004C4A8B"/>
    <w:rsid w:val="004D0009"/>
    <w:rsid w:val="004D2774"/>
    <w:rsid w:val="004D7059"/>
    <w:rsid w:val="004E56F2"/>
    <w:rsid w:val="004E5C79"/>
    <w:rsid w:val="004E73AD"/>
    <w:rsid w:val="004F1E99"/>
    <w:rsid w:val="00501146"/>
    <w:rsid w:val="00516E43"/>
    <w:rsid w:val="00517653"/>
    <w:rsid w:val="0052303D"/>
    <w:rsid w:val="00526B2C"/>
    <w:rsid w:val="0053014A"/>
    <w:rsid w:val="005524A0"/>
    <w:rsid w:val="00555F7E"/>
    <w:rsid w:val="00561D16"/>
    <w:rsid w:val="0056789A"/>
    <w:rsid w:val="00567E98"/>
    <w:rsid w:val="00572AA5"/>
    <w:rsid w:val="00585BC2"/>
    <w:rsid w:val="00592839"/>
    <w:rsid w:val="00594571"/>
    <w:rsid w:val="00595003"/>
    <w:rsid w:val="00597FD1"/>
    <w:rsid w:val="005A11FB"/>
    <w:rsid w:val="005A68F3"/>
    <w:rsid w:val="005B00B5"/>
    <w:rsid w:val="005B49B3"/>
    <w:rsid w:val="005B7FAB"/>
    <w:rsid w:val="005C7D93"/>
    <w:rsid w:val="005C7DBB"/>
    <w:rsid w:val="005C7E2B"/>
    <w:rsid w:val="005D291F"/>
    <w:rsid w:val="005D4CC0"/>
    <w:rsid w:val="005E6C29"/>
    <w:rsid w:val="005E6CFE"/>
    <w:rsid w:val="005F5362"/>
    <w:rsid w:val="005F63B6"/>
    <w:rsid w:val="005F66E5"/>
    <w:rsid w:val="005F7EB7"/>
    <w:rsid w:val="00605D80"/>
    <w:rsid w:val="0060600D"/>
    <w:rsid w:val="00610E33"/>
    <w:rsid w:val="006202AF"/>
    <w:rsid w:val="006223F6"/>
    <w:rsid w:val="00625FB9"/>
    <w:rsid w:val="00632886"/>
    <w:rsid w:val="0063376D"/>
    <w:rsid w:val="00641390"/>
    <w:rsid w:val="00643AAB"/>
    <w:rsid w:val="00643B34"/>
    <w:rsid w:val="006464A9"/>
    <w:rsid w:val="00660C50"/>
    <w:rsid w:val="00660FB2"/>
    <w:rsid w:val="006629A1"/>
    <w:rsid w:val="00662FA9"/>
    <w:rsid w:val="0066613A"/>
    <w:rsid w:val="006665A3"/>
    <w:rsid w:val="006724D0"/>
    <w:rsid w:val="00676C80"/>
    <w:rsid w:val="00677280"/>
    <w:rsid w:val="0068416A"/>
    <w:rsid w:val="00694B6A"/>
    <w:rsid w:val="00694C17"/>
    <w:rsid w:val="006A19C8"/>
    <w:rsid w:val="006A215F"/>
    <w:rsid w:val="006A3F3F"/>
    <w:rsid w:val="006A420B"/>
    <w:rsid w:val="006B19DC"/>
    <w:rsid w:val="006B4B09"/>
    <w:rsid w:val="006B5154"/>
    <w:rsid w:val="006C33D5"/>
    <w:rsid w:val="006C4125"/>
    <w:rsid w:val="006C5411"/>
    <w:rsid w:val="006D14F5"/>
    <w:rsid w:val="006D3306"/>
    <w:rsid w:val="006D40B1"/>
    <w:rsid w:val="006D44BD"/>
    <w:rsid w:val="006E22AC"/>
    <w:rsid w:val="006F2E71"/>
    <w:rsid w:val="006F4FED"/>
    <w:rsid w:val="00707DE0"/>
    <w:rsid w:val="00710587"/>
    <w:rsid w:val="00711FEF"/>
    <w:rsid w:val="00714B36"/>
    <w:rsid w:val="00717F22"/>
    <w:rsid w:val="007234C3"/>
    <w:rsid w:val="00724552"/>
    <w:rsid w:val="00724D44"/>
    <w:rsid w:val="007277C5"/>
    <w:rsid w:val="007306C8"/>
    <w:rsid w:val="00730BC1"/>
    <w:rsid w:val="007416D8"/>
    <w:rsid w:val="00741740"/>
    <w:rsid w:val="0074398E"/>
    <w:rsid w:val="00750A16"/>
    <w:rsid w:val="00750F5A"/>
    <w:rsid w:val="00751E99"/>
    <w:rsid w:val="0075597E"/>
    <w:rsid w:val="00757FC2"/>
    <w:rsid w:val="00761544"/>
    <w:rsid w:val="00762EC6"/>
    <w:rsid w:val="007656A0"/>
    <w:rsid w:val="007665E0"/>
    <w:rsid w:val="0077555B"/>
    <w:rsid w:val="007759DD"/>
    <w:rsid w:val="0078386B"/>
    <w:rsid w:val="00787F5D"/>
    <w:rsid w:val="007940B5"/>
    <w:rsid w:val="007941F1"/>
    <w:rsid w:val="007A02A5"/>
    <w:rsid w:val="007A07BC"/>
    <w:rsid w:val="007A5F74"/>
    <w:rsid w:val="007B0742"/>
    <w:rsid w:val="007B362B"/>
    <w:rsid w:val="007B58E7"/>
    <w:rsid w:val="007B5C22"/>
    <w:rsid w:val="007B7DB4"/>
    <w:rsid w:val="007C1F37"/>
    <w:rsid w:val="007C3A6D"/>
    <w:rsid w:val="007C4429"/>
    <w:rsid w:val="007D4171"/>
    <w:rsid w:val="007D5C4D"/>
    <w:rsid w:val="007E1BA1"/>
    <w:rsid w:val="007E6232"/>
    <w:rsid w:val="007E77A6"/>
    <w:rsid w:val="007F7E46"/>
    <w:rsid w:val="00807360"/>
    <w:rsid w:val="008078A0"/>
    <w:rsid w:val="008114AF"/>
    <w:rsid w:val="00811CE3"/>
    <w:rsid w:val="00815AF8"/>
    <w:rsid w:val="00821B5F"/>
    <w:rsid w:val="0082343C"/>
    <w:rsid w:val="00826E7F"/>
    <w:rsid w:val="00827846"/>
    <w:rsid w:val="0082785B"/>
    <w:rsid w:val="00831195"/>
    <w:rsid w:val="00835D99"/>
    <w:rsid w:val="00846033"/>
    <w:rsid w:val="00855670"/>
    <w:rsid w:val="00856DE5"/>
    <w:rsid w:val="0086390D"/>
    <w:rsid w:val="00865700"/>
    <w:rsid w:val="00867A37"/>
    <w:rsid w:val="00867C71"/>
    <w:rsid w:val="00881AD3"/>
    <w:rsid w:val="008869D4"/>
    <w:rsid w:val="00887388"/>
    <w:rsid w:val="008B08F2"/>
    <w:rsid w:val="008B3598"/>
    <w:rsid w:val="008B777E"/>
    <w:rsid w:val="008C1810"/>
    <w:rsid w:val="008C7BBE"/>
    <w:rsid w:val="008D31D9"/>
    <w:rsid w:val="008D419F"/>
    <w:rsid w:val="008D6278"/>
    <w:rsid w:val="008D6C12"/>
    <w:rsid w:val="008D6E25"/>
    <w:rsid w:val="008E282D"/>
    <w:rsid w:val="008E4E5B"/>
    <w:rsid w:val="008F1BB5"/>
    <w:rsid w:val="008F1DAE"/>
    <w:rsid w:val="008F2D12"/>
    <w:rsid w:val="008F4B33"/>
    <w:rsid w:val="008F6813"/>
    <w:rsid w:val="0090096C"/>
    <w:rsid w:val="009011C2"/>
    <w:rsid w:val="0090571B"/>
    <w:rsid w:val="0091072F"/>
    <w:rsid w:val="0091619D"/>
    <w:rsid w:val="00920051"/>
    <w:rsid w:val="00920CEB"/>
    <w:rsid w:val="00920E9B"/>
    <w:rsid w:val="00923A94"/>
    <w:rsid w:val="00925A46"/>
    <w:rsid w:val="00925AE5"/>
    <w:rsid w:val="00930024"/>
    <w:rsid w:val="00936320"/>
    <w:rsid w:val="00943658"/>
    <w:rsid w:val="00945254"/>
    <w:rsid w:val="00946A2A"/>
    <w:rsid w:val="00950EEC"/>
    <w:rsid w:val="0095401C"/>
    <w:rsid w:val="00954120"/>
    <w:rsid w:val="009557E4"/>
    <w:rsid w:val="0095759D"/>
    <w:rsid w:val="009663D9"/>
    <w:rsid w:val="0097679F"/>
    <w:rsid w:val="00984315"/>
    <w:rsid w:val="00984453"/>
    <w:rsid w:val="00984AD8"/>
    <w:rsid w:val="00991ADF"/>
    <w:rsid w:val="0099324D"/>
    <w:rsid w:val="0099422A"/>
    <w:rsid w:val="009949B8"/>
    <w:rsid w:val="009A3830"/>
    <w:rsid w:val="009A5926"/>
    <w:rsid w:val="009B36C8"/>
    <w:rsid w:val="009B61AF"/>
    <w:rsid w:val="009C624C"/>
    <w:rsid w:val="009D242D"/>
    <w:rsid w:val="009D7E89"/>
    <w:rsid w:val="009E0CD0"/>
    <w:rsid w:val="009E1FAE"/>
    <w:rsid w:val="009E2B15"/>
    <w:rsid w:val="009E53B3"/>
    <w:rsid w:val="009E6C23"/>
    <w:rsid w:val="009E77D7"/>
    <w:rsid w:val="009F0680"/>
    <w:rsid w:val="009F34D8"/>
    <w:rsid w:val="009F394D"/>
    <w:rsid w:val="00A036CD"/>
    <w:rsid w:val="00A04C83"/>
    <w:rsid w:val="00A06C02"/>
    <w:rsid w:val="00A13987"/>
    <w:rsid w:val="00A16E6E"/>
    <w:rsid w:val="00A33624"/>
    <w:rsid w:val="00A434FA"/>
    <w:rsid w:val="00A45618"/>
    <w:rsid w:val="00A456D2"/>
    <w:rsid w:val="00A46CD1"/>
    <w:rsid w:val="00A524F3"/>
    <w:rsid w:val="00A55179"/>
    <w:rsid w:val="00A573A0"/>
    <w:rsid w:val="00A576A3"/>
    <w:rsid w:val="00A657B2"/>
    <w:rsid w:val="00A71438"/>
    <w:rsid w:val="00A7244D"/>
    <w:rsid w:val="00A725E4"/>
    <w:rsid w:val="00A7295E"/>
    <w:rsid w:val="00A77202"/>
    <w:rsid w:val="00A936D2"/>
    <w:rsid w:val="00AA0721"/>
    <w:rsid w:val="00AA0A4D"/>
    <w:rsid w:val="00AA167E"/>
    <w:rsid w:val="00AA1683"/>
    <w:rsid w:val="00AA602E"/>
    <w:rsid w:val="00AC225E"/>
    <w:rsid w:val="00AD047C"/>
    <w:rsid w:val="00AD1C34"/>
    <w:rsid w:val="00AD2BD4"/>
    <w:rsid w:val="00AE1E5E"/>
    <w:rsid w:val="00AE22D8"/>
    <w:rsid w:val="00AE2823"/>
    <w:rsid w:val="00AE2927"/>
    <w:rsid w:val="00AE37C7"/>
    <w:rsid w:val="00AE44AA"/>
    <w:rsid w:val="00AF29C1"/>
    <w:rsid w:val="00B00A29"/>
    <w:rsid w:val="00B02985"/>
    <w:rsid w:val="00B0363A"/>
    <w:rsid w:val="00B07D62"/>
    <w:rsid w:val="00B12713"/>
    <w:rsid w:val="00B134FF"/>
    <w:rsid w:val="00B143C3"/>
    <w:rsid w:val="00B169E5"/>
    <w:rsid w:val="00B21DE9"/>
    <w:rsid w:val="00B22941"/>
    <w:rsid w:val="00B23D16"/>
    <w:rsid w:val="00B24344"/>
    <w:rsid w:val="00B26CC7"/>
    <w:rsid w:val="00B26F60"/>
    <w:rsid w:val="00B314E0"/>
    <w:rsid w:val="00B31676"/>
    <w:rsid w:val="00B34484"/>
    <w:rsid w:val="00B375D4"/>
    <w:rsid w:val="00B4016F"/>
    <w:rsid w:val="00B44CD5"/>
    <w:rsid w:val="00B450AF"/>
    <w:rsid w:val="00B45E9C"/>
    <w:rsid w:val="00B551B7"/>
    <w:rsid w:val="00B5547C"/>
    <w:rsid w:val="00B569D2"/>
    <w:rsid w:val="00B57C81"/>
    <w:rsid w:val="00B66194"/>
    <w:rsid w:val="00B67402"/>
    <w:rsid w:val="00B7560E"/>
    <w:rsid w:val="00B82B8C"/>
    <w:rsid w:val="00B82F4E"/>
    <w:rsid w:val="00B85942"/>
    <w:rsid w:val="00B86A0E"/>
    <w:rsid w:val="00BA057C"/>
    <w:rsid w:val="00BA1C30"/>
    <w:rsid w:val="00BA72AA"/>
    <w:rsid w:val="00BB1914"/>
    <w:rsid w:val="00BB3D49"/>
    <w:rsid w:val="00BB4EFD"/>
    <w:rsid w:val="00BB7434"/>
    <w:rsid w:val="00BE07FF"/>
    <w:rsid w:val="00BE372F"/>
    <w:rsid w:val="00BE432F"/>
    <w:rsid w:val="00BE4A43"/>
    <w:rsid w:val="00BF0883"/>
    <w:rsid w:val="00BF218B"/>
    <w:rsid w:val="00BF6B3C"/>
    <w:rsid w:val="00C02B0C"/>
    <w:rsid w:val="00C1327A"/>
    <w:rsid w:val="00C13493"/>
    <w:rsid w:val="00C176A8"/>
    <w:rsid w:val="00C2344D"/>
    <w:rsid w:val="00C24D78"/>
    <w:rsid w:val="00C2661A"/>
    <w:rsid w:val="00C35C66"/>
    <w:rsid w:val="00C3670D"/>
    <w:rsid w:val="00C37900"/>
    <w:rsid w:val="00C42D73"/>
    <w:rsid w:val="00C4633A"/>
    <w:rsid w:val="00C53240"/>
    <w:rsid w:val="00C575B2"/>
    <w:rsid w:val="00C576F8"/>
    <w:rsid w:val="00C634A8"/>
    <w:rsid w:val="00C66C16"/>
    <w:rsid w:val="00C7209E"/>
    <w:rsid w:val="00C73E5F"/>
    <w:rsid w:val="00C743BC"/>
    <w:rsid w:val="00C76227"/>
    <w:rsid w:val="00C81994"/>
    <w:rsid w:val="00C844F0"/>
    <w:rsid w:val="00C8645D"/>
    <w:rsid w:val="00C91008"/>
    <w:rsid w:val="00C9735C"/>
    <w:rsid w:val="00CA3CF1"/>
    <w:rsid w:val="00CA4A83"/>
    <w:rsid w:val="00CA6B62"/>
    <w:rsid w:val="00CA7EEA"/>
    <w:rsid w:val="00CB03DC"/>
    <w:rsid w:val="00CB48F0"/>
    <w:rsid w:val="00CD044A"/>
    <w:rsid w:val="00CE265F"/>
    <w:rsid w:val="00CE36FB"/>
    <w:rsid w:val="00CE5EBA"/>
    <w:rsid w:val="00CE632C"/>
    <w:rsid w:val="00CE744D"/>
    <w:rsid w:val="00CF6161"/>
    <w:rsid w:val="00D0087C"/>
    <w:rsid w:val="00D04307"/>
    <w:rsid w:val="00D13767"/>
    <w:rsid w:val="00D14EE0"/>
    <w:rsid w:val="00D172E8"/>
    <w:rsid w:val="00D20BEA"/>
    <w:rsid w:val="00D22207"/>
    <w:rsid w:val="00D24AE4"/>
    <w:rsid w:val="00D31ACB"/>
    <w:rsid w:val="00D331CE"/>
    <w:rsid w:val="00D372E2"/>
    <w:rsid w:val="00D374FE"/>
    <w:rsid w:val="00D4124E"/>
    <w:rsid w:val="00D4252D"/>
    <w:rsid w:val="00D45006"/>
    <w:rsid w:val="00D46250"/>
    <w:rsid w:val="00D47FF0"/>
    <w:rsid w:val="00D50ADE"/>
    <w:rsid w:val="00D50C7C"/>
    <w:rsid w:val="00D55F69"/>
    <w:rsid w:val="00D632AF"/>
    <w:rsid w:val="00D65BF9"/>
    <w:rsid w:val="00D66D72"/>
    <w:rsid w:val="00D673B5"/>
    <w:rsid w:val="00D74557"/>
    <w:rsid w:val="00D751B2"/>
    <w:rsid w:val="00D84368"/>
    <w:rsid w:val="00D90028"/>
    <w:rsid w:val="00D93F95"/>
    <w:rsid w:val="00D96E83"/>
    <w:rsid w:val="00DA2205"/>
    <w:rsid w:val="00DA60D0"/>
    <w:rsid w:val="00DA68BE"/>
    <w:rsid w:val="00DB110E"/>
    <w:rsid w:val="00DB62B9"/>
    <w:rsid w:val="00DC1457"/>
    <w:rsid w:val="00DD0398"/>
    <w:rsid w:val="00DD2E08"/>
    <w:rsid w:val="00DD6893"/>
    <w:rsid w:val="00DE1BE7"/>
    <w:rsid w:val="00DE2B74"/>
    <w:rsid w:val="00DE4B4A"/>
    <w:rsid w:val="00DE52A9"/>
    <w:rsid w:val="00DE5347"/>
    <w:rsid w:val="00DF03B1"/>
    <w:rsid w:val="00DF1F31"/>
    <w:rsid w:val="00DF2167"/>
    <w:rsid w:val="00DF4A3A"/>
    <w:rsid w:val="00DF583B"/>
    <w:rsid w:val="00DF6247"/>
    <w:rsid w:val="00E00CD3"/>
    <w:rsid w:val="00E00DCA"/>
    <w:rsid w:val="00E058E0"/>
    <w:rsid w:val="00E05FF8"/>
    <w:rsid w:val="00E1062E"/>
    <w:rsid w:val="00E10C4A"/>
    <w:rsid w:val="00E11779"/>
    <w:rsid w:val="00E17286"/>
    <w:rsid w:val="00E212BB"/>
    <w:rsid w:val="00E23997"/>
    <w:rsid w:val="00E25E49"/>
    <w:rsid w:val="00E27255"/>
    <w:rsid w:val="00E2735A"/>
    <w:rsid w:val="00E3126D"/>
    <w:rsid w:val="00E32C23"/>
    <w:rsid w:val="00E363B7"/>
    <w:rsid w:val="00E36905"/>
    <w:rsid w:val="00E45491"/>
    <w:rsid w:val="00E54132"/>
    <w:rsid w:val="00E64DBD"/>
    <w:rsid w:val="00E64EF8"/>
    <w:rsid w:val="00E65AC3"/>
    <w:rsid w:val="00E71A7A"/>
    <w:rsid w:val="00E805C5"/>
    <w:rsid w:val="00E82F20"/>
    <w:rsid w:val="00E85338"/>
    <w:rsid w:val="00E86437"/>
    <w:rsid w:val="00E95015"/>
    <w:rsid w:val="00E963B3"/>
    <w:rsid w:val="00EA724C"/>
    <w:rsid w:val="00EA753D"/>
    <w:rsid w:val="00EB4599"/>
    <w:rsid w:val="00EB74E1"/>
    <w:rsid w:val="00EC0E9E"/>
    <w:rsid w:val="00ED251A"/>
    <w:rsid w:val="00ED5CA2"/>
    <w:rsid w:val="00EE3017"/>
    <w:rsid w:val="00EE5FF0"/>
    <w:rsid w:val="00EE6F2A"/>
    <w:rsid w:val="00EE79D8"/>
    <w:rsid w:val="00EF6BFB"/>
    <w:rsid w:val="00F00715"/>
    <w:rsid w:val="00F03E07"/>
    <w:rsid w:val="00F07598"/>
    <w:rsid w:val="00F111C0"/>
    <w:rsid w:val="00F11C41"/>
    <w:rsid w:val="00F147DB"/>
    <w:rsid w:val="00F15884"/>
    <w:rsid w:val="00F247CC"/>
    <w:rsid w:val="00F27975"/>
    <w:rsid w:val="00F33171"/>
    <w:rsid w:val="00F3576A"/>
    <w:rsid w:val="00F36E6A"/>
    <w:rsid w:val="00F408C1"/>
    <w:rsid w:val="00F40BCE"/>
    <w:rsid w:val="00F423DD"/>
    <w:rsid w:val="00F42E30"/>
    <w:rsid w:val="00F43F81"/>
    <w:rsid w:val="00F632A8"/>
    <w:rsid w:val="00F735E1"/>
    <w:rsid w:val="00F75721"/>
    <w:rsid w:val="00F81EDD"/>
    <w:rsid w:val="00F84DC4"/>
    <w:rsid w:val="00F922B6"/>
    <w:rsid w:val="00F9699A"/>
    <w:rsid w:val="00F9707B"/>
    <w:rsid w:val="00FA03FE"/>
    <w:rsid w:val="00FB6CF7"/>
    <w:rsid w:val="00FC19C7"/>
    <w:rsid w:val="00FC488B"/>
    <w:rsid w:val="00FC4B4F"/>
    <w:rsid w:val="00FD2712"/>
    <w:rsid w:val="00FD7746"/>
    <w:rsid w:val="00FE1583"/>
    <w:rsid w:val="00FE1A70"/>
    <w:rsid w:val="00FE4020"/>
    <w:rsid w:val="00FE459B"/>
    <w:rsid w:val="00FE6D09"/>
    <w:rsid w:val="00FF0779"/>
    <w:rsid w:val="00FF0DB7"/>
    <w:rsid w:val="00FF1B5E"/>
    <w:rsid w:val="00FF268E"/>
    <w:rsid w:val="00FF2A5A"/>
    <w:rsid w:val="00FF435A"/>
    <w:rsid w:val="00FF4408"/>
    <w:rsid w:val="00FF5403"/>
    <w:rsid w:val="00FF56BA"/>
    <w:rsid w:val="011E1942"/>
    <w:rsid w:val="01301BC6"/>
    <w:rsid w:val="01613B24"/>
    <w:rsid w:val="01626374"/>
    <w:rsid w:val="01656B05"/>
    <w:rsid w:val="018C1A4B"/>
    <w:rsid w:val="01907957"/>
    <w:rsid w:val="019474DD"/>
    <w:rsid w:val="01A3073B"/>
    <w:rsid w:val="01A92663"/>
    <w:rsid w:val="01C56903"/>
    <w:rsid w:val="01D803E5"/>
    <w:rsid w:val="01D86637"/>
    <w:rsid w:val="01DF79C5"/>
    <w:rsid w:val="01F55746"/>
    <w:rsid w:val="02054F52"/>
    <w:rsid w:val="020C008E"/>
    <w:rsid w:val="021F7DC1"/>
    <w:rsid w:val="02301FCF"/>
    <w:rsid w:val="02511F45"/>
    <w:rsid w:val="02555ED9"/>
    <w:rsid w:val="025B260D"/>
    <w:rsid w:val="025D4D8E"/>
    <w:rsid w:val="027D71DE"/>
    <w:rsid w:val="0281282A"/>
    <w:rsid w:val="02924A37"/>
    <w:rsid w:val="029562D6"/>
    <w:rsid w:val="02AA415A"/>
    <w:rsid w:val="02AB5AF9"/>
    <w:rsid w:val="02B80216"/>
    <w:rsid w:val="02BA5D3C"/>
    <w:rsid w:val="02BC6CA9"/>
    <w:rsid w:val="02CD1F13"/>
    <w:rsid w:val="02CD3A5F"/>
    <w:rsid w:val="02E903CF"/>
    <w:rsid w:val="02F138C7"/>
    <w:rsid w:val="02FD26E5"/>
    <w:rsid w:val="02FF32E6"/>
    <w:rsid w:val="03011B27"/>
    <w:rsid w:val="03157416"/>
    <w:rsid w:val="03247659"/>
    <w:rsid w:val="03321D76"/>
    <w:rsid w:val="034B4117"/>
    <w:rsid w:val="0364380A"/>
    <w:rsid w:val="036D1000"/>
    <w:rsid w:val="037C3CCE"/>
    <w:rsid w:val="03824AAC"/>
    <w:rsid w:val="03830824"/>
    <w:rsid w:val="038B3077"/>
    <w:rsid w:val="03936C6A"/>
    <w:rsid w:val="03B60BF9"/>
    <w:rsid w:val="03DC1A90"/>
    <w:rsid w:val="03DD7F34"/>
    <w:rsid w:val="03E97CD4"/>
    <w:rsid w:val="03F42857"/>
    <w:rsid w:val="04146F21"/>
    <w:rsid w:val="041871BE"/>
    <w:rsid w:val="04246559"/>
    <w:rsid w:val="04326602"/>
    <w:rsid w:val="04657F2A"/>
    <w:rsid w:val="04854128"/>
    <w:rsid w:val="04856A91"/>
    <w:rsid w:val="0486237A"/>
    <w:rsid w:val="048760F2"/>
    <w:rsid w:val="048C3708"/>
    <w:rsid w:val="0495471A"/>
    <w:rsid w:val="049573FB"/>
    <w:rsid w:val="04A40A52"/>
    <w:rsid w:val="04A43AD2"/>
    <w:rsid w:val="04A54E28"/>
    <w:rsid w:val="04A647CA"/>
    <w:rsid w:val="04B26EEE"/>
    <w:rsid w:val="04BA023E"/>
    <w:rsid w:val="04C9670A"/>
    <w:rsid w:val="04CE5E03"/>
    <w:rsid w:val="04E740CD"/>
    <w:rsid w:val="04E82989"/>
    <w:rsid w:val="04EA2374"/>
    <w:rsid w:val="04EB042F"/>
    <w:rsid w:val="04ED1144"/>
    <w:rsid w:val="05087ACE"/>
    <w:rsid w:val="052878D5"/>
    <w:rsid w:val="052F7821"/>
    <w:rsid w:val="053C0DD3"/>
    <w:rsid w:val="057743B8"/>
    <w:rsid w:val="05AD3936"/>
    <w:rsid w:val="05BB286A"/>
    <w:rsid w:val="05BC1DCB"/>
    <w:rsid w:val="05C56ED2"/>
    <w:rsid w:val="05CB116E"/>
    <w:rsid w:val="05D15877"/>
    <w:rsid w:val="05E57574"/>
    <w:rsid w:val="05FC612D"/>
    <w:rsid w:val="06011657"/>
    <w:rsid w:val="06023C82"/>
    <w:rsid w:val="062D1FFC"/>
    <w:rsid w:val="06406221"/>
    <w:rsid w:val="065B15E4"/>
    <w:rsid w:val="067508F8"/>
    <w:rsid w:val="06783F44"/>
    <w:rsid w:val="0692072C"/>
    <w:rsid w:val="069A3EBB"/>
    <w:rsid w:val="069F5975"/>
    <w:rsid w:val="06B62CBE"/>
    <w:rsid w:val="06BA455D"/>
    <w:rsid w:val="06BC017A"/>
    <w:rsid w:val="07070367"/>
    <w:rsid w:val="07076FBF"/>
    <w:rsid w:val="07194622"/>
    <w:rsid w:val="071C5217"/>
    <w:rsid w:val="071F78EB"/>
    <w:rsid w:val="0731214C"/>
    <w:rsid w:val="073C31C4"/>
    <w:rsid w:val="07455FC7"/>
    <w:rsid w:val="075229E7"/>
    <w:rsid w:val="075E138C"/>
    <w:rsid w:val="076A20C6"/>
    <w:rsid w:val="07740BAF"/>
    <w:rsid w:val="07750484"/>
    <w:rsid w:val="077E558A"/>
    <w:rsid w:val="07C9310E"/>
    <w:rsid w:val="07CA171B"/>
    <w:rsid w:val="07DC3708"/>
    <w:rsid w:val="07F12200"/>
    <w:rsid w:val="0808754A"/>
    <w:rsid w:val="080F4DEC"/>
    <w:rsid w:val="08193505"/>
    <w:rsid w:val="082671F9"/>
    <w:rsid w:val="08395955"/>
    <w:rsid w:val="084B4788"/>
    <w:rsid w:val="085E716A"/>
    <w:rsid w:val="08602EE2"/>
    <w:rsid w:val="08821B3F"/>
    <w:rsid w:val="08A81BBC"/>
    <w:rsid w:val="08C6368D"/>
    <w:rsid w:val="08DA2C94"/>
    <w:rsid w:val="092C2BAE"/>
    <w:rsid w:val="093323A4"/>
    <w:rsid w:val="094D4E4C"/>
    <w:rsid w:val="09526CCE"/>
    <w:rsid w:val="09532A47"/>
    <w:rsid w:val="095567BF"/>
    <w:rsid w:val="097F6D64"/>
    <w:rsid w:val="0983332C"/>
    <w:rsid w:val="099B68C7"/>
    <w:rsid w:val="099E7FC1"/>
    <w:rsid w:val="09AC306C"/>
    <w:rsid w:val="09DA6CC4"/>
    <w:rsid w:val="09ED4C49"/>
    <w:rsid w:val="0A00497C"/>
    <w:rsid w:val="0A0A08A1"/>
    <w:rsid w:val="0A11558B"/>
    <w:rsid w:val="0A171CC6"/>
    <w:rsid w:val="0A200B7B"/>
    <w:rsid w:val="0A392AF6"/>
    <w:rsid w:val="0A4725AB"/>
    <w:rsid w:val="0A550371"/>
    <w:rsid w:val="0A8C1E8F"/>
    <w:rsid w:val="0A982E07"/>
    <w:rsid w:val="0A9926DB"/>
    <w:rsid w:val="0A992F82"/>
    <w:rsid w:val="0AA277E2"/>
    <w:rsid w:val="0AB50F4D"/>
    <w:rsid w:val="0AB84122"/>
    <w:rsid w:val="0AC12368"/>
    <w:rsid w:val="0AC27E84"/>
    <w:rsid w:val="0AC91212"/>
    <w:rsid w:val="0ACA0AE6"/>
    <w:rsid w:val="0ACC7F1A"/>
    <w:rsid w:val="0ADC7A0B"/>
    <w:rsid w:val="0AE95411"/>
    <w:rsid w:val="0AEE6ECB"/>
    <w:rsid w:val="0AFB3396"/>
    <w:rsid w:val="0B096571"/>
    <w:rsid w:val="0B2A19BF"/>
    <w:rsid w:val="0B2E5519"/>
    <w:rsid w:val="0B3D575C"/>
    <w:rsid w:val="0B3F3282"/>
    <w:rsid w:val="0B414B58"/>
    <w:rsid w:val="0B503517"/>
    <w:rsid w:val="0B5508E0"/>
    <w:rsid w:val="0B552C4B"/>
    <w:rsid w:val="0B8D529B"/>
    <w:rsid w:val="0B9F01C5"/>
    <w:rsid w:val="0BB7550F"/>
    <w:rsid w:val="0BBA0B5B"/>
    <w:rsid w:val="0BC4547A"/>
    <w:rsid w:val="0BCD4D32"/>
    <w:rsid w:val="0BD7170D"/>
    <w:rsid w:val="0BFA53FB"/>
    <w:rsid w:val="0BFD11F6"/>
    <w:rsid w:val="0BFE6C9A"/>
    <w:rsid w:val="0C190BE7"/>
    <w:rsid w:val="0C3762FE"/>
    <w:rsid w:val="0C3E353A"/>
    <w:rsid w:val="0C525237"/>
    <w:rsid w:val="0C594818"/>
    <w:rsid w:val="0C6531BD"/>
    <w:rsid w:val="0C6F5DE9"/>
    <w:rsid w:val="0C746BDA"/>
    <w:rsid w:val="0CA079D0"/>
    <w:rsid w:val="0CBD6B55"/>
    <w:rsid w:val="0CCD5F34"/>
    <w:rsid w:val="0CE00A95"/>
    <w:rsid w:val="0CE51C08"/>
    <w:rsid w:val="0CEB1543"/>
    <w:rsid w:val="0CFD51A3"/>
    <w:rsid w:val="0D0957BF"/>
    <w:rsid w:val="0D15073F"/>
    <w:rsid w:val="0D224C0A"/>
    <w:rsid w:val="0D3A0053"/>
    <w:rsid w:val="0D4B23B2"/>
    <w:rsid w:val="0D556D8D"/>
    <w:rsid w:val="0D7129BB"/>
    <w:rsid w:val="0DA63A8D"/>
    <w:rsid w:val="0DBE6E39"/>
    <w:rsid w:val="0DD7049F"/>
    <w:rsid w:val="0DDF0D4D"/>
    <w:rsid w:val="0DE63E89"/>
    <w:rsid w:val="0DF20A80"/>
    <w:rsid w:val="0DF77E44"/>
    <w:rsid w:val="0E0802A4"/>
    <w:rsid w:val="0E146C48"/>
    <w:rsid w:val="0E426450"/>
    <w:rsid w:val="0E4806A0"/>
    <w:rsid w:val="0E495FE4"/>
    <w:rsid w:val="0E6D3E28"/>
    <w:rsid w:val="0E9E29B6"/>
    <w:rsid w:val="0EB9334C"/>
    <w:rsid w:val="0ED65CAC"/>
    <w:rsid w:val="0EE26D46"/>
    <w:rsid w:val="0EE32903"/>
    <w:rsid w:val="0EED1247"/>
    <w:rsid w:val="0F2664F6"/>
    <w:rsid w:val="0F3550C8"/>
    <w:rsid w:val="0F652ACF"/>
    <w:rsid w:val="0F6D3540"/>
    <w:rsid w:val="0F7D2500"/>
    <w:rsid w:val="0F7D25CB"/>
    <w:rsid w:val="0F807E32"/>
    <w:rsid w:val="0FDC5544"/>
    <w:rsid w:val="10086339"/>
    <w:rsid w:val="100F3B6B"/>
    <w:rsid w:val="10242755"/>
    <w:rsid w:val="102D3FF1"/>
    <w:rsid w:val="103C2368"/>
    <w:rsid w:val="10685E31"/>
    <w:rsid w:val="106C2D6C"/>
    <w:rsid w:val="106F460A"/>
    <w:rsid w:val="1076236B"/>
    <w:rsid w:val="107B45B1"/>
    <w:rsid w:val="107E484D"/>
    <w:rsid w:val="10873C0A"/>
    <w:rsid w:val="10B06D5A"/>
    <w:rsid w:val="10BB33AB"/>
    <w:rsid w:val="10C2298C"/>
    <w:rsid w:val="10CA3232"/>
    <w:rsid w:val="10F36FE9"/>
    <w:rsid w:val="10F60887"/>
    <w:rsid w:val="110030AE"/>
    <w:rsid w:val="110B4E2D"/>
    <w:rsid w:val="110F7B9B"/>
    <w:rsid w:val="11110600"/>
    <w:rsid w:val="11194576"/>
    <w:rsid w:val="113936D9"/>
    <w:rsid w:val="114950F1"/>
    <w:rsid w:val="114C494B"/>
    <w:rsid w:val="1154735C"/>
    <w:rsid w:val="11650474"/>
    <w:rsid w:val="11731ED8"/>
    <w:rsid w:val="117A14B8"/>
    <w:rsid w:val="117C3B85"/>
    <w:rsid w:val="118916FB"/>
    <w:rsid w:val="118A0FD0"/>
    <w:rsid w:val="119220D9"/>
    <w:rsid w:val="11B00A36"/>
    <w:rsid w:val="11C347FC"/>
    <w:rsid w:val="11D76B6A"/>
    <w:rsid w:val="12046915"/>
    <w:rsid w:val="12107727"/>
    <w:rsid w:val="122907E8"/>
    <w:rsid w:val="123D667A"/>
    <w:rsid w:val="1240689A"/>
    <w:rsid w:val="125A4A71"/>
    <w:rsid w:val="125D7AAD"/>
    <w:rsid w:val="12744159"/>
    <w:rsid w:val="127E0057"/>
    <w:rsid w:val="12BB58E4"/>
    <w:rsid w:val="12C30C3D"/>
    <w:rsid w:val="12C50F44"/>
    <w:rsid w:val="12F861D7"/>
    <w:rsid w:val="12FC5EFD"/>
    <w:rsid w:val="13054DB2"/>
    <w:rsid w:val="130A061A"/>
    <w:rsid w:val="1311004D"/>
    <w:rsid w:val="132D4308"/>
    <w:rsid w:val="132F0080"/>
    <w:rsid w:val="135A334F"/>
    <w:rsid w:val="135D4F1F"/>
    <w:rsid w:val="136046DE"/>
    <w:rsid w:val="136A4ADB"/>
    <w:rsid w:val="137A57A0"/>
    <w:rsid w:val="13897791"/>
    <w:rsid w:val="13954387"/>
    <w:rsid w:val="13960100"/>
    <w:rsid w:val="13C46A1B"/>
    <w:rsid w:val="13CF4504"/>
    <w:rsid w:val="13D6674E"/>
    <w:rsid w:val="13D824C6"/>
    <w:rsid w:val="13DA7FEC"/>
    <w:rsid w:val="13EB21F9"/>
    <w:rsid w:val="14045069"/>
    <w:rsid w:val="14123C2A"/>
    <w:rsid w:val="1437762F"/>
    <w:rsid w:val="143D6F07"/>
    <w:rsid w:val="14445DAD"/>
    <w:rsid w:val="145204CA"/>
    <w:rsid w:val="14666C84"/>
    <w:rsid w:val="147319D6"/>
    <w:rsid w:val="14797DB1"/>
    <w:rsid w:val="147C5547"/>
    <w:rsid w:val="148D32B1"/>
    <w:rsid w:val="1494600A"/>
    <w:rsid w:val="14972409"/>
    <w:rsid w:val="149C7998"/>
    <w:rsid w:val="14A16D5C"/>
    <w:rsid w:val="14B8572A"/>
    <w:rsid w:val="14D52DB0"/>
    <w:rsid w:val="14E6617D"/>
    <w:rsid w:val="14E83F95"/>
    <w:rsid w:val="14ED3D4F"/>
    <w:rsid w:val="14EF1875"/>
    <w:rsid w:val="1505553D"/>
    <w:rsid w:val="151A4794"/>
    <w:rsid w:val="152B4878"/>
    <w:rsid w:val="15347BD0"/>
    <w:rsid w:val="156428DB"/>
    <w:rsid w:val="15724254"/>
    <w:rsid w:val="1585042C"/>
    <w:rsid w:val="15A46B04"/>
    <w:rsid w:val="15AC7766"/>
    <w:rsid w:val="15B4486D"/>
    <w:rsid w:val="15BA5E1A"/>
    <w:rsid w:val="15C57996"/>
    <w:rsid w:val="16070E41"/>
    <w:rsid w:val="16227A29"/>
    <w:rsid w:val="16337E88"/>
    <w:rsid w:val="16462C09"/>
    <w:rsid w:val="169526EB"/>
    <w:rsid w:val="169F376F"/>
    <w:rsid w:val="16A42B33"/>
    <w:rsid w:val="16B965DF"/>
    <w:rsid w:val="16C805D0"/>
    <w:rsid w:val="16CE195E"/>
    <w:rsid w:val="16DE4297"/>
    <w:rsid w:val="16E573D4"/>
    <w:rsid w:val="16EF40D6"/>
    <w:rsid w:val="17101F77"/>
    <w:rsid w:val="17173305"/>
    <w:rsid w:val="171F3252"/>
    <w:rsid w:val="1735378C"/>
    <w:rsid w:val="173D7210"/>
    <w:rsid w:val="175207E1"/>
    <w:rsid w:val="17692EF9"/>
    <w:rsid w:val="177E5132"/>
    <w:rsid w:val="178A7F7B"/>
    <w:rsid w:val="178E5C09"/>
    <w:rsid w:val="17B13B40"/>
    <w:rsid w:val="17C0574B"/>
    <w:rsid w:val="17DB4333"/>
    <w:rsid w:val="18001FEB"/>
    <w:rsid w:val="18042D4E"/>
    <w:rsid w:val="180F222F"/>
    <w:rsid w:val="181F49F1"/>
    <w:rsid w:val="18365A0D"/>
    <w:rsid w:val="183F2B14"/>
    <w:rsid w:val="1844012A"/>
    <w:rsid w:val="18770516"/>
    <w:rsid w:val="187F5606"/>
    <w:rsid w:val="188B7DF7"/>
    <w:rsid w:val="18C75DFD"/>
    <w:rsid w:val="18C94AD3"/>
    <w:rsid w:val="18DC4807"/>
    <w:rsid w:val="19326F59"/>
    <w:rsid w:val="1944587E"/>
    <w:rsid w:val="19650358"/>
    <w:rsid w:val="196A3BC0"/>
    <w:rsid w:val="197C38F4"/>
    <w:rsid w:val="198712E3"/>
    <w:rsid w:val="198804EA"/>
    <w:rsid w:val="19960E59"/>
    <w:rsid w:val="19984525"/>
    <w:rsid w:val="199948E6"/>
    <w:rsid w:val="199D03C3"/>
    <w:rsid w:val="19AF1BDA"/>
    <w:rsid w:val="19C57049"/>
    <w:rsid w:val="19ED6F1F"/>
    <w:rsid w:val="19F174E1"/>
    <w:rsid w:val="19FB2A6A"/>
    <w:rsid w:val="1A051B3B"/>
    <w:rsid w:val="1A057D8D"/>
    <w:rsid w:val="1A257BC1"/>
    <w:rsid w:val="1A3348FA"/>
    <w:rsid w:val="1A3A7A37"/>
    <w:rsid w:val="1A4B06A3"/>
    <w:rsid w:val="1A4C788D"/>
    <w:rsid w:val="1A5328A6"/>
    <w:rsid w:val="1A5C1176"/>
    <w:rsid w:val="1A63036A"/>
    <w:rsid w:val="1A69031C"/>
    <w:rsid w:val="1A6C5716"/>
    <w:rsid w:val="1A824F3A"/>
    <w:rsid w:val="1A845156"/>
    <w:rsid w:val="1AB01AA7"/>
    <w:rsid w:val="1ACB68E1"/>
    <w:rsid w:val="1AE60EDD"/>
    <w:rsid w:val="1AFB5014"/>
    <w:rsid w:val="1B045E34"/>
    <w:rsid w:val="1B0818E3"/>
    <w:rsid w:val="1B083691"/>
    <w:rsid w:val="1B3501FE"/>
    <w:rsid w:val="1B3B4FCE"/>
    <w:rsid w:val="1B3F107D"/>
    <w:rsid w:val="1B4B7A22"/>
    <w:rsid w:val="1B5B0F24"/>
    <w:rsid w:val="1B666609"/>
    <w:rsid w:val="1B6D029E"/>
    <w:rsid w:val="1B714798"/>
    <w:rsid w:val="1B886580"/>
    <w:rsid w:val="1B9546B8"/>
    <w:rsid w:val="1B965F1C"/>
    <w:rsid w:val="1B9D795B"/>
    <w:rsid w:val="1B9E5DA3"/>
    <w:rsid w:val="1BA3785E"/>
    <w:rsid w:val="1BAE0B47"/>
    <w:rsid w:val="1BC63254"/>
    <w:rsid w:val="1BD619E1"/>
    <w:rsid w:val="1BDD4B1E"/>
    <w:rsid w:val="1BEC1FD5"/>
    <w:rsid w:val="1BEC6B0F"/>
    <w:rsid w:val="1C181013"/>
    <w:rsid w:val="1C1B0031"/>
    <w:rsid w:val="1C3860AC"/>
    <w:rsid w:val="1C4F189B"/>
    <w:rsid w:val="1C6568C1"/>
    <w:rsid w:val="1C682B71"/>
    <w:rsid w:val="1C6A6B32"/>
    <w:rsid w:val="1C6C6D7B"/>
    <w:rsid w:val="1C8B33CB"/>
    <w:rsid w:val="1C8D0024"/>
    <w:rsid w:val="1C9D24FF"/>
    <w:rsid w:val="1CAE0268"/>
    <w:rsid w:val="1CC730D8"/>
    <w:rsid w:val="1CC87023"/>
    <w:rsid w:val="1CCE3175"/>
    <w:rsid w:val="1CE56468"/>
    <w:rsid w:val="1D091942"/>
    <w:rsid w:val="1D0A102A"/>
    <w:rsid w:val="1D3057C6"/>
    <w:rsid w:val="1D3725B5"/>
    <w:rsid w:val="1D503CAD"/>
    <w:rsid w:val="1D666D95"/>
    <w:rsid w:val="1D694032"/>
    <w:rsid w:val="1D6E17A5"/>
    <w:rsid w:val="1D774AFE"/>
    <w:rsid w:val="1D85546D"/>
    <w:rsid w:val="1D99180E"/>
    <w:rsid w:val="1DC835AB"/>
    <w:rsid w:val="1DD41F50"/>
    <w:rsid w:val="1DE33F41"/>
    <w:rsid w:val="1E0C16EA"/>
    <w:rsid w:val="1E200CF1"/>
    <w:rsid w:val="1E2421A6"/>
    <w:rsid w:val="1E2824F6"/>
    <w:rsid w:val="1E29229C"/>
    <w:rsid w:val="1E3B3D7D"/>
    <w:rsid w:val="1E4F5A7B"/>
    <w:rsid w:val="1E4F7829"/>
    <w:rsid w:val="1E652BA8"/>
    <w:rsid w:val="1E6F3A27"/>
    <w:rsid w:val="1E7B66BA"/>
    <w:rsid w:val="1E7D7EF2"/>
    <w:rsid w:val="1EA148E3"/>
    <w:rsid w:val="1EA7529C"/>
    <w:rsid w:val="1EA96371"/>
    <w:rsid w:val="1EC93137"/>
    <w:rsid w:val="1ECE699F"/>
    <w:rsid w:val="1F224485"/>
    <w:rsid w:val="1F242A63"/>
    <w:rsid w:val="1F2C36C6"/>
    <w:rsid w:val="1F3D7751"/>
    <w:rsid w:val="1F49071C"/>
    <w:rsid w:val="1F493984"/>
    <w:rsid w:val="1F4B7D00"/>
    <w:rsid w:val="1F5B5E5D"/>
    <w:rsid w:val="1F645556"/>
    <w:rsid w:val="1F680BA2"/>
    <w:rsid w:val="1F89387B"/>
    <w:rsid w:val="1FA12306"/>
    <w:rsid w:val="1FBF453A"/>
    <w:rsid w:val="1FCF0C21"/>
    <w:rsid w:val="200308CB"/>
    <w:rsid w:val="200C7C74"/>
    <w:rsid w:val="20135B7B"/>
    <w:rsid w:val="201A79C2"/>
    <w:rsid w:val="202251F5"/>
    <w:rsid w:val="20270A5D"/>
    <w:rsid w:val="203211B0"/>
    <w:rsid w:val="204248C5"/>
    <w:rsid w:val="20542ED4"/>
    <w:rsid w:val="20600653"/>
    <w:rsid w:val="206A094A"/>
    <w:rsid w:val="20827B42"/>
    <w:rsid w:val="20872957"/>
    <w:rsid w:val="20887022"/>
    <w:rsid w:val="20AE5F95"/>
    <w:rsid w:val="20B120D5"/>
    <w:rsid w:val="20C22534"/>
    <w:rsid w:val="20CC5F0A"/>
    <w:rsid w:val="20D64231"/>
    <w:rsid w:val="20DB1848"/>
    <w:rsid w:val="20E029BA"/>
    <w:rsid w:val="20F7447C"/>
    <w:rsid w:val="21176A6B"/>
    <w:rsid w:val="213351E0"/>
    <w:rsid w:val="213B4094"/>
    <w:rsid w:val="21486EDD"/>
    <w:rsid w:val="21630D81"/>
    <w:rsid w:val="21696440"/>
    <w:rsid w:val="217750CC"/>
    <w:rsid w:val="21871088"/>
    <w:rsid w:val="218F54C6"/>
    <w:rsid w:val="21BF0821"/>
    <w:rsid w:val="21D76006"/>
    <w:rsid w:val="21DB4464"/>
    <w:rsid w:val="21DD3F52"/>
    <w:rsid w:val="21EB5ABA"/>
    <w:rsid w:val="21EF7359"/>
    <w:rsid w:val="21FC518B"/>
    <w:rsid w:val="22356D36"/>
    <w:rsid w:val="22525B39"/>
    <w:rsid w:val="22665141"/>
    <w:rsid w:val="22765384"/>
    <w:rsid w:val="22851296"/>
    <w:rsid w:val="22925F36"/>
    <w:rsid w:val="229E48DB"/>
    <w:rsid w:val="22A04AF7"/>
    <w:rsid w:val="22A2261D"/>
    <w:rsid w:val="22C335AC"/>
    <w:rsid w:val="22C35CC0"/>
    <w:rsid w:val="22C949B7"/>
    <w:rsid w:val="22D87DED"/>
    <w:rsid w:val="22DD3655"/>
    <w:rsid w:val="22E46463"/>
    <w:rsid w:val="22FF79C5"/>
    <w:rsid w:val="23007343"/>
    <w:rsid w:val="23045086"/>
    <w:rsid w:val="230E7CB2"/>
    <w:rsid w:val="233E667B"/>
    <w:rsid w:val="234436D4"/>
    <w:rsid w:val="235109AF"/>
    <w:rsid w:val="235C0A1E"/>
    <w:rsid w:val="235D4A69"/>
    <w:rsid w:val="23757D31"/>
    <w:rsid w:val="23857816"/>
    <w:rsid w:val="239F6B5C"/>
    <w:rsid w:val="23A203FB"/>
    <w:rsid w:val="23A91789"/>
    <w:rsid w:val="23D26AB4"/>
    <w:rsid w:val="23EB7FF4"/>
    <w:rsid w:val="23EC2250"/>
    <w:rsid w:val="23F5677C"/>
    <w:rsid w:val="23FA73DC"/>
    <w:rsid w:val="24134E54"/>
    <w:rsid w:val="243674C1"/>
    <w:rsid w:val="244F40DF"/>
    <w:rsid w:val="245142FB"/>
    <w:rsid w:val="24587692"/>
    <w:rsid w:val="24652B35"/>
    <w:rsid w:val="246C2EE2"/>
    <w:rsid w:val="247C0C4C"/>
    <w:rsid w:val="2492400C"/>
    <w:rsid w:val="24946537"/>
    <w:rsid w:val="24AF66F7"/>
    <w:rsid w:val="24E52C95"/>
    <w:rsid w:val="24F353B2"/>
    <w:rsid w:val="24F86524"/>
    <w:rsid w:val="25140E84"/>
    <w:rsid w:val="25232EF0"/>
    <w:rsid w:val="253D662D"/>
    <w:rsid w:val="2556149D"/>
    <w:rsid w:val="2572090D"/>
    <w:rsid w:val="258A1146"/>
    <w:rsid w:val="259D0E7A"/>
    <w:rsid w:val="25AE50B1"/>
    <w:rsid w:val="25B3069D"/>
    <w:rsid w:val="25C12DBA"/>
    <w:rsid w:val="25CA014A"/>
    <w:rsid w:val="25FA451E"/>
    <w:rsid w:val="25FD7B6A"/>
    <w:rsid w:val="261F21D6"/>
    <w:rsid w:val="26275C58"/>
    <w:rsid w:val="26347A30"/>
    <w:rsid w:val="264B4D7A"/>
    <w:rsid w:val="2650413E"/>
    <w:rsid w:val="2651593C"/>
    <w:rsid w:val="2687274B"/>
    <w:rsid w:val="268B161A"/>
    <w:rsid w:val="268D6F1C"/>
    <w:rsid w:val="268D7140"/>
    <w:rsid w:val="26930033"/>
    <w:rsid w:val="26962499"/>
    <w:rsid w:val="26AF2308"/>
    <w:rsid w:val="26C8461C"/>
    <w:rsid w:val="26CA2142"/>
    <w:rsid w:val="26CA3EF0"/>
    <w:rsid w:val="26D0702D"/>
    <w:rsid w:val="26E53DB6"/>
    <w:rsid w:val="26E63E5F"/>
    <w:rsid w:val="26F208DC"/>
    <w:rsid w:val="2715243D"/>
    <w:rsid w:val="27206206"/>
    <w:rsid w:val="273A63E7"/>
    <w:rsid w:val="273B4DEE"/>
    <w:rsid w:val="276A75D3"/>
    <w:rsid w:val="27750300"/>
    <w:rsid w:val="27764078"/>
    <w:rsid w:val="27893DAB"/>
    <w:rsid w:val="2790145B"/>
    <w:rsid w:val="27985D9D"/>
    <w:rsid w:val="279B4D92"/>
    <w:rsid w:val="27A42993"/>
    <w:rsid w:val="27A75FE0"/>
    <w:rsid w:val="27BD1CA7"/>
    <w:rsid w:val="27C54B58"/>
    <w:rsid w:val="2816494F"/>
    <w:rsid w:val="28177A29"/>
    <w:rsid w:val="281C69CE"/>
    <w:rsid w:val="28213451"/>
    <w:rsid w:val="28221B0A"/>
    <w:rsid w:val="28397580"/>
    <w:rsid w:val="28472DAB"/>
    <w:rsid w:val="28577A06"/>
    <w:rsid w:val="286363AA"/>
    <w:rsid w:val="289D0C12"/>
    <w:rsid w:val="28D728F5"/>
    <w:rsid w:val="28E15521"/>
    <w:rsid w:val="28E53263"/>
    <w:rsid w:val="28E84B02"/>
    <w:rsid w:val="28EC2844"/>
    <w:rsid w:val="28F17005"/>
    <w:rsid w:val="29096C52"/>
    <w:rsid w:val="290C13AB"/>
    <w:rsid w:val="290C38D9"/>
    <w:rsid w:val="292441E0"/>
    <w:rsid w:val="29345FFE"/>
    <w:rsid w:val="293715E5"/>
    <w:rsid w:val="2942661E"/>
    <w:rsid w:val="296A5517"/>
    <w:rsid w:val="296C6938"/>
    <w:rsid w:val="29A529F3"/>
    <w:rsid w:val="29A70519"/>
    <w:rsid w:val="29A9603F"/>
    <w:rsid w:val="29C54E43"/>
    <w:rsid w:val="29CC61D1"/>
    <w:rsid w:val="29D21463"/>
    <w:rsid w:val="29DD4D87"/>
    <w:rsid w:val="29DF1A8C"/>
    <w:rsid w:val="29E4351B"/>
    <w:rsid w:val="29E64F5B"/>
    <w:rsid w:val="29E654E5"/>
    <w:rsid w:val="29FD282F"/>
    <w:rsid w:val="2A1E2702"/>
    <w:rsid w:val="2A465F84"/>
    <w:rsid w:val="2A4B359A"/>
    <w:rsid w:val="2A8039DE"/>
    <w:rsid w:val="2A97233B"/>
    <w:rsid w:val="2A9817E1"/>
    <w:rsid w:val="2A9E191C"/>
    <w:rsid w:val="2ABC4498"/>
    <w:rsid w:val="2ABD43F8"/>
    <w:rsid w:val="2AC53177"/>
    <w:rsid w:val="2AE722F8"/>
    <w:rsid w:val="2AEC6B2B"/>
    <w:rsid w:val="2B0F6BD7"/>
    <w:rsid w:val="2B141BDE"/>
    <w:rsid w:val="2B2067D5"/>
    <w:rsid w:val="2B40642F"/>
    <w:rsid w:val="2B512E32"/>
    <w:rsid w:val="2B560448"/>
    <w:rsid w:val="2B5C6077"/>
    <w:rsid w:val="2B5E554F"/>
    <w:rsid w:val="2B606BD1"/>
    <w:rsid w:val="2B996587"/>
    <w:rsid w:val="2B9D7E25"/>
    <w:rsid w:val="2BAC59F1"/>
    <w:rsid w:val="2BB12CE8"/>
    <w:rsid w:val="2BB1742D"/>
    <w:rsid w:val="2BBE23F4"/>
    <w:rsid w:val="2BE84159"/>
    <w:rsid w:val="2C3F712F"/>
    <w:rsid w:val="2C583C14"/>
    <w:rsid w:val="2C622E1D"/>
    <w:rsid w:val="2C6B2DB9"/>
    <w:rsid w:val="2C6D1DB8"/>
    <w:rsid w:val="2C7212B2"/>
    <w:rsid w:val="2C7A3CC3"/>
    <w:rsid w:val="2C884632"/>
    <w:rsid w:val="2CBC077F"/>
    <w:rsid w:val="2CD94E8D"/>
    <w:rsid w:val="2CF47F19"/>
    <w:rsid w:val="2CFC5020"/>
    <w:rsid w:val="2D0619FA"/>
    <w:rsid w:val="2D195B7A"/>
    <w:rsid w:val="2D285E15"/>
    <w:rsid w:val="2D2F71A3"/>
    <w:rsid w:val="2D3447B9"/>
    <w:rsid w:val="2D410C84"/>
    <w:rsid w:val="2D8D5C78"/>
    <w:rsid w:val="2DA52386"/>
    <w:rsid w:val="2DB41456"/>
    <w:rsid w:val="2DC0604D"/>
    <w:rsid w:val="2DC25921"/>
    <w:rsid w:val="2DC55411"/>
    <w:rsid w:val="2DF466AB"/>
    <w:rsid w:val="2DF523F4"/>
    <w:rsid w:val="2DFE1D47"/>
    <w:rsid w:val="2E1F2D74"/>
    <w:rsid w:val="2E1F2E6B"/>
    <w:rsid w:val="2E222716"/>
    <w:rsid w:val="2E2B44BD"/>
    <w:rsid w:val="2E304F81"/>
    <w:rsid w:val="2E385BE3"/>
    <w:rsid w:val="2E405018"/>
    <w:rsid w:val="2E823302"/>
    <w:rsid w:val="2E89643F"/>
    <w:rsid w:val="2E975000"/>
    <w:rsid w:val="2EC00AB0"/>
    <w:rsid w:val="2ED718A0"/>
    <w:rsid w:val="2EDA4EED"/>
    <w:rsid w:val="2F261EE0"/>
    <w:rsid w:val="2F4C0CFF"/>
    <w:rsid w:val="2F54033B"/>
    <w:rsid w:val="2F560A17"/>
    <w:rsid w:val="2F5D11C8"/>
    <w:rsid w:val="2F6A001E"/>
    <w:rsid w:val="2F6A2714"/>
    <w:rsid w:val="2F761F24"/>
    <w:rsid w:val="2F776BDF"/>
    <w:rsid w:val="2F8B61E7"/>
    <w:rsid w:val="2FAE5C79"/>
    <w:rsid w:val="2FB4573E"/>
    <w:rsid w:val="2FBC2844"/>
    <w:rsid w:val="2FC8743B"/>
    <w:rsid w:val="2FCE2CA3"/>
    <w:rsid w:val="2FEC3129"/>
    <w:rsid w:val="2FF16992"/>
    <w:rsid w:val="2FF63FA8"/>
    <w:rsid w:val="2FF67480"/>
    <w:rsid w:val="2FFA3A98"/>
    <w:rsid w:val="3004724F"/>
    <w:rsid w:val="30056BCC"/>
    <w:rsid w:val="300F0BC6"/>
    <w:rsid w:val="3011493E"/>
    <w:rsid w:val="301A4E2B"/>
    <w:rsid w:val="302723B3"/>
    <w:rsid w:val="302A1EA4"/>
    <w:rsid w:val="30304490"/>
    <w:rsid w:val="3038011D"/>
    <w:rsid w:val="304844EE"/>
    <w:rsid w:val="304C3BC8"/>
    <w:rsid w:val="30694611"/>
    <w:rsid w:val="307D4525"/>
    <w:rsid w:val="309317F7"/>
    <w:rsid w:val="30973E22"/>
    <w:rsid w:val="30A55F08"/>
    <w:rsid w:val="30A734F4"/>
    <w:rsid w:val="30A746EE"/>
    <w:rsid w:val="30D6219F"/>
    <w:rsid w:val="30D958F4"/>
    <w:rsid w:val="31191D1A"/>
    <w:rsid w:val="31271F3F"/>
    <w:rsid w:val="312E1520"/>
    <w:rsid w:val="313C1E8F"/>
    <w:rsid w:val="31553187"/>
    <w:rsid w:val="315561C7"/>
    <w:rsid w:val="318850D4"/>
    <w:rsid w:val="31A3283A"/>
    <w:rsid w:val="31BB1005"/>
    <w:rsid w:val="31C738A0"/>
    <w:rsid w:val="31E3230A"/>
    <w:rsid w:val="31E340B8"/>
    <w:rsid w:val="31E602A8"/>
    <w:rsid w:val="321B4F9B"/>
    <w:rsid w:val="32236BAB"/>
    <w:rsid w:val="32415FE8"/>
    <w:rsid w:val="32525CAD"/>
    <w:rsid w:val="32566F80"/>
    <w:rsid w:val="32683D2C"/>
    <w:rsid w:val="3284589B"/>
    <w:rsid w:val="32851613"/>
    <w:rsid w:val="32A457A1"/>
    <w:rsid w:val="32A73338"/>
    <w:rsid w:val="32A95134"/>
    <w:rsid w:val="32BD0DAD"/>
    <w:rsid w:val="32C97752"/>
    <w:rsid w:val="32E4271E"/>
    <w:rsid w:val="330F5F53"/>
    <w:rsid w:val="33192DD6"/>
    <w:rsid w:val="331D184C"/>
    <w:rsid w:val="332C1A8F"/>
    <w:rsid w:val="332D7CE1"/>
    <w:rsid w:val="332E5807"/>
    <w:rsid w:val="33446DD8"/>
    <w:rsid w:val="3345642D"/>
    <w:rsid w:val="33977850"/>
    <w:rsid w:val="33997CFE"/>
    <w:rsid w:val="33AF02D3"/>
    <w:rsid w:val="33B201E6"/>
    <w:rsid w:val="33EF6029"/>
    <w:rsid w:val="340F388A"/>
    <w:rsid w:val="34232E92"/>
    <w:rsid w:val="34586FDF"/>
    <w:rsid w:val="345D5174"/>
    <w:rsid w:val="345E036E"/>
    <w:rsid w:val="346E37BC"/>
    <w:rsid w:val="34877C1E"/>
    <w:rsid w:val="3491429F"/>
    <w:rsid w:val="349A0CEE"/>
    <w:rsid w:val="34B435D9"/>
    <w:rsid w:val="34BB30CA"/>
    <w:rsid w:val="34C634F3"/>
    <w:rsid w:val="34D32B0A"/>
    <w:rsid w:val="34F211E2"/>
    <w:rsid w:val="35064C8D"/>
    <w:rsid w:val="35284C04"/>
    <w:rsid w:val="35337105"/>
    <w:rsid w:val="355C665B"/>
    <w:rsid w:val="356E638F"/>
    <w:rsid w:val="3575771D"/>
    <w:rsid w:val="357716E7"/>
    <w:rsid w:val="357A2F85"/>
    <w:rsid w:val="358807B3"/>
    <w:rsid w:val="35AD5109"/>
    <w:rsid w:val="35BE7316"/>
    <w:rsid w:val="36056CF3"/>
    <w:rsid w:val="361D3434"/>
    <w:rsid w:val="36592B9B"/>
    <w:rsid w:val="367B5207"/>
    <w:rsid w:val="36834E9F"/>
    <w:rsid w:val="368B3AFF"/>
    <w:rsid w:val="368C276E"/>
    <w:rsid w:val="368D6CE8"/>
    <w:rsid w:val="368F480F"/>
    <w:rsid w:val="36910587"/>
    <w:rsid w:val="36930B69"/>
    <w:rsid w:val="369938DF"/>
    <w:rsid w:val="36AE5E30"/>
    <w:rsid w:val="36BA0EE1"/>
    <w:rsid w:val="36CC7604"/>
    <w:rsid w:val="36E763F9"/>
    <w:rsid w:val="36E915D7"/>
    <w:rsid w:val="37176879"/>
    <w:rsid w:val="37283B5C"/>
    <w:rsid w:val="373930CD"/>
    <w:rsid w:val="374C38FD"/>
    <w:rsid w:val="376E2676"/>
    <w:rsid w:val="378620B5"/>
    <w:rsid w:val="37877A69"/>
    <w:rsid w:val="378974B0"/>
    <w:rsid w:val="37B704C1"/>
    <w:rsid w:val="37B7401D"/>
    <w:rsid w:val="37D10032"/>
    <w:rsid w:val="37DF5322"/>
    <w:rsid w:val="38003C16"/>
    <w:rsid w:val="38116E35"/>
    <w:rsid w:val="383218F5"/>
    <w:rsid w:val="38392C84"/>
    <w:rsid w:val="38431A15"/>
    <w:rsid w:val="38527D74"/>
    <w:rsid w:val="38547ABE"/>
    <w:rsid w:val="3862667F"/>
    <w:rsid w:val="38635F53"/>
    <w:rsid w:val="386677F1"/>
    <w:rsid w:val="3870241E"/>
    <w:rsid w:val="387243E8"/>
    <w:rsid w:val="38812A0E"/>
    <w:rsid w:val="388F4203"/>
    <w:rsid w:val="389E0B63"/>
    <w:rsid w:val="38AC0BE2"/>
    <w:rsid w:val="38B14F10"/>
    <w:rsid w:val="38B7004D"/>
    <w:rsid w:val="38B82F9B"/>
    <w:rsid w:val="38B973B3"/>
    <w:rsid w:val="38C7689A"/>
    <w:rsid w:val="38D66725"/>
    <w:rsid w:val="38DF7CCF"/>
    <w:rsid w:val="38E638DE"/>
    <w:rsid w:val="38FB618B"/>
    <w:rsid w:val="39004A1A"/>
    <w:rsid w:val="390222C4"/>
    <w:rsid w:val="39113C01"/>
    <w:rsid w:val="3911775D"/>
    <w:rsid w:val="39185C32"/>
    <w:rsid w:val="39194863"/>
    <w:rsid w:val="391B682D"/>
    <w:rsid w:val="392751D2"/>
    <w:rsid w:val="393B1048"/>
    <w:rsid w:val="393B2A2C"/>
    <w:rsid w:val="395B30CE"/>
    <w:rsid w:val="39727572"/>
    <w:rsid w:val="398250FD"/>
    <w:rsid w:val="39AA3452"/>
    <w:rsid w:val="39AB0045"/>
    <w:rsid w:val="39AB5E03"/>
    <w:rsid w:val="39E41315"/>
    <w:rsid w:val="3A033549"/>
    <w:rsid w:val="3A0472C2"/>
    <w:rsid w:val="3A1D6D41"/>
    <w:rsid w:val="3A1E4827"/>
    <w:rsid w:val="3A3A0F35"/>
    <w:rsid w:val="3A41767D"/>
    <w:rsid w:val="3A4B5033"/>
    <w:rsid w:val="3A52037E"/>
    <w:rsid w:val="3A59760D"/>
    <w:rsid w:val="3A5C0EAC"/>
    <w:rsid w:val="3A5C70FE"/>
    <w:rsid w:val="3A7601BF"/>
    <w:rsid w:val="3AAD04FF"/>
    <w:rsid w:val="3AE7792D"/>
    <w:rsid w:val="3AEF34F1"/>
    <w:rsid w:val="3AFC08F1"/>
    <w:rsid w:val="3B023801"/>
    <w:rsid w:val="3B0357CB"/>
    <w:rsid w:val="3B082DE1"/>
    <w:rsid w:val="3B194FEF"/>
    <w:rsid w:val="3B20637D"/>
    <w:rsid w:val="3B385475"/>
    <w:rsid w:val="3B3E0A5D"/>
    <w:rsid w:val="3B56134E"/>
    <w:rsid w:val="3B60677A"/>
    <w:rsid w:val="3B9052B1"/>
    <w:rsid w:val="3B952CE7"/>
    <w:rsid w:val="3BA0283B"/>
    <w:rsid w:val="3BB4161C"/>
    <w:rsid w:val="3BD3519D"/>
    <w:rsid w:val="3BDA29D0"/>
    <w:rsid w:val="3BDA477E"/>
    <w:rsid w:val="3BDD426E"/>
    <w:rsid w:val="3BE125E5"/>
    <w:rsid w:val="3BE15B0C"/>
    <w:rsid w:val="3BE52931"/>
    <w:rsid w:val="3BEA6334"/>
    <w:rsid w:val="3BF03246"/>
    <w:rsid w:val="3C0161AE"/>
    <w:rsid w:val="3C2D2657"/>
    <w:rsid w:val="3C340332"/>
    <w:rsid w:val="3C3519B4"/>
    <w:rsid w:val="3C39735A"/>
    <w:rsid w:val="3C3A521C"/>
    <w:rsid w:val="3C4147FD"/>
    <w:rsid w:val="3C9E1C4F"/>
    <w:rsid w:val="3CC2593E"/>
    <w:rsid w:val="3CC82828"/>
    <w:rsid w:val="3CC86206"/>
    <w:rsid w:val="3CCE09AF"/>
    <w:rsid w:val="3CD63197"/>
    <w:rsid w:val="3CDE3DFA"/>
    <w:rsid w:val="3CE21B3C"/>
    <w:rsid w:val="3CE27D8E"/>
    <w:rsid w:val="3CEB1B25"/>
    <w:rsid w:val="3CFE624A"/>
    <w:rsid w:val="3D065055"/>
    <w:rsid w:val="3D31661F"/>
    <w:rsid w:val="3D330EC2"/>
    <w:rsid w:val="3D361E88"/>
    <w:rsid w:val="3D3659E4"/>
    <w:rsid w:val="3D45031D"/>
    <w:rsid w:val="3D5219C7"/>
    <w:rsid w:val="3D5E753F"/>
    <w:rsid w:val="3D677C0F"/>
    <w:rsid w:val="3D9F17DB"/>
    <w:rsid w:val="3DA557B2"/>
    <w:rsid w:val="3DB73E2A"/>
    <w:rsid w:val="3DC376C4"/>
    <w:rsid w:val="3DD23EAB"/>
    <w:rsid w:val="3DD551FD"/>
    <w:rsid w:val="3DDF7E2A"/>
    <w:rsid w:val="3DE96EFA"/>
    <w:rsid w:val="3DF80EEB"/>
    <w:rsid w:val="3DFF671E"/>
    <w:rsid w:val="3E027FBC"/>
    <w:rsid w:val="3E0C2BE9"/>
    <w:rsid w:val="3E126451"/>
    <w:rsid w:val="3E2D328B"/>
    <w:rsid w:val="3E5C0A2B"/>
    <w:rsid w:val="3E6B3DB3"/>
    <w:rsid w:val="3E846C23"/>
    <w:rsid w:val="3E8C2D59"/>
    <w:rsid w:val="3E9230EE"/>
    <w:rsid w:val="3ECB6600"/>
    <w:rsid w:val="3ED01E68"/>
    <w:rsid w:val="3EDB1E22"/>
    <w:rsid w:val="3EE6168C"/>
    <w:rsid w:val="3EEA5616"/>
    <w:rsid w:val="3EF15655"/>
    <w:rsid w:val="3EF50134"/>
    <w:rsid w:val="3EF9316D"/>
    <w:rsid w:val="3F0833B0"/>
    <w:rsid w:val="3F0D6D2F"/>
    <w:rsid w:val="3F19736B"/>
    <w:rsid w:val="3F2A77CA"/>
    <w:rsid w:val="3F400D9C"/>
    <w:rsid w:val="3F53033F"/>
    <w:rsid w:val="3F827606"/>
    <w:rsid w:val="3FBB48C6"/>
    <w:rsid w:val="3FCD0234"/>
    <w:rsid w:val="3FD63A93"/>
    <w:rsid w:val="3FF102E8"/>
    <w:rsid w:val="3FF106AF"/>
    <w:rsid w:val="400C5122"/>
    <w:rsid w:val="401144E6"/>
    <w:rsid w:val="40322DDA"/>
    <w:rsid w:val="404461B4"/>
    <w:rsid w:val="40454802"/>
    <w:rsid w:val="40526FD9"/>
    <w:rsid w:val="40572841"/>
    <w:rsid w:val="40804A27"/>
    <w:rsid w:val="408118D1"/>
    <w:rsid w:val="408178BE"/>
    <w:rsid w:val="40956EC5"/>
    <w:rsid w:val="40A315E2"/>
    <w:rsid w:val="40A86CF0"/>
    <w:rsid w:val="40A92971"/>
    <w:rsid w:val="40BB2DD0"/>
    <w:rsid w:val="40DA0D7C"/>
    <w:rsid w:val="40E553CD"/>
    <w:rsid w:val="40E57E4D"/>
    <w:rsid w:val="411E0665"/>
    <w:rsid w:val="412259D4"/>
    <w:rsid w:val="412E2095"/>
    <w:rsid w:val="41331BEE"/>
    <w:rsid w:val="41376D75"/>
    <w:rsid w:val="41377999"/>
    <w:rsid w:val="41474664"/>
    <w:rsid w:val="41686388"/>
    <w:rsid w:val="416D21E5"/>
    <w:rsid w:val="41781663"/>
    <w:rsid w:val="4179794C"/>
    <w:rsid w:val="41926BA2"/>
    <w:rsid w:val="41994793"/>
    <w:rsid w:val="419A6C9F"/>
    <w:rsid w:val="41A2617C"/>
    <w:rsid w:val="41BE244C"/>
    <w:rsid w:val="41C04416"/>
    <w:rsid w:val="41C757A4"/>
    <w:rsid w:val="41CA257F"/>
    <w:rsid w:val="41CA2B9F"/>
    <w:rsid w:val="41D34149"/>
    <w:rsid w:val="41DF01D1"/>
    <w:rsid w:val="41E9396D"/>
    <w:rsid w:val="41EE2D31"/>
    <w:rsid w:val="41EF2605"/>
    <w:rsid w:val="41F67E38"/>
    <w:rsid w:val="42182CE6"/>
    <w:rsid w:val="421A21FA"/>
    <w:rsid w:val="425C413F"/>
    <w:rsid w:val="42786A9F"/>
    <w:rsid w:val="427B20EB"/>
    <w:rsid w:val="42810154"/>
    <w:rsid w:val="42892A5A"/>
    <w:rsid w:val="429A07C3"/>
    <w:rsid w:val="42BC350C"/>
    <w:rsid w:val="42CE66BF"/>
    <w:rsid w:val="42D53E10"/>
    <w:rsid w:val="42E1451A"/>
    <w:rsid w:val="42E3216A"/>
    <w:rsid w:val="42EB101F"/>
    <w:rsid w:val="42F500EF"/>
    <w:rsid w:val="42F645A0"/>
    <w:rsid w:val="43086074"/>
    <w:rsid w:val="431542ED"/>
    <w:rsid w:val="43244997"/>
    <w:rsid w:val="43592B6F"/>
    <w:rsid w:val="436C03B1"/>
    <w:rsid w:val="43733959"/>
    <w:rsid w:val="438660D8"/>
    <w:rsid w:val="439B724A"/>
    <w:rsid w:val="43AE6F16"/>
    <w:rsid w:val="43AF64F0"/>
    <w:rsid w:val="43C33D49"/>
    <w:rsid w:val="43C53F65"/>
    <w:rsid w:val="43E864F4"/>
    <w:rsid w:val="44175E76"/>
    <w:rsid w:val="443B38C5"/>
    <w:rsid w:val="44417B06"/>
    <w:rsid w:val="44472BCC"/>
    <w:rsid w:val="445157F9"/>
    <w:rsid w:val="44571821"/>
    <w:rsid w:val="446B0669"/>
    <w:rsid w:val="449B0822"/>
    <w:rsid w:val="44B00772"/>
    <w:rsid w:val="44BB76DF"/>
    <w:rsid w:val="44CB735A"/>
    <w:rsid w:val="44CE1C25"/>
    <w:rsid w:val="44CE2C22"/>
    <w:rsid w:val="44DA134B"/>
    <w:rsid w:val="44E0711E"/>
    <w:rsid w:val="44FF0DB1"/>
    <w:rsid w:val="44FF35D5"/>
    <w:rsid w:val="4515338F"/>
    <w:rsid w:val="45343151"/>
    <w:rsid w:val="45360AEE"/>
    <w:rsid w:val="453A5A5E"/>
    <w:rsid w:val="454B2248"/>
    <w:rsid w:val="454F7F8B"/>
    <w:rsid w:val="455F6A9A"/>
    <w:rsid w:val="456765BA"/>
    <w:rsid w:val="45765517"/>
    <w:rsid w:val="457C68A6"/>
    <w:rsid w:val="45943BEF"/>
    <w:rsid w:val="45C36989"/>
    <w:rsid w:val="45C81AEB"/>
    <w:rsid w:val="45D16BF2"/>
    <w:rsid w:val="45D4223E"/>
    <w:rsid w:val="45DE30BD"/>
    <w:rsid w:val="45E5269D"/>
    <w:rsid w:val="45F20916"/>
    <w:rsid w:val="46064D5F"/>
    <w:rsid w:val="460A7043"/>
    <w:rsid w:val="461E170B"/>
    <w:rsid w:val="46342CDD"/>
    <w:rsid w:val="46366A55"/>
    <w:rsid w:val="46387167"/>
    <w:rsid w:val="464F5D68"/>
    <w:rsid w:val="466E2692"/>
    <w:rsid w:val="46731A57"/>
    <w:rsid w:val="46A75BA4"/>
    <w:rsid w:val="46D06EA9"/>
    <w:rsid w:val="46E03F5C"/>
    <w:rsid w:val="46F30DEA"/>
    <w:rsid w:val="47040901"/>
    <w:rsid w:val="47060B1D"/>
    <w:rsid w:val="471B6342"/>
    <w:rsid w:val="472B0583"/>
    <w:rsid w:val="474C16E0"/>
    <w:rsid w:val="474D05F5"/>
    <w:rsid w:val="477E4B57"/>
    <w:rsid w:val="47AF6ABF"/>
    <w:rsid w:val="47D44777"/>
    <w:rsid w:val="47DD7AD0"/>
    <w:rsid w:val="47EA5D49"/>
    <w:rsid w:val="47FE2E1A"/>
    <w:rsid w:val="480768FB"/>
    <w:rsid w:val="480A0199"/>
    <w:rsid w:val="480B52BA"/>
    <w:rsid w:val="481B05F8"/>
    <w:rsid w:val="48260C67"/>
    <w:rsid w:val="482D3E87"/>
    <w:rsid w:val="48673309"/>
    <w:rsid w:val="48715FBB"/>
    <w:rsid w:val="489E776B"/>
    <w:rsid w:val="48B16866"/>
    <w:rsid w:val="48C04CFB"/>
    <w:rsid w:val="48C35FC8"/>
    <w:rsid w:val="48D04F3E"/>
    <w:rsid w:val="48EC5AF0"/>
    <w:rsid w:val="49170624"/>
    <w:rsid w:val="49236BFC"/>
    <w:rsid w:val="49351245"/>
    <w:rsid w:val="495A5150"/>
    <w:rsid w:val="498B5309"/>
    <w:rsid w:val="498D2E30"/>
    <w:rsid w:val="49A0166B"/>
    <w:rsid w:val="49B210BD"/>
    <w:rsid w:val="49C64593"/>
    <w:rsid w:val="49CB3958"/>
    <w:rsid w:val="49DC5B65"/>
    <w:rsid w:val="49F55044"/>
    <w:rsid w:val="4A166BBE"/>
    <w:rsid w:val="4A1E7F2C"/>
    <w:rsid w:val="4A2D63C1"/>
    <w:rsid w:val="4A3D4CA7"/>
    <w:rsid w:val="4A4C6847"/>
    <w:rsid w:val="4A562717"/>
    <w:rsid w:val="4A5B2F2E"/>
    <w:rsid w:val="4A6A13C3"/>
    <w:rsid w:val="4A6F0787"/>
    <w:rsid w:val="4A8A55C1"/>
    <w:rsid w:val="4A942B3D"/>
    <w:rsid w:val="4AA246B9"/>
    <w:rsid w:val="4AB50890"/>
    <w:rsid w:val="4ABA05C6"/>
    <w:rsid w:val="4AC5016E"/>
    <w:rsid w:val="4AE66C9B"/>
    <w:rsid w:val="4AFD7A3E"/>
    <w:rsid w:val="4B180337"/>
    <w:rsid w:val="4B2D1021"/>
    <w:rsid w:val="4B35552D"/>
    <w:rsid w:val="4B3B78E8"/>
    <w:rsid w:val="4B4F3AFF"/>
    <w:rsid w:val="4B5F1135"/>
    <w:rsid w:val="4B5F6A4E"/>
    <w:rsid w:val="4B6978CC"/>
    <w:rsid w:val="4B7A32E6"/>
    <w:rsid w:val="4B7C7600"/>
    <w:rsid w:val="4B7D6ED4"/>
    <w:rsid w:val="4B7E36E5"/>
    <w:rsid w:val="4B8D35BB"/>
    <w:rsid w:val="4B9009B5"/>
    <w:rsid w:val="4BCF61E9"/>
    <w:rsid w:val="4BD23A21"/>
    <w:rsid w:val="4BD5100E"/>
    <w:rsid w:val="4BE86A43"/>
    <w:rsid w:val="4BE96317"/>
    <w:rsid w:val="4BEA6BAD"/>
    <w:rsid w:val="4BEE7AA6"/>
    <w:rsid w:val="4C0E1AC3"/>
    <w:rsid w:val="4C133CD2"/>
    <w:rsid w:val="4C1E2465"/>
    <w:rsid w:val="4C207F8B"/>
    <w:rsid w:val="4C2A0E0A"/>
    <w:rsid w:val="4C312198"/>
    <w:rsid w:val="4C341C88"/>
    <w:rsid w:val="4C5639AD"/>
    <w:rsid w:val="4C5C4D3B"/>
    <w:rsid w:val="4C6B4F7E"/>
    <w:rsid w:val="4C706EC5"/>
    <w:rsid w:val="4C87000A"/>
    <w:rsid w:val="4C9170DB"/>
    <w:rsid w:val="4CDD7750"/>
    <w:rsid w:val="4CFD13D5"/>
    <w:rsid w:val="4D090A1F"/>
    <w:rsid w:val="4D4D1254"/>
    <w:rsid w:val="4D7D140D"/>
    <w:rsid w:val="4D7D31BB"/>
    <w:rsid w:val="4D87325B"/>
    <w:rsid w:val="4D9B03C8"/>
    <w:rsid w:val="4DAB590F"/>
    <w:rsid w:val="4DBC3CE3"/>
    <w:rsid w:val="4DD0778F"/>
    <w:rsid w:val="4DE10419"/>
    <w:rsid w:val="4DE66FB2"/>
    <w:rsid w:val="4DF74D1B"/>
    <w:rsid w:val="4DF85D67"/>
    <w:rsid w:val="4E1753BE"/>
    <w:rsid w:val="4E393586"/>
    <w:rsid w:val="4E571C5E"/>
    <w:rsid w:val="4E5C7274"/>
    <w:rsid w:val="4E775E5C"/>
    <w:rsid w:val="4E810A89"/>
    <w:rsid w:val="4E8B6735"/>
    <w:rsid w:val="4E920EE8"/>
    <w:rsid w:val="4EBE3251"/>
    <w:rsid w:val="4EC73301"/>
    <w:rsid w:val="4EF37BD9"/>
    <w:rsid w:val="4EF56421"/>
    <w:rsid w:val="4F1541EB"/>
    <w:rsid w:val="4F22401A"/>
    <w:rsid w:val="4F2B7BF3"/>
    <w:rsid w:val="4F367AC5"/>
    <w:rsid w:val="4F3F2E1E"/>
    <w:rsid w:val="4F4C553B"/>
    <w:rsid w:val="4F4F2935"/>
    <w:rsid w:val="4F610FE6"/>
    <w:rsid w:val="4F65192A"/>
    <w:rsid w:val="4F730D1A"/>
    <w:rsid w:val="4F7832CB"/>
    <w:rsid w:val="4F7F321A"/>
    <w:rsid w:val="4FA54753"/>
    <w:rsid w:val="4FCC52FD"/>
    <w:rsid w:val="4FE723EB"/>
    <w:rsid w:val="4FF01936"/>
    <w:rsid w:val="4FF43C08"/>
    <w:rsid w:val="4FF736F9"/>
    <w:rsid w:val="4FF86A76"/>
    <w:rsid w:val="5019366F"/>
    <w:rsid w:val="501F67AB"/>
    <w:rsid w:val="50243DC2"/>
    <w:rsid w:val="504969B4"/>
    <w:rsid w:val="50546455"/>
    <w:rsid w:val="50566671"/>
    <w:rsid w:val="50570B94"/>
    <w:rsid w:val="505B3C87"/>
    <w:rsid w:val="5086609B"/>
    <w:rsid w:val="50947199"/>
    <w:rsid w:val="50AF5D81"/>
    <w:rsid w:val="50B15470"/>
    <w:rsid w:val="50BF71F9"/>
    <w:rsid w:val="50C931AC"/>
    <w:rsid w:val="50D37CC2"/>
    <w:rsid w:val="50DF527D"/>
    <w:rsid w:val="50EA0B67"/>
    <w:rsid w:val="510501AA"/>
    <w:rsid w:val="51190F26"/>
    <w:rsid w:val="511D0F3D"/>
    <w:rsid w:val="513A45A1"/>
    <w:rsid w:val="514364CA"/>
    <w:rsid w:val="514B1DEB"/>
    <w:rsid w:val="514C68DD"/>
    <w:rsid w:val="515E50B1"/>
    <w:rsid w:val="51703763"/>
    <w:rsid w:val="51711289"/>
    <w:rsid w:val="5181771E"/>
    <w:rsid w:val="51903C94"/>
    <w:rsid w:val="51A614FC"/>
    <w:rsid w:val="51A84FE5"/>
    <w:rsid w:val="51D51818"/>
    <w:rsid w:val="51D64DA9"/>
    <w:rsid w:val="51E301D2"/>
    <w:rsid w:val="51FC4FF6"/>
    <w:rsid w:val="51FF2E33"/>
    <w:rsid w:val="52131FB2"/>
    <w:rsid w:val="521340EE"/>
    <w:rsid w:val="52134AD3"/>
    <w:rsid w:val="522307D5"/>
    <w:rsid w:val="52293911"/>
    <w:rsid w:val="52304275"/>
    <w:rsid w:val="52475142"/>
    <w:rsid w:val="527C4DED"/>
    <w:rsid w:val="5288688A"/>
    <w:rsid w:val="52A2110F"/>
    <w:rsid w:val="52AF02BB"/>
    <w:rsid w:val="52B72CCB"/>
    <w:rsid w:val="52C13D61"/>
    <w:rsid w:val="52CD24EF"/>
    <w:rsid w:val="52CF46D9"/>
    <w:rsid w:val="52D10231"/>
    <w:rsid w:val="52D41ACF"/>
    <w:rsid w:val="530C3017"/>
    <w:rsid w:val="53141FD1"/>
    <w:rsid w:val="531719BC"/>
    <w:rsid w:val="531B5950"/>
    <w:rsid w:val="531F2EC5"/>
    <w:rsid w:val="53220122"/>
    <w:rsid w:val="532365B3"/>
    <w:rsid w:val="532F2A2E"/>
    <w:rsid w:val="53407165"/>
    <w:rsid w:val="534915A9"/>
    <w:rsid w:val="536410A5"/>
    <w:rsid w:val="537D5CC3"/>
    <w:rsid w:val="53AC47FA"/>
    <w:rsid w:val="53AE5E7B"/>
    <w:rsid w:val="53C2401E"/>
    <w:rsid w:val="53CD5A57"/>
    <w:rsid w:val="53D37FD9"/>
    <w:rsid w:val="53DE1305"/>
    <w:rsid w:val="54013893"/>
    <w:rsid w:val="54031932"/>
    <w:rsid w:val="541008E5"/>
    <w:rsid w:val="54330A77"/>
    <w:rsid w:val="54420967"/>
    <w:rsid w:val="544D38E7"/>
    <w:rsid w:val="5455159D"/>
    <w:rsid w:val="54690084"/>
    <w:rsid w:val="546D2B7E"/>
    <w:rsid w:val="548968E9"/>
    <w:rsid w:val="549A5D5B"/>
    <w:rsid w:val="54A360FA"/>
    <w:rsid w:val="54A86D6F"/>
    <w:rsid w:val="54AE61C7"/>
    <w:rsid w:val="54BB27E3"/>
    <w:rsid w:val="54C55B73"/>
    <w:rsid w:val="54C8493A"/>
    <w:rsid w:val="54F93A6F"/>
    <w:rsid w:val="55006BAB"/>
    <w:rsid w:val="55044310"/>
    <w:rsid w:val="55054EB9"/>
    <w:rsid w:val="550D6307"/>
    <w:rsid w:val="55142657"/>
    <w:rsid w:val="551663CF"/>
    <w:rsid w:val="5521778A"/>
    <w:rsid w:val="552E66BB"/>
    <w:rsid w:val="55575E69"/>
    <w:rsid w:val="55667550"/>
    <w:rsid w:val="557E0F60"/>
    <w:rsid w:val="558238A8"/>
    <w:rsid w:val="55854A5F"/>
    <w:rsid w:val="55945546"/>
    <w:rsid w:val="559D264C"/>
    <w:rsid w:val="55A044FD"/>
    <w:rsid w:val="55B13241"/>
    <w:rsid w:val="55BA1450"/>
    <w:rsid w:val="55BF550A"/>
    <w:rsid w:val="55BF6A67"/>
    <w:rsid w:val="55CA71B9"/>
    <w:rsid w:val="55E069DD"/>
    <w:rsid w:val="561A3C9D"/>
    <w:rsid w:val="563B17E4"/>
    <w:rsid w:val="56814528"/>
    <w:rsid w:val="569021B1"/>
    <w:rsid w:val="5696551F"/>
    <w:rsid w:val="569A4794"/>
    <w:rsid w:val="56A90CE2"/>
    <w:rsid w:val="56C360E3"/>
    <w:rsid w:val="56CB2EF7"/>
    <w:rsid w:val="56D733B9"/>
    <w:rsid w:val="56D865D7"/>
    <w:rsid w:val="56D95906"/>
    <w:rsid w:val="56E23E54"/>
    <w:rsid w:val="56F06211"/>
    <w:rsid w:val="56F52014"/>
    <w:rsid w:val="571411A6"/>
    <w:rsid w:val="571903F8"/>
    <w:rsid w:val="571C3A45"/>
    <w:rsid w:val="571F7091"/>
    <w:rsid w:val="573214BA"/>
    <w:rsid w:val="574014E1"/>
    <w:rsid w:val="575612E0"/>
    <w:rsid w:val="576A47B0"/>
    <w:rsid w:val="576F1DC6"/>
    <w:rsid w:val="577E200A"/>
    <w:rsid w:val="57DD1426"/>
    <w:rsid w:val="57DF5B38"/>
    <w:rsid w:val="57F02DBA"/>
    <w:rsid w:val="58070251"/>
    <w:rsid w:val="58156E12"/>
    <w:rsid w:val="58184DCA"/>
    <w:rsid w:val="582726A1"/>
    <w:rsid w:val="58311772"/>
    <w:rsid w:val="583A6878"/>
    <w:rsid w:val="5846521D"/>
    <w:rsid w:val="585A4825"/>
    <w:rsid w:val="585E2BDC"/>
    <w:rsid w:val="586101DB"/>
    <w:rsid w:val="586236D9"/>
    <w:rsid w:val="58767185"/>
    <w:rsid w:val="587F28DB"/>
    <w:rsid w:val="587F6039"/>
    <w:rsid w:val="5887598B"/>
    <w:rsid w:val="588875E4"/>
    <w:rsid w:val="5898534D"/>
    <w:rsid w:val="589E6E07"/>
    <w:rsid w:val="58B008E9"/>
    <w:rsid w:val="58BA494D"/>
    <w:rsid w:val="58D00F8B"/>
    <w:rsid w:val="58FE255D"/>
    <w:rsid w:val="59162E41"/>
    <w:rsid w:val="591E5852"/>
    <w:rsid w:val="592F7A5F"/>
    <w:rsid w:val="59362D4C"/>
    <w:rsid w:val="593A4C8A"/>
    <w:rsid w:val="594D6137"/>
    <w:rsid w:val="59561490"/>
    <w:rsid w:val="59597BCA"/>
    <w:rsid w:val="596F5E5F"/>
    <w:rsid w:val="597731B4"/>
    <w:rsid w:val="59792D1F"/>
    <w:rsid w:val="598D0C2A"/>
    <w:rsid w:val="59941FB8"/>
    <w:rsid w:val="59A83EF3"/>
    <w:rsid w:val="59D625D1"/>
    <w:rsid w:val="59E416B0"/>
    <w:rsid w:val="59E5083C"/>
    <w:rsid w:val="59EF71EF"/>
    <w:rsid w:val="59F667CF"/>
    <w:rsid w:val="5A0A5AFD"/>
    <w:rsid w:val="5A0D7B97"/>
    <w:rsid w:val="5A2068C3"/>
    <w:rsid w:val="5A3D4DA5"/>
    <w:rsid w:val="5A4A08C9"/>
    <w:rsid w:val="5A511C57"/>
    <w:rsid w:val="5A5654C0"/>
    <w:rsid w:val="5A5D23AA"/>
    <w:rsid w:val="5A5F25C6"/>
    <w:rsid w:val="5A6000EC"/>
    <w:rsid w:val="5A820063"/>
    <w:rsid w:val="5A8A4C0C"/>
    <w:rsid w:val="5AA93FC4"/>
    <w:rsid w:val="5AAB0D75"/>
    <w:rsid w:val="5AD14B46"/>
    <w:rsid w:val="5AEB5C08"/>
    <w:rsid w:val="5AFF3D84"/>
    <w:rsid w:val="5B046CCA"/>
    <w:rsid w:val="5B0E18F6"/>
    <w:rsid w:val="5B1A64ED"/>
    <w:rsid w:val="5B2835E5"/>
    <w:rsid w:val="5B2E741C"/>
    <w:rsid w:val="5B503CBD"/>
    <w:rsid w:val="5B5D2EEA"/>
    <w:rsid w:val="5B5F2152"/>
    <w:rsid w:val="5B6D6DB4"/>
    <w:rsid w:val="5B7F45A2"/>
    <w:rsid w:val="5B8816A9"/>
    <w:rsid w:val="5BD14DFE"/>
    <w:rsid w:val="5BD42B40"/>
    <w:rsid w:val="5BE32D83"/>
    <w:rsid w:val="5BEE410E"/>
    <w:rsid w:val="5C152F1D"/>
    <w:rsid w:val="5C2E04A2"/>
    <w:rsid w:val="5C4121EE"/>
    <w:rsid w:val="5C471564"/>
    <w:rsid w:val="5C4F0418"/>
    <w:rsid w:val="5C59248E"/>
    <w:rsid w:val="5C6E6BB0"/>
    <w:rsid w:val="5C8D4F4B"/>
    <w:rsid w:val="5C902F0B"/>
    <w:rsid w:val="5CB52971"/>
    <w:rsid w:val="5CC42BB4"/>
    <w:rsid w:val="5CC707A6"/>
    <w:rsid w:val="5CDA4B3D"/>
    <w:rsid w:val="5CDF6293"/>
    <w:rsid w:val="5CE2128D"/>
    <w:rsid w:val="5CF36FF6"/>
    <w:rsid w:val="5CF54B1C"/>
    <w:rsid w:val="5CFB40B3"/>
    <w:rsid w:val="5D3C6BEF"/>
    <w:rsid w:val="5D5E6B65"/>
    <w:rsid w:val="5D610330"/>
    <w:rsid w:val="5D720862"/>
    <w:rsid w:val="5D814602"/>
    <w:rsid w:val="5D8D744A"/>
    <w:rsid w:val="5D911291"/>
    <w:rsid w:val="5D98149D"/>
    <w:rsid w:val="5DAD753D"/>
    <w:rsid w:val="5DF41277"/>
    <w:rsid w:val="5DFE20F6"/>
    <w:rsid w:val="5E033269"/>
    <w:rsid w:val="5E1831B8"/>
    <w:rsid w:val="5E211941"/>
    <w:rsid w:val="5E31427A"/>
    <w:rsid w:val="5E3B2A02"/>
    <w:rsid w:val="5E3E0745"/>
    <w:rsid w:val="5E3E1D6E"/>
    <w:rsid w:val="5E401B97"/>
    <w:rsid w:val="5E6463FD"/>
    <w:rsid w:val="5E6C52B2"/>
    <w:rsid w:val="5E8E5228"/>
    <w:rsid w:val="5E9640DD"/>
    <w:rsid w:val="5EA126CE"/>
    <w:rsid w:val="5EAE7678"/>
    <w:rsid w:val="5EC63918"/>
    <w:rsid w:val="5EDD1D0C"/>
    <w:rsid w:val="5EEB3F41"/>
    <w:rsid w:val="5EF248AA"/>
    <w:rsid w:val="5F08322C"/>
    <w:rsid w:val="5F2636B2"/>
    <w:rsid w:val="5F296DEF"/>
    <w:rsid w:val="5F494EC5"/>
    <w:rsid w:val="5F4D6E91"/>
    <w:rsid w:val="5F512F83"/>
    <w:rsid w:val="5F5F6BC4"/>
    <w:rsid w:val="5F617EFB"/>
    <w:rsid w:val="5F893C41"/>
    <w:rsid w:val="5FA42829"/>
    <w:rsid w:val="5FB05672"/>
    <w:rsid w:val="5FBA3260"/>
    <w:rsid w:val="5FDE5D3B"/>
    <w:rsid w:val="5FE64BF0"/>
    <w:rsid w:val="5FEB66AA"/>
    <w:rsid w:val="5FF91DE6"/>
    <w:rsid w:val="600532C8"/>
    <w:rsid w:val="60113F32"/>
    <w:rsid w:val="601B2AEB"/>
    <w:rsid w:val="603040BD"/>
    <w:rsid w:val="604E58C4"/>
    <w:rsid w:val="605D5D05"/>
    <w:rsid w:val="605F6415"/>
    <w:rsid w:val="6071095D"/>
    <w:rsid w:val="607641C6"/>
    <w:rsid w:val="60805044"/>
    <w:rsid w:val="60852B16"/>
    <w:rsid w:val="608F2EE6"/>
    <w:rsid w:val="60915396"/>
    <w:rsid w:val="60A725D1"/>
    <w:rsid w:val="60EE010F"/>
    <w:rsid w:val="60F20850"/>
    <w:rsid w:val="612B4CC9"/>
    <w:rsid w:val="61306A6A"/>
    <w:rsid w:val="614D487E"/>
    <w:rsid w:val="615F4C5A"/>
    <w:rsid w:val="61616C24"/>
    <w:rsid w:val="616650E8"/>
    <w:rsid w:val="61747A26"/>
    <w:rsid w:val="617C1CB0"/>
    <w:rsid w:val="619F7DA5"/>
    <w:rsid w:val="61A86601"/>
    <w:rsid w:val="61BC4C6D"/>
    <w:rsid w:val="61E12FCC"/>
    <w:rsid w:val="61EB665D"/>
    <w:rsid w:val="61F5693C"/>
    <w:rsid w:val="61FC4B9F"/>
    <w:rsid w:val="62077BE2"/>
    <w:rsid w:val="62195D52"/>
    <w:rsid w:val="621A5025"/>
    <w:rsid w:val="621C761D"/>
    <w:rsid w:val="623D2A44"/>
    <w:rsid w:val="62563E33"/>
    <w:rsid w:val="626C4A1B"/>
    <w:rsid w:val="627110E9"/>
    <w:rsid w:val="62774225"/>
    <w:rsid w:val="62797F9D"/>
    <w:rsid w:val="62A414BE"/>
    <w:rsid w:val="62D83B1A"/>
    <w:rsid w:val="62DF2A10"/>
    <w:rsid w:val="62E64910"/>
    <w:rsid w:val="62FB7B80"/>
    <w:rsid w:val="632223E3"/>
    <w:rsid w:val="632C494C"/>
    <w:rsid w:val="632C5010"/>
    <w:rsid w:val="633A0337"/>
    <w:rsid w:val="63442359"/>
    <w:rsid w:val="636C08FC"/>
    <w:rsid w:val="63955FFF"/>
    <w:rsid w:val="639E3E8F"/>
    <w:rsid w:val="63A363CE"/>
    <w:rsid w:val="63C94F54"/>
    <w:rsid w:val="63ED29F1"/>
    <w:rsid w:val="63F7386F"/>
    <w:rsid w:val="640C59AB"/>
    <w:rsid w:val="644C740C"/>
    <w:rsid w:val="64616F3B"/>
    <w:rsid w:val="647924D6"/>
    <w:rsid w:val="64C4282F"/>
    <w:rsid w:val="64CF0348"/>
    <w:rsid w:val="64D8544F"/>
    <w:rsid w:val="64F8789F"/>
    <w:rsid w:val="64F93617"/>
    <w:rsid w:val="650224CC"/>
    <w:rsid w:val="6510045E"/>
    <w:rsid w:val="65271F32"/>
    <w:rsid w:val="652A1A23"/>
    <w:rsid w:val="652D1A58"/>
    <w:rsid w:val="653E3215"/>
    <w:rsid w:val="655A34B0"/>
    <w:rsid w:val="655B1FE0"/>
    <w:rsid w:val="657B3C2F"/>
    <w:rsid w:val="657D5FF6"/>
    <w:rsid w:val="658E3D60"/>
    <w:rsid w:val="6591394D"/>
    <w:rsid w:val="65A57BC8"/>
    <w:rsid w:val="65BD4645"/>
    <w:rsid w:val="65C21C5B"/>
    <w:rsid w:val="65F04A1A"/>
    <w:rsid w:val="661E2EBE"/>
    <w:rsid w:val="66226E93"/>
    <w:rsid w:val="662B79BE"/>
    <w:rsid w:val="663012BB"/>
    <w:rsid w:val="66351B88"/>
    <w:rsid w:val="66434B4A"/>
    <w:rsid w:val="66453002"/>
    <w:rsid w:val="664F63DE"/>
    <w:rsid w:val="6678308E"/>
    <w:rsid w:val="667E5B82"/>
    <w:rsid w:val="66B94E0C"/>
    <w:rsid w:val="66BA2932"/>
    <w:rsid w:val="66C739CD"/>
    <w:rsid w:val="66E225B5"/>
    <w:rsid w:val="66F5466B"/>
    <w:rsid w:val="66F75934"/>
    <w:rsid w:val="671B20A4"/>
    <w:rsid w:val="672777C9"/>
    <w:rsid w:val="672C7CD4"/>
    <w:rsid w:val="67327C72"/>
    <w:rsid w:val="67446DCC"/>
    <w:rsid w:val="67446F6C"/>
    <w:rsid w:val="676B06A3"/>
    <w:rsid w:val="677C1EFB"/>
    <w:rsid w:val="67852F40"/>
    <w:rsid w:val="67902011"/>
    <w:rsid w:val="679B09B6"/>
    <w:rsid w:val="67A163E7"/>
    <w:rsid w:val="67A535E2"/>
    <w:rsid w:val="67B81568"/>
    <w:rsid w:val="67CD5013"/>
    <w:rsid w:val="67D476C4"/>
    <w:rsid w:val="67DD1CA8"/>
    <w:rsid w:val="67E800C1"/>
    <w:rsid w:val="68024591"/>
    <w:rsid w:val="6818610C"/>
    <w:rsid w:val="681F15E7"/>
    <w:rsid w:val="683F3A37"/>
    <w:rsid w:val="68493768"/>
    <w:rsid w:val="684E17D9"/>
    <w:rsid w:val="685C0145"/>
    <w:rsid w:val="685F3791"/>
    <w:rsid w:val="68856250"/>
    <w:rsid w:val="688C777F"/>
    <w:rsid w:val="68921DB9"/>
    <w:rsid w:val="68A74675"/>
    <w:rsid w:val="68A85138"/>
    <w:rsid w:val="68CA1553"/>
    <w:rsid w:val="68E62DE9"/>
    <w:rsid w:val="68F91E38"/>
    <w:rsid w:val="69052271"/>
    <w:rsid w:val="690600B1"/>
    <w:rsid w:val="691C78D4"/>
    <w:rsid w:val="692364F5"/>
    <w:rsid w:val="69252C2D"/>
    <w:rsid w:val="692549DB"/>
    <w:rsid w:val="695C51F6"/>
    <w:rsid w:val="696314A0"/>
    <w:rsid w:val="6965748A"/>
    <w:rsid w:val="69670B4F"/>
    <w:rsid w:val="696A4AE4"/>
    <w:rsid w:val="697B45FB"/>
    <w:rsid w:val="69967687"/>
    <w:rsid w:val="69981651"/>
    <w:rsid w:val="699D6555"/>
    <w:rsid w:val="69AE4350"/>
    <w:rsid w:val="69BD6B54"/>
    <w:rsid w:val="69D31872"/>
    <w:rsid w:val="69D81A4D"/>
    <w:rsid w:val="69FB3DB2"/>
    <w:rsid w:val="69FC0104"/>
    <w:rsid w:val="6A1F1AC2"/>
    <w:rsid w:val="6A3068D9"/>
    <w:rsid w:val="6A3749C6"/>
    <w:rsid w:val="6A4175F2"/>
    <w:rsid w:val="6A55309E"/>
    <w:rsid w:val="6A7A48B2"/>
    <w:rsid w:val="6A8D2838"/>
    <w:rsid w:val="6A99742E"/>
    <w:rsid w:val="6AAA2BB3"/>
    <w:rsid w:val="6AAF0A00"/>
    <w:rsid w:val="6AB13765"/>
    <w:rsid w:val="6AB94477"/>
    <w:rsid w:val="6AC00E5F"/>
    <w:rsid w:val="6AC551EB"/>
    <w:rsid w:val="6AF52D3C"/>
    <w:rsid w:val="6B0A0AF3"/>
    <w:rsid w:val="6B18078D"/>
    <w:rsid w:val="6B1B2134"/>
    <w:rsid w:val="6B235E75"/>
    <w:rsid w:val="6B2667E8"/>
    <w:rsid w:val="6B7439F8"/>
    <w:rsid w:val="6B9108C2"/>
    <w:rsid w:val="6B923E22"/>
    <w:rsid w:val="6BB12556"/>
    <w:rsid w:val="6BC47A19"/>
    <w:rsid w:val="6BE44F96"/>
    <w:rsid w:val="6C0F5226"/>
    <w:rsid w:val="6C1E2917"/>
    <w:rsid w:val="6C276CBC"/>
    <w:rsid w:val="6C3C6806"/>
    <w:rsid w:val="6C3E78D0"/>
    <w:rsid w:val="6C445178"/>
    <w:rsid w:val="6C577324"/>
    <w:rsid w:val="6C61455E"/>
    <w:rsid w:val="6C6166F9"/>
    <w:rsid w:val="6C643A6C"/>
    <w:rsid w:val="6C7517D5"/>
    <w:rsid w:val="6C847C6A"/>
    <w:rsid w:val="6C8B2DA7"/>
    <w:rsid w:val="6C9C6D62"/>
    <w:rsid w:val="6CA740F7"/>
    <w:rsid w:val="6CDC7AA6"/>
    <w:rsid w:val="6CDF30F3"/>
    <w:rsid w:val="6CE54BAD"/>
    <w:rsid w:val="6D0A2CBD"/>
    <w:rsid w:val="6D0D4104"/>
    <w:rsid w:val="6D1159A2"/>
    <w:rsid w:val="6D2154B9"/>
    <w:rsid w:val="6D374CDD"/>
    <w:rsid w:val="6D3E250F"/>
    <w:rsid w:val="6D3E7B1F"/>
    <w:rsid w:val="6D505D9E"/>
    <w:rsid w:val="6D567859"/>
    <w:rsid w:val="6D6B33D9"/>
    <w:rsid w:val="6D6F01F6"/>
    <w:rsid w:val="6D704796"/>
    <w:rsid w:val="6D9914F3"/>
    <w:rsid w:val="6D9D7236"/>
    <w:rsid w:val="6DA91ED9"/>
    <w:rsid w:val="6DB85E1E"/>
    <w:rsid w:val="6DC14B49"/>
    <w:rsid w:val="6DC21A43"/>
    <w:rsid w:val="6DCE5641"/>
    <w:rsid w:val="6DDB5FB0"/>
    <w:rsid w:val="6E0B707B"/>
    <w:rsid w:val="6E160D96"/>
    <w:rsid w:val="6E166FE8"/>
    <w:rsid w:val="6E1A0886"/>
    <w:rsid w:val="6E2C05BA"/>
    <w:rsid w:val="6E3114C2"/>
    <w:rsid w:val="6E597819"/>
    <w:rsid w:val="6E5F098F"/>
    <w:rsid w:val="6E6B7334"/>
    <w:rsid w:val="6E6C09B6"/>
    <w:rsid w:val="6E6D7AC1"/>
    <w:rsid w:val="6E971ED7"/>
    <w:rsid w:val="6E9D1694"/>
    <w:rsid w:val="6EB011EB"/>
    <w:rsid w:val="6EC86534"/>
    <w:rsid w:val="6EF06AD7"/>
    <w:rsid w:val="6EF903AF"/>
    <w:rsid w:val="6F03756C"/>
    <w:rsid w:val="6F060E0B"/>
    <w:rsid w:val="6F0B38E9"/>
    <w:rsid w:val="6F1352D6"/>
    <w:rsid w:val="6F1C6F42"/>
    <w:rsid w:val="6F451933"/>
    <w:rsid w:val="6F596299"/>
    <w:rsid w:val="6F60051B"/>
    <w:rsid w:val="6F653D83"/>
    <w:rsid w:val="6F76710D"/>
    <w:rsid w:val="6F9C7F2D"/>
    <w:rsid w:val="6FB95E7D"/>
    <w:rsid w:val="6FC30AAA"/>
    <w:rsid w:val="6FC541F9"/>
    <w:rsid w:val="6FD51538"/>
    <w:rsid w:val="6FE42F7B"/>
    <w:rsid w:val="6FE7792B"/>
    <w:rsid w:val="6FEA4288"/>
    <w:rsid w:val="6FFF26AD"/>
    <w:rsid w:val="700A66D9"/>
    <w:rsid w:val="70102728"/>
    <w:rsid w:val="70116B44"/>
    <w:rsid w:val="70164051"/>
    <w:rsid w:val="70185199"/>
    <w:rsid w:val="70293003"/>
    <w:rsid w:val="703025E3"/>
    <w:rsid w:val="703B1D3B"/>
    <w:rsid w:val="704470F7"/>
    <w:rsid w:val="7046087A"/>
    <w:rsid w:val="70634C0C"/>
    <w:rsid w:val="70824CEC"/>
    <w:rsid w:val="70986263"/>
    <w:rsid w:val="70B054D2"/>
    <w:rsid w:val="70B56644"/>
    <w:rsid w:val="70C26FB3"/>
    <w:rsid w:val="70EC5DDE"/>
    <w:rsid w:val="70FA59F8"/>
    <w:rsid w:val="710F68B9"/>
    <w:rsid w:val="712903CC"/>
    <w:rsid w:val="71383B5E"/>
    <w:rsid w:val="713954C7"/>
    <w:rsid w:val="71431EA2"/>
    <w:rsid w:val="7150636D"/>
    <w:rsid w:val="715C7408"/>
    <w:rsid w:val="71685DAD"/>
    <w:rsid w:val="716B764B"/>
    <w:rsid w:val="71793B16"/>
    <w:rsid w:val="718129CA"/>
    <w:rsid w:val="71830C38"/>
    <w:rsid w:val="718524BB"/>
    <w:rsid w:val="71866233"/>
    <w:rsid w:val="718F50E7"/>
    <w:rsid w:val="71AD37BF"/>
    <w:rsid w:val="71C276EC"/>
    <w:rsid w:val="71D01DF1"/>
    <w:rsid w:val="71D7139A"/>
    <w:rsid w:val="72054EA5"/>
    <w:rsid w:val="7238058E"/>
    <w:rsid w:val="723839D1"/>
    <w:rsid w:val="72593ED0"/>
    <w:rsid w:val="726E73F3"/>
    <w:rsid w:val="72815F48"/>
    <w:rsid w:val="728C2A99"/>
    <w:rsid w:val="7295497F"/>
    <w:rsid w:val="729F57FE"/>
    <w:rsid w:val="72A2709C"/>
    <w:rsid w:val="72B62B48"/>
    <w:rsid w:val="72C74D55"/>
    <w:rsid w:val="72CC4119"/>
    <w:rsid w:val="72E9515B"/>
    <w:rsid w:val="72EC3F95"/>
    <w:rsid w:val="72EE0533"/>
    <w:rsid w:val="72F53670"/>
    <w:rsid w:val="72F61637"/>
    <w:rsid w:val="72FA0C86"/>
    <w:rsid w:val="73296EE6"/>
    <w:rsid w:val="733221CE"/>
    <w:rsid w:val="73696A68"/>
    <w:rsid w:val="73710F19"/>
    <w:rsid w:val="73801F06"/>
    <w:rsid w:val="738642C8"/>
    <w:rsid w:val="739C3AEB"/>
    <w:rsid w:val="73A11102"/>
    <w:rsid w:val="73AD7AA7"/>
    <w:rsid w:val="73B250BD"/>
    <w:rsid w:val="73B54BAD"/>
    <w:rsid w:val="73BF421E"/>
    <w:rsid w:val="73D72A75"/>
    <w:rsid w:val="73E82BD6"/>
    <w:rsid w:val="73EB3CBA"/>
    <w:rsid w:val="74017DF2"/>
    <w:rsid w:val="74171327"/>
    <w:rsid w:val="741D2E7E"/>
    <w:rsid w:val="74331FD4"/>
    <w:rsid w:val="74357EB3"/>
    <w:rsid w:val="74434C52"/>
    <w:rsid w:val="745417AA"/>
    <w:rsid w:val="7459719B"/>
    <w:rsid w:val="7460598F"/>
    <w:rsid w:val="746E5488"/>
    <w:rsid w:val="747B1953"/>
    <w:rsid w:val="74842EFD"/>
    <w:rsid w:val="74A259E7"/>
    <w:rsid w:val="74CF1C9F"/>
    <w:rsid w:val="74D06143"/>
    <w:rsid w:val="74D13C69"/>
    <w:rsid w:val="74D53D92"/>
    <w:rsid w:val="74D774D1"/>
    <w:rsid w:val="75015B68"/>
    <w:rsid w:val="751D6EAE"/>
    <w:rsid w:val="752B15CB"/>
    <w:rsid w:val="75421AC0"/>
    <w:rsid w:val="75475CD9"/>
    <w:rsid w:val="75490FDC"/>
    <w:rsid w:val="754B7577"/>
    <w:rsid w:val="75526B58"/>
    <w:rsid w:val="755D72AA"/>
    <w:rsid w:val="759E1D9D"/>
    <w:rsid w:val="75C26283"/>
    <w:rsid w:val="75CA3564"/>
    <w:rsid w:val="75CD61DE"/>
    <w:rsid w:val="75D86B68"/>
    <w:rsid w:val="75DB0E7D"/>
    <w:rsid w:val="75E654F2"/>
    <w:rsid w:val="75ED062E"/>
    <w:rsid w:val="75FA490C"/>
    <w:rsid w:val="76053BCA"/>
    <w:rsid w:val="76182881"/>
    <w:rsid w:val="761E7CF4"/>
    <w:rsid w:val="7625601A"/>
    <w:rsid w:val="764010A6"/>
    <w:rsid w:val="764566BC"/>
    <w:rsid w:val="76500BBD"/>
    <w:rsid w:val="76714A14"/>
    <w:rsid w:val="767B20DE"/>
    <w:rsid w:val="76A07D97"/>
    <w:rsid w:val="76B171F6"/>
    <w:rsid w:val="76C220F0"/>
    <w:rsid w:val="76C50BD6"/>
    <w:rsid w:val="76FB11C3"/>
    <w:rsid w:val="76FD6F97"/>
    <w:rsid w:val="77112C1E"/>
    <w:rsid w:val="774424D0"/>
    <w:rsid w:val="77444BC6"/>
    <w:rsid w:val="77514BED"/>
    <w:rsid w:val="776657C1"/>
    <w:rsid w:val="776808B4"/>
    <w:rsid w:val="77737470"/>
    <w:rsid w:val="777C4360"/>
    <w:rsid w:val="77882D05"/>
    <w:rsid w:val="77884AB3"/>
    <w:rsid w:val="778B00FF"/>
    <w:rsid w:val="77903967"/>
    <w:rsid w:val="779C40BA"/>
    <w:rsid w:val="779D6582"/>
    <w:rsid w:val="77A80CB1"/>
    <w:rsid w:val="77B22383"/>
    <w:rsid w:val="77B80D9F"/>
    <w:rsid w:val="77BF5221"/>
    <w:rsid w:val="77C27899"/>
    <w:rsid w:val="77DA2E34"/>
    <w:rsid w:val="77DA4BE2"/>
    <w:rsid w:val="77E934D0"/>
    <w:rsid w:val="77F02658"/>
    <w:rsid w:val="77F35CA4"/>
    <w:rsid w:val="78115823"/>
    <w:rsid w:val="782E3D3F"/>
    <w:rsid w:val="78342545"/>
    <w:rsid w:val="783F6A8A"/>
    <w:rsid w:val="78412EB3"/>
    <w:rsid w:val="78492FB6"/>
    <w:rsid w:val="784B4F56"/>
    <w:rsid w:val="787453A9"/>
    <w:rsid w:val="78882890"/>
    <w:rsid w:val="789F11EF"/>
    <w:rsid w:val="78AA1A8E"/>
    <w:rsid w:val="78B673FD"/>
    <w:rsid w:val="78C7160B"/>
    <w:rsid w:val="78CE4012"/>
    <w:rsid w:val="78E026CC"/>
    <w:rsid w:val="78E51A91"/>
    <w:rsid w:val="78E66082"/>
    <w:rsid w:val="78F65A4C"/>
    <w:rsid w:val="78FA25D6"/>
    <w:rsid w:val="790463BB"/>
    <w:rsid w:val="79444A09"/>
    <w:rsid w:val="79490272"/>
    <w:rsid w:val="7950471C"/>
    <w:rsid w:val="7950605A"/>
    <w:rsid w:val="79507852"/>
    <w:rsid w:val="79570BE0"/>
    <w:rsid w:val="79604089"/>
    <w:rsid w:val="796D6998"/>
    <w:rsid w:val="797177C8"/>
    <w:rsid w:val="797A043C"/>
    <w:rsid w:val="79815763"/>
    <w:rsid w:val="798555D1"/>
    <w:rsid w:val="79B075AF"/>
    <w:rsid w:val="79B11053"/>
    <w:rsid w:val="79B778D1"/>
    <w:rsid w:val="79D97847"/>
    <w:rsid w:val="79DE4E5E"/>
    <w:rsid w:val="79E47F9A"/>
    <w:rsid w:val="79FE3288"/>
    <w:rsid w:val="7A016D9E"/>
    <w:rsid w:val="7A0B602D"/>
    <w:rsid w:val="7A2860D9"/>
    <w:rsid w:val="7A3773EA"/>
    <w:rsid w:val="7A3A5E0C"/>
    <w:rsid w:val="7A682260"/>
    <w:rsid w:val="7A6D4434"/>
    <w:rsid w:val="7A7A69DA"/>
    <w:rsid w:val="7A831561"/>
    <w:rsid w:val="7A8C22DE"/>
    <w:rsid w:val="7A8E4014"/>
    <w:rsid w:val="7A93192D"/>
    <w:rsid w:val="7A9C68C7"/>
    <w:rsid w:val="7AB23BF5"/>
    <w:rsid w:val="7ACE18F1"/>
    <w:rsid w:val="7ADC5927"/>
    <w:rsid w:val="7AE77D42"/>
    <w:rsid w:val="7AFC477A"/>
    <w:rsid w:val="7B114DBF"/>
    <w:rsid w:val="7B3960C4"/>
    <w:rsid w:val="7B4A02D1"/>
    <w:rsid w:val="7B4C5DF7"/>
    <w:rsid w:val="7B66335D"/>
    <w:rsid w:val="7B6E7969"/>
    <w:rsid w:val="7B7368EA"/>
    <w:rsid w:val="7B7B048A"/>
    <w:rsid w:val="7B890DF9"/>
    <w:rsid w:val="7B9B28DB"/>
    <w:rsid w:val="7B9B4B89"/>
    <w:rsid w:val="7BA63759"/>
    <w:rsid w:val="7BD302C6"/>
    <w:rsid w:val="7BD41E77"/>
    <w:rsid w:val="7BDA1655"/>
    <w:rsid w:val="7BF070CA"/>
    <w:rsid w:val="7BF63577"/>
    <w:rsid w:val="7C042B76"/>
    <w:rsid w:val="7C286864"/>
    <w:rsid w:val="7C413482"/>
    <w:rsid w:val="7C570EF7"/>
    <w:rsid w:val="7C640BA7"/>
    <w:rsid w:val="7C896BD7"/>
    <w:rsid w:val="7C912400"/>
    <w:rsid w:val="7CB77BE8"/>
    <w:rsid w:val="7CBC51FE"/>
    <w:rsid w:val="7CC83BA3"/>
    <w:rsid w:val="7CE175EF"/>
    <w:rsid w:val="7CF85C3F"/>
    <w:rsid w:val="7D0F532E"/>
    <w:rsid w:val="7D0F5FEC"/>
    <w:rsid w:val="7D11094F"/>
    <w:rsid w:val="7D146DE8"/>
    <w:rsid w:val="7D162B61"/>
    <w:rsid w:val="7D2D1C58"/>
    <w:rsid w:val="7D39684F"/>
    <w:rsid w:val="7D3E3BD3"/>
    <w:rsid w:val="7D407BDD"/>
    <w:rsid w:val="7D782ED3"/>
    <w:rsid w:val="7DA261A2"/>
    <w:rsid w:val="7DA63EE4"/>
    <w:rsid w:val="7DA97531"/>
    <w:rsid w:val="7DAB1673"/>
    <w:rsid w:val="7DB87774"/>
    <w:rsid w:val="7DDD367E"/>
    <w:rsid w:val="7DF416E6"/>
    <w:rsid w:val="7DFC4DFB"/>
    <w:rsid w:val="7E024E93"/>
    <w:rsid w:val="7E33055A"/>
    <w:rsid w:val="7E3F39F1"/>
    <w:rsid w:val="7E553215"/>
    <w:rsid w:val="7E60325B"/>
    <w:rsid w:val="7E755665"/>
    <w:rsid w:val="7E7A448C"/>
    <w:rsid w:val="7E7E6C0F"/>
    <w:rsid w:val="7E916D01"/>
    <w:rsid w:val="7EBC3294"/>
    <w:rsid w:val="7ECA59B1"/>
    <w:rsid w:val="7ECF633E"/>
    <w:rsid w:val="7ED4589E"/>
    <w:rsid w:val="7EF90044"/>
    <w:rsid w:val="7F0242F9"/>
    <w:rsid w:val="7F203823"/>
    <w:rsid w:val="7F445D94"/>
    <w:rsid w:val="7F447C2A"/>
    <w:rsid w:val="7F4E0F4F"/>
    <w:rsid w:val="7F5434CC"/>
    <w:rsid w:val="7F733732"/>
    <w:rsid w:val="7F73422E"/>
    <w:rsid w:val="7F746588"/>
    <w:rsid w:val="7F7D2EB2"/>
    <w:rsid w:val="7F89761A"/>
    <w:rsid w:val="7FA278AA"/>
    <w:rsid w:val="7FA501CC"/>
    <w:rsid w:val="7FBC54E4"/>
    <w:rsid w:val="7FCB178A"/>
    <w:rsid w:val="7FCF70BC"/>
    <w:rsid w:val="7FD22792"/>
    <w:rsid w:val="7FE900B8"/>
    <w:rsid w:val="7FEE3175"/>
    <w:rsid w:val="7FFA4074"/>
    <w:rsid w:val="B3BD91EA"/>
    <w:rsid w:val="C6AF2013"/>
    <w:rsid w:val="EFBF00F3"/>
    <w:rsid w:val="F6BFBD16"/>
    <w:rsid w:val="F7E07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0" w:semiHidden="0" w:name="toc 2"/>
    <w:lsdException w:qFormat="1" w:uiPriority="39" w:semiHidden="0" w:name="toc 3"/>
    <w:lsdException w:qFormat="1" w:unhideWhenUsed="0" w:uiPriority="39"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6"/>
    <w:qFormat/>
    <w:uiPriority w:val="0"/>
    <w:pPr>
      <w:keepNext/>
      <w:keepLines/>
      <w:spacing w:before="340" w:after="330" w:line="240" w:lineRule="exact"/>
      <w:outlineLvl w:val="0"/>
    </w:pPr>
    <w:rPr>
      <w:b/>
      <w:bCs/>
      <w:kern w:val="44"/>
      <w:sz w:val="44"/>
      <w:szCs w:val="44"/>
    </w:rPr>
  </w:style>
  <w:style w:type="paragraph" w:styleId="4">
    <w:name w:val="heading 2"/>
    <w:basedOn w:val="1"/>
    <w:next w:val="1"/>
    <w:link w:val="67"/>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68"/>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69"/>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70"/>
    <w:qFormat/>
    <w:uiPriority w:val="0"/>
    <w:pPr>
      <w:keepNext/>
      <w:keepLines/>
      <w:spacing w:before="280" w:after="290" w:line="372" w:lineRule="auto"/>
      <w:outlineLvl w:val="4"/>
    </w:pPr>
    <w:rPr>
      <w:b/>
      <w:bCs/>
      <w:kern w:val="0"/>
      <w:sz w:val="28"/>
      <w:szCs w:val="28"/>
    </w:rPr>
  </w:style>
  <w:style w:type="paragraph" w:styleId="8">
    <w:name w:val="heading 6"/>
    <w:basedOn w:val="1"/>
    <w:next w:val="1"/>
    <w:link w:val="71"/>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72"/>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73"/>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74"/>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Document Map"/>
    <w:basedOn w:val="1"/>
    <w:link w:val="77"/>
    <w:qFormat/>
    <w:uiPriority w:val="0"/>
    <w:pPr>
      <w:shd w:val="clear" w:color="auto" w:fill="000080"/>
    </w:pPr>
    <w:rPr>
      <w:kern w:val="0"/>
      <w:sz w:val="20"/>
    </w:rPr>
  </w:style>
  <w:style w:type="paragraph" w:styleId="12">
    <w:name w:val="List 3"/>
    <w:basedOn w:val="1"/>
    <w:qFormat/>
    <w:uiPriority w:val="0"/>
    <w:pPr>
      <w:ind w:left="100" w:leftChars="400" w:hanging="200" w:hangingChars="200"/>
    </w:pPr>
  </w:style>
  <w:style w:type="paragraph" w:styleId="13">
    <w:name w:val="Normal Indent"/>
    <w:basedOn w:val="1"/>
    <w:link w:val="75"/>
    <w:qFormat/>
    <w:uiPriority w:val="0"/>
    <w:pPr>
      <w:ind w:firstLine="420" w:firstLineChars="200"/>
    </w:pPr>
    <w:rPr>
      <w:kern w:val="0"/>
      <w:sz w:val="20"/>
    </w:rPr>
  </w:style>
  <w:style w:type="paragraph" w:styleId="14">
    <w:name w:val="caption"/>
    <w:basedOn w:val="1"/>
    <w:next w:val="15"/>
    <w:link w:val="76"/>
    <w:qFormat/>
    <w:uiPriority w:val="0"/>
    <w:rPr>
      <w:rFonts w:ascii="Cambria" w:hAnsi="Cambria" w:eastAsia="黑体"/>
      <w:kern w:val="0"/>
      <w:sz w:val="20"/>
    </w:rPr>
  </w:style>
  <w:style w:type="paragraph" w:customStyle="1" w:styleId="15">
    <w:name w:val="文本-正文"/>
    <w:basedOn w:val="1"/>
    <w:qFormat/>
    <w:uiPriority w:val="0"/>
    <w:pPr>
      <w:spacing w:line="360" w:lineRule="auto"/>
      <w:ind w:firstLine="480" w:firstLineChars="200"/>
    </w:pPr>
    <w:rPr>
      <w:sz w:val="24"/>
    </w:rPr>
  </w:style>
  <w:style w:type="paragraph" w:styleId="16">
    <w:name w:val="List Bullet"/>
    <w:basedOn w:val="1"/>
    <w:qFormat/>
    <w:uiPriority w:val="0"/>
    <w:pPr>
      <w:numPr>
        <w:ilvl w:val="0"/>
        <w:numId w:val="1"/>
      </w:numPr>
      <w:tabs>
        <w:tab w:val="left" w:pos="360"/>
        <w:tab w:val="left" w:pos="432"/>
      </w:tabs>
    </w:pPr>
  </w:style>
  <w:style w:type="paragraph" w:styleId="17">
    <w:name w:val="toa heading"/>
    <w:basedOn w:val="1"/>
    <w:next w:val="1"/>
    <w:qFormat/>
    <w:uiPriority w:val="0"/>
    <w:pPr>
      <w:spacing w:before="120"/>
    </w:pPr>
    <w:rPr>
      <w:rFonts w:ascii="Arial" w:hAnsi="Arial"/>
      <w:b/>
      <w:bCs/>
    </w:rPr>
  </w:style>
  <w:style w:type="paragraph" w:styleId="18">
    <w:name w:val="annotation text"/>
    <w:basedOn w:val="1"/>
    <w:link w:val="79"/>
    <w:qFormat/>
    <w:uiPriority w:val="0"/>
    <w:pPr>
      <w:jc w:val="left"/>
    </w:pPr>
    <w:rPr>
      <w:kern w:val="0"/>
      <w:sz w:val="20"/>
    </w:rPr>
  </w:style>
  <w:style w:type="paragraph" w:styleId="19">
    <w:name w:val="Body Text 3"/>
    <w:basedOn w:val="1"/>
    <w:link w:val="80"/>
    <w:qFormat/>
    <w:uiPriority w:val="0"/>
    <w:rPr>
      <w:rFonts w:ascii="宋体"/>
      <w:kern w:val="0"/>
      <w:sz w:val="24"/>
      <w:szCs w:val="20"/>
    </w:rPr>
  </w:style>
  <w:style w:type="paragraph" w:styleId="20">
    <w:name w:val="Body Text"/>
    <w:basedOn w:val="1"/>
    <w:link w:val="81"/>
    <w:qFormat/>
    <w:uiPriority w:val="0"/>
    <w:pPr>
      <w:spacing w:after="120"/>
    </w:pPr>
    <w:rPr>
      <w:kern w:val="0"/>
      <w:sz w:val="20"/>
    </w:rPr>
  </w:style>
  <w:style w:type="paragraph" w:styleId="21">
    <w:name w:val="Body Text Indent"/>
    <w:basedOn w:val="1"/>
    <w:next w:val="22"/>
    <w:link w:val="82"/>
    <w:qFormat/>
    <w:uiPriority w:val="0"/>
    <w:pPr>
      <w:spacing w:after="120"/>
      <w:ind w:left="420" w:leftChars="200"/>
    </w:pPr>
    <w:rPr>
      <w:kern w:val="0"/>
      <w:sz w:val="20"/>
    </w:rPr>
  </w:style>
  <w:style w:type="paragraph" w:styleId="22">
    <w:name w:val="envelope return"/>
    <w:basedOn w:val="1"/>
    <w:semiHidden/>
    <w:qFormat/>
    <w:uiPriority w:val="99"/>
    <w:pPr>
      <w:snapToGrid w:val="0"/>
    </w:pPr>
    <w:rPr>
      <w:rFonts w:ascii="Arial" w:hAnsi="Arial" w:cs="Arial"/>
    </w:rPr>
  </w:style>
  <w:style w:type="paragraph" w:styleId="23">
    <w:name w:val="List 2"/>
    <w:basedOn w:val="1"/>
    <w:qFormat/>
    <w:uiPriority w:val="0"/>
    <w:pPr>
      <w:ind w:left="100" w:leftChars="200" w:hanging="200" w:hangingChars="200"/>
    </w:pPr>
  </w:style>
  <w:style w:type="paragraph" w:styleId="24">
    <w:name w:val="Block Text"/>
    <w:basedOn w:val="1"/>
    <w:qFormat/>
    <w:uiPriority w:val="0"/>
    <w:pPr>
      <w:spacing w:after="120"/>
      <w:ind w:left="1440" w:leftChars="700" w:right="1440" w:rightChars="700"/>
    </w:pPr>
  </w:style>
  <w:style w:type="paragraph" w:styleId="25">
    <w:name w:val="index 4"/>
    <w:basedOn w:val="1"/>
    <w:next w:val="1"/>
    <w:qFormat/>
    <w:uiPriority w:val="0"/>
    <w:pPr>
      <w:ind w:left="600" w:leftChars="600"/>
    </w:pPr>
  </w:style>
  <w:style w:type="paragraph" w:styleId="26">
    <w:name w:val="toc 5"/>
    <w:basedOn w:val="1"/>
    <w:next w:val="1"/>
    <w:qFormat/>
    <w:uiPriority w:val="0"/>
    <w:pPr>
      <w:ind w:left="1680" w:leftChars="800"/>
    </w:pPr>
  </w:style>
  <w:style w:type="paragraph" w:styleId="27">
    <w:name w:val="toc 3"/>
    <w:basedOn w:val="1"/>
    <w:next w:val="1"/>
    <w:unhideWhenUsed/>
    <w:qFormat/>
    <w:uiPriority w:val="39"/>
    <w:pPr>
      <w:ind w:left="840" w:leftChars="400"/>
    </w:pPr>
  </w:style>
  <w:style w:type="paragraph" w:styleId="28">
    <w:name w:val="Plain Text"/>
    <w:basedOn w:val="1"/>
    <w:next w:val="1"/>
    <w:link w:val="83"/>
    <w:qFormat/>
    <w:uiPriority w:val="0"/>
    <w:rPr>
      <w:rFonts w:ascii="宋体" w:hAnsi="Courier New"/>
      <w:kern w:val="0"/>
      <w:sz w:val="20"/>
      <w:szCs w:val="21"/>
    </w:rPr>
  </w:style>
  <w:style w:type="paragraph" w:styleId="29">
    <w:name w:val="Date"/>
    <w:basedOn w:val="1"/>
    <w:next w:val="1"/>
    <w:link w:val="84"/>
    <w:qFormat/>
    <w:uiPriority w:val="0"/>
    <w:rPr>
      <w:kern w:val="0"/>
      <w:sz w:val="24"/>
      <w:szCs w:val="20"/>
    </w:rPr>
  </w:style>
  <w:style w:type="paragraph" w:styleId="30">
    <w:name w:val="Body Text Indent 2"/>
    <w:basedOn w:val="1"/>
    <w:link w:val="85"/>
    <w:qFormat/>
    <w:uiPriority w:val="0"/>
    <w:pPr>
      <w:spacing w:after="120" w:line="480" w:lineRule="auto"/>
      <w:ind w:left="420" w:leftChars="200"/>
    </w:pPr>
    <w:rPr>
      <w:kern w:val="0"/>
      <w:sz w:val="20"/>
    </w:rPr>
  </w:style>
  <w:style w:type="paragraph" w:styleId="31">
    <w:name w:val="endnote text"/>
    <w:basedOn w:val="1"/>
    <w:link w:val="86"/>
    <w:qFormat/>
    <w:uiPriority w:val="0"/>
    <w:pPr>
      <w:snapToGrid w:val="0"/>
      <w:jc w:val="left"/>
    </w:pPr>
    <w:rPr>
      <w:kern w:val="0"/>
      <w:sz w:val="20"/>
    </w:rPr>
  </w:style>
  <w:style w:type="paragraph" w:styleId="32">
    <w:name w:val="Balloon Text"/>
    <w:basedOn w:val="1"/>
    <w:link w:val="87"/>
    <w:qFormat/>
    <w:uiPriority w:val="0"/>
    <w:rPr>
      <w:kern w:val="0"/>
      <w:sz w:val="18"/>
      <w:szCs w:val="18"/>
    </w:rPr>
  </w:style>
  <w:style w:type="paragraph" w:styleId="33">
    <w:name w:val="footer"/>
    <w:basedOn w:val="1"/>
    <w:link w:val="88"/>
    <w:qFormat/>
    <w:uiPriority w:val="99"/>
    <w:pPr>
      <w:tabs>
        <w:tab w:val="center" w:pos="4153"/>
        <w:tab w:val="right" w:pos="8306"/>
      </w:tabs>
      <w:snapToGrid w:val="0"/>
      <w:jc w:val="left"/>
    </w:pPr>
    <w:rPr>
      <w:kern w:val="0"/>
      <w:sz w:val="18"/>
      <w:szCs w:val="18"/>
    </w:rPr>
  </w:style>
  <w:style w:type="paragraph" w:styleId="34">
    <w:name w:val="header"/>
    <w:basedOn w:val="1"/>
    <w:link w:val="89"/>
    <w:qFormat/>
    <w:uiPriority w:val="0"/>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unhideWhenUsed/>
    <w:qFormat/>
    <w:uiPriority w:val="39"/>
  </w:style>
  <w:style w:type="paragraph" w:styleId="36">
    <w:name w:val="toc 4"/>
    <w:basedOn w:val="1"/>
    <w:next w:val="1"/>
    <w:qFormat/>
    <w:uiPriority w:val="39"/>
    <w:pPr>
      <w:ind w:left="1260" w:leftChars="600"/>
    </w:pPr>
  </w:style>
  <w:style w:type="paragraph" w:styleId="37">
    <w:name w:val="Subtitle"/>
    <w:basedOn w:val="1"/>
    <w:next w:val="1"/>
    <w:link w:val="90"/>
    <w:qFormat/>
    <w:uiPriority w:val="0"/>
    <w:pPr>
      <w:spacing w:before="240" w:after="60" w:line="312" w:lineRule="auto"/>
      <w:jc w:val="center"/>
      <w:outlineLvl w:val="1"/>
    </w:pPr>
    <w:rPr>
      <w:rFonts w:ascii="Cambria" w:hAnsi="Cambria"/>
      <w:b/>
      <w:bCs/>
      <w:kern w:val="28"/>
      <w:sz w:val="32"/>
      <w:szCs w:val="32"/>
    </w:rPr>
  </w:style>
  <w:style w:type="paragraph" w:styleId="38">
    <w:name w:val="List"/>
    <w:qFormat/>
    <w:uiPriority w:val="0"/>
    <w:pPr>
      <w:widowControl w:val="0"/>
      <w:ind w:left="200" w:hanging="200" w:hangingChars="200"/>
      <w:jc w:val="both"/>
    </w:pPr>
    <w:rPr>
      <w:rFonts w:ascii="Times New Roman" w:hAnsi="Times New Roman" w:eastAsia="宋体" w:cs="Times New Roman"/>
      <w:kern w:val="2"/>
      <w:sz w:val="28"/>
      <w:szCs w:val="24"/>
      <w:lang w:val="en-US" w:eastAsia="zh-CN" w:bidi="ar-SA"/>
    </w:rPr>
  </w:style>
  <w:style w:type="paragraph" w:styleId="39">
    <w:name w:val="footnote text"/>
    <w:basedOn w:val="1"/>
    <w:link w:val="91"/>
    <w:qFormat/>
    <w:uiPriority w:val="0"/>
    <w:pPr>
      <w:snapToGrid w:val="0"/>
      <w:jc w:val="left"/>
    </w:pPr>
    <w:rPr>
      <w:kern w:val="0"/>
      <w:sz w:val="18"/>
      <w:szCs w:val="18"/>
    </w:rPr>
  </w:style>
  <w:style w:type="paragraph" w:styleId="40">
    <w:name w:val="Body Text Indent 3"/>
    <w:basedOn w:val="1"/>
    <w:link w:val="92"/>
    <w:qFormat/>
    <w:uiPriority w:val="0"/>
    <w:pPr>
      <w:spacing w:after="120"/>
      <w:ind w:left="420" w:leftChars="200"/>
    </w:pPr>
    <w:rPr>
      <w:kern w:val="0"/>
      <w:sz w:val="16"/>
      <w:szCs w:val="16"/>
    </w:rPr>
  </w:style>
  <w:style w:type="paragraph" w:styleId="41">
    <w:name w:val="toc 2"/>
    <w:basedOn w:val="1"/>
    <w:next w:val="1"/>
    <w:unhideWhenUsed/>
    <w:qFormat/>
    <w:uiPriority w:val="0"/>
    <w:pPr>
      <w:ind w:left="420" w:leftChars="200"/>
    </w:pPr>
  </w:style>
  <w:style w:type="paragraph" w:styleId="42">
    <w:name w:val="Body Text 2"/>
    <w:basedOn w:val="1"/>
    <w:link w:val="93"/>
    <w:qFormat/>
    <w:uiPriority w:val="0"/>
    <w:pPr>
      <w:widowControl/>
      <w:spacing w:after="120" w:line="480" w:lineRule="auto"/>
      <w:jc w:val="left"/>
    </w:pPr>
    <w:rPr>
      <w:rFonts w:ascii="等线" w:hAnsi="等线" w:eastAsia="等线"/>
      <w:szCs w:val="22"/>
    </w:rPr>
  </w:style>
  <w:style w:type="paragraph" w:styleId="43">
    <w:name w:val="HTML Preformatted"/>
    <w:basedOn w:val="1"/>
    <w:link w:val="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4">
    <w:name w:val="Normal (Web)"/>
    <w:basedOn w:val="1"/>
    <w:qFormat/>
    <w:uiPriority w:val="99"/>
    <w:pPr>
      <w:widowControl/>
      <w:spacing w:before="100" w:beforeAutospacing="1" w:after="100" w:afterAutospacing="1"/>
      <w:jc w:val="left"/>
    </w:pPr>
    <w:rPr>
      <w:rFonts w:ascii="宋体" w:hAnsi="宋体"/>
      <w:kern w:val="0"/>
      <w:sz w:val="24"/>
      <w:szCs w:val="20"/>
    </w:rPr>
  </w:style>
  <w:style w:type="paragraph" w:styleId="45">
    <w:name w:val="index 1"/>
    <w:basedOn w:val="1"/>
    <w:next w:val="1"/>
    <w:qFormat/>
    <w:uiPriority w:val="0"/>
    <w:pPr>
      <w:spacing w:line="220" w:lineRule="exact"/>
      <w:jc w:val="center"/>
    </w:pPr>
    <w:rPr>
      <w:rFonts w:ascii="仿宋_GB2312" w:eastAsia="仿宋_GB2312"/>
      <w:szCs w:val="21"/>
    </w:rPr>
  </w:style>
  <w:style w:type="paragraph" w:styleId="46">
    <w:name w:val="Title"/>
    <w:basedOn w:val="1"/>
    <w:next w:val="1"/>
    <w:link w:val="78"/>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7">
    <w:name w:val="annotation subject"/>
    <w:basedOn w:val="18"/>
    <w:next w:val="18"/>
    <w:link w:val="95"/>
    <w:qFormat/>
    <w:uiPriority w:val="0"/>
  </w:style>
  <w:style w:type="paragraph" w:styleId="48">
    <w:name w:val="Body Text First Indent"/>
    <w:basedOn w:val="20"/>
    <w:next w:val="38"/>
    <w:link w:val="96"/>
    <w:unhideWhenUsed/>
    <w:qFormat/>
    <w:uiPriority w:val="0"/>
    <w:pPr>
      <w:ind w:firstLine="420" w:firstLineChars="100"/>
    </w:pPr>
  </w:style>
  <w:style w:type="paragraph" w:styleId="49">
    <w:name w:val="Body Text First Indent 2"/>
    <w:basedOn w:val="21"/>
    <w:next w:val="1"/>
    <w:link w:val="97"/>
    <w:unhideWhenUsed/>
    <w:qFormat/>
    <w:uiPriority w:val="0"/>
    <w:pPr>
      <w:ind w:firstLine="420" w:firstLineChars="200"/>
    </w:p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22"/>
    <w:rPr>
      <w:b/>
      <w:bCs/>
    </w:rPr>
  </w:style>
  <w:style w:type="character" w:styleId="54">
    <w:name w:val="endnote reference"/>
    <w:qFormat/>
    <w:uiPriority w:val="0"/>
    <w:rPr>
      <w:vertAlign w:val="superscript"/>
    </w:rPr>
  </w:style>
  <w:style w:type="character" w:styleId="55">
    <w:name w:val="page number"/>
    <w:qFormat/>
    <w:uiPriority w:val="0"/>
  </w:style>
  <w:style w:type="character" w:styleId="56">
    <w:name w:val="FollowedHyperlink"/>
    <w:unhideWhenUsed/>
    <w:qFormat/>
    <w:uiPriority w:val="99"/>
    <w:rPr>
      <w:color w:val="954F72"/>
      <w:u w:val="single"/>
    </w:rPr>
  </w:style>
  <w:style w:type="character" w:styleId="57">
    <w:name w:val="Emphasis"/>
    <w:qFormat/>
    <w:uiPriority w:val="0"/>
    <w:rPr>
      <w:i/>
      <w:iCs/>
    </w:rPr>
  </w:style>
  <w:style w:type="character" w:styleId="58">
    <w:name w:val="HTML Definition"/>
    <w:unhideWhenUsed/>
    <w:qFormat/>
    <w:uiPriority w:val="99"/>
    <w:rPr>
      <w:i/>
      <w:iCs/>
    </w:rPr>
  </w:style>
  <w:style w:type="character" w:styleId="59">
    <w:name w:val="Hyperlink"/>
    <w:qFormat/>
    <w:uiPriority w:val="99"/>
    <w:rPr>
      <w:color w:val="000084"/>
      <w:u w:val="none"/>
    </w:rPr>
  </w:style>
  <w:style w:type="character" w:styleId="60">
    <w:name w:val="HTML Code"/>
    <w:unhideWhenUsed/>
    <w:qFormat/>
    <w:uiPriority w:val="99"/>
    <w:rPr>
      <w:rFonts w:hint="default" w:ascii="微软雅黑" w:hAnsi="微软雅黑" w:eastAsia="微软雅黑" w:cs="微软雅黑"/>
      <w:sz w:val="21"/>
      <w:szCs w:val="21"/>
    </w:rPr>
  </w:style>
  <w:style w:type="character" w:styleId="61">
    <w:name w:val="annotation reference"/>
    <w:qFormat/>
    <w:uiPriority w:val="0"/>
    <w:rPr>
      <w:sz w:val="21"/>
      <w:szCs w:val="21"/>
    </w:rPr>
  </w:style>
  <w:style w:type="character" w:styleId="62">
    <w:name w:val="footnote reference"/>
    <w:qFormat/>
    <w:uiPriority w:val="0"/>
    <w:rPr>
      <w:vertAlign w:val="superscript"/>
    </w:rPr>
  </w:style>
  <w:style w:type="character" w:styleId="63">
    <w:name w:val="HTML Keyboard"/>
    <w:unhideWhenUsed/>
    <w:qFormat/>
    <w:uiPriority w:val="99"/>
    <w:rPr>
      <w:rFonts w:hint="default" w:ascii="微软雅黑" w:hAnsi="微软雅黑" w:eastAsia="微软雅黑" w:cs="微软雅黑"/>
      <w:sz w:val="21"/>
      <w:szCs w:val="21"/>
    </w:rPr>
  </w:style>
  <w:style w:type="character" w:styleId="64">
    <w:name w:val="HTML Sample"/>
    <w:unhideWhenUsed/>
    <w:qFormat/>
    <w:uiPriority w:val="99"/>
    <w:rPr>
      <w:rFonts w:ascii="微软雅黑" w:hAnsi="微软雅黑" w:eastAsia="微软雅黑" w:cs="微软雅黑"/>
      <w:sz w:val="21"/>
      <w:szCs w:val="21"/>
    </w:rPr>
  </w:style>
  <w:style w:type="paragraph" w:customStyle="1" w:styleId="65">
    <w:name w:val="Default"/>
    <w:basedOn w:val="4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6">
    <w:name w:val="标题 1 字符2"/>
    <w:link w:val="3"/>
    <w:qFormat/>
    <w:uiPriority w:val="0"/>
    <w:rPr>
      <w:rFonts w:ascii="Times New Roman" w:hAnsi="Times New Roman" w:eastAsia="宋体" w:cs="Times New Roman"/>
      <w:b/>
      <w:bCs/>
      <w:kern w:val="44"/>
      <w:sz w:val="44"/>
      <w:szCs w:val="44"/>
    </w:rPr>
  </w:style>
  <w:style w:type="character" w:customStyle="1" w:styleId="67">
    <w:name w:val="标题 2 字符2"/>
    <w:link w:val="4"/>
    <w:qFormat/>
    <w:uiPriority w:val="0"/>
    <w:rPr>
      <w:rFonts w:ascii="Arial" w:hAnsi="Arial" w:eastAsia="黑体" w:cs="Times New Roman"/>
      <w:b/>
      <w:bCs/>
      <w:sz w:val="32"/>
      <w:szCs w:val="32"/>
    </w:rPr>
  </w:style>
  <w:style w:type="character" w:customStyle="1" w:styleId="68">
    <w:name w:val="标题 3 字符2"/>
    <w:link w:val="5"/>
    <w:qFormat/>
    <w:uiPriority w:val="0"/>
    <w:rPr>
      <w:rFonts w:ascii="Times New Roman" w:hAnsi="Times New Roman" w:eastAsia="宋体" w:cs="Times New Roman"/>
      <w:b/>
      <w:bCs/>
      <w:sz w:val="32"/>
      <w:szCs w:val="32"/>
    </w:rPr>
  </w:style>
  <w:style w:type="character" w:customStyle="1" w:styleId="69">
    <w:name w:val="标题 4 字符2"/>
    <w:link w:val="6"/>
    <w:qFormat/>
    <w:uiPriority w:val="0"/>
    <w:rPr>
      <w:rFonts w:ascii="Arial" w:hAnsi="Arial" w:eastAsia="黑体" w:cs="Times New Roman"/>
      <w:b/>
      <w:bCs/>
      <w:sz w:val="28"/>
      <w:szCs w:val="28"/>
    </w:rPr>
  </w:style>
  <w:style w:type="character" w:customStyle="1" w:styleId="70">
    <w:name w:val="标题 5 字符2"/>
    <w:link w:val="7"/>
    <w:qFormat/>
    <w:uiPriority w:val="0"/>
    <w:rPr>
      <w:rFonts w:ascii="Times New Roman" w:hAnsi="Times New Roman" w:eastAsia="宋体" w:cs="Times New Roman"/>
      <w:b/>
      <w:bCs/>
      <w:sz w:val="28"/>
      <w:szCs w:val="28"/>
    </w:rPr>
  </w:style>
  <w:style w:type="character" w:customStyle="1" w:styleId="71">
    <w:name w:val="标题 6 字符2"/>
    <w:link w:val="8"/>
    <w:qFormat/>
    <w:uiPriority w:val="0"/>
    <w:rPr>
      <w:rFonts w:ascii="Arial" w:hAnsi="Arial" w:eastAsia="黑体" w:cs="Times New Roman"/>
      <w:b/>
      <w:bCs/>
      <w:kern w:val="0"/>
      <w:sz w:val="24"/>
      <w:szCs w:val="24"/>
    </w:rPr>
  </w:style>
  <w:style w:type="character" w:customStyle="1" w:styleId="72">
    <w:name w:val="标题 7 字符2"/>
    <w:link w:val="9"/>
    <w:qFormat/>
    <w:uiPriority w:val="0"/>
    <w:rPr>
      <w:rFonts w:ascii="Times New Roman" w:hAnsi="Times New Roman" w:eastAsia="宋体" w:cs="Times New Roman"/>
      <w:b/>
      <w:bCs/>
      <w:kern w:val="0"/>
      <w:sz w:val="24"/>
      <w:szCs w:val="24"/>
    </w:rPr>
  </w:style>
  <w:style w:type="character" w:customStyle="1" w:styleId="73">
    <w:name w:val="标题 8 字符2"/>
    <w:link w:val="10"/>
    <w:qFormat/>
    <w:uiPriority w:val="0"/>
    <w:rPr>
      <w:rFonts w:ascii="Arial" w:hAnsi="Arial" w:eastAsia="黑体" w:cs="Times New Roman"/>
      <w:kern w:val="0"/>
      <w:sz w:val="24"/>
      <w:szCs w:val="24"/>
    </w:rPr>
  </w:style>
  <w:style w:type="character" w:customStyle="1" w:styleId="74">
    <w:name w:val="标题 9 字符2"/>
    <w:link w:val="11"/>
    <w:qFormat/>
    <w:uiPriority w:val="0"/>
    <w:rPr>
      <w:rFonts w:ascii="Arial" w:hAnsi="Arial" w:eastAsia="黑体" w:cs="Times New Roman"/>
      <w:kern w:val="0"/>
      <w:szCs w:val="21"/>
    </w:rPr>
  </w:style>
  <w:style w:type="character" w:customStyle="1" w:styleId="75">
    <w:name w:val="正文缩进 字符1"/>
    <w:link w:val="13"/>
    <w:qFormat/>
    <w:uiPriority w:val="0"/>
    <w:rPr>
      <w:rFonts w:eastAsia="宋体"/>
      <w:szCs w:val="24"/>
    </w:rPr>
  </w:style>
  <w:style w:type="character" w:customStyle="1" w:styleId="76">
    <w:name w:val="题注 字符1"/>
    <w:link w:val="14"/>
    <w:qFormat/>
    <w:uiPriority w:val="0"/>
    <w:rPr>
      <w:rFonts w:ascii="Cambria" w:hAnsi="Cambria" w:eastAsia="黑体" w:cs="Times New Roman"/>
      <w:sz w:val="20"/>
      <w:szCs w:val="24"/>
    </w:rPr>
  </w:style>
  <w:style w:type="character" w:customStyle="1" w:styleId="77">
    <w:name w:val="文档结构图 字符2"/>
    <w:link w:val="2"/>
    <w:qFormat/>
    <w:uiPriority w:val="0"/>
    <w:rPr>
      <w:szCs w:val="24"/>
      <w:shd w:val="clear" w:color="auto" w:fill="000080"/>
    </w:rPr>
  </w:style>
  <w:style w:type="character" w:customStyle="1" w:styleId="78">
    <w:name w:val="标题 字符2"/>
    <w:link w:val="46"/>
    <w:qFormat/>
    <w:uiPriority w:val="0"/>
    <w:rPr>
      <w:rFonts w:ascii="Arial" w:hAnsi="Arial"/>
      <w:b/>
      <w:sz w:val="32"/>
    </w:rPr>
  </w:style>
  <w:style w:type="character" w:customStyle="1" w:styleId="79">
    <w:name w:val="批注文字 字符2"/>
    <w:link w:val="18"/>
    <w:qFormat/>
    <w:uiPriority w:val="0"/>
    <w:rPr>
      <w:szCs w:val="24"/>
    </w:rPr>
  </w:style>
  <w:style w:type="character" w:customStyle="1" w:styleId="80">
    <w:name w:val="正文文本 3 字符2"/>
    <w:link w:val="19"/>
    <w:qFormat/>
    <w:uiPriority w:val="0"/>
    <w:rPr>
      <w:rFonts w:ascii="宋体"/>
      <w:sz w:val="24"/>
    </w:rPr>
  </w:style>
  <w:style w:type="character" w:customStyle="1" w:styleId="81">
    <w:name w:val="正文文本 字符2"/>
    <w:link w:val="20"/>
    <w:qFormat/>
    <w:uiPriority w:val="0"/>
    <w:rPr>
      <w:rFonts w:eastAsia="宋体"/>
      <w:szCs w:val="24"/>
    </w:rPr>
  </w:style>
  <w:style w:type="character" w:customStyle="1" w:styleId="82">
    <w:name w:val="正文文本缩进 字符2"/>
    <w:link w:val="21"/>
    <w:qFormat/>
    <w:uiPriority w:val="0"/>
    <w:rPr>
      <w:szCs w:val="24"/>
    </w:rPr>
  </w:style>
  <w:style w:type="character" w:customStyle="1" w:styleId="83">
    <w:name w:val="纯文本 字符2"/>
    <w:link w:val="28"/>
    <w:qFormat/>
    <w:uiPriority w:val="0"/>
    <w:rPr>
      <w:rFonts w:ascii="宋体" w:hAnsi="Courier New" w:cs="Courier New"/>
      <w:szCs w:val="21"/>
    </w:rPr>
  </w:style>
  <w:style w:type="character" w:customStyle="1" w:styleId="84">
    <w:name w:val="日期 字符2"/>
    <w:link w:val="29"/>
    <w:qFormat/>
    <w:uiPriority w:val="0"/>
    <w:rPr>
      <w:sz w:val="24"/>
    </w:rPr>
  </w:style>
  <w:style w:type="character" w:customStyle="1" w:styleId="85">
    <w:name w:val="正文文本缩进 2 字符2"/>
    <w:link w:val="30"/>
    <w:qFormat/>
    <w:uiPriority w:val="0"/>
    <w:rPr>
      <w:szCs w:val="24"/>
    </w:rPr>
  </w:style>
  <w:style w:type="character" w:customStyle="1" w:styleId="86">
    <w:name w:val="尾注文本 字符2"/>
    <w:link w:val="31"/>
    <w:qFormat/>
    <w:uiPriority w:val="0"/>
    <w:rPr>
      <w:szCs w:val="24"/>
    </w:rPr>
  </w:style>
  <w:style w:type="character" w:customStyle="1" w:styleId="87">
    <w:name w:val="批注框文本 字符2"/>
    <w:link w:val="32"/>
    <w:qFormat/>
    <w:uiPriority w:val="0"/>
    <w:rPr>
      <w:sz w:val="18"/>
      <w:szCs w:val="18"/>
    </w:rPr>
  </w:style>
  <w:style w:type="character" w:customStyle="1" w:styleId="88">
    <w:name w:val="页脚 字符2"/>
    <w:link w:val="33"/>
    <w:qFormat/>
    <w:uiPriority w:val="99"/>
    <w:rPr>
      <w:rFonts w:eastAsia="宋体"/>
      <w:sz w:val="18"/>
      <w:szCs w:val="18"/>
    </w:rPr>
  </w:style>
  <w:style w:type="character" w:customStyle="1" w:styleId="89">
    <w:name w:val="页眉 字符2"/>
    <w:link w:val="34"/>
    <w:qFormat/>
    <w:uiPriority w:val="0"/>
    <w:rPr>
      <w:sz w:val="18"/>
      <w:szCs w:val="18"/>
    </w:rPr>
  </w:style>
  <w:style w:type="character" w:customStyle="1" w:styleId="90">
    <w:name w:val="副标题 字符2"/>
    <w:link w:val="37"/>
    <w:qFormat/>
    <w:uiPriority w:val="0"/>
    <w:rPr>
      <w:rFonts w:ascii="Cambria" w:hAnsi="Cambria"/>
      <w:b/>
      <w:bCs/>
      <w:kern w:val="28"/>
      <w:sz w:val="32"/>
      <w:szCs w:val="32"/>
    </w:rPr>
  </w:style>
  <w:style w:type="character" w:customStyle="1" w:styleId="91">
    <w:name w:val="脚注文本 字符2"/>
    <w:link w:val="39"/>
    <w:qFormat/>
    <w:uiPriority w:val="0"/>
    <w:rPr>
      <w:sz w:val="18"/>
      <w:szCs w:val="18"/>
    </w:rPr>
  </w:style>
  <w:style w:type="character" w:customStyle="1" w:styleId="92">
    <w:name w:val="正文文本缩进 3 字符2"/>
    <w:link w:val="40"/>
    <w:qFormat/>
    <w:uiPriority w:val="0"/>
    <w:rPr>
      <w:sz w:val="16"/>
      <w:szCs w:val="16"/>
    </w:rPr>
  </w:style>
  <w:style w:type="character" w:customStyle="1" w:styleId="93">
    <w:name w:val="正文文本 2 字符2"/>
    <w:link w:val="42"/>
    <w:qFormat/>
    <w:uiPriority w:val="0"/>
  </w:style>
  <w:style w:type="character" w:customStyle="1" w:styleId="94">
    <w:name w:val="HTML 预设格式 字符2"/>
    <w:link w:val="43"/>
    <w:qFormat/>
    <w:uiPriority w:val="0"/>
    <w:rPr>
      <w:rFonts w:ascii="宋体" w:hAnsi="宋体" w:cs="宋体"/>
      <w:sz w:val="24"/>
      <w:szCs w:val="24"/>
    </w:rPr>
  </w:style>
  <w:style w:type="character" w:customStyle="1" w:styleId="95">
    <w:name w:val="批注主题 字符2"/>
    <w:link w:val="47"/>
    <w:qFormat/>
    <w:uiPriority w:val="0"/>
  </w:style>
  <w:style w:type="character" w:customStyle="1" w:styleId="96">
    <w:name w:val="正文文本首行缩进 字符2"/>
    <w:link w:val="48"/>
    <w:semiHidden/>
    <w:qFormat/>
    <w:uiPriority w:val="0"/>
    <w:rPr>
      <w:szCs w:val="24"/>
    </w:rPr>
  </w:style>
  <w:style w:type="character" w:customStyle="1" w:styleId="97">
    <w:name w:val="正文文本首行缩进 2 字符2"/>
    <w:link w:val="49"/>
    <w:semiHidden/>
    <w:qFormat/>
    <w:uiPriority w:val="0"/>
    <w:rPr>
      <w:szCs w:val="24"/>
    </w:rPr>
  </w:style>
  <w:style w:type="paragraph" w:customStyle="1" w:styleId="98">
    <w:name w:val="正文_6"/>
    <w:qFormat/>
    <w:uiPriority w:val="0"/>
    <w:pPr>
      <w:widowControl w:val="0"/>
      <w:jc w:val="both"/>
    </w:pPr>
    <w:rPr>
      <w:rFonts w:ascii="等线" w:hAnsi="等线" w:eastAsia="等线" w:cs="Times New Roman"/>
      <w:kern w:val="2"/>
      <w:sz w:val="21"/>
      <w:szCs w:val="22"/>
      <w:lang w:val="en-US" w:eastAsia="zh-CN" w:bidi="ar-SA"/>
    </w:rPr>
  </w:style>
  <w:style w:type="character" w:customStyle="1" w:styleId="99">
    <w:name w:val="标题 1 字符"/>
    <w:qFormat/>
    <w:uiPriority w:val="0"/>
    <w:rPr>
      <w:rFonts w:ascii="Times New Roman" w:hAnsi="Times New Roman" w:eastAsia="宋体" w:cs="Times New Roman"/>
      <w:b/>
      <w:bCs/>
      <w:kern w:val="44"/>
      <w:sz w:val="44"/>
      <w:szCs w:val="44"/>
    </w:rPr>
  </w:style>
  <w:style w:type="character" w:customStyle="1" w:styleId="100">
    <w:name w:val="标题 2 字符"/>
    <w:qFormat/>
    <w:uiPriority w:val="0"/>
    <w:rPr>
      <w:rFonts w:ascii="等线 Light" w:hAnsi="等线 Light" w:eastAsia="等线 Light" w:cs="Times New Roman"/>
      <w:b/>
      <w:bCs/>
      <w:sz w:val="32"/>
      <w:szCs w:val="32"/>
    </w:rPr>
  </w:style>
  <w:style w:type="paragraph" w:customStyle="1" w:styleId="101">
    <w:name w:val="Normal_2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2">
    <w:name w:val="BodyText"/>
    <w:basedOn w:val="1"/>
    <w:qFormat/>
    <w:uiPriority w:val="0"/>
    <w:pPr>
      <w:spacing w:after="120"/>
    </w:pPr>
    <w:rPr>
      <w:kern w:val="0"/>
      <w:sz w:val="20"/>
    </w:rPr>
  </w:style>
  <w:style w:type="character" w:customStyle="1" w:styleId="103">
    <w:name w:val="标题 5 字符1"/>
    <w:qFormat/>
    <w:uiPriority w:val="0"/>
    <w:rPr>
      <w:rFonts w:ascii="Times New Roman" w:hAnsi="Times New Roman" w:eastAsia="宋体" w:cs="Times New Roman"/>
      <w:b/>
      <w:bCs/>
      <w:sz w:val="28"/>
      <w:szCs w:val="28"/>
    </w:rPr>
  </w:style>
  <w:style w:type="character" w:customStyle="1" w:styleId="104">
    <w:name w:val="标题 8 字符"/>
    <w:semiHidden/>
    <w:qFormat/>
    <w:uiPriority w:val="9"/>
    <w:rPr>
      <w:rFonts w:ascii="等线 Light" w:hAnsi="等线 Light" w:eastAsia="等线 Light" w:cs="Times New Roman"/>
      <w:sz w:val="24"/>
      <w:szCs w:val="24"/>
    </w:rPr>
  </w:style>
  <w:style w:type="character" w:customStyle="1" w:styleId="105">
    <w:name w:val="日期 Char2"/>
    <w:semiHidden/>
    <w:qFormat/>
    <w:uiPriority w:val="99"/>
    <w:rPr>
      <w:rFonts w:ascii="Calibri" w:hAnsi="Calibri" w:eastAsia="宋体" w:cs="Times New Roman"/>
    </w:rPr>
  </w:style>
  <w:style w:type="character" w:customStyle="1" w:styleId="106">
    <w:name w:val="明显引用 字符2"/>
    <w:link w:val="107"/>
    <w:qFormat/>
    <w:uiPriority w:val="0"/>
    <w:rPr>
      <w:b/>
      <w:bCs/>
      <w:i/>
      <w:iCs/>
      <w:color w:val="4F81BD"/>
    </w:rPr>
  </w:style>
  <w:style w:type="paragraph" w:styleId="107">
    <w:name w:val="Intense Quote"/>
    <w:basedOn w:val="1"/>
    <w:next w:val="1"/>
    <w:link w:val="106"/>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8">
    <w:name w:val="明显引用 字符"/>
    <w:qFormat/>
    <w:uiPriority w:val="30"/>
    <w:rPr>
      <w:rFonts w:ascii="Times New Roman" w:hAnsi="Times New Roman" w:eastAsia="宋体" w:cs="Times New Roman"/>
      <w:i/>
      <w:iCs/>
      <w:color w:val="4472C4"/>
      <w:szCs w:val="24"/>
    </w:rPr>
  </w:style>
  <w:style w:type="character" w:customStyle="1" w:styleId="109">
    <w:name w:val="Char Char Char Char Char Char Char Char Char"/>
    <w:qFormat/>
    <w:uiPriority w:val="0"/>
    <w:rPr>
      <w:kern w:val="2"/>
      <w:sz w:val="28"/>
      <w:szCs w:val="28"/>
    </w:rPr>
  </w:style>
  <w:style w:type="character" w:customStyle="1" w:styleId="110">
    <w:name w:val="批注文字 Char1"/>
    <w:semiHidden/>
    <w:qFormat/>
    <w:uiPriority w:val="99"/>
    <w:rPr>
      <w:rFonts w:ascii="Calibri" w:hAnsi="Calibri" w:eastAsia="宋体" w:cs="Times New Roman"/>
    </w:rPr>
  </w:style>
  <w:style w:type="character" w:customStyle="1" w:styleId="111">
    <w:name w:val="Blockquote Char"/>
    <w:link w:val="112"/>
    <w:qFormat/>
    <w:uiPriority w:val="0"/>
    <w:rPr>
      <w:rFonts w:ascii="Times New Roman" w:hAnsi="Times New Roman" w:eastAsia="宋体"/>
      <w:sz w:val="24"/>
    </w:rPr>
  </w:style>
  <w:style w:type="paragraph" w:customStyle="1" w:styleId="112">
    <w:name w:val="Blockquote"/>
    <w:basedOn w:val="1"/>
    <w:link w:val="111"/>
    <w:qFormat/>
    <w:uiPriority w:val="0"/>
    <w:pPr>
      <w:autoSpaceDE w:val="0"/>
      <w:autoSpaceDN w:val="0"/>
      <w:adjustRightInd w:val="0"/>
      <w:spacing w:before="100" w:after="100"/>
      <w:ind w:left="360" w:right="360"/>
      <w:jc w:val="left"/>
    </w:pPr>
    <w:rPr>
      <w:kern w:val="0"/>
      <w:sz w:val="24"/>
      <w:szCs w:val="20"/>
    </w:rPr>
  </w:style>
  <w:style w:type="character" w:customStyle="1" w:styleId="113">
    <w:name w:val="页眉 字符1"/>
    <w:qFormat/>
    <w:uiPriority w:val="0"/>
    <w:rPr>
      <w:sz w:val="18"/>
      <w:szCs w:val="18"/>
    </w:rPr>
  </w:style>
  <w:style w:type="character" w:customStyle="1" w:styleId="114">
    <w:name w:val="标题 4 字符"/>
    <w:qFormat/>
    <w:uiPriority w:val="0"/>
    <w:rPr>
      <w:rFonts w:ascii="等线 Light" w:hAnsi="等线 Light" w:eastAsia="等线 Light" w:cs="Times New Roman"/>
      <w:b/>
      <w:bCs/>
      <w:sz w:val="28"/>
      <w:szCs w:val="28"/>
    </w:rPr>
  </w:style>
  <w:style w:type="character" w:customStyle="1" w:styleId="115">
    <w:name w:val="招标公告正文 Char"/>
    <w:link w:val="116"/>
    <w:qFormat/>
    <w:uiPriority w:val="0"/>
    <w:rPr>
      <w:sz w:val="24"/>
      <w:szCs w:val="24"/>
    </w:rPr>
  </w:style>
  <w:style w:type="paragraph" w:customStyle="1" w:styleId="116">
    <w:name w:val="招标公告正文"/>
    <w:basedOn w:val="1"/>
    <w:link w:val="115"/>
    <w:qFormat/>
    <w:uiPriority w:val="0"/>
    <w:pPr>
      <w:autoSpaceDE w:val="0"/>
      <w:autoSpaceDN w:val="0"/>
      <w:adjustRightInd w:val="0"/>
      <w:spacing w:line="360" w:lineRule="auto"/>
      <w:ind w:firstLine="480" w:firstLineChars="200"/>
    </w:pPr>
    <w:rPr>
      <w:kern w:val="0"/>
      <w:sz w:val="24"/>
    </w:rPr>
  </w:style>
  <w:style w:type="character" w:customStyle="1" w:styleId="117">
    <w:name w:val="标题 3 字符1"/>
    <w:qFormat/>
    <w:uiPriority w:val="0"/>
    <w:rPr>
      <w:rFonts w:ascii="Times New Roman" w:hAnsi="Times New Roman" w:eastAsia="宋体" w:cs="Times New Roman"/>
      <w:b/>
      <w:bCs/>
      <w:sz w:val="32"/>
      <w:szCs w:val="32"/>
    </w:rPr>
  </w:style>
  <w:style w:type="character" w:customStyle="1" w:styleId="118">
    <w:name w:val="textcontents"/>
    <w:qFormat/>
    <w:uiPriority w:val="0"/>
    <w:rPr>
      <w:rFonts w:cs="Times New Roman"/>
    </w:rPr>
  </w:style>
  <w:style w:type="character" w:customStyle="1" w:styleId="119">
    <w:name w:val="纯文本 Char1"/>
    <w:semiHidden/>
    <w:qFormat/>
    <w:uiPriority w:val="99"/>
    <w:rPr>
      <w:rFonts w:ascii="宋体" w:hAnsi="Courier New" w:cs="Courier New"/>
      <w:kern w:val="2"/>
      <w:sz w:val="21"/>
      <w:szCs w:val="21"/>
    </w:rPr>
  </w:style>
  <w:style w:type="character" w:customStyle="1" w:styleId="120">
    <w:name w:val="手改 Char Char"/>
    <w:qFormat/>
    <w:uiPriority w:val="0"/>
    <w:rPr>
      <w:rFonts w:eastAsia="宋体"/>
      <w:kern w:val="2"/>
      <w:sz w:val="21"/>
      <w:szCs w:val="24"/>
      <w:lang w:val="en-US" w:eastAsia="zh-CN" w:bidi="ar-SA"/>
    </w:rPr>
  </w:style>
  <w:style w:type="character" w:customStyle="1" w:styleId="121">
    <w:name w:val="正文文本 2 Char1"/>
    <w:semiHidden/>
    <w:qFormat/>
    <w:uiPriority w:val="99"/>
    <w:rPr>
      <w:kern w:val="2"/>
      <w:sz w:val="21"/>
      <w:szCs w:val="22"/>
    </w:rPr>
  </w:style>
  <w:style w:type="character" w:customStyle="1" w:styleId="122">
    <w:name w:val="标题4 Char Char"/>
    <w:link w:val="123"/>
    <w:qFormat/>
    <w:uiPriority w:val="0"/>
    <w:rPr>
      <w:rFonts w:ascii="黑体" w:eastAsia="黑体"/>
      <w:sz w:val="24"/>
      <w:szCs w:val="30"/>
    </w:rPr>
  </w:style>
  <w:style w:type="paragraph" w:customStyle="1" w:styleId="123">
    <w:name w:val="标题4"/>
    <w:basedOn w:val="1"/>
    <w:next w:val="6"/>
    <w:link w:val="122"/>
    <w:qFormat/>
    <w:uiPriority w:val="0"/>
    <w:pPr>
      <w:widowControl/>
      <w:jc w:val="left"/>
    </w:pPr>
    <w:rPr>
      <w:rFonts w:ascii="黑体" w:eastAsia="黑体"/>
      <w:kern w:val="0"/>
      <w:sz w:val="24"/>
      <w:szCs w:val="30"/>
    </w:rPr>
  </w:style>
  <w:style w:type="character" w:customStyle="1" w:styleId="124">
    <w:name w:val="标题 9 字符"/>
    <w:semiHidden/>
    <w:qFormat/>
    <w:uiPriority w:val="9"/>
    <w:rPr>
      <w:rFonts w:ascii="等线 Light" w:hAnsi="等线 Light" w:eastAsia="等线 Light" w:cs="Times New Roman"/>
      <w:szCs w:val="21"/>
    </w:rPr>
  </w:style>
  <w:style w:type="character" w:customStyle="1" w:styleId="125">
    <w:name w:val="HTML 预设格式 字符"/>
    <w:semiHidden/>
    <w:qFormat/>
    <w:uiPriority w:val="99"/>
    <w:rPr>
      <w:rFonts w:ascii="Courier New" w:hAnsi="Courier New" w:eastAsia="宋体" w:cs="Courier New"/>
      <w:sz w:val="20"/>
      <w:szCs w:val="20"/>
    </w:rPr>
  </w:style>
  <w:style w:type="character" w:customStyle="1" w:styleId="126">
    <w:name w:val="明显引用 Char3"/>
    <w:qFormat/>
    <w:uiPriority w:val="30"/>
    <w:rPr>
      <w:b/>
      <w:bCs/>
      <w:i/>
      <w:iCs/>
      <w:color w:val="4F81BD"/>
      <w:kern w:val="2"/>
      <w:sz w:val="21"/>
      <w:szCs w:val="22"/>
    </w:rPr>
  </w:style>
  <w:style w:type="character" w:customStyle="1" w:styleId="127">
    <w:name w:val="Title Header2 Char Char"/>
    <w:qFormat/>
    <w:uiPriority w:val="0"/>
    <w:rPr>
      <w:rFonts w:ascii="Arial" w:hAnsi="Arial" w:eastAsia="黑体"/>
      <w:b/>
      <w:bCs/>
      <w:sz w:val="32"/>
      <w:szCs w:val="32"/>
    </w:rPr>
  </w:style>
  <w:style w:type="character" w:customStyle="1" w:styleId="128">
    <w:name w:val="正文文本缩进 2 字符1"/>
    <w:qFormat/>
    <w:uiPriority w:val="0"/>
    <w:rPr>
      <w:szCs w:val="24"/>
    </w:rPr>
  </w:style>
  <w:style w:type="character" w:customStyle="1" w:styleId="129">
    <w:name w:val="批注主题 Char1"/>
    <w:qFormat/>
    <w:uiPriority w:val="0"/>
    <w:rPr>
      <w:b/>
      <w:bCs/>
      <w:kern w:val="2"/>
      <w:sz w:val="21"/>
      <w:szCs w:val="22"/>
    </w:rPr>
  </w:style>
  <w:style w:type="character" w:customStyle="1" w:styleId="130">
    <w:name w:val="_Style 127"/>
    <w:qFormat/>
    <w:uiPriority w:val="0"/>
    <w:rPr>
      <w:b/>
      <w:bCs/>
      <w:smallCaps/>
      <w:color w:val="C0504D"/>
      <w:spacing w:val="5"/>
      <w:u w:val="single"/>
    </w:rPr>
  </w:style>
  <w:style w:type="character" w:customStyle="1" w:styleId="131">
    <w:name w:val="纯文本 Char"/>
    <w:qFormat/>
    <w:uiPriority w:val="0"/>
    <w:rPr>
      <w:rFonts w:ascii="宋体" w:hAnsi="Courier New" w:cs="Courier New"/>
      <w:kern w:val="2"/>
      <w:sz w:val="21"/>
      <w:szCs w:val="21"/>
    </w:rPr>
  </w:style>
  <w:style w:type="character" w:customStyle="1" w:styleId="132">
    <w:name w:val="标题 3 Char1"/>
    <w:qFormat/>
    <w:uiPriority w:val="0"/>
    <w:rPr>
      <w:rFonts w:eastAsia="宋体"/>
      <w:b/>
      <w:bCs/>
      <w:kern w:val="2"/>
      <w:sz w:val="32"/>
      <w:szCs w:val="32"/>
      <w:lang w:val="en-US" w:eastAsia="zh-CN" w:bidi="ar-SA"/>
    </w:rPr>
  </w:style>
  <w:style w:type="character" w:customStyle="1" w:styleId="133">
    <w:name w:val="正文文本 2 字符1"/>
    <w:qFormat/>
    <w:uiPriority w:val="0"/>
  </w:style>
  <w:style w:type="character" w:customStyle="1" w:styleId="134">
    <w:name w:val="正文文本 3 字符"/>
    <w:semiHidden/>
    <w:qFormat/>
    <w:uiPriority w:val="99"/>
    <w:rPr>
      <w:rFonts w:ascii="Times New Roman" w:hAnsi="Times New Roman" w:eastAsia="宋体" w:cs="Times New Roman"/>
      <w:sz w:val="16"/>
      <w:szCs w:val="16"/>
    </w:rPr>
  </w:style>
  <w:style w:type="character" w:customStyle="1" w:styleId="135">
    <w:name w:val="正文文本缩进 Char1"/>
    <w:semiHidden/>
    <w:qFormat/>
    <w:uiPriority w:val="99"/>
    <w:rPr>
      <w:kern w:val="2"/>
      <w:sz w:val="21"/>
      <w:szCs w:val="22"/>
    </w:rPr>
  </w:style>
  <w:style w:type="character" w:customStyle="1" w:styleId="136">
    <w:name w:val="批注文字 Char Char"/>
    <w:qFormat/>
    <w:uiPriority w:val="0"/>
    <w:rPr>
      <w:rFonts w:ascii="宋体" w:hAnsi="Times New Roman" w:eastAsia="宋体" w:cs="Times New Roman"/>
      <w:sz w:val="28"/>
      <w:szCs w:val="20"/>
    </w:rPr>
  </w:style>
  <w:style w:type="character" w:customStyle="1" w:styleId="137">
    <w:name w:val="不明显参考2"/>
    <w:qFormat/>
    <w:uiPriority w:val="0"/>
    <w:rPr>
      <w:smallCaps/>
      <w:color w:val="C0504D"/>
      <w:u w:val="single"/>
    </w:rPr>
  </w:style>
  <w:style w:type="character" w:customStyle="1" w:styleId="138">
    <w:name w:val="Char Char21"/>
    <w:qFormat/>
    <w:uiPriority w:val="0"/>
    <w:rPr>
      <w:rFonts w:ascii="Arial" w:hAnsi="Arial" w:eastAsia="黑体"/>
      <w:b/>
      <w:bCs/>
      <w:kern w:val="2"/>
      <w:sz w:val="32"/>
      <w:szCs w:val="32"/>
      <w:lang w:val="en-US" w:eastAsia="zh-CN" w:bidi="ar-SA"/>
    </w:rPr>
  </w:style>
  <w:style w:type="character" w:customStyle="1" w:styleId="139">
    <w:name w:val="tpc_title1"/>
    <w:qFormat/>
    <w:uiPriority w:val="0"/>
    <w:rPr>
      <w:b/>
      <w:bCs/>
      <w:sz w:val="24"/>
      <w:szCs w:val="24"/>
    </w:rPr>
  </w:style>
  <w:style w:type="character" w:customStyle="1" w:styleId="140">
    <w:name w:val="03标题3 Char"/>
    <w:link w:val="141"/>
    <w:qFormat/>
    <w:uiPriority w:val="0"/>
    <w:rPr>
      <w:rFonts w:ascii="宋体" w:hAnsi="宋体" w:eastAsia="仿宋_GB2312"/>
      <w:color w:val="000000"/>
      <w:kern w:val="44"/>
      <w:sz w:val="30"/>
      <w:szCs w:val="21"/>
      <w:lang w:val="en-US" w:eastAsia="zh-CN" w:bidi="ar-SA"/>
    </w:rPr>
  </w:style>
  <w:style w:type="paragraph" w:customStyle="1" w:styleId="141">
    <w:name w:val="03标题3"/>
    <w:next w:val="142"/>
    <w:link w:val="140"/>
    <w:qFormat/>
    <w:uiPriority w:val="0"/>
    <w:pPr>
      <w:spacing w:before="120" w:after="120" w:line="560" w:lineRule="exact"/>
      <w:ind w:firstLine="200" w:firstLineChars="200"/>
      <w:outlineLvl w:val="2"/>
    </w:pPr>
    <w:rPr>
      <w:rFonts w:ascii="宋体" w:hAnsi="宋体" w:eastAsia="仿宋_GB2312" w:cs="Times New Roman"/>
      <w:color w:val="000000"/>
      <w:kern w:val="44"/>
      <w:sz w:val="30"/>
      <w:szCs w:val="21"/>
      <w:lang w:val="en-US" w:eastAsia="zh-CN" w:bidi="ar-SA"/>
    </w:rPr>
  </w:style>
  <w:style w:type="paragraph" w:customStyle="1" w:styleId="142">
    <w:name w:val="05正文"/>
    <w:basedOn w:val="1"/>
    <w:link w:val="143"/>
    <w:qFormat/>
    <w:uiPriority w:val="0"/>
    <w:pPr>
      <w:spacing w:line="560" w:lineRule="exact"/>
      <w:ind w:firstLine="200" w:firstLineChars="200"/>
    </w:pPr>
    <w:rPr>
      <w:rFonts w:ascii="宋体" w:eastAsia="仿宋"/>
      <w:kern w:val="0"/>
      <w:sz w:val="28"/>
    </w:rPr>
  </w:style>
  <w:style w:type="character" w:customStyle="1" w:styleId="143">
    <w:name w:val="05正文 Char"/>
    <w:link w:val="142"/>
    <w:qFormat/>
    <w:uiPriority w:val="0"/>
    <w:rPr>
      <w:rFonts w:ascii="宋体" w:eastAsia="仿宋"/>
      <w:sz w:val="28"/>
      <w:szCs w:val="24"/>
    </w:rPr>
  </w:style>
  <w:style w:type="character" w:customStyle="1" w:styleId="144">
    <w:name w:val="Char Char171"/>
    <w:qFormat/>
    <w:uiPriority w:val="0"/>
    <w:rPr>
      <w:rFonts w:ascii="Cambria" w:hAnsi="Cambria" w:eastAsia="宋体"/>
      <w:b/>
      <w:bCs/>
      <w:kern w:val="2"/>
      <w:sz w:val="32"/>
      <w:szCs w:val="32"/>
      <w:lang w:val="en-US" w:eastAsia="zh-CN" w:bidi="ar-SA"/>
    </w:rPr>
  </w:style>
  <w:style w:type="character" w:customStyle="1" w:styleId="145">
    <w:name w:val="_Style 142"/>
    <w:qFormat/>
    <w:uiPriority w:val="0"/>
    <w:rPr>
      <w:smallCaps/>
      <w:color w:val="C0504D"/>
      <w:u w:val="single"/>
    </w:rPr>
  </w:style>
  <w:style w:type="character" w:customStyle="1" w:styleId="146">
    <w:name w:val="明显强调1"/>
    <w:qFormat/>
    <w:uiPriority w:val="0"/>
    <w:rPr>
      <w:b/>
      <w:bCs/>
      <w:i/>
      <w:iCs/>
      <w:color w:val="4F81BD"/>
    </w:rPr>
  </w:style>
  <w:style w:type="character" w:customStyle="1" w:styleId="147">
    <w:name w:val="条标题1.1.1 Char"/>
    <w:qFormat/>
    <w:uiPriority w:val="0"/>
    <w:rPr>
      <w:rFonts w:ascii="Arial" w:hAnsi="Arial" w:eastAsia="宋体"/>
      <w:b/>
      <w:bCs/>
      <w:sz w:val="24"/>
      <w:szCs w:val="32"/>
      <w:lang w:val="en-US" w:eastAsia="zh-CN" w:bidi="ar-SA"/>
    </w:rPr>
  </w:style>
  <w:style w:type="character" w:customStyle="1" w:styleId="148">
    <w:name w:val="标题 Char1"/>
    <w:qFormat/>
    <w:uiPriority w:val="10"/>
    <w:rPr>
      <w:rFonts w:ascii="Cambria" w:hAnsi="Cambria" w:cs="Times New Roman"/>
      <w:b/>
      <w:bCs/>
      <w:kern w:val="2"/>
      <w:sz w:val="32"/>
      <w:szCs w:val="32"/>
    </w:rPr>
  </w:style>
  <w:style w:type="character" w:customStyle="1" w:styleId="149">
    <w:name w:val="标题 6 字符"/>
    <w:semiHidden/>
    <w:qFormat/>
    <w:uiPriority w:val="9"/>
    <w:rPr>
      <w:rFonts w:ascii="等线 Light" w:hAnsi="等线 Light" w:eastAsia="等线 Light" w:cs="Times New Roman"/>
      <w:b/>
      <w:bCs/>
      <w:sz w:val="24"/>
      <w:szCs w:val="24"/>
    </w:rPr>
  </w:style>
  <w:style w:type="character" w:customStyle="1" w:styleId="150">
    <w:name w:val="标题 2 Char Char"/>
    <w:qFormat/>
    <w:uiPriority w:val="0"/>
    <w:rPr>
      <w:rFonts w:hAnsi="Arial"/>
      <w:b/>
      <w:bCs/>
      <w:sz w:val="24"/>
      <w:szCs w:val="24"/>
    </w:rPr>
  </w:style>
  <w:style w:type="character" w:customStyle="1" w:styleId="151">
    <w:name w:val="明显参考2"/>
    <w:qFormat/>
    <w:uiPriority w:val="0"/>
    <w:rPr>
      <w:b/>
      <w:bCs/>
      <w:smallCaps/>
      <w:color w:val="C0504D"/>
      <w:spacing w:val="5"/>
      <w:u w:val="single"/>
    </w:rPr>
  </w:style>
  <w:style w:type="character" w:customStyle="1" w:styleId="152">
    <w:name w:val="引用 Char3"/>
    <w:qFormat/>
    <w:uiPriority w:val="29"/>
    <w:rPr>
      <w:i/>
      <w:iCs/>
      <w:color w:val="000000"/>
      <w:kern w:val="2"/>
      <w:sz w:val="21"/>
      <w:szCs w:val="22"/>
    </w:rPr>
  </w:style>
  <w:style w:type="character" w:customStyle="1" w:styleId="153">
    <w:name w:val="不明显强调11"/>
    <w:qFormat/>
    <w:uiPriority w:val="0"/>
    <w:rPr>
      <w:i/>
      <w:iCs/>
      <w:color w:val="808080"/>
    </w:rPr>
  </w:style>
  <w:style w:type="character" w:customStyle="1" w:styleId="154">
    <w:name w:val="zbggmain style9"/>
    <w:qFormat/>
    <w:uiPriority w:val="0"/>
  </w:style>
  <w:style w:type="character" w:customStyle="1" w:styleId="155">
    <w:name w:val="尾注文本 字符1"/>
    <w:qFormat/>
    <w:uiPriority w:val="0"/>
    <w:rPr>
      <w:szCs w:val="24"/>
    </w:rPr>
  </w:style>
  <w:style w:type="character" w:customStyle="1" w:styleId="156">
    <w:name w:val="Char Char Char Char Char"/>
    <w:link w:val="157"/>
    <w:qFormat/>
    <w:uiPriority w:val="0"/>
    <w:rPr>
      <w:rFonts w:ascii="Tahoma" w:hAnsi="Tahoma"/>
      <w:sz w:val="24"/>
      <w:szCs w:val="24"/>
      <w:shd w:val="clear" w:color="auto" w:fill="000080"/>
    </w:rPr>
  </w:style>
  <w:style w:type="paragraph" w:customStyle="1" w:styleId="157">
    <w:name w:val="Char Char Char Char1"/>
    <w:basedOn w:val="2"/>
    <w:link w:val="156"/>
    <w:qFormat/>
    <w:uiPriority w:val="0"/>
    <w:pPr>
      <w:adjustRightInd w:val="0"/>
      <w:snapToGrid w:val="0"/>
      <w:spacing w:line="360" w:lineRule="auto"/>
    </w:pPr>
    <w:rPr>
      <w:rFonts w:ascii="Tahoma" w:hAnsi="Tahoma"/>
      <w:sz w:val="24"/>
    </w:rPr>
  </w:style>
  <w:style w:type="character" w:customStyle="1" w:styleId="158">
    <w:name w:val="正文文本缩进 字符"/>
    <w:semiHidden/>
    <w:qFormat/>
    <w:uiPriority w:val="99"/>
    <w:rPr>
      <w:rFonts w:ascii="Times New Roman" w:hAnsi="Times New Roman" w:eastAsia="宋体" w:cs="Times New Roman"/>
      <w:szCs w:val="24"/>
    </w:rPr>
  </w:style>
  <w:style w:type="character" w:customStyle="1" w:styleId="159">
    <w:name w:val="图片 Char"/>
    <w:link w:val="160"/>
    <w:qFormat/>
    <w:locked/>
    <w:uiPriority w:val="0"/>
    <w:rPr>
      <w:b/>
      <w:bCs/>
      <w:kern w:val="28"/>
      <w:sz w:val="32"/>
      <w:szCs w:val="32"/>
      <w:lang w:val="en-US" w:eastAsia="zh-CN" w:bidi="ar-SA"/>
    </w:rPr>
  </w:style>
  <w:style w:type="paragraph" w:customStyle="1" w:styleId="160">
    <w:name w:val="图片"/>
    <w:next w:val="14"/>
    <w:link w:val="159"/>
    <w:qFormat/>
    <w:uiPriority w:val="0"/>
    <w:pPr>
      <w:widowControl w:val="0"/>
      <w:jc w:val="center"/>
    </w:pPr>
    <w:rPr>
      <w:rFonts w:ascii="Times New Roman" w:hAnsi="Times New Roman" w:eastAsia="宋体" w:cs="Times New Roman"/>
      <w:b/>
      <w:bCs/>
      <w:kern w:val="28"/>
      <w:sz w:val="32"/>
      <w:szCs w:val="32"/>
      <w:lang w:val="en-US" w:eastAsia="zh-CN" w:bidi="ar-SA"/>
    </w:rPr>
  </w:style>
  <w:style w:type="character" w:customStyle="1" w:styleId="161">
    <w:name w:val="15"/>
    <w:qFormat/>
    <w:uiPriority w:val="0"/>
    <w:rPr>
      <w:rFonts w:hint="default" w:ascii="Calibri" w:hAnsi="Calibri" w:cs="Calibri"/>
    </w:rPr>
  </w:style>
  <w:style w:type="character" w:customStyle="1" w:styleId="162">
    <w:name w:val="纯文本 Char2"/>
    <w:qFormat/>
    <w:uiPriority w:val="0"/>
    <w:rPr>
      <w:rFonts w:hint="eastAsia" w:ascii="宋体" w:hAnsi="Courier New" w:eastAsia="宋体" w:cs="Courier New"/>
      <w:sz w:val="21"/>
      <w:szCs w:val="21"/>
    </w:rPr>
  </w:style>
  <w:style w:type="character" w:customStyle="1" w:styleId="163">
    <w:name w:val="Char Char5"/>
    <w:qFormat/>
    <w:locked/>
    <w:uiPriority w:val="0"/>
    <w:rPr>
      <w:rFonts w:ascii="宋体" w:hAnsi="Courier New" w:eastAsia="宋体"/>
      <w:kern w:val="2"/>
      <w:sz w:val="21"/>
      <w:lang w:val="en-US" w:eastAsia="zh-CN" w:bidi="ar-SA"/>
    </w:rPr>
  </w:style>
  <w:style w:type="character" w:customStyle="1" w:styleId="164">
    <w:name w:val="明显引用 Char1"/>
    <w:qFormat/>
    <w:uiPriority w:val="30"/>
    <w:rPr>
      <w:b/>
      <w:bCs/>
      <w:i/>
      <w:iCs/>
      <w:color w:val="4F81BD"/>
      <w:kern w:val="2"/>
      <w:sz w:val="21"/>
      <w:szCs w:val="24"/>
    </w:rPr>
  </w:style>
  <w:style w:type="character" w:customStyle="1" w:styleId="165">
    <w:name w:val="脚注文本 字符1"/>
    <w:qFormat/>
    <w:uiPriority w:val="0"/>
    <w:rPr>
      <w:sz w:val="18"/>
      <w:szCs w:val="18"/>
    </w:rPr>
  </w:style>
  <w:style w:type="character" w:customStyle="1" w:styleId="166">
    <w:name w:val="样式1 Char"/>
    <w:link w:val="167"/>
    <w:qFormat/>
    <w:uiPriority w:val="0"/>
    <w:rPr>
      <w:rFonts w:ascii="黑体" w:hAnsi="Arial" w:eastAsia="黑体" w:cs="Times New Roman"/>
      <w:b/>
      <w:bCs/>
      <w:kern w:val="0"/>
      <w:sz w:val="24"/>
      <w:szCs w:val="30"/>
    </w:rPr>
  </w:style>
  <w:style w:type="paragraph" w:customStyle="1" w:styleId="167">
    <w:name w:val="样式1"/>
    <w:basedOn w:val="6"/>
    <w:link w:val="166"/>
    <w:qFormat/>
    <w:uiPriority w:val="0"/>
    <w:pPr>
      <w:widowControl/>
      <w:jc w:val="left"/>
    </w:pPr>
    <w:rPr>
      <w:rFonts w:ascii="黑体"/>
      <w:sz w:val="24"/>
      <w:szCs w:val="30"/>
    </w:rPr>
  </w:style>
  <w:style w:type="character" w:customStyle="1" w:styleId="168">
    <w:name w:val="标题 7 字符"/>
    <w:semiHidden/>
    <w:qFormat/>
    <w:uiPriority w:val="9"/>
    <w:rPr>
      <w:rFonts w:ascii="Times New Roman" w:hAnsi="Times New Roman" w:eastAsia="宋体" w:cs="Times New Roman"/>
      <w:b/>
      <w:bCs/>
      <w:sz w:val="24"/>
      <w:szCs w:val="24"/>
    </w:rPr>
  </w:style>
  <w:style w:type="character" w:customStyle="1" w:styleId="169">
    <w:name w:val="标书正文 Char"/>
    <w:link w:val="170"/>
    <w:qFormat/>
    <w:uiPriority w:val="0"/>
    <w:rPr>
      <w:rFonts w:ascii="Arial" w:hAnsi="Arial"/>
      <w:sz w:val="24"/>
    </w:rPr>
  </w:style>
  <w:style w:type="paragraph" w:customStyle="1" w:styleId="170">
    <w:name w:val="标书正文"/>
    <w:basedOn w:val="1"/>
    <w:link w:val="169"/>
    <w:qFormat/>
    <w:uiPriority w:val="0"/>
    <w:pPr>
      <w:spacing w:before="100" w:after="100" w:line="360" w:lineRule="auto"/>
    </w:pPr>
    <w:rPr>
      <w:rFonts w:ascii="Arial" w:hAnsi="Arial"/>
      <w:kern w:val="0"/>
      <w:sz w:val="24"/>
      <w:szCs w:val="20"/>
    </w:rPr>
  </w:style>
  <w:style w:type="character" w:customStyle="1" w:styleId="171">
    <w:name w:val="日期 Char1"/>
    <w:qFormat/>
    <w:uiPriority w:val="0"/>
    <w:rPr>
      <w:kern w:val="2"/>
      <w:sz w:val="21"/>
      <w:szCs w:val="22"/>
    </w:rPr>
  </w:style>
  <w:style w:type="character" w:customStyle="1" w:styleId="172">
    <w:name w:val="纯文本 字符1"/>
    <w:qFormat/>
    <w:uiPriority w:val="0"/>
    <w:rPr>
      <w:rFonts w:ascii="宋体" w:hAnsi="Courier New" w:cs="Courier New"/>
      <w:szCs w:val="21"/>
    </w:rPr>
  </w:style>
  <w:style w:type="character" w:customStyle="1" w:styleId="173">
    <w:name w:val="正文文本缩进 3 字符"/>
    <w:semiHidden/>
    <w:qFormat/>
    <w:uiPriority w:val="99"/>
    <w:rPr>
      <w:rFonts w:ascii="Times New Roman" w:hAnsi="Times New Roman" w:eastAsia="宋体" w:cs="Times New Roman"/>
      <w:sz w:val="16"/>
      <w:szCs w:val="16"/>
    </w:rPr>
  </w:style>
  <w:style w:type="character" w:customStyle="1" w:styleId="174">
    <w:name w:val="正文文本缩进 2 字符"/>
    <w:semiHidden/>
    <w:qFormat/>
    <w:uiPriority w:val="99"/>
    <w:rPr>
      <w:rFonts w:ascii="Times New Roman" w:hAnsi="Times New Roman" w:eastAsia="宋体" w:cs="Times New Roman"/>
      <w:szCs w:val="24"/>
    </w:rPr>
  </w:style>
  <w:style w:type="character" w:customStyle="1" w:styleId="175">
    <w:name w:val="标题 1 字符1"/>
    <w:qFormat/>
    <w:uiPriority w:val="0"/>
    <w:rPr>
      <w:rFonts w:ascii="Times New Roman" w:hAnsi="Times New Roman" w:eastAsia="宋体" w:cs="Times New Roman"/>
      <w:b/>
      <w:bCs/>
      <w:kern w:val="44"/>
      <w:sz w:val="44"/>
      <w:szCs w:val="44"/>
    </w:rPr>
  </w:style>
  <w:style w:type="character" w:customStyle="1" w:styleId="176">
    <w:name w:val="正文首行缩进 Char1"/>
    <w:qFormat/>
    <w:uiPriority w:val="0"/>
  </w:style>
  <w:style w:type="character" w:customStyle="1" w:styleId="177">
    <w:name w:val="批注框文本 字符1"/>
    <w:qFormat/>
    <w:uiPriority w:val="0"/>
    <w:rPr>
      <w:sz w:val="18"/>
      <w:szCs w:val="18"/>
    </w:rPr>
  </w:style>
  <w:style w:type="character" w:customStyle="1" w:styleId="178">
    <w:name w:val="正文文本 Char1"/>
    <w:qFormat/>
    <w:uiPriority w:val="0"/>
    <w:rPr>
      <w:kern w:val="2"/>
      <w:sz w:val="21"/>
      <w:szCs w:val="22"/>
    </w:rPr>
  </w:style>
  <w:style w:type="character" w:customStyle="1" w:styleId="179">
    <w:name w:val="副标题 Char1"/>
    <w:qFormat/>
    <w:uiPriority w:val="11"/>
    <w:rPr>
      <w:rFonts w:ascii="Cambria" w:hAnsi="Cambria" w:cs="Times New Roman"/>
      <w:b/>
      <w:bCs/>
      <w:kern w:val="28"/>
      <w:sz w:val="32"/>
      <w:szCs w:val="32"/>
    </w:rPr>
  </w:style>
  <w:style w:type="character" w:customStyle="1" w:styleId="180">
    <w:name w:val="书籍标题1"/>
    <w:qFormat/>
    <w:uiPriority w:val="0"/>
    <w:rPr>
      <w:b/>
      <w:bCs/>
      <w:smallCaps/>
      <w:spacing w:val="5"/>
    </w:rPr>
  </w:style>
  <w:style w:type="character" w:customStyle="1" w:styleId="181">
    <w:name w:val="引用 Char1"/>
    <w:qFormat/>
    <w:uiPriority w:val="29"/>
    <w:rPr>
      <w:i/>
      <w:iCs/>
      <w:color w:val="000000"/>
      <w:kern w:val="2"/>
      <w:sz w:val="21"/>
      <w:szCs w:val="24"/>
    </w:rPr>
  </w:style>
  <w:style w:type="character" w:customStyle="1" w:styleId="182">
    <w:name w:val="副标题 Char2"/>
    <w:qFormat/>
    <w:uiPriority w:val="11"/>
    <w:rPr>
      <w:rFonts w:ascii="Cambria" w:hAnsi="Cambria" w:cs="Times New Roman"/>
      <w:b/>
      <w:bCs/>
      <w:kern w:val="28"/>
      <w:sz w:val="32"/>
      <w:szCs w:val="32"/>
    </w:rPr>
  </w:style>
  <w:style w:type="character" w:customStyle="1" w:styleId="183">
    <w:name w:val="apple-converted-space"/>
    <w:qFormat/>
    <w:uiPriority w:val="0"/>
  </w:style>
  <w:style w:type="character" w:customStyle="1" w:styleId="184">
    <w:name w:val="页眉 字符"/>
    <w:qFormat/>
    <w:uiPriority w:val="99"/>
    <w:rPr>
      <w:rFonts w:ascii="Times New Roman" w:hAnsi="Times New Roman" w:eastAsia="宋体" w:cs="Times New Roman"/>
      <w:sz w:val="18"/>
      <w:szCs w:val="18"/>
    </w:rPr>
  </w:style>
  <w:style w:type="character" w:customStyle="1" w:styleId="185">
    <w:name w:val="不明显参考1"/>
    <w:qFormat/>
    <w:uiPriority w:val="0"/>
    <w:rPr>
      <w:smallCaps/>
      <w:color w:val="C0504D"/>
      <w:u w:val="single"/>
    </w:rPr>
  </w:style>
  <w:style w:type="character" w:customStyle="1" w:styleId="186">
    <w:name w:val="节标题 1.1 Char1"/>
    <w:qFormat/>
    <w:uiPriority w:val="0"/>
    <w:rPr>
      <w:rFonts w:ascii="Arial" w:hAnsi="Arial" w:eastAsia="黑体"/>
      <w:bCs/>
      <w:sz w:val="24"/>
      <w:szCs w:val="24"/>
      <w:lang w:val="en-US" w:eastAsia="zh-CN" w:bidi="ar-SA"/>
    </w:rPr>
  </w:style>
  <w:style w:type="character" w:customStyle="1" w:styleId="187">
    <w:name w:val="尾注文本 字符"/>
    <w:semiHidden/>
    <w:qFormat/>
    <w:uiPriority w:val="99"/>
    <w:rPr>
      <w:rFonts w:ascii="Times New Roman" w:hAnsi="Times New Roman" w:eastAsia="宋体" w:cs="Times New Roman"/>
      <w:szCs w:val="24"/>
    </w:rPr>
  </w:style>
  <w:style w:type="character" w:customStyle="1" w:styleId="188">
    <w:name w:val="页脚 字符"/>
    <w:qFormat/>
    <w:uiPriority w:val="99"/>
    <w:rPr>
      <w:rFonts w:ascii="Times New Roman" w:hAnsi="Times New Roman" w:eastAsia="宋体" w:cs="Times New Roman"/>
      <w:sz w:val="18"/>
      <w:szCs w:val="18"/>
    </w:rPr>
  </w:style>
  <w:style w:type="character" w:customStyle="1" w:styleId="189">
    <w:name w:val="正文缩进 Char1"/>
    <w:qFormat/>
    <w:uiPriority w:val="0"/>
    <w:rPr>
      <w:szCs w:val="24"/>
    </w:rPr>
  </w:style>
  <w:style w:type="character" w:customStyle="1" w:styleId="190">
    <w:name w:val="引用 字符1"/>
    <w:qFormat/>
    <w:uiPriority w:val="0"/>
    <w:rPr>
      <w:i/>
      <w:iCs/>
      <w:color w:val="000000"/>
    </w:rPr>
  </w:style>
  <w:style w:type="character" w:customStyle="1" w:styleId="191">
    <w:name w:val="书籍标题11"/>
    <w:qFormat/>
    <w:uiPriority w:val="0"/>
    <w:rPr>
      <w:b/>
      <w:bCs/>
      <w:smallCaps/>
      <w:spacing w:val="5"/>
    </w:rPr>
  </w:style>
  <w:style w:type="character" w:customStyle="1" w:styleId="192">
    <w:name w:val="标题 2 Char2"/>
    <w:qFormat/>
    <w:uiPriority w:val="0"/>
    <w:rPr>
      <w:rFonts w:ascii="宋体" w:hAnsi="Arial" w:cs="宋体"/>
      <w:b/>
      <w:bCs/>
      <w:kern w:val="2"/>
      <w:sz w:val="24"/>
      <w:szCs w:val="24"/>
    </w:rPr>
  </w:style>
  <w:style w:type="character" w:customStyle="1" w:styleId="193">
    <w:name w:val="彩色网格 - 强调文字颜色 1 Char"/>
    <w:link w:val="194"/>
    <w:qFormat/>
    <w:uiPriority w:val="0"/>
    <w:rPr>
      <w:i/>
      <w:iCs/>
      <w:color w:val="000000"/>
    </w:rPr>
  </w:style>
  <w:style w:type="paragraph" w:customStyle="1" w:styleId="194">
    <w:name w:val="彩色网格 - 强调文字颜色 11"/>
    <w:basedOn w:val="1"/>
    <w:next w:val="1"/>
    <w:link w:val="193"/>
    <w:qFormat/>
    <w:uiPriority w:val="0"/>
    <w:rPr>
      <w:i/>
      <w:iCs/>
      <w:color w:val="000000"/>
      <w:kern w:val="0"/>
      <w:sz w:val="20"/>
      <w:szCs w:val="20"/>
    </w:rPr>
  </w:style>
  <w:style w:type="character" w:customStyle="1" w:styleId="195">
    <w:name w:val="页脚 字符1"/>
    <w:qFormat/>
    <w:uiPriority w:val="99"/>
    <w:rPr>
      <w:rFonts w:eastAsia="宋体"/>
      <w:sz w:val="18"/>
      <w:szCs w:val="18"/>
    </w:rPr>
  </w:style>
  <w:style w:type="character" w:customStyle="1" w:styleId="196">
    <w:name w:val="节标题 1.1 Char"/>
    <w:qFormat/>
    <w:uiPriority w:val="0"/>
    <w:rPr>
      <w:rFonts w:ascii="Arial" w:hAnsi="Arial" w:eastAsia="黑体"/>
      <w:b/>
      <w:bCs/>
      <w:sz w:val="32"/>
      <w:szCs w:val="32"/>
      <w:lang w:val="en-US" w:eastAsia="zh-CN" w:bidi="ar-SA"/>
    </w:rPr>
  </w:style>
  <w:style w:type="character" w:customStyle="1" w:styleId="197">
    <w:name w:val="_Style 194"/>
    <w:qFormat/>
    <w:uiPriority w:val="0"/>
    <w:rPr>
      <w:b/>
      <w:bCs/>
      <w:i/>
      <w:iCs/>
      <w:color w:val="4F81BD"/>
    </w:rPr>
  </w:style>
  <w:style w:type="character" w:customStyle="1" w:styleId="198">
    <w:name w:val="批注主题 字符1"/>
    <w:qFormat/>
    <w:uiPriority w:val="0"/>
  </w:style>
  <w:style w:type="character" w:customStyle="1" w:styleId="199">
    <w:name w:val="Char Char3"/>
    <w:qFormat/>
    <w:uiPriority w:val="0"/>
    <w:rPr>
      <w:rFonts w:eastAsia="宋体"/>
      <w:lang w:val="en-US" w:eastAsia="zh-CN" w:bidi="ar-SA"/>
    </w:rPr>
  </w:style>
  <w:style w:type="character" w:customStyle="1" w:styleId="200">
    <w:name w:val="正文文本 3 字符1"/>
    <w:qFormat/>
    <w:uiPriority w:val="0"/>
    <w:rPr>
      <w:rFonts w:ascii="宋体"/>
      <w:sz w:val="24"/>
    </w:rPr>
  </w:style>
  <w:style w:type="character" w:customStyle="1" w:styleId="201">
    <w:name w:val="批注文字 字符"/>
    <w:semiHidden/>
    <w:qFormat/>
    <w:uiPriority w:val="99"/>
    <w:rPr>
      <w:rFonts w:ascii="Times New Roman" w:hAnsi="Times New Roman" w:eastAsia="宋体" w:cs="Times New Roman"/>
      <w:szCs w:val="24"/>
    </w:rPr>
  </w:style>
  <w:style w:type="character" w:customStyle="1" w:styleId="202">
    <w:name w:val="文档结构图 Char1"/>
    <w:qFormat/>
    <w:uiPriority w:val="0"/>
    <w:rPr>
      <w:rFonts w:ascii="宋体"/>
      <w:kern w:val="2"/>
      <w:sz w:val="18"/>
      <w:szCs w:val="18"/>
    </w:rPr>
  </w:style>
  <w:style w:type="character" w:customStyle="1" w:styleId="203">
    <w:name w:val="正文文本 字符"/>
    <w:semiHidden/>
    <w:qFormat/>
    <w:uiPriority w:val="99"/>
    <w:rPr>
      <w:rFonts w:ascii="Times New Roman" w:hAnsi="Times New Roman" w:eastAsia="宋体" w:cs="Times New Roman"/>
      <w:szCs w:val="24"/>
    </w:rPr>
  </w:style>
  <w:style w:type="character" w:customStyle="1" w:styleId="204">
    <w:name w:val="表格 Char"/>
    <w:link w:val="205"/>
    <w:qFormat/>
    <w:locked/>
    <w:uiPriority w:val="0"/>
    <w:rPr>
      <w:rFonts w:ascii="华文细黑" w:hAnsi="华文细黑" w:eastAsia="宋体" w:cs="Times New Roman"/>
      <w:kern w:val="0"/>
      <w:szCs w:val="20"/>
    </w:rPr>
  </w:style>
  <w:style w:type="paragraph" w:customStyle="1" w:styleId="205">
    <w:name w:val="表格"/>
    <w:basedOn w:val="1"/>
    <w:link w:val="204"/>
    <w:qFormat/>
    <w:uiPriority w:val="0"/>
    <w:pPr>
      <w:jc w:val="center"/>
      <w:textAlignment w:val="center"/>
    </w:pPr>
    <w:rPr>
      <w:rFonts w:ascii="华文细黑" w:hAnsi="华文细黑"/>
      <w:kern w:val="0"/>
      <w:sz w:val="20"/>
      <w:szCs w:val="20"/>
    </w:rPr>
  </w:style>
  <w:style w:type="character" w:customStyle="1" w:styleId="206">
    <w:name w:val="正文文本缩进 3 Char1"/>
    <w:semiHidden/>
    <w:qFormat/>
    <w:uiPriority w:val="99"/>
    <w:rPr>
      <w:kern w:val="2"/>
      <w:sz w:val="16"/>
      <w:szCs w:val="16"/>
    </w:rPr>
  </w:style>
  <w:style w:type="character" w:customStyle="1" w:styleId="207">
    <w:name w:val="批注文字 字符1"/>
    <w:qFormat/>
    <w:uiPriority w:val="0"/>
    <w:rPr>
      <w:szCs w:val="24"/>
    </w:rPr>
  </w:style>
  <w:style w:type="character" w:customStyle="1" w:styleId="208">
    <w:name w:val="Char Char41"/>
    <w:qFormat/>
    <w:uiPriority w:val="0"/>
    <w:rPr>
      <w:lang w:bidi="ar-SA"/>
    </w:rPr>
  </w:style>
  <w:style w:type="character" w:customStyle="1" w:styleId="209">
    <w:name w:val="引用 字符"/>
    <w:qFormat/>
    <w:uiPriority w:val="29"/>
    <w:rPr>
      <w:rFonts w:ascii="Times New Roman" w:hAnsi="Times New Roman" w:eastAsia="宋体" w:cs="Times New Roman"/>
      <w:i/>
      <w:iCs/>
      <w:color w:val="404040"/>
      <w:szCs w:val="24"/>
    </w:rPr>
  </w:style>
  <w:style w:type="character" w:customStyle="1" w:styleId="210">
    <w:name w:val="标题 2 Char"/>
    <w:qFormat/>
    <w:uiPriority w:val="0"/>
    <w:rPr>
      <w:sz w:val="28"/>
    </w:rPr>
  </w:style>
  <w:style w:type="character" w:customStyle="1" w:styleId="211">
    <w:name w:val="Char Char2"/>
    <w:qFormat/>
    <w:uiPriority w:val="0"/>
    <w:rPr>
      <w:rFonts w:ascii="Arial" w:hAnsi="Arial" w:eastAsia="黑体"/>
      <w:b/>
      <w:bCs/>
      <w:kern w:val="2"/>
      <w:sz w:val="32"/>
      <w:szCs w:val="32"/>
      <w:lang w:val="en-US" w:eastAsia="zh-CN" w:bidi="ar-SA"/>
    </w:rPr>
  </w:style>
  <w:style w:type="character" w:customStyle="1" w:styleId="212">
    <w:name w:val="文档结构图 字符"/>
    <w:semiHidden/>
    <w:qFormat/>
    <w:uiPriority w:val="99"/>
    <w:rPr>
      <w:rFonts w:ascii="Microsoft YaHei UI" w:hAnsi="Times New Roman" w:eastAsia="Microsoft YaHei UI" w:cs="Times New Roman"/>
      <w:sz w:val="18"/>
      <w:szCs w:val="18"/>
    </w:rPr>
  </w:style>
  <w:style w:type="character" w:customStyle="1" w:styleId="213">
    <w:name w:val="Char Char12"/>
    <w:qFormat/>
    <w:uiPriority w:val="0"/>
    <w:rPr>
      <w:rFonts w:eastAsia="宋体"/>
      <w:b/>
      <w:bCs/>
      <w:kern w:val="44"/>
      <w:sz w:val="44"/>
      <w:szCs w:val="44"/>
      <w:lang w:val="en-US" w:eastAsia="zh-CN" w:bidi="ar-SA"/>
    </w:rPr>
  </w:style>
  <w:style w:type="character" w:customStyle="1" w:styleId="214">
    <w:name w:val="文档结构图 Char2"/>
    <w:semiHidden/>
    <w:qFormat/>
    <w:uiPriority w:val="99"/>
    <w:rPr>
      <w:rFonts w:ascii="宋体"/>
      <w:kern w:val="2"/>
      <w:sz w:val="18"/>
      <w:szCs w:val="18"/>
    </w:rPr>
  </w:style>
  <w:style w:type="character" w:customStyle="1" w:styleId="215">
    <w:name w:val="明显引用 字符1"/>
    <w:qFormat/>
    <w:uiPriority w:val="0"/>
    <w:rPr>
      <w:b/>
      <w:bCs/>
      <w:i/>
      <w:iCs/>
      <w:color w:val="4F81BD"/>
    </w:rPr>
  </w:style>
  <w:style w:type="character" w:customStyle="1" w:styleId="216">
    <w:name w:val="标题 字符1"/>
    <w:qFormat/>
    <w:uiPriority w:val="0"/>
    <w:rPr>
      <w:rFonts w:ascii="Arial" w:hAnsi="Arial"/>
      <w:b/>
      <w:sz w:val="32"/>
    </w:rPr>
  </w:style>
  <w:style w:type="character" w:customStyle="1" w:styleId="217">
    <w:name w:val="Char Char16"/>
    <w:qFormat/>
    <w:uiPriority w:val="0"/>
    <w:rPr>
      <w:rFonts w:ascii="Calibri" w:hAnsi="Calibri" w:eastAsia="宋体"/>
      <w:b/>
      <w:bCs/>
      <w:kern w:val="2"/>
      <w:sz w:val="32"/>
      <w:szCs w:val="32"/>
      <w:lang w:val="en-US" w:eastAsia="zh-CN" w:bidi="ar-SA"/>
    </w:rPr>
  </w:style>
  <w:style w:type="character" w:customStyle="1" w:styleId="218">
    <w:name w:val="页脚 Char1"/>
    <w:qFormat/>
    <w:uiPriority w:val="0"/>
    <w:rPr>
      <w:rFonts w:ascii="Times New Roman" w:hAnsi="Times New Roman" w:eastAsia="宋体" w:cs="Times New Roman"/>
      <w:sz w:val="18"/>
      <w:szCs w:val="18"/>
    </w:rPr>
  </w:style>
  <w:style w:type="character" w:customStyle="1" w:styleId="219">
    <w:name w:val="正文文本首行缩进 2 字符1"/>
    <w:link w:val="220"/>
    <w:qFormat/>
    <w:uiPriority w:val="0"/>
    <w:rPr>
      <w:szCs w:val="24"/>
    </w:rPr>
  </w:style>
  <w:style w:type="paragraph" w:customStyle="1" w:styleId="220">
    <w:name w:val="_Style 293"/>
    <w:basedOn w:val="21"/>
    <w:next w:val="49"/>
    <w:link w:val="219"/>
    <w:unhideWhenUsed/>
    <w:qFormat/>
    <w:uiPriority w:val="0"/>
    <w:pPr>
      <w:ind w:firstLine="420" w:firstLineChars="200"/>
    </w:pPr>
  </w:style>
  <w:style w:type="character" w:customStyle="1" w:styleId="221">
    <w:name w:val="日期 字符"/>
    <w:semiHidden/>
    <w:qFormat/>
    <w:uiPriority w:val="99"/>
    <w:rPr>
      <w:rFonts w:ascii="Times New Roman" w:hAnsi="Times New Roman" w:eastAsia="宋体" w:cs="Times New Roman"/>
      <w:szCs w:val="24"/>
    </w:rPr>
  </w:style>
  <w:style w:type="character" w:customStyle="1" w:styleId="222">
    <w:name w:val="题注 字符"/>
    <w:qFormat/>
    <w:uiPriority w:val="0"/>
    <w:rPr>
      <w:rFonts w:ascii="Cambria" w:hAnsi="Cambria" w:eastAsia="黑体" w:cs="Times New Roman"/>
      <w:sz w:val="20"/>
      <w:szCs w:val="24"/>
    </w:rPr>
  </w:style>
  <w:style w:type="character" w:customStyle="1" w:styleId="223">
    <w:name w:val="明显参考1"/>
    <w:qFormat/>
    <w:uiPriority w:val="0"/>
    <w:rPr>
      <w:b/>
      <w:bCs/>
      <w:smallCaps/>
      <w:color w:val="C0504D"/>
      <w:spacing w:val="5"/>
      <w:u w:val="single"/>
    </w:rPr>
  </w:style>
  <w:style w:type="character" w:customStyle="1" w:styleId="224">
    <w:name w:val="ask-title2"/>
    <w:qFormat/>
    <w:uiPriority w:val="0"/>
  </w:style>
  <w:style w:type="character" w:customStyle="1" w:styleId="225">
    <w:name w:val="正文缩进 + 首行缩进 Char"/>
    <w:link w:val="226"/>
    <w:qFormat/>
    <w:uiPriority w:val="0"/>
    <w:rPr>
      <w:rFonts w:ascii="宋体" w:hAnsi="宋体" w:cs="宋体"/>
      <w:sz w:val="28"/>
      <w:szCs w:val="28"/>
    </w:rPr>
  </w:style>
  <w:style w:type="paragraph" w:customStyle="1" w:styleId="226">
    <w:name w:val="正文缩进 + 首行缩进"/>
    <w:basedOn w:val="13"/>
    <w:link w:val="225"/>
    <w:qFormat/>
    <w:uiPriority w:val="0"/>
    <w:pPr>
      <w:spacing w:before="240" w:line="360" w:lineRule="auto"/>
      <w:ind w:firstLine="560"/>
      <w:textAlignment w:val="baseline"/>
    </w:pPr>
    <w:rPr>
      <w:rFonts w:ascii="宋体" w:hAnsi="宋体"/>
      <w:sz w:val="28"/>
      <w:szCs w:val="28"/>
    </w:rPr>
  </w:style>
  <w:style w:type="character" w:customStyle="1" w:styleId="227">
    <w:name w:val="正文文本 2 字符"/>
    <w:semiHidden/>
    <w:qFormat/>
    <w:uiPriority w:val="99"/>
    <w:rPr>
      <w:rFonts w:ascii="Times New Roman" w:hAnsi="Times New Roman" w:eastAsia="宋体" w:cs="Times New Roman"/>
      <w:szCs w:val="24"/>
    </w:rPr>
  </w:style>
  <w:style w:type="character" w:customStyle="1" w:styleId="228">
    <w:name w:val="_Style 225"/>
    <w:qFormat/>
    <w:uiPriority w:val="0"/>
    <w:rPr>
      <w:b/>
      <w:bCs/>
      <w:smallCaps/>
      <w:spacing w:val="5"/>
    </w:rPr>
  </w:style>
  <w:style w:type="character" w:customStyle="1" w:styleId="229">
    <w:name w:val="标题 Char3"/>
    <w:qFormat/>
    <w:uiPriority w:val="10"/>
    <w:rPr>
      <w:rFonts w:ascii="Cambria" w:hAnsi="Cambria" w:cs="Times New Roman"/>
      <w:b/>
      <w:bCs/>
      <w:kern w:val="2"/>
      <w:sz w:val="32"/>
      <w:szCs w:val="32"/>
    </w:rPr>
  </w:style>
  <w:style w:type="character" w:customStyle="1" w:styleId="230">
    <w:name w:val="批注文字 Char2"/>
    <w:semiHidden/>
    <w:qFormat/>
    <w:uiPriority w:val="99"/>
    <w:rPr>
      <w:rFonts w:ascii="宋体" w:hAnsi="宋体" w:eastAsia="宋体" w:cs="宋体"/>
      <w:kern w:val="0"/>
      <w:sz w:val="20"/>
      <w:szCs w:val="20"/>
    </w:rPr>
  </w:style>
  <w:style w:type="character" w:customStyle="1" w:styleId="231">
    <w:name w:val="浅色底纹 - 强调文字颜色 2 Char"/>
    <w:link w:val="232"/>
    <w:qFormat/>
    <w:uiPriority w:val="0"/>
    <w:rPr>
      <w:b/>
      <w:bCs/>
      <w:i/>
      <w:iCs/>
      <w:color w:val="4F81BD"/>
    </w:rPr>
  </w:style>
  <w:style w:type="paragraph" w:customStyle="1" w:styleId="232">
    <w:name w:val="浅色底纹 - 强调文字颜色 21"/>
    <w:basedOn w:val="1"/>
    <w:next w:val="1"/>
    <w:link w:val="231"/>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233">
    <w:name w:val="副标题 字符"/>
    <w:qFormat/>
    <w:uiPriority w:val="11"/>
    <w:rPr>
      <w:b/>
      <w:bCs/>
      <w:kern w:val="28"/>
      <w:sz w:val="32"/>
      <w:szCs w:val="32"/>
    </w:rPr>
  </w:style>
  <w:style w:type="character" w:customStyle="1" w:styleId="234">
    <w:name w:val="Char Char7"/>
    <w:qFormat/>
    <w:uiPriority w:val="0"/>
  </w:style>
  <w:style w:type="character" w:customStyle="1" w:styleId="235">
    <w:name w:val="标题5 Char Char"/>
    <w:link w:val="236"/>
    <w:qFormat/>
    <w:uiPriority w:val="0"/>
    <w:rPr>
      <w:rFonts w:ascii="Arial" w:hAnsi="Arial"/>
      <w:b/>
      <w:bCs/>
      <w:sz w:val="24"/>
      <w:szCs w:val="32"/>
    </w:rPr>
  </w:style>
  <w:style w:type="paragraph" w:customStyle="1" w:styleId="236">
    <w:name w:val="标题5"/>
    <w:basedOn w:val="5"/>
    <w:link w:val="235"/>
    <w:qFormat/>
    <w:uiPriority w:val="0"/>
    <w:pPr>
      <w:spacing w:line="413" w:lineRule="auto"/>
    </w:pPr>
    <w:rPr>
      <w:rFonts w:ascii="Arial" w:hAnsi="Arial"/>
      <w:sz w:val="24"/>
    </w:rPr>
  </w:style>
  <w:style w:type="character" w:customStyle="1" w:styleId="237">
    <w:name w:val="批注框文本 字符"/>
    <w:semiHidden/>
    <w:qFormat/>
    <w:uiPriority w:val="99"/>
    <w:rPr>
      <w:rFonts w:ascii="Times New Roman" w:hAnsi="Times New Roman" w:eastAsia="宋体" w:cs="Times New Roman"/>
      <w:sz w:val="18"/>
      <w:szCs w:val="18"/>
    </w:rPr>
  </w:style>
  <w:style w:type="character" w:customStyle="1" w:styleId="238">
    <w:name w:val="标题 7 字符1"/>
    <w:qFormat/>
    <w:uiPriority w:val="0"/>
    <w:rPr>
      <w:rFonts w:ascii="Times New Roman" w:hAnsi="Times New Roman" w:eastAsia="宋体" w:cs="Times New Roman"/>
      <w:b/>
      <w:bCs/>
      <w:kern w:val="0"/>
      <w:sz w:val="24"/>
      <w:szCs w:val="24"/>
    </w:rPr>
  </w:style>
  <w:style w:type="character" w:customStyle="1" w:styleId="239">
    <w:name w:val="_Style 236"/>
    <w:qFormat/>
    <w:uiPriority w:val="0"/>
    <w:rPr>
      <w:i/>
      <w:iCs/>
      <w:color w:val="808080"/>
    </w:rPr>
  </w:style>
  <w:style w:type="character" w:customStyle="1" w:styleId="240">
    <w:name w:val="标题yjm1 Char"/>
    <w:qFormat/>
    <w:uiPriority w:val="0"/>
    <w:rPr>
      <w:rFonts w:ascii="Arial" w:hAnsi="Arial" w:eastAsia="黑体"/>
      <w:b/>
      <w:bCs/>
      <w:kern w:val="44"/>
      <w:sz w:val="36"/>
      <w:szCs w:val="44"/>
      <w:lang w:val="en-US" w:eastAsia="zh-CN" w:bidi="ar-SA"/>
    </w:rPr>
  </w:style>
  <w:style w:type="character" w:customStyle="1" w:styleId="241">
    <w:name w:val="unnamed141"/>
    <w:qFormat/>
    <w:uiPriority w:val="0"/>
    <w:rPr>
      <w:sz w:val="20"/>
      <w:szCs w:val="20"/>
    </w:rPr>
  </w:style>
  <w:style w:type="character" w:customStyle="1" w:styleId="242">
    <w:name w:val="apple-style-span"/>
    <w:qFormat/>
    <w:uiPriority w:val="0"/>
  </w:style>
  <w:style w:type="character" w:customStyle="1" w:styleId="243">
    <w:name w:val="正文文本缩进 3 字符1"/>
    <w:qFormat/>
    <w:uiPriority w:val="0"/>
    <w:rPr>
      <w:sz w:val="16"/>
      <w:szCs w:val="16"/>
    </w:rPr>
  </w:style>
  <w:style w:type="character" w:customStyle="1" w:styleId="244">
    <w:name w:val="style11"/>
    <w:qFormat/>
    <w:uiPriority w:val="0"/>
    <w:rPr>
      <w:b/>
      <w:bCs/>
    </w:rPr>
  </w:style>
  <w:style w:type="character" w:customStyle="1" w:styleId="245">
    <w:name w:val="样式2 Char"/>
    <w:link w:val="246"/>
    <w:qFormat/>
    <w:uiPriority w:val="0"/>
    <w:rPr>
      <w:rFonts w:ascii="黑体" w:hAnsi="Arial" w:eastAsia="黑体" w:cs="Times New Roman"/>
      <w:b/>
      <w:bCs/>
      <w:kern w:val="0"/>
      <w:sz w:val="24"/>
      <w:szCs w:val="30"/>
    </w:rPr>
  </w:style>
  <w:style w:type="paragraph" w:customStyle="1" w:styleId="246">
    <w:name w:val="样式2"/>
    <w:basedOn w:val="6"/>
    <w:next w:val="6"/>
    <w:link w:val="245"/>
    <w:qFormat/>
    <w:uiPriority w:val="0"/>
    <w:pPr>
      <w:widowControl/>
      <w:jc w:val="left"/>
    </w:pPr>
    <w:rPr>
      <w:rFonts w:ascii="黑体"/>
      <w:sz w:val="24"/>
      <w:szCs w:val="30"/>
    </w:rPr>
  </w:style>
  <w:style w:type="character" w:customStyle="1" w:styleId="247">
    <w:name w:val="标题 9 字符1"/>
    <w:qFormat/>
    <w:uiPriority w:val="0"/>
    <w:rPr>
      <w:rFonts w:ascii="Arial" w:hAnsi="Arial" w:eastAsia="黑体" w:cs="Times New Roman"/>
      <w:kern w:val="0"/>
      <w:szCs w:val="21"/>
    </w:rPr>
  </w:style>
  <w:style w:type="character" w:customStyle="1" w:styleId="248">
    <w:name w:val="Char Char14"/>
    <w:qFormat/>
    <w:uiPriority w:val="0"/>
    <w:rPr>
      <w:rFonts w:eastAsia="宋体"/>
      <w:b/>
      <w:bCs/>
      <w:kern w:val="2"/>
      <w:sz w:val="32"/>
      <w:szCs w:val="32"/>
      <w:lang w:val="en-US" w:eastAsia="zh-CN" w:bidi="ar-SA"/>
    </w:rPr>
  </w:style>
  <w:style w:type="character" w:customStyle="1" w:styleId="249">
    <w:name w:val="纯文本 字符"/>
    <w:semiHidden/>
    <w:qFormat/>
    <w:uiPriority w:val="99"/>
    <w:rPr>
      <w:rFonts w:ascii="等线" w:hAnsi="Courier New" w:cs="Courier New"/>
      <w:szCs w:val="24"/>
    </w:rPr>
  </w:style>
  <w:style w:type="character" w:customStyle="1" w:styleId="250">
    <w:name w:val="标题 3 字符"/>
    <w:qFormat/>
    <w:uiPriority w:val="0"/>
    <w:rPr>
      <w:rFonts w:ascii="Times New Roman" w:hAnsi="Times New Roman" w:eastAsia="宋体" w:cs="Times New Roman"/>
      <w:b/>
      <w:bCs/>
      <w:sz w:val="32"/>
      <w:szCs w:val="32"/>
    </w:rPr>
  </w:style>
  <w:style w:type="character" w:customStyle="1" w:styleId="251">
    <w:name w:val="日期 字符1"/>
    <w:qFormat/>
    <w:uiPriority w:val="0"/>
    <w:rPr>
      <w:sz w:val="24"/>
    </w:rPr>
  </w:style>
  <w:style w:type="character" w:customStyle="1" w:styleId="252">
    <w:name w:val="不明显强调1"/>
    <w:qFormat/>
    <w:uiPriority w:val="0"/>
    <w:rPr>
      <w:i/>
      <w:iCs/>
      <w:color w:val="808080"/>
    </w:rPr>
  </w:style>
  <w:style w:type="character" w:customStyle="1" w:styleId="253">
    <w:name w:val="批注框文本 Char2"/>
    <w:semiHidden/>
    <w:qFormat/>
    <w:uiPriority w:val="99"/>
    <w:rPr>
      <w:kern w:val="2"/>
      <w:sz w:val="18"/>
      <w:szCs w:val="18"/>
    </w:rPr>
  </w:style>
  <w:style w:type="character" w:customStyle="1" w:styleId="254">
    <w:name w:val="正文文本 3 Char1"/>
    <w:semiHidden/>
    <w:qFormat/>
    <w:uiPriority w:val="99"/>
    <w:rPr>
      <w:kern w:val="2"/>
      <w:sz w:val="16"/>
      <w:szCs w:val="16"/>
    </w:rPr>
  </w:style>
  <w:style w:type="character" w:customStyle="1" w:styleId="255">
    <w:name w:val="Char Char18"/>
    <w:qFormat/>
    <w:uiPriority w:val="0"/>
    <w:rPr>
      <w:rFonts w:eastAsia="宋体"/>
      <w:b/>
      <w:spacing w:val="20"/>
      <w:kern w:val="44"/>
      <w:sz w:val="32"/>
      <w:lang w:val="en-US" w:eastAsia="zh-CN" w:bidi="ar-SA"/>
    </w:rPr>
  </w:style>
  <w:style w:type="character" w:customStyle="1" w:styleId="256">
    <w:name w:val="font161"/>
    <w:qFormat/>
    <w:uiPriority w:val="0"/>
    <w:rPr>
      <w:b/>
      <w:bCs/>
      <w:sz w:val="32"/>
      <w:szCs w:val="32"/>
    </w:rPr>
  </w:style>
  <w:style w:type="character" w:customStyle="1" w:styleId="257">
    <w:name w:val="题注-表格 Char"/>
    <w:link w:val="258"/>
    <w:qFormat/>
    <w:uiPriority w:val="0"/>
    <w:rPr>
      <w:b/>
    </w:rPr>
  </w:style>
  <w:style w:type="paragraph" w:customStyle="1" w:styleId="258">
    <w:name w:val="题注-表格"/>
    <w:basedOn w:val="14"/>
    <w:link w:val="257"/>
    <w:qFormat/>
    <w:uiPriority w:val="0"/>
    <w:pPr>
      <w:widowControl/>
      <w:spacing w:beforeLines="50" w:line="360" w:lineRule="auto"/>
      <w:jc w:val="center"/>
    </w:pPr>
    <w:rPr>
      <w:rFonts w:ascii="Times New Roman" w:hAnsi="Times New Roman" w:eastAsia="宋体"/>
      <w:b/>
      <w:szCs w:val="20"/>
    </w:rPr>
  </w:style>
  <w:style w:type="character" w:customStyle="1" w:styleId="259">
    <w:name w:val="标题 4 字符1"/>
    <w:qFormat/>
    <w:uiPriority w:val="0"/>
    <w:rPr>
      <w:rFonts w:ascii="Arial" w:hAnsi="Arial" w:eastAsia="黑体" w:cs="Times New Roman"/>
      <w:b/>
      <w:bCs/>
      <w:sz w:val="28"/>
      <w:szCs w:val="28"/>
    </w:rPr>
  </w:style>
  <w:style w:type="character" w:customStyle="1" w:styleId="260">
    <w:name w:val="Char Char Char Char Char1"/>
    <w:link w:val="261"/>
    <w:qFormat/>
    <w:uiPriority w:val="0"/>
    <w:rPr>
      <w:szCs w:val="21"/>
    </w:rPr>
  </w:style>
  <w:style w:type="paragraph" w:customStyle="1" w:styleId="261">
    <w:name w:val="Char Char Char Char"/>
    <w:basedOn w:val="1"/>
    <w:link w:val="260"/>
    <w:qFormat/>
    <w:uiPriority w:val="0"/>
    <w:pPr>
      <w:spacing w:line="240" w:lineRule="atLeast"/>
      <w:ind w:left="420" w:firstLine="420"/>
    </w:pPr>
    <w:rPr>
      <w:kern w:val="0"/>
      <w:sz w:val="20"/>
      <w:szCs w:val="21"/>
    </w:rPr>
  </w:style>
  <w:style w:type="character" w:customStyle="1" w:styleId="262">
    <w:name w:val="正文文本首行缩进 字符"/>
    <w:semiHidden/>
    <w:qFormat/>
    <w:uiPriority w:val="99"/>
  </w:style>
  <w:style w:type="character" w:customStyle="1" w:styleId="263">
    <w:name w:val="引用 字符2"/>
    <w:link w:val="264"/>
    <w:qFormat/>
    <w:uiPriority w:val="0"/>
    <w:rPr>
      <w:i/>
      <w:iCs/>
      <w:color w:val="000000"/>
    </w:rPr>
  </w:style>
  <w:style w:type="paragraph" w:styleId="264">
    <w:name w:val="Quote"/>
    <w:basedOn w:val="1"/>
    <w:next w:val="1"/>
    <w:link w:val="263"/>
    <w:qFormat/>
    <w:uiPriority w:val="0"/>
    <w:rPr>
      <w:i/>
      <w:iCs/>
      <w:color w:val="000000"/>
      <w:kern w:val="0"/>
      <w:sz w:val="20"/>
      <w:szCs w:val="20"/>
    </w:rPr>
  </w:style>
  <w:style w:type="character" w:customStyle="1" w:styleId="265">
    <w:name w:val="明显引用 Char2"/>
    <w:qFormat/>
    <w:uiPriority w:val="30"/>
    <w:rPr>
      <w:b/>
      <w:bCs/>
      <w:i/>
      <w:iCs/>
      <w:color w:val="4F81BD"/>
      <w:kern w:val="2"/>
      <w:sz w:val="21"/>
      <w:szCs w:val="22"/>
    </w:rPr>
  </w:style>
  <w:style w:type="character" w:customStyle="1" w:styleId="266">
    <w:name w:val="标题 8 字符1"/>
    <w:qFormat/>
    <w:uiPriority w:val="0"/>
    <w:rPr>
      <w:rFonts w:ascii="Arial" w:hAnsi="Arial" w:eastAsia="黑体" w:cs="Times New Roman"/>
      <w:kern w:val="0"/>
      <w:sz w:val="24"/>
      <w:szCs w:val="24"/>
    </w:rPr>
  </w:style>
  <w:style w:type="character" w:customStyle="1" w:styleId="267">
    <w:name w:val="标题 2 字符1"/>
    <w:qFormat/>
    <w:uiPriority w:val="0"/>
    <w:rPr>
      <w:rFonts w:ascii="Arial" w:hAnsi="Arial" w:eastAsia="黑体" w:cs="Times New Roman"/>
      <w:b/>
      <w:bCs/>
      <w:sz w:val="32"/>
      <w:szCs w:val="32"/>
    </w:rPr>
  </w:style>
  <w:style w:type="character" w:customStyle="1" w:styleId="268">
    <w:name w:val="Char Char181"/>
    <w:qFormat/>
    <w:uiPriority w:val="0"/>
    <w:rPr>
      <w:rFonts w:eastAsia="宋体"/>
      <w:b/>
      <w:spacing w:val="20"/>
      <w:kern w:val="44"/>
      <w:sz w:val="32"/>
      <w:lang w:val="en-US" w:eastAsia="zh-CN" w:bidi="ar-SA"/>
    </w:rPr>
  </w:style>
  <w:style w:type="character" w:customStyle="1" w:styleId="269">
    <w:name w:val="Char Char161"/>
    <w:qFormat/>
    <w:uiPriority w:val="0"/>
    <w:rPr>
      <w:rFonts w:ascii="Calibri" w:hAnsi="Calibri" w:eastAsia="宋体"/>
      <w:b/>
      <w:bCs/>
      <w:kern w:val="2"/>
      <w:sz w:val="32"/>
      <w:szCs w:val="32"/>
      <w:lang w:val="en-US" w:eastAsia="zh-CN" w:bidi="ar-SA"/>
    </w:rPr>
  </w:style>
  <w:style w:type="character" w:customStyle="1" w:styleId="270">
    <w:name w:val="正文首行缩进 2 Char1"/>
    <w:qFormat/>
    <w:uiPriority w:val="0"/>
  </w:style>
  <w:style w:type="character" w:customStyle="1" w:styleId="271">
    <w:name w:val="标题 字符"/>
    <w:qFormat/>
    <w:uiPriority w:val="10"/>
    <w:rPr>
      <w:rFonts w:ascii="等线 Light" w:hAnsi="等线 Light" w:eastAsia="等线 Light" w:cs="Times New Roman"/>
      <w:b/>
      <w:bCs/>
      <w:sz w:val="32"/>
      <w:szCs w:val="32"/>
    </w:rPr>
  </w:style>
  <w:style w:type="character" w:customStyle="1" w:styleId="272">
    <w:name w:val="批注主题 字符"/>
    <w:semiHidden/>
    <w:qFormat/>
    <w:uiPriority w:val="99"/>
    <w:rPr>
      <w:rFonts w:ascii="Times New Roman" w:hAnsi="Times New Roman" w:eastAsia="宋体" w:cs="Times New Roman"/>
      <w:b/>
      <w:bCs/>
      <w:szCs w:val="24"/>
    </w:rPr>
  </w:style>
  <w:style w:type="character" w:customStyle="1" w:styleId="273">
    <w:name w:val="脚注文本 字符"/>
    <w:semiHidden/>
    <w:qFormat/>
    <w:uiPriority w:val="99"/>
    <w:rPr>
      <w:rFonts w:ascii="Times New Roman" w:hAnsi="Times New Roman" w:eastAsia="宋体" w:cs="Times New Roman"/>
      <w:sz w:val="18"/>
      <w:szCs w:val="18"/>
    </w:rPr>
  </w:style>
  <w:style w:type="character" w:customStyle="1" w:styleId="274">
    <w:name w:val="正文文字4 Char Char"/>
    <w:qFormat/>
    <w:uiPriority w:val="0"/>
    <w:rPr>
      <w:rFonts w:eastAsia="宋体"/>
      <w:kern w:val="2"/>
      <w:sz w:val="21"/>
      <w:lang w:val="en-US" w:eastAsia="zh-CN" w:bidi="ar-SA"/>
    </w:rPr>
  </w:style>
  <w:style w:type="character" w:customStyle="1" w:styleId="275">
    <w:name w:val="Char Char141"/>
    <w:qFormat/>
    <w:uiPriority w:val="0"/>
    <w:rPr>
      <w:rFonts w:eastAsia="宋体"/>
      <w:b/>
      <w:bCs/>
      <w:kern w:val="2"/>
      <w:sz w:val="32"/>
      <w:szCs w:val="32"/>
      <w:lang w:val="en-US" w:eastAsia="zh-CN" w:bidi="ar-SA"/>
    </w:rPr>
  </w:style>
  <w:style w:type="character" w:customStyle="1" w:styleId="276">
    <w:name w:val="HTML 预设格式 Char1"/>
    <w:qFormat/>
    <w:uiPriority w:val="99"/>
    <w:rPr>
      <w:rFonts w:ascii="Courier New" w:hAnsi="Courier New" w:cs="Courier New"/>
      <w:kern w:val="2"/>
    </w:rPr>
  </w:style>
  <w:style w:type="character" w:customStyle="1" w:styleId="277">
    <w:name w:val="普通文字 Char2"/>
    <w:qFormat/>
    <w:locked/>
    <w:uiPriority w:val="0"/>
    <w:rPr>
      <w:rFonts w:ascii="宋体" w:hAnsi="Courier New" w:cs="Courier New"/>
      <w:kern w:val="2"/>
      <w:sz w:val="21"/>
      <w:szCs w:val="21"/>
    </w:rPr>
  </w:style>
  <w:style w:type="character" w:customStyle="1" w:styleId="278">
    <w:name w:val="文档结构图 字符1"/>
    <w:qFormat/>
    <w:uiPriority w:val="0"/>
    <w:rPr>
      <w:szCs w:val="24"/>
      <w:shd w:val="clear" w:color="auto" w:fill="000080"/>
    </w:rPr>
  </w:style>
  <w:style w:type="character" w:customStyle="1" w:styleId="279">
    <w:name w:val="Char Char8"/>
    <w:qFormat/>
    <w:uiPriority w:val="0"/>
    <w:rPr>
      <w:rFonts w:ascii="Arial" w:hAnsi="Arial" w:eastAsia="黑体"/>
      <w:b/>
      <w:bCs/>
      <w:kern w:val="2"/>
      <w:sz w:val="32"/>
      <w:szCs w:val="32"/>
      <w:lang w:val="en-US" w:eastAsia="zh-CN" w:bidi="ar-SA"/>
    </w:rPr>
  </w:style>
  <w:style w:type="character" w:customStyle="1" w:styleId="280">
    <w:name w:val="javascript"/>
    <w:qFormat/>
    <w:uiPriority w:val="0"/>
  </w:style>
  <w:style w:type="character" w:customStyle="1" w:styleId="281">
    <w:name w:val="Char Char17"/>
    <w:qFormat/>
    <w:uiPriority w:val="0"/>
    <w:rPr>
      <w:rFonts w:ascii="Cambria" w:hAnsi="Cambria" w:eastAsia="宋体"/>
      <w:b/>
      <w:bCs/>
      <w:kern w:val="2"/>
      <w:sz w:val="32"/>
      <w:szCs w:val="32"/>
      <w:lang w:val="en-US" w:eastAsia="zh-CN" w:bidi="ar-SA"/>
    </w:rPr>
  </w:style>
  <w:style w:type="character" w:customStyle="1" w:styleId="282">
    <w:name w:val="正文文本缩进 2 Char1"/>
    <w:semiHidden/>
    <w:qFormat/>
    <w:uiPriority w:val="99"/>
    <w:rPr>
      <w:kern w:val="2"/>
      <w:sz w:val="21"/>
      <w:szCs w:val="22"/>
    </w:rPr>
  </w:style>
  <w:style w:type="character" w:customStyle="1" w:styleId="283">
    <w:name w:val="Char Char4"/>
    <w:qFormat/>
    <w:uiPriority w:val="0"/>
    <w:rPr>
      <w:lang w:bidi="ar-SA"/>
    </w:rPr>
  </w:style>
  <w:style w:type="character" w:customStyle="1" w:styleId="284">
    <w:name w:val="HTML 预设格式 字符1"/>
    <w:qFormat/>
    <w:uiPriority w:val="0"/>
    <w:rPr>
      <w:rFonts w:ascii="宋体" w:hAnsi="宋体" w:cs="宋体"/>
      <w:sz w:val="24"/>
      <w:szCs w:val="24"/>
    </w:rPr>
  </w:style>
  <w:style w:type="character" w:customStyle="1" w:styleId="285">
    <w:name w:val="Char Char31"/>
    <w:qFormat/>
    <w:uiPriority w:val="0"/>
    <w:rPr>
      <w:kern w:val="2"/>
      <w:sz w:val="18"/>
      <w:szCs w:val="18"/>
      <w:lang w:bidi="ar-SA"/>
    </w:rPr>
  </w:style>
  <w:style w:type="character" w:customStyle="1" w:styleId="286">
    <w:name w:val="标题 Char2"/>
    <w:qFormat/>
    <w:uiPriority w:val="10"/>
    <w:rPr>
      <w:rFonts w:ascii="Cambria" w:hAnsi="Cambria" w:cs="Times New Roman"/>
      <w:b/>
      <w:bCs/>
      <w:kern w:val="2"/>
      <w:sz w:val="32"/>
      <w:szCs w:val="32"/>
    </w:rPr>
  </w:style>
  <w:style w:type="character" w:customStyle="1" w:styleId="287">
    <w:name w:val="标题 5 字符"/>
    <w:semiHidden/>
    <w:qFormat/>
    <w:uiPriority w:val="9"/>
    <w:rPr>
      <w:rFonts w:ascii="Times New Roman" w:hAnsi="Times New Roman" w:eastAsia="宋体" w:cs="Times New Roman"/>
      <w:b/>
      <w:bCs/>
      <w:sz w:val="28"/>
      <w:szCs w:val="28"/>
    </w:rPr>
  </w:style>
  <w:style w:type="character" w:customStyle="1" w:styleId="288">
    <w:name w:val="09加粗加线 Char"/>
    <w:link w:val="289"/>
    <w:qFormat/>
    <w:uiPriority w:val="0"/>
    <w:rPr>
      <w:rFonts w:ascii="宋体" w:eastAsia="仿宋_GB2312"/>
      <w:b/>
      <w:sz w:val="28"/>
      <w:szCs w:val="21"/>
      <w:u w:val="thick"/>
    </w:rPr>
  </w:style>
  <w:style w:type="paragraph" w:customStyle="1" w:styleId="289">
    <w:name w:val="09加粗加线"/>
    <w:basedOn w:val="142"/>
    <w:link w:val="288"/>
    <w:qFormat/>
    <w:uiPriority w:val="0"/>
    <w:pPr>
      <w:ind w:firstLine="480"/>
      <w:jc w:val="left"/>
    </w:pPr>
    <w:rPr>
      <w:rFonts w:eastAsia="仿宋_GB2312"/>
      <w:b/>
      <w:szCs w:val="21"/>
      <w:u w:val="thick"/>
    </w:rPr>
  </w:style>
  <w:style w:type="character" w:customStyle="1" w:styleId="290">
    <w:name w:val="批注主题 Char2"/>
    <w:qFormat/>
    <w:uiPriority w:val="0"/>
    <w:rPr>
      <w:rFonts w:ascii="Arial" w:hAnsi="Arial"/>
      <w:b/>
      <w:bCs/>
      <w:szCs w:val="24"/>
    </w:rPr>
  </w:style>
  <w:style w:type="character" w:customStyle="1" w:styleId="291">
    <w:name w:val="11加线 Char"/>
    <w:link w:val="292"/>
    <w:qFormat/>
    <w:uiPriority w:val="0"/>
    <w:rPr>
      <w:rFonts w:ascii="宋体" w:eastAsia="仿宋_GB2312"/>
      <w:kern w:val="2"/>
      <w:sz w:val="28"/>
      <w:szCs w:val="21"/>
      <w:u w:val="thick"/>
      <w:lang w:val="en-US" w:eastAsia="zh-CN" w:bidi="ar-SA"/>
    </w:rPr>
  </w:style>
  <w:style w:type="paragraph" w:customStyle="1" w:styleId="292">
    <w:name w:val="11加线"/>
    <w:next w:val="142"/>
    <w:link w:val="291"/>
    <w:qFormat/>
    <w:uiPriority w:val="0"/>
    <w:pPr>
      <w:spacing w:line="560" w:lineRule="exact"/>
      <w:ind w:firstLine="200" w:firstLineChars="200"/>
    </w:pPr>
    <w:rPr>
      <w:rFonts w:ascii="宋体" w:hAnsi="Times New Roman" w:eastAsia="仿宋_GB2312" w:cs="Times New Roman"/>
      <w:kern w:val="2"/>
      <w:sz w:val="28"/>
      <w:szCs w:val="21"/>
      <w:u w:val="thick"/>
      <w:lang w:val="en-US" w:eastAsia="zh-CN" w:bidi="ar-SA"/>
    </w:rPr>
  </w:style>
  <w:style w:type="character" w:customStyle="1" w:styleId="293">
    <w:name w:val="p121"/>
    <w:qFormat/>
    <w:uiPriority w:val="0"/>
    <w:rPr>
      <w:rFonts w:hint="default"/>
      <w:sz w:val="24"/>
      <w:u w:val="none"/>
    </w:rPr>
  </w:style>
  <w:style w:type="character" w:customStyle="1" w:styleId="294">
    <w:name w:val="明显强调11"/>
    <w:qFormat/>
    <w:uiPriority w:val="0"/>
    <w:rPr>
      <w:b/>
      <w:bCs/>
      <w:i/>
      <w:iCs/>
      <w:color w:val="4F81BD"/>
    </w:rPr>
  </w:style>
  <w:style w:type="character" w:customStyle="1" w:styleId="295">
    <w:name w:val="正文缩进 字符"/>
    <w:qFormat/>
    <w:uiPriority w:val="0"/>
    <w:rPr>
      <w:rFonts w:eastAsia="宋体"/>
      <w:szCs w:val="24"/>
    </w:rPr>
  </w:style>
  <w:style w:type="character" w:customStyle="1" w:styleId="296">
    <w:name w:val="引用 Char2"/>
    <w:qFormat/>
    <w:uiPriority w:val="29"/>
    <w:rPr>
      <w:i/>
      <w:iCs/>
      <w:color w:val="000000"/>
      <w:kern w:val="2"/>
      <w:sz w:val="21"/>
      <w:szCs w:val="24"/>
    </w:rPr>
  </w:style>
  <w:style w:type="character" w:customStyle="1" w:styleId="297">
    <w:name w:val="标题 6 字符1"/>
    <w:qFormat/>
    <w:uiPriority w:val="0"/>
    <w:rPr>
      <w:rFonts w:ascii="Arial" w:hAnsi="Arial" w:eastAsia="黑体" w:cs="Times New Roman"/>
      <w:b/>
      <w:bCs/>
      <w:kern w:val="0"/>
      <w:sz w:val="24"/>
      <w:szCs w:val="24"/>
    </w:rPr>
  </w:style>
  <w:style w:type="character" w:customStyle="1" w:styleId="298">
    <w:name w:val="正文文本首行缩进 2 字符"/>
    <w:semiHidden/>
    <w:qFormat/>
    <w:uiPriority w:val="99"/>
  </w:style>
  <w:style w:type="character" w:customStyle="1" w:styleId="299">
    <w:name w:val="副标题 字符1"/>
    <w:qFormat/>
    <w:uiPriority w:val="0"/>
    <w:rPr>
      <w:rFonts w:ascii="Cambria" w:hAnsi="Cambria"/>
      <w:b/>
      <w:bCs/>
      <w:kern w:val="28"/>
      <w:sz w:val="32"/>
      <w:szCs w:val="32"/>
    </w:rPr>
  </w:style>
  <w:style w:type="character" w:customStyle="1" w:styleId="300">
    <w:name w:val="脚注文本 Char1"/>
    <w:semiHidden/>
    <w:qFormat/>
    <w:uiPriority w:val="99"/>
    <w:rPr>
      <w:kern w:val="2"/>
      <w:sz w:val="18"/>
      <w:szCs w:val="18"/>
    </w:rPr>
  </w:style>
  <w:style w:type="character" w:customStyle="1" w:styleId="301">
    <w:name w:val="批注框文本 Char1"/>
    <w:qFormat/>
    <w:uiPriority w:val="0"/>
    <w:rPr>
      <w:kern w:val="2"/>
      <w:sz w:val="18"/>
      <w:szCs w:val="18"/>
    </w:rPr>
  </w:style>
  <w:style w:type="character" w:customStyle="1" w:styleId="302">
    <w:name w:val="标题 2XW Char2"/>
    <w:qFormat/>
    <w:uiPriority w:val="0"/>
    <w:rPr>
      <w:rFonts w:ascii="Arial" w:hAnsi="Arial" w:eastAsia="黑体"/>
      <w:b/>
      <w:bCs/>
      <w:sz w:val="32"/>
      <w:szCs w:val="32"/>
      <w:lang w:val="en-US" w:eastAsia="zh-CN" w:bidi="ar-SA"/>
    </w:rPr>
  </w:style>
  <w:style w:type="character" w:customStyle="1" w:styleId="303">
    <w:name w:val="正文文本缩进 字符1"/>
    <w:qFormat/>
    <w:uiPriority w:val="0"/>
    <w:rPr>
      <w:szCs w:val="24"/>
    </w:rPr>
  </w:style>
  <w:style w:type="character" w:customStyle="1" w:styleId="304">
    <w:name w:val="正文文本 字符1"/>
    <w:qFormat/>
    <w:uiPriority w:val="0"/>
    <w:rPr>
      <w:rFonts w:eastAsia="宋体"/>
      <w:szCs w:val="24"/>
    </w:rPr>
  </w:style>
  <w:style w:type="character" w:customStyle="1" w:styleId="305">
    <w:name w:val="正文文本首行缩进 字符1"/>
    <w:semiHidden/>
    <w:qFormat/>
    <w:uiPriority w:val="0"/>
    <w:rPr>
      <w:szCs w:val="24"/>
    </w:rPr>
  </w:style>
  <w:style w:type="character" w:customStyle="1" w:styleId="306">
    <w:name w:val="more2"/>
    <w:qFormat/>
    <w:uiPriority w:val="0"/>
  </w:style>
  <w:style w:type="paragraph" w:customStyle="1" w:styleId="307">
    <w:name w:val="正文1"/>
    <w:qFormat/>
    <w:uiPriority w:val="0"/>
    <w:pPr>
      <w:widowControl w:val="0"/>
      <w:adjustRightInd w:val="0"/>
      <w:snapToGrid w:val="0"/>
      <w:spacing w:afterLines="50" w:line="300" w:lineRule="auto"/>
      <w:ind w:firstLine="200" w:firstLineChars="200"/>
      <w:jc w:val="both"/>
    </w:pPr>
    <w:rPr>
      <w:rFonts w:ascii="宋体" w:hAnsi="Times New Roman" w:eastAsia="宋体" w:cs="Times New Roman"/>
      <w:spacing w:val="10"/>
      <w:sz w:val="24"/>
      <w:szCs w:val="22"/>
      <w:lang w:val="en-US" w:eastAsia="zh-CN" w:bidi="ar-SA"/>
    </w:rPr>
  </w:style>
  <w:style w:type="paragraph" w:customStyle="1" w:styleId="308">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b/>
      <w:bCs/>
      <w:kern w:val="0"/>
      <w:sz w:val="22"/>
      <w:szCs w:val="22"/>
    </w:rPr>
  </w:style>
  <w:style w:type="paragraph" w:customStyle="1" w:styleId="309">
    <w:name w:val="_Style 256"/>
    <w:next w:val="1"/>
    <w:qFormat/>
    <w:uiPriority w:val="0"/>
    <w:pPr>
      <w:widowControl w:val="0"/>
      <w:jc w:val="both"/>
    </w:pPr>
    <w:rPr>
      <w:rFonts w:ascii="Calibri" w:hAnsi="Calibri" w:eastAsia="宋体" w:cs="Calibri"/>
      <w:kern w:val="2"/>
      <w:sz w:val="21"/>
      <w:szCs w:val="21"/>
      <w:lang w:val="en-US" w:eastAsia="zh-CN" w:bidi="ar-SA"/>
    </w:rPr>
  </w:style>
  <w:style w:type="paragraph" w:customStyle="1" w:styleId="310">
    <w:name w:val="自定样式2"/>
    <w:qFormat/>
    <w:uiPriority w:val="0"/>
    <w:pPr>
      <w:spacing w:line="480" w:lineRule="auto"/>
      <w:jc w:val="center"/>
    </w:pPr>
    <w:rPr>
      <w:rFonts w:ascii="宋体" w:hAnsi="宋体" w:eastAsia="宋体" w:cs="Times New Roman"/>
      <w:b/>
      <w:bCs/>
      <w:kern w:val="2"/>
      <w:sz w:val="28"/>
      <w:szCs w:val="24"/>
      <w:lang w:val="en-US" w:eastAsia="zh-CN" w:bidi="ar-SA"/>
    </w:rPr>
  </w:style>
  <w:style w:type="paragraph" w:customStyle="1" w:styleId="311">
    <w:name w:val="xl81"/>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kern w:val="0"/>
      <w:sz w:val="22"/>
      <w:szCs w:val="22"/>
    </w:rPr>
  </w:style>
  <w:style w:type="paragraph" w:customStyle="1" w:styleId="312">
    <w:name w:val="不缩进"/>
    <w:basedOn w:val="1"/>
    <w:qFormat/>
    <w:uiPriority w:val="0"/>
    <w:pPr>
      <w:spacing w:line="360" w:lineRule="auto"/>
      <w:jc w:val="center"/>
    </w:pPr>
    <w:rPr>
      <w:rFonts w:ascii="宋体" w:hAnsi="宋体"/>
      <w:szCs w:val="20"/>
    </w:rPr>
  </w:style>
  <w:style w:type="paragraph" w:customStyle="1" w:styleId="313">
    <w:name w:val="xl2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color w:val="FF00FF"/>
      <w:kern w:val="0"/>
      <w:sz w:val="20"/>
      <w:szCs w:val="20"/>
    </w:rPr>
  </w:style>
  <w:style w:type="paragraph" w:customStyle="1" w:styleId="314">
    <w:name w:val="Char Char Char1"/>
    <w:basedOn w:val="1"/>
    <w:qFormat/>
    <w:uiPriority w:val="0"/>
  </w:style>
  <w:style w:type="paragraph" w:customStyle="1" w:styleId="315">
    <w:name w:val="Char1"/>
    <w:basedOn w:val="1"/>
    <w:qFormat/>
    <w:uiPriority w:val="0"/>
    <w:pPr>
      <w:spacing w:line="360" w:lineRule="auto"/>
      <w:ind w:firstLine="200" w:firstLineChars="200"/>
    </w:pPr>
    <w:rPr>
      <w:rFonts w:ascii="宋体" w:hAnsi="宋体" w:cs="宋体"/>
      <w:sz w:val="24"/>
      <w:szCs w:val="28"/>
    </w:rPr>
  </w:style>
  <w:style w:type="paragraph" w:customStyle="1" w:styleId="316">
    <w:name w:val="xl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color w:val="0000FF"/>
      <w:kern w:val="0"/>
      <w:sz w:val="20"/>
      <w:szCs w:val="20"/>
    </w:rPr>
  </w:style>
  <w:style w:type="paragraph" w:customStyle="1" w:styleId="317">
    <w:name w:val="1"/>
    <w:basedOn w:val="1"/>
    <w:next w:val="1"/>
    <w:qFormat/>
    <w:uiPriority w:val="0"/>
  </w:style>
  <w:style w:type="paragraph" w:customStyle="1" w:styleId="318">
    <w:name w:val="xl59"/>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FF00FF"/>
      <w:kern w:val="0"/>
      <w:sz w:val="22"/>
      <w:szCs w:val="22"/>
    </w:rPr>
  </w:style>
  <w:style w:type="paragraph" w:customStyle="1" w:styleId="319">
    <w:name w:val="p12"/>
    <w:basedOn w:val="1"/>
    <w:qFormat/>
    <w:uiPriority w:val="0"/>
    <w:pPr>
      <w:widowControl/>
      <w:spacing w:before="100" w:beforeAutospacing="1" w:after="100" w:afterAutospacing="1"/>
      <w:jc w:val="left"/>
    </w:pPr>
    <w:rPr>
      <w:color w:val="000000"/>
      <w:kern w:val="0"/>
      <w:sz w:val="24"/>
      <w:szCs w:val="20"/>
    </w:rPr>
  </w:style>
  <w:style w:type="paragraph" w:customStyle="1" w:styleId="320">
    <w:name w:val="xl57"/>
    <w:basedOn w:val="1"/>
    <w:qFormat/>
    <w:uiPriority w:val="0"/>
    <w:pPr>
      <w:widowControl/>
      <w:pBdr>
        <w:bottom w:val="single" w:color="auto" w:sz="4" w:space="0"/>
        <w:right w:val="single" w:color="auto" w:sz="4" w:space="0"/>
      </w:pBdr>
      <w:spacing w:before="100" w:beforeAutospacing="1" w:after="100" w:afterAutospacing="1"/>
    </w:pPr>
    <w:rPr>
      <w:rFonts w:eastAsia="Arial Unicode MS"/>
      <w:color w:val="000000"/>
      <w:kern w:val="0"/>
      <w:sz w:val="22"/>
      <w:szCs w:val="22"/>
    </w:rPr>
  </w:style>
  <w:style w:type="paragraph" w:customStyle="1" w:styleId="321">
    <w:name w:val="xl63"/>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322">
    <w:name w:val="Char Char Char Char1 Char Char"/>
    <w:basedOn w:val="1"/>
    <w:qFormat/>
    <w:uiPriority w:val="0"/>
  </w:style>
  <w:style w:type="paragraph" w:customStyle="1" w:styleId="323">
    <w:name w:val="样式 样式 标题 2 + (西文) Arial Unicode MS (中文) 仿宋_GB2312 加粗 自动设置 + 段前: ..."/>
    <w:basedOn w:val="1"/>
    <w:qFormat/>
    <w:uiPriority w:val="0"/>
    <w:pPr>
      <w:autoSpaceDE w:val="0"/>
      <w:autoSpaceDN w:val="0"/>
      <w:adjustRightInd w:val="0"/>
      <w:spacing w:line="360" w:lineRule="auto"/>
      <w:ind w:left="272" w:hanging="272"/>
      <w:jc w:val="left"/>
      <w:outlineLvl w:val="1"/>
    </w:pPr>
    <w:rPr>
      <w:rFonts w:ascii="Arial Unicode MS" w:hAnsi="Arial Unicode MS" w:eastAsia="仿宋_GB2312" w:cs="宋体"/>
      <w:b/>
      <w:bCs/>
      <w:kern w:val="0"/>
      <w:sz w:val="32"/>
      <w:szCs w:val="20"/>
      <w:lang w:val="zh-CN"/>
    </w:rPr>
  </w:style>
  <w:style w:type="paragraph" w:customStyle="1" w:styleId="32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325">
    <w:name w:val="p14"/>
    <w:basedOn w:val="1"/>
    <w:qFormat/>
    <w:uiPriority w:val="0"/>
    <w:pPr>
      <w:widowControl/>
      <w:spacing w:line="480" w:lineRule="auto"/>
      <w:jc w:val="left"/>
    </w:pPr>
    <w:rPr>
      <w:rFonts w:ascii="宋体" w:hAnsi="宋体" w:cs="宋体"/>
      <w:kern w:val="0"/>
      <w:szCs w:val="21"/>
    </w:rPr>
  </w:style>
  <w:style w:type="paragraph" w:customStyle="1" w:styleId="326">
    <w:name w:val="xl1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szCs w:val="20"/>
    </w:rPr>
  </w:style>
  <w:style w:type="paragraph" w:customStyle="1" w:styleId="327">
    <w:name w:val="font19"/>
    <w:basedOn w:val="1"/>
    <w:qFormat/>
    <w:uiPriority w:val="0"/>
    <w:pPr>
      <w:widowControl/>
      <w:spacing w:before="100" w:beforeAutospacing="1" w:after="100" w:afterAutospacing="1"/>
      <w:jc w:val="left"/>
    </w:pPr>
    <w:rPr>
      <w:rFonts w:eastAsia="Arial Unicode MS"/>
      <w:color w:val="0000FF"/>
      <w:kern w:val="0"/>
      <w:sz w:val="22"/>
      <w:szCs w:val="22"/>
    </w:rPr>
  </w:style>
  <w:style w:type="paragraph" w:customStyle="1" w:styleId="328">
    <w:name w:val="c_"/>
    <w:qFormat/>
    <w:uiPriority w:val="0"/>
    <w:pPr>
      <w:widowControl w:val="0"/>
      <w:autoSpaceDE w:val="0"/>
      <w:autoSpaceDN w:val="0"/>
      <w:adjustRightInd w:val="0"/>
      <w:jc w:val="both"/>
    </w:pPr>
    <w:rPr>
      <w:rFonts w:ascii="五只小可爱" w:hAnsi="Times New Roman" w:eastAsia="五只小可爱" w:cs="Times New Roman"/>
      <w:sz w:val="24"/>
      <w:lang w:val="en-US" w:eastAsia="zh-CN" w:bidi="ar-SA"/>
    </w:rPr>
  </w:style>
  <w:style w:type="paragraph" w:customStyle="1" w:styleId="329">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30">
    <w:name w:val="xl67"/>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Arial Unicode MS"/>
      <w:kern w:val="0"/>
      <w:sz w:val="22"/>
      <w:szCs w:val="22"/>
    </w:rPr>
  </w:style>
  <w:style w:type="paragraph" w:customStyle="1" w:styleId="331">
    <w:name w:val="Biao00"/>
    <w:qFormat/>
    <w:uiPriority w:val="0"/>
    <w:pPr>
      <w:widowControl w:val="0"/>
      <w:spacing w:line="0" w:lineRule="atLeast"/>
      <w:jc w:val="center"/>
    </w:pPr>
    <w:rPr>
      <w:rFonts w:ascii="Arial" w:hAnsi="Arial" w:eastAsia="仿宋_GB2312" w:cs="Times New Roman"/>
      <w:bCs/>
      <w:w w:val="90"/>
      <w:kern w:val="18"/>
      <w:sz w:val="24"/>
      <w:szCs w:val="24"/>
      <w:lang w:val="en-US" w:eastAsia="zh-CN" w:bidi="ar-SA"/>
    </w:rPr>
  </w:style>
  <w:style w:type="paragraph" w:customStyle="1" w:styleId="332">
    <w:name w:val="xl69"/>
    <w:basedOn w:val="1"/>
    <w:qFormat/>
    <w:uiPriority w:val="0"/>
    <w:pPr>
      <w:widowControl/>
      <w:pBdr>
        <w:top w:val="single" w:color="auto" w:sz="4" w:space="0"/>
        <w:bottom w:val="single" w:color="auto" w:sz="4" w:space="0"/>
        <w:right w:val="single" w:color="auto" w:sz="4" w:space="0"/>
      </w:pBdr>
      <w:spacing w:before="100" w:beforeAutospacing="1" w:after="100" w:afterAutospacing="1"/>
      <w:textAlignment w:val="center"/>
    </w:pPr>
    <w:rPr>
      <w:rFonts w:ascii="Arial Unicode MS" w:hAnsi="Arial Unicode MS" w:eastAsia="Arial Unicode MS" w:cs="Arial Unicode MS"/>
      <w:kern w:val="0"/>
      <w:sz w:val="22"/>
      <w:szCs w:val="22"/>
    </w:rPr>
  </w:style>
  <w:style w:type="paragraph" w:customStyle="1" w:styleId="333">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33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35">
    <w:name w:val="样式 样式4 + 首行缩进:  2 字符"/>
    <w:basedOn w:val="1"/>
    <w:qFormat/>
    <w:uiPriority w:val="0"/>
    <w:pPr>
      <w:spacing w:beforeLines="50" w:line="360" w:lineRule="auto"/>
      <w:ind w:firstLine="200" w:firstLineChars="200"/>
      <w:outlineLvl w:val="3"/>
    </w:pPr>
    <w:rPr>
      <w:rFonts w:ascii="仿宋_GB2312" w:hAnsi="宋体" w:eastAsia="仿宋_GB2312" w:cs="宋体"/>
      <w:b/>
      <w:bCs/>
      <w:sz w:val="32"/>
      <w:szCs w:val="20"/>
    </w:rPr>
  </w:style>
  <w:style w:type="paragraph" w:customStyle="1" w:styleId="336">
    <w:name w:val="Char11"/>
    <w:basedOn w:val="1"/>
    <w:qFormat/>
    <w:uiPriority w:val="0"/>
    <w:pPr>
      <w:spacing w:line="360" w:lineRule="auto"/>
      <w:ind w:firstLine="200" w:firstLineChars="200"/>
    </w:pPr>
    <w:rPr>
      <w:rFonts w:ascii="宋体" w:hAnsi="宋体" w:cs="宋体"/>
      <w:sz w:val="24"/>
      <w:szCs w:val="28"/>
    </w:rPr>
  </w:style>
  <w:style w:type="paragraph" w:customStyle="1" w:styleId="337">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338">
    <w:name w:val="font18"/>
    <w:basedOn w:val="1"/>
    <w:qFormat/>
    <w:uiPriority w:val="0"/>
    <w:pPr>
      <w:widowControl/>
      <w:spacing w:before="100" w:beforeAutospacing="1" w:after="100" w:afterAutospacing="1"/>
      <w:jc w:val="left"/>
    </w:pPr>
    <w:rPr>
      <w:rFonts w:eastAsia="Arial Unicode MS"/>
      <w:color w:val="0000FF"/>
      <w:kern w:val="0"/>
      <w:sz w:val="22"/>
      <w:szCs w:val="22"/>
    </w:rPr>
  </w:style>
  <w:style w:type="paragraph" w:customStyle="1" w:styleId="339">
    <w:name w:val="Char6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40">
    <w:name w:val="xl53"/>
    <w:basedOn w:val="1"/>
    <w:qFormat/>
    <w:uiPriority w:val="0"/>
    <w:pPr>
      <w:widowControl/>
      <w:pBdr>
        <w:bottom w:val="single" w:color="auto" w:sz="4" w:space="0"/>
        <w:right w:val="single" w:color="auto" w:sz="4" w:space="0"/>
      </w:pBdr>
      <w:spacing w:before="100" w:beforeAutospacing="1" w:after="100" w:afterAutospacing="1"/>
    </w:pPr>
    <w:rPr>
      <w:rFonts w:eastAsia="Arial Unicode MS"/>
      <w:color w:val="0000FF"/>
      <w:kern w:val="0"/>
      <w:sz w:val="22"/>
      <w:szCs w:val="22"/>
    </w:rPr>
  </w:style>
  <w:style w:type="paragraph" w:customStyle="1" w:styleId="341">
    <w:name w:val="Char1 Char Char Char1"/>
    <w:basedOn w:val="1"/>
    <w:qFormat/>
    <w:uiPriority w:val="0"/>
    <w:pPr>
      <w:widowControl/>
      <w:spacing w:before="100" w:beforeAutospacing="1" w:after="100" w:afterAutospacing="1" w:line="330" w:lineRule="atLeast"/>
      <w:ind w:left="360"/>
      <w:jc w:val="left"/>
    </w:pPr>
    <w:rPr>
      <w:rFonts w:ascii="微软雅黑" w:hAnsi="微软雅黑" w:cs="宋体"/>
      <w:color w:val="51585D"/>
      <w:kern w:val="0"/>
      <w:szCs w:val="18"/>
    </w:rPr>
  </w:style>
  <w:style w:type="paragraph" w:customStyle="1" w:styleId="342">
    <w:name w:val="修订1"/>
    <w:qFormat/>
    <w:uiPriority w:val="0"/>
    <w:rPr>
      <w:rFonts w:ascii="Times New Roman" w:hAnsi="Times New Roman" w:eastAsia="宋体" w:cs="Times New Roman"/>
      <w:kern w:val="2"/>
      <w:sz w:val="21"/>
      <w:szCs w:val="24"/>
      <w:lang w:val="en-US" w:eastAsia="zh-CN" w:bidi="ar-SA"/>
    </w:rPr>
  </w:style>
  <w:style w:type="paragraph" w:customStyle="1" w:styleId="343">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kern w:val="0"/>
      <w:sz w:val="22"/>
      <w:szCs w:val="22"/>
    </w:rPr>
  </w:style>
  <w:style w:type="paragraph" w:customStyle="1" w:styleId="344">
    <w:name w:val="xl41"/>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345">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0"/>
      <w:szCs w:val="20"/>
    </w:rPr>
  </w:style>
  <w:style w:type="paragraph" w:customStyle="1" w:styleId="346">
    <w:name w:val="2"/>
    <w:basedOn w:val="20"/>
    <w:next w:val="48"/>
    <w:qFormat/>
    <w:uiPriority w:val="0"/>
    <w:pPr>
      <w:ind w:firstLine="420" w:firstLineChars="100"/>
    </w:pPr>
  </w:style>
  <w:style w:type="paragraph" w:customStyle="1" w:styleId="347">
    <w:name w:val="_Style 5"/>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48">
    <w:name w:val="font5"/>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349">
    <w:name w:val="Char1 Char Char Char Char Char Char Char Char Char Char Char Char Char Char Char Char Char Char Char1"/>
    <w:basedOn w:val="1"/>
    <w:qFormat/>
    <w:uiPriority w:val="0"/>
    <w:pPr>
      <w:spacing w:line="360" w:lineRule="auto"/>
    </w:pPr>
    <w:rPr>
      <w:szCs w:val="20"/>
    </w:rPr>
  </w:style>
  <w:style w:type="paragraph" w:customStyle="1" w:styleId="350">
    <w:name w:val="默认段落字体 Para Char"/>
    <w:basedOn w:val="1"/>
    <w:qFormat/>
    <w:uiPriority w:val="0"/>
    <w:pPr>
      <w:snapToGrid w:val="0"/>
      <w:spacing w:line="360" w:lineRule="auto"/>
      <w:ind w:firstLine="200" w:firstLineChars="200"/>
    </w:pPr>
    <w:rPr>
      <w:rFonts w:eastAsia="仿宋_GB2312"/>
      <w:sz w:val="24"/>
    </w:rPr>
  </w:style>
  <w:style w:type="paragraph" w:customStyle="1" w:styleId="351">
    <w:name w:val="xl8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352">
    <w:name w:val="xl35"/>
    <w:basedOn w:val="1"/>
    <w:qFormat/>
    <w:uiPriority w:val="0"/>
    <w:pPr>
      <w:widowControl/>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353">
    <w:name w:val="xl8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354">
    <w:name w:val="_Style 352"/>
    <w:qFormat/>
    <w:uiPriority w:val="0"/>
    <w:rPr>
      <w:rFonts w:ascii="Times New Roman" w:hAnsi="Times New Roman" w:eastAsia="宋体" w:cs="Times New Roman"/>
      <w:kern w:val="2"/>
      <w:sz w:val="21"/>
      <w:szCs w:val="24"/>
      <w:lang w:val="en-US" w:eastAsia="zh-CN" w:bidi="ar-SA"/>
    </w:rPr>
  </w:style>
  <w:style w:type="paragraph" w:customStyle="1" w:styleId="355">
    <w:name w:val="普通文字"/>
    <w:basedOn w:val="1"/>
    <w:next w:val="1"/>
    <w:qFormat/>
    <w:uiPriority w:val="0"/>
    <w:pPr>
      <w:widowControl/>
    </w:pPr>
    <w:rPr>
      <w:rFonts w:ascii="宋体"/>
      <w:color w:val="000000"/>
      <w:szCs w:val="20"/>
    </w:rPr>
  </w:style>
  <w:style w:type="paragraph" w:customStyle="1" w:styleId="35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eastAsia="Arial Unicode MS"/>
      <w:kern w:val="0"/>
      <w:sz w:val="22"/>
      <w:szCs w:val="22"/>
    </w:rPr>
  </w:style>
  <w:style w:type="paragraph" w:customStyle="1" w:styleId="357">
    <w:name w:val="xl61"/>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358">
    <w:name w:val="xl50"/>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359">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60">
    <w:name w:val="大标题"/>
    <w:basedOn w:val="1"/>
    <w:qFormat/>
    <w:uiPriority w:val="0"/>
    <w:pPr>
      <w:autoSpaceDE w:val="0"/>
      <w:autoSpaceDN w:val="0"/>
      <w:adjustRightInd w:val="0"/>
      <w:spacing w:after="560"/>
      <w:jc w:val="center"/>
    </w:pPr>
    <w:rPr>
      <w:rFonts w:ascii="Arial Black" w:hAnsi="Arial Black"/>
      <w:b/>
      <w:kern w:val="0"/>
      <w:sz w:val="56"/>
      <w:szCs w:val="20"/>
    </w:rPr>
  </w:style>
  <w:style w:type="paragraph" w:customStyle="1" w:styleId="361">
    <w:name w:val="font10"/>
    <w:basedOn w:val="1"/>
    <w:qFormat/>
    <w:uiPriority w:val="0"/>
    <w:pPr>
      <w:widowControl/>
      <w:spacing w:before="100" w:beforeAutospacing="1" w:after="100" w:afterAutospacing="1"/>
      <w:jc w:val="left"/>
    </w:pPr>
    <w:rPr>
      <w:rFonts w:eastAsia="Arial Unicode MS"/>
      <w:b/>
      <w:bCs/>
      <w:kern w:val="0"/>
      <w:sz w:val="22"/>
      <w:szCs w:val="22"/>
    </w:rPr>
  </w:style>
  <w:style w:type="paragraph" w:customStyle="1" w:styleId="362">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363">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kern w:val="0"/>
      <w:sz w:val="22"/>
      <w:szCs w:val="22"/>
    </w:rPr>
  </w:style>
  <w:style w:type="paragraph" w:customStyle="1" w:styleId="364">
    <w:name w:val="font20"/>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365">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66">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367">
    <w:name w:val="Char Char Char Char Char Char Char Char Char Char Char Char Char Char Char Char Char Char1"/>
    <w:basedOn w:val="1"/>
    <w:qFormat/>
    <w:uiPriority w:val="0"/>
    <w:rPr>
      <w:sz w:val="24"/>
    </w:rPr>
  </w:style>
  <w:style w:type="paragraph" w:customStyle="1" w:styleId="368">
    <w:name w:val="font22"/>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369">
    <w:name w:val="xl8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370">
    <w:name w:val="xl9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0"/>
      <w:szCs w:val="20"/>
    </w:rPr>
  </w:style>
  <w:style w:type="paragraph" w:customStyle="1" w:styleId="371">
    <w:name w:val="Char"/>
    <w:basedOn w:val="1"/>
    <w:qFormat/>
    <w:uiPriority w:val="0"/>
    <w:pPr>
      <w:spacing w:line="240" w:lineRule="atLeast"/>
      <w:ind w:left="420" w:firstLine="420"/>
    </w:pPr>
    <w:rPr>
      <w:kern w:val="0"/>
      <w:szCs w:val="21"/>
    </w:rPr>
  </w:style>
  <w:style w:type="paragraph" w:customStyle="1" w:styleId="372">
    <w:name w:val="font16"/>
    <w:basedOn w:val="1"/>
    <w:qFormat/>
    <w:uiPriority w:val="0"/>
    <w:pPr>
      <w:widowControl/>
      <w:spacing w:before="100" w:beforeAutospacing="1" w:after="100" w:afterAutospacing="1"/>
      <w:jc w:val="left"/>
    </w:pPr>
    <w:rPr>
      <w:rFonts w:eastAsia="Arial Unicode MS"/>
      <w:color w:val="000000"/>
      <w:kern w:val="0"/>
      <w:sz w:val="22"/>
      <w:szCs w:val="22"/>
    </w:rPr>
  </w:style>
  <w:style w:type="paragraph" w:customStyle="1" w:styleId="373">
    <w:name w:val="注释"/>
    <w:basedOn w:val="21"/>
    <w:qFormat/>
    <w:uiPriority w:val="0"/>
    <w:pPr>
      <w:spacing w:beforeLines="100" w:afterLines="100"/>
      <w:ind w:left="0" w:leftChars="0"/>
      <w:jc w:val="center"/>
    </w:pPr>
    <w:rPr>
      <w:rFonts w:ascii="仿宋_GB2312" w:eastAsia="仿宋_GB2312"/>
      <w:sz w:val="36"/>
    </w:rPr>
  </w:style>
  <w:style w:type="paragraph" w:customStyle="1" w:styleId="374">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375">
    <w:name w:val="Char Char Char Char1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76">
    <w:name w:val="xl49"/>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377">
    <w:name w:val="合同标题"/>
    <w:basedOn w:val="378"/>
    <w:qFormat/>
    <w:uiPriority w:val="0"/>
    <w:pPr>
      <w:tabs>
        <w:tab w:val="left" w:pos="2244"/>
        <w:tab w:val="center" w:pos="4720"/>
      </w:tabs>
      <w:spacing w:line="360" w:lineRule="auto"/>
      <w:jc w:val="both"/>
    </w:pPr>
    <w:rPr>
      <w:rFonts w:hAnsi="Times New Roman" w:cs="宋体"/>
      <w:bCs w:val="0"/>
      <w:color w:val="auto"/>
    </w:rPr>
  </w:style>
  <w:style w:type="paragraph" w:customStyle="1" w:styleId="378">
    <w:name w:val="合同标题2"/>
    <w:basedOn w:val="4"/>
    <w:qFormat/>
    <w:uiPriority w:val="0"/>
    <w:pPr>
      <w:tabs>
        <w:tab w:val="left" w:pos="2244"/>
        <w:tab w:val="center" w:pos="4720"/>
      </w:tabs>
      <w:spacing w:before="0" w:after="0" w:line="540" w:lineRule="exact"/>
      <w:ind w:firstLine="200"/>
      <w:jc w:val="center"/>
    </w:pPr>
    <w:rPr>
      <w:rFonts w:ascii="仿宋_GB2312" w:hAnsi="华文楷体" w:eastAsia="仿宋_GB2312"/>
      <w:color w:val="000000"/>
      <w:szCs w:val="24"/>
    </w:rPr>
  </w:style>
  <w:style w:type="paragraph" w:customStyle="1" w:styleId="379">
    <w:name w:val="font17"/>
    <w:basedOn w:val="1"/>
    <w:qFormat/>
    <w:uiPriority w:val="0"/>
    <w:pPr>
      <w:widowControl/>
      <w:spacing w:before="100" w:beforeAutospacing="1" w:after="100" w:afterAutospacing="1"/>
      <w:jc w:val="left"/>
    </w:pPr>
    <w:rPr>
      <w:rFonts w:hint="eastAsia" w:ascii="宋体" w:hAnsi="宋体" w:cs="Arial Unicode MS"/>
      <w:color w:val="0000FF"/>
      <w:kern w:val="0"/>
      <w:sz w:val="22"/>
      <w:szCs w:val="22"/>
    </w:rPr>
  </w:style>
  <w:style w:type="paragraph" w:customStyle="1" w:styleId="380">
    <w:name w:val="标题1"/>
    <w:basedOn w:val="1"/>
    <w:qFormat/>
    <w:uiPriority w:val="0"/>
    <w:pPr>
      <w:adjustRightInd w:val="0"/>
      <w:spacing w:before="530" w:line="530" w:lineRule="exact"/>
      <w:jc w:val="center"/>
      <w:textAlignment w:val="center"/>
    </w:pPr>
    <w:rPr>
      <w:kern w:val="0"/>
      <w:sz w:val="40"/>
      <w:szCs w:val="20"/>
    </w:rPr>
  </w:style>
  <w:style w:type="paragraph" w:customStyle="1" w:styleId="381">
    <w:name w:val="Char1 Char Char Char2"/>
    <w:basedOn w:val="1"/>
    <w:qFormat/>
    <w:uiPriority w:val="0"/>
    <w:pPr>
      <w:widowControl/>
      <w:spacing w:before="100" w:beforeAutospacing="1" w:after="100" w:afterAutospacing="1" w:line="330" w:lineRule="atLeast"/>
      <w:ind w:left="360"/>
      <w:jc w:val="left"/>
    </w:pPr>
    <w:rPr>
      <w:rFonts w:ascii="微软雅黑" w:hAnsi="微软雅黑" w:cs="宋体"/>
      <w:color w:val="51585D"/>
      <w:kern w:val="0"/>
      <w:szCs w:val="18"/>
    </w:rPr>
  </w:style>
  <w:style w:type="paragraph" w:customStyle="1" w:styleId="382">
    <w:name w:val="font9"/>
    <w:basedOn w:val="1"/>
    <w:qFormat/>
    <w:uiPriority w:val="0"/>
    <w:pPr>
      <w:widowControl/>
      <w:spacing w:before="100" w:beforeAutospacing="1" w:after="100" w:afterAutospacing="1"/>
      <w:jc w:val="left"/>
    </w:pPr>
    <w:rPr>
      <w:rFonts w:hint="eastAsia" w:ascii="宋体" w:hAnsi="宋体" w:cs="Arial Unicode MS"/>
      <w:b/>
      <w:bCs/>
      <w:kern w:val="0"/>
      <w:sz w:val="22"/>
      <w:szCs w:val="22"/>
    </w:rPr>
  </w:style>
  <w:style w:type="paragraph" w:customStyle="1" w:styleId="383">
    <w:name w:val="Normal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84">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385">
    <w:name w:val="Char Char Char Char Char Char Char Char Char Char11"/>
    <w:basedOn w:val="1"/>
    <w:qFormat/>
    <w:uiPriority w:val="0"/>
    <w:pPr>
      <w:tabs>
        <w:tab w:val="left" w:pos="425"/>
      </w:tabs>
      <w:ind w:left="425" w:hanging="425"/>
    </w:pPr>
    <w:rPr>
      <w:rFonts w:ascii="Arial" w:hAnsi="Arial" w:eastAsia="黑体" w:cs="宋体"/>
      <w:b/>
      <w:bCs/>
      <w:sz w:val="32"/>
      <w:szCs w:val="32"/>
    </w:rPr>
  </w:style>
  <w:style w:type="paragraph" w:customStyle="1" w:styleId="386">
    <w:name w:val="xl10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2"/>
      <w:szCs w:val="22"/>
    </w:rPr>
  </w:style>
  <w:style w:type="paragraph" w:customStyle="1" w:styleId="387">
    <w:name w:val="xl3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2"/>
      <w:szCs w:val="22"/>
    </w:rPr>
  </w:style>
  <w:style w:type="paragraph" w:customStyle="1" w:styleId="388">
    <w:name w:val="xl2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0"/>
      <w:szCs w:val="20"/>
    </w:rPr>
  </w:style>
  <w:style w:type="paragraph" w:customStyle="1" w:styleId="389">
    <w:name w:val="font7"/>
    <w:basedOn w:val="1"/>
    <w:qFormat/>
    <w:uiPriority w:val="0"/>
    <w:pPr>
      <w:widowControl/>
      <w:spacing w:before="100" w:beforeAutospacing="1" w:after="100" w:afterAutospacing="1"/>
      <w:jc w:val="left"/>
    </w:pPr>
    <w:rPr>
      <w:rFonts w:hint="eastAsia" w:ascii="宋体" w:hAnsi="宋体" w:cs="Arial Unicode MS"/>
      <w:b/>
      <w:bCs/>
      <w:kern w:val="0"/>
      <w:sz w:val="20"/>
      <w:szCs w:val="20"/>
    </w:rPr>
  </w:style>
  <w:style w:type="paragraph" w:customStyle="1" w:styleId="390">
    <w:name w:val="font23"/>
    <w:basedOn w:val="1"/>
    <w:qFormat/>
    <w:uiPriority w:val="0"/>
    <w:pPr>
      <w:widowControl/>
      <w:spacing w:before="100" w:beforeAutospacing="1" w:after="100" w:afterAutospacing="1"/>
      <w:jc w:val="left"/>
    </w:pPr>
    <w:rPr>
      <w:rFonts w:hint="eastAsia" w:ascii="宋体" w:hAnsi="宋体" w:cs="Arial Unicode MS"/>
      <w:color w:val="FF0000"/>
      <w:kern w:val="0"/>
      <w:sz w:val="22"/>
      <w:szCs w:val="22"/>
    </w:rPr>
  </w:style>
  <w:style w:type="paragraph" w:customStyle="1" w:styleId="391">
    <w:name w:val="xl10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0"/>
      <w:szCs w:val="20"/>
    </w:rPr>
  </w:style>
  <w:style w:type="paragraph" w:customStyle="1" w:styleId="392">
    <w:name w:val="xl9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393">
    <w:name w:val="彩色列表 - 强调文字颜色 11"/>
    <w:basedOn w:val="1"/>
    <w:qFormat/>
    <w:uiPriority w:val="0"/>
    <w:pPr>
      <w:ind w:firstLine="420" w:firstLineChars="200"/>
    </w:pPr>
    <w:rPr>
      <w:rFonts w:ascii="Calibri" w:hAnsi="Calibri"/>
      <w:szCs w:val="22"/>
    </w:rPr>
  </w:style>
  <w:style w:type="paragraph" w:customStyle="1" w:styleId="394">
    <w:name w:val="Char Char Char Char Char Char Char Char Char Char Char Char Char Char Char Char Char Char"/>
    <w:basedOn w:val="1"/>
    <w:qFormat/>
    <w:uiPriority w:val="0"/>
    <w:rPr>
      <w:sz w:val="24"/>
    </w:rPr>
  </w:style>
  <w:style w:type="paragraph" w:customStyle="1" w:styleId="395">
    <w:name w:val="xl80"/>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396">
    <w:name w:val="xl55"/>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color w:val="0000FF"/>
      <w:kern w:val="0"/>
      <w:sz w:val="22"/>
      <w:szCs w:val="22"/>
    </w:rPr>
  </w:style>
  <w:style w:type="paragraph" w:customStyle="1" w:styleId="397">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398">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99">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400">
    <w:name w:val="font21"/>
    <w:basedOn w:val="1"/>
    <w:qFormat/>
    <w:uiPriority w:val="0"/>
    <w:pPr>
      <w:widowControl/>
      <w:spacing w:before="100" w:beforeAutospacing="1" w:after="100" w:afterAutospacing="1"/>
      <w:jc w:val="left"/>
    </w:pPr>
    <w:rPr>
      <w:rFonts w:eastAsia="Arial Unicode MS"/>
      <w:color w:val="FF0000"/>
      <w:kern w:val="0"/>
      <w:sz w:val="22"/>
      <w:szCs w:val="22"/>
    </w:rPr>
  </w:style>
  <w:style w:type="paragraph" w:customStyle="1" w:styleId="401">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eastAsia="Arial Unicode MS"/>
      <w:kern w:val="0"/>
      <w:sz w:val="22"/>
      <w:szCs w:val="22"/>
    </w:rPr>
  </w:style>
  <w:style w:type="paragraph" w:customStyle="1" w:styleId="402">
    <w:name w:val="xl48"/>
    <w:basedOn w:val="1"/>
    <w:qFormat/>
    <w:uiPriority w:val="0"/>
    <w:pPr>
      <w:widowControl/>
      <w:pBdr>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2"/>
      <w:szCs w:val="22"/>
    </w:rPr>
  </w:style>
  <w:style w:type="paragraph" w:customStyle="1" w:styleId="403">
    <w:name w:val="正文_4"/>
    <w:basedOn w:val="1"/>
    <w:qFormat/>
    <w:uiPriority w:val="0"/>
    <w:rPr>
      <w:rFonts w:ascii="Calibri" w:hAnsi="Calibri"/>
      <w:kern w:val="0"/>
      <w:sz w:val="24"/>
    </w:rPr>
  </w:style>
  <w:style w:type="paragraph" w:styleId="40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05">
    <w:name w:val="List Paragraph"/>
    <w:basedOn w:val="1"/>
    <w:qFormat/>
    <w:uiPriority w:val="34"/>
    <w:pPr>
      <w:ind w:firstLine="420" w:firstLineChars="200"/>
    </w:pPr>
  </w:style>
  <w:style w:type="paragraph" w:customStyle="1" w:styleId="406">
    <w:name w:val="明显引用1"/>
    <w:basedOn w:val="1"/>
    <w:next w:val="1"/>
    <w:qFormat/>
    <w:uiPriority w:val="0"/>
    <w:pPr>
      <w:pBdr>
        <w:bottom w:val="single" w:color="4F81BD" w:sz="4" w:space="4"/>
      </w:pBdr>
      <w:spacing w:before="200" w:after="280"/>
      <w:ind w:left="936" w:right="936"/>
    </w:pPr>
    <w:rPr>
      <w:rFonts w:ascii="Calibri" w:hAnsi="Calibri" w:eastAsia="微软雅黑"/>
      <w:b/>
      <w:bCs/>
      <w:i/>
      <w:iCs/>
      <w:color w:val="4F81BD"/>
      <w:kern w:val="0"/>
      <w:sz w:val="22"/>
      <w:szCs w:val="22"/>
    </w:rPr>
  </w:style>
  <w:style w:type="paragraph" w:customStyle="1" w:styleId="407">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8">
    <w:name w:val="xl6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409">
    <w:name w:val="xl39"/>
    <w:basedOn w:val="1"/>
    <w:qFormat/>
    <w:uiPriority w:val="0"/>
    <w:pPr>
      <w:widowControl/>
      <w:pBdr>
        <w:bottom w:val="single" w:color="auto" w:sz="4" w:space="0"/>
        <w:right w:val="single" w:color="auto" w:sz="4" w:space="0"/>
      </w:pBdr>
      <w:spacing w:before="100" w:beforeAutospacing="1" w:after="100" w:afterAutospacing="1"/>
    </w:pPr>
    <w:rPr>
      <w:rFonts w:eastAsia="Arial Unicode MS"/>
      <w:kern w:val="0"/>
      <w:sz w:val="22"/>
      <w:szCs w:val="22"/>
    </w:rPr>
  </w:style>
  <w:style w:type="paragraph" w:customStyle="1" w:styleId="410">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11">
    <w:name w:val="目录文字"/>
    <w:basedOn w:val="1"/>
    <w:qFormat/>
    <w:uiPriority w:val="0"/>
    <w:pPr>
      <w:widowControl/>
      <w:spacing w:line="480" w:lineRule="auto"/>
      <w:jc w:val="left"/>
    </w:pPr>
    <w:rPr>
      <w:rFonts w:ascii="宋体" w:hAnsi="宋体"/>
      <w:kern w:val="0"/>
      <w:sz w:val="24"/>
      <w:szCs w:val="20"/>
    </w:rPr>
  </w:style>
  <w:style w:type="paragraph" w:customStyle="1" w:styleId="412">
    <w:name w:val="正文_3"/>
    <w:basedOn w:val="1"/>
    <w:qFormat/>
    <w:uiPriority w:val="0"/>
    <w:rPr>
      <w:rFonts w:ascii="Calibri" w:hAnsi="Calibri"/>
      <w:szCs w:val="21"/>
    </w:rPr>
  </w:style>
  <w:style w:type="paragraph" w:customStyle="1" w:styleId="413">
    <w:name w:val="xl72"/>
    <w:basedOn w:val="1"/>
    <w:qFormat/>
    <w:uiPriority w:val="0"/>
    <w:pPr>
      <w:widowControl/>
      <w:pBdr>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kern w:val="0"/>
      <w:sz w:val="22"/>
      <w:szCs w:val="22"/>
    </w:rPr>
  </w:style>
  <w:style w:type="paragraph" w:customStyle="1" w:styleId="414">
    <w:name w:val="xl10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415">
    <w:name w:val="Char Char6"/>
    <w:basedOn w:val="1"/>
    <w:qFormat/>
    <w:uiPriority w:val="0"/>
    <w:pPr>
      <w:adjustRightInd w:val="0"/>
      <w:spacing w:line="360" w:lineRule="auto"/>
    </w:pPr>
  </w:style>
  <w:style w:type="paragraph" w:customStyle="1" w:styleId="416">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417">
    <w:name w:val="文件标题"/>
    <w:basedOn w:val="1"/>
    <w:qFormat/>
    <w:uiPriority w:val="0"/>
    <w:pPr>
      <w:autoSpaceDE w:val="0"/>
      <w:autoSpaceDN w:val="0"/>
      <w:adjustRightInd w:val="0"/>
      <w:spacing w:after="240"/>
      <w:jc w:val="center"/>
    </w:pPr>
    <w:rPr>
      <w:rFonts w:ascii="Arial Black" w:hAnsi="Arial Black"/>
      <w:kern w:val="0"/>
      <w:sz w:val="48"/>
      <w:szCs w:val="20"/>
    </w:rPr>
  </w:style>
  <w:style w:type="paragraph" w:customStyle="1" w:styleId="418">
    <w:name w:val="font8"/>
    <w:basedOn w:val="1"/>
    <w:qFormat/>
    <w:uiPriority w:val="0"/>
    <w:pPr>
      <w:widowControl/>
      <w:spacing w:before="100" w:beforeAutospacing="1" w:after="100" w:afterAutospacing="1"/>
      <w:jc w:val="left"/>
    </w:pPr>
    <w:rPr>
      <w:rFonts w:eastAsia="Arial Unicode MS"/>
      <w:b/>
      <w:bCs/>
      <w:kern w:val="0"/>
      <w:sz w:val="20"/>
      <w:szCs w:val="20"/>
    </w:rPr>
  </w:style>
  <w:style w:type="paragraph" w:customStyle="1" w:styleId="419">
    <w:name w:val="_Style 42"/>
    <w:basedOn w:val="1"/>
    <w:qFormat/>
    <w:uiPriority w:val="0"/>
  </w:style>
  <w:style w:type="paragraph" w:customStyle="1" w:styleId="42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21">
    <w:name w:val="xl8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color w:val="000000"/>
      <w:kern w:val="0"/>
      <w:sz w:val="22"/>
      <w:szCs w:val="22"/>
    </w:rPr>
  </w:style>
  <w:style w:type="paragraph" w:customStyle="1" w:styleId="42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42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kern w:val="0"/>
      <w:sz w:val="22"/>
      <w:szCs w:val="22"/>
    </w:rPr>
  </w:style>
  <w:style w:type="paragraph" w:customStyle="1" w:styleId="424">
    <w:name w:val="xl40"/>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25">
    <w:name w:val="TOC 标题1"/>
    <w:basedOn w:val="3"/>
    <w:next w:val="1"/>
    <w:qFormat/>
    <w:uiPriority w:val="0"/>
    <w:pPr>
      <w:spacing w:line="576" w:lineRule="auto"/>
      <w:outlineLvl w:val="9"/>
    </w:pPr>
    <w:rPr>
      <w:rFonts w:ascii="Calibri" w:hAnsi="Calibri"/>
    </w:rPr>
  </w:style>
  <w:style w:type="paragraph" w:customStyle="1" w:styleId="42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427">
    <w:name w:val="xl6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42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FF00FF"/>
      <w:kern w:val="0"/>
      <w:sz w:val="20"/>
      <w:szCs w:val="20"/>
    </w:rPr>
  </w:style>
  <w:style w:type="paragraph" w:customStyle="1" w:styleId="429">
    <w:name w:val="xl10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430">
    <w:name w:val="xl4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431">
    <w:name w:val="Char2"/>
    <w:basedOn w:val="1"/>
    <w:qFormat/>
    <w:uiPriority w:val="0"/>
    <w:rPr>
      <w:rFonts w:ascii="Arial Unicode MS" w:hAnsi="Arial" w:eastAsia="Arial Unicode MS" w:cs="Arial"/>
      <w:b/>
      <w:sz w:val="32"/>
      <w:szCs w:val="32"/>
    </w:rPr>
  </w:style>
  <w:style w:type="paragraph" w:customStyle="1" w:styleId="432">
    <w:name w:val="font13"/>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43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434">
    <w:name w:val="Char Char6 Char Char1"/>
    <w:basedOn w:val="1"/>
    <w:qFormat/>
    <w:uiPriority w:val="0"/>
    <w:pPr>
      <w:adjustRightInd w:val="0"/>
      <w:spacing w:line="360" w:lineRule="auto"/>
    </w:pPr>
  </w:style>
  <w:style w:type="paragraph" w:customStyle="1" w:styleId="435">
    <w:name w:val="正文四号"/>
    <w:basedOn w:val="1"/>
    <w:qFormat/>
    <w:uiPriority w:val="0"/>
    <w:pPr>
      <w:spacing w:line="360" w:lineRule="auto"/>
      <w:textAlignment w:val="top"/>
    </w:pPr>
    <w:rPr>
      <w:rFonts w:ascii="宋体" w:hAnsi="宋体"/>
      <w:sz w:val="28"/>
      <w:szCs w:val="20"/>
    </w:rPr>
  </w:style>
  <w:style w:type="paragraph" w:customStyle="1" w:styleId="436">
    <w:name w:val="表格文字"/>
    <w:basedOn w:val="1"/>
    <w:qFormat/>
    <w:uiPriority w:val="0"/>
    <w:pPr>
      <w:adjustRightInd w:val="0"/>
      <w:spacing w:line="420" w:lineRule="atLeast"/>
      <w:jc w:val="left"/>
      <w:textAlignment w:val="baseline"/>
    </w:pPr>
    <w:rPr>
      <w:kern w:val="0"/>
      <w:szCs w:val="20"/>
    </w:rPr>
  </w:style>
  <w:style w:type="paragraph" w:customStyle="1" w:styleId="437">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2"/>
      <w:szCs w:val="22"/>
    </w:rPr>
  </w:style>
  <w:style w:type="paragraph" w:customStyle="1" w:styleId="438">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439">
    <w:name w:val="中等深浅网格 1 - 强调文字颜色 21"/>
    <w:basedOn w:val="1"/>
    <w:qFormat/>
    <w:uiPriority w:val="34"/>
    <w:pPr>
      <w:ind w:firstLine="420" w:firstLineChars="200"/>
    </w:pPr>
    <w:rPr>
      <w:rFonts w:ascii="Cambria" w:hAnsi="Cambria"/>
      <w:sz w:val="24"/>
    </w:rPr>
  </w:style>
  <w:style w:type="paragraph" w:customStyle="1" w:styleId="440">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441">
    <w:name w:val="font24"/>
    <w:basedOn w:val="1"/>
    <w:qFormat/>
    <w:uiPriority w:val="0"/>
    <w:pPr>
      <w:widowControl/>
      <w:spacing w:before="100" w:beforeAutospacing="1" w:after="100" w:afterAutospacing="1"/>
      <w:jc w:val="left"/>
    </w:pPr>
    <w:rPr>
      <w:rFonts w:eastAsia="Arial Unicode MS"/>
      <w:b/>
      <w:bCs/>
      <w:color w:val="000000"/>
      <w:kern w:val="0"/>
      <w:sz w:val="22"/>
      <w:szCs w:val="22"/>
    </w:rPr>
  </w:style>
  <w:style w:type="paragraph" w:customStyle="1" w:styleId="442">
    <w:name w:val="招标文件正文"/>
    <w:basedOn w:val="1"/>
    <w:qFormat/>
    <w:uiPriority w:val="0"/>
    <w:pPr>
      <w:spacing w:line="360" w:lineRule="auto"/>
    </w:pPr>
    <w:rPr>
      <w:rFonts w:cs="宋体"/>
      <w:szCs w:val="20"/>
    </w:rPr>
  </w:style>
  <w:style w:type="paragraph" w:customStyle="1" w:styleId="443">
    <w:name w:val="xl56"/>
    <w:basedOn w:val="1"/>
    <w:qFormat/>
    <w:uiPriority w:val="0"/>
    <w:pPr>
      <w:widowControl/>
      <w:pBdr>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kern w:val="0"/>
      <w:sz w:val="22"/>
      <w:szCs w:val="22"/>
    </w:rPr>
  </w:style>
  <w:style w:type="paragraph" w:customStyle="1" w:styleId="444">
    <w:name w:val="自定样式3"/>
    <w:qFormat/>
    <w:uiPriority w:val="0"/>
    <w:pPr>
      <w:jc w:val="center"/>
    </w:pPr>
    <w:rPr>
      <w:rFonts w:ascii="宋体" w:hAnsi="宋体" w:eastAsia="宋体" w:cs="Times New Roman"/>
      <w:b/>
      <w:bCs/>
      <w:kern w:val="2"/>
      <w:sz w:val="24"/>
      <w:szCs w:val="24"/>
      <w:lang w:val="en-US" w:eastAsia="zh-CN" w:bidi="ar-SA"/>
    </w:rPr>
  </w:style>
  <w:style w:type="paragraph" w:customStyle="1" w:styleId="445">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446">
    <w:name w:val="p0"/>
    <w:basedOn w:val="1"/>
    <w:qFormat/>
    <w:uiPriority w:val="0"/>
    <w:pPr>
      <w:widowControl/>
      <w:spacing w:line="560" w:lineRule="exact"/>
      <w:ind w:firstLine="1600" w:firstLineChars="200"/>
      <w:jc w:val="left"/>
    </w:pPr>
    <w:rPr>
      <w:rFonts w:cs="宋体"/>
      <w:kern w:val="0"/>
      <w:sz w:val="24"/>
      <w:szCs w:val="21"/>
    </w:rPr>
  </w:style>
  <w:style w:type="paragraph" w:customStyle="1" w:styleId="447">
    <w:name w:val="Char Char Char Char Char Char Char Char Char Char Char Char Char Char Char Char Char Char Char Char Char Char"/>
    <w:basedOn w:val="1"/>
    <w:qFormat/>
    <w:uiPriority w:val="0"/>
    <w:pPr>
      <w:widowControl/>
      <w:spacing w:after="160" w:line="240" w:lineRule="exact"/>
      <w:jc w:val="left"/>
    </w:pPr>
    <w:rPr>
      <w:kern w:val="0"/>
      <w:sz w:val="20"/>
      <w:szCs w:val="20"/>
    </w:rPr>
  </w:style>
  <w:style w:type="paragraph" w:customStyle="1" w:styleId="448">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9">
    <w:name w:val="缺省文本"/>
    <w:basedOn w:val="1"/>
    <w:qFormat/>
    <w:uiPriority w:val="0"/>
    <w:pPr>
      <w:autoSpaceDE w:val="0"/>
      <w:autoSpaceDN w:val="0"/>
      <w:adjustRightInd w:val="0"/>
      <w:jc w:val="left"/>
    </w:pPr>
    <w:rPr>
      <w:kern w:val="0"/>
      <w:sz w:val="24"/>
      <w:szCs w:val="20"/>
    </w:rPr>
  </w:style>
  <w:style w:type="paragraph" w:customStyle="1" w:styleId="450">
    <w:name w:val="Char Char Char Char Char Char Char1"/>
    <w:basedOn w:val="1"/>
    <w:qFormat/>
    <w:uiPriority w:val="0"/>
  </w:style>
  <w:style w:type="paragraph" w:customStyle="1" w:styleId="451">
    <w:name w:val="xl54"/>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FF"/>
      <w:kern w:val="0"/>
      <w:sz w:val="22"/>
      <w:szCs w:val="22"/>
    </w:rPr>
  </w:style>
  <w:style w:type="paragraph" w:customStyle="1" w:styleId="452">
    <w:name w:val="Char4"/>
    <w:basedOn w:val="1"/>
    <w:qFormat/>
    <w:uiPriority w:val="0"/>
  </w:style>
  <w:style w:type="paragraph" w:customStyle="1" w:styleId="453">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0"/>
      <w:szCs w:val="20"/>
    </w:rPr>
  </w:style>
  <w:style w:type="paragraph" w:customStyle="1" w:styleId="454">
    <w:name w:val="Char Char Char1 Char Char Char Char1"/>
    <w:basedOn w:val="1"/>
    <w:qFormat/>
    <w:uiPriority w:val="0"/>
  </w:style>
  <w:style w:type="paragraph" w:customStyle="1" w:styleId="455">
    <w:name w:val="Char1 Char Char Char11"/>
    <w:basedOn w:val="1"/>
    <w:qFormat/>
    <w:uiPriority w:val="0"/>
    <w:pPr>
      <w:widowControl/>
      <w:spacing w:before="100" w:beforeAutospacing="1" w:after="100" w:afterAutospacing="1" w:line="330" w:lineRule="atLeast"/>
      <w:ind w:left="360"/>
      <w:jc w:val="left"/>
    </w:pPr>
    <w:rPr>
      <w:rFonts w:ascii="微软雅黑" w:hAnsi="微软雅黑" w:cs="宋体"/>
      <w:color w:val="51585D"/>
      <w:kern w:val="0"/>
      <w:szCs w:val="18"/>
    </w:rPr>
  </w:style>
  <w:style w:type="paragraph" w:customStyle="1" w:styleId="456">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457">
    <w:name w:val="xl73"/>
    <w:basedOn w:val="1"/>
    <w:qFormat/>
    <w:uiPriority w:val="0"/>
    <w:pPr>
      <w:widowControl/>
      <w:pBdr>
        <w:bottom w:val="single" w:color="auto" w:sz="4" w:space="0"/>
        <w:right w:val="single" w:color="auto" w:sz="4" w:space="0"/>
      </w:pBdr>
      <w:spacing w:before="100" w:beforeAutospacing="1" w:after="100" w:afterAutospacing="1"/>
    </w:pPr>
    <w:rPr>
      <w:rFonts w:eastAsia="Arial Unicode MS"/>
      <w:color w:val="FF00FF"/>
      <w:kern w:val="0"/>
      <w:sz w:val="22"/>
      <w:szCs w:val="22"/>
    </w:rPr>
  </w:style>
  <w:style w:type="paragraph" w:customStyle="1" w:styleId="458">
    <w:name w:val="Char3"/>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45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eastAsia="Arial Unicode MS"/>
      <w:kern w:val="0"/>
      <w:sz w:val="20"/>
      <w:szCs w:val="20"/>
    </w:rPr>
  </w:style>
  <w:style w:type="paragraph" w:customStyle="1" w:styleId="460">
    <w:name w:val="_Style 10"/>
    <w:basedOn w:val="1"/>
    <w:semiHidden/>
    <w:qFormat/>
    <w:uiPriority w:val="0"/>
    <w:rPr>
      <w:sz w:val="20"/>
      <w:szCs w:val="30"/>
    </w:rPr>
  </w:style>
  <w:style w:type="paragraph" w:customStyle="1" w:styleId="46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46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2"/>
      <w:szCs w:val="22"/>
    </w:rPr>
  </w:style>
  <w:style w:type="paragraph" w:customStyle="1" w:styleId="463">
    <w:name w:val="xl78"/>
    <w:basedOn w:val="1"/>
    <w:qFormat/>
    <w:uiPriority w:val="0"/>
    <w:pPr>
      <w:widowControl/>
      <w:pBdr>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kern w:val="0"/>
      <w:sz w:val="22"/>
      <w:szCs w:val="22"/>
    </w:rPr>
  </w:style>
  <w:style w:type="paragraph" w:customStyle="1" w:styleId="464">
    <w:name w:val="font12"/>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465">
    <w:name w:val="Char Char Char Char Char Char1"/>
    <w:basedOn w:val="1"/>
    <w:qFormat/>
    <w:uiPriority w:val="0"/>
    <w:pPr>
      <w:adjustRightInd w:val="0"/>
      <w:spacing w:line="360" w:lineRule="auto"/>
    </w:pPr>
    <w:rPr>
      <w:kern w:val="0"/>
      <w:sz w:val="24"/>
      <w:szCs w:val="20"/>
    </w:rPr>
  </w:style>
  <w:style w:type="paragraph" w:customStyle="1" w:styleId="466">
    <w:name w:val="xl6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46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468">
    <w:name w:val="表"/>
    <w:basedOn w:val="1"/>
    <w:qFormat/>
    <w:uiPriority w:val="0"/>
    <w:pPr>
      <w:jc w:val="center"/>
    </w:pPr>
    <w:rPr>
      <w:rFonts w:ascii="宋体" w:hAnsi="宋体" w:cs="宋体"/>
      <w:sz w:val="20"/>
      <w:szCs w:val="20"/>
    </w:rPr>
  </w:style>
  <w:style w:type="paragraph" w:customStyle="1" w:styleId="469">
    <w:name w:val="中等深浅网格 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0">
    <w:name w:val="Char Char61"/>
    <w:basedOn w:val="1"/>
    <w:qFormat/>
    <w:uiPriority w:val="0"/>
    <w:pPr>
      <w:adjustRightInd w:val="0"/>
      <w:spacing w:line="360" w:lineRule="auto"/>
    </w:pPr>
  </w:style>
  <w:style w:type="paragraph" w:customStyle="1" w:styleId="47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472">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2"/>
      <w:szCs w:val="22"/>
    </w:rPr>
  </w:style>
  <w:style w:type="paragraph" w:customStyle="1" w:styleId="473">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474">
    <w:name w:val="xl79"/>
    <w:basedOn w:val="1"/>
    <w:qFormat/>
    <w:uiPriority w:val="0"/>
    <w:pPr>
      <w:widowControl/>
      <w:pBdr>
        <w:bottom w:val="single" w:color="auto" w:sz="4" w:space="0"/>
        <w:right w:val="single" w:color="auto" w:sz="4" w:space="0"/>
      </w:pBdr>
      <w:spacing w:before="100" w:beforeAutospacing="1" w:after="100" w:afterAutospacing="1"/>
    </w:pPr>
    <w:rPr>
      <w:rFonts w:eastAsia="Arial Unicode MS"/>
      <w:b/>
      <w:bCs/>
      <w:kern w:val="0"/>
      <w:sz w:val="22"/>
      <w:szCs w:val="22"/>
    </w:rPr>
  </w:style>
  <w:style w:type="paragraph" w:customStyle="1" w:styleId="475">
    <w:name w:val="正文段落"/>
    <w:basedOn w:val="48"/>
    <w:qFormat/>
    <w:uiPriority w:val="0"/>
    <w:pPr>
      <w:topLinePunct/>
      <w:adjustRightInd w:val="0"/>
      <w:spacing w:after="0" w:line="480" w:lineRule="atLeast"/>
      <w:ind w:firstLine="567" w:firstLineChars="0"/>
      <w:textAlignment w:val="top"/>
    </w:pPr>
    <w:rPr>
      <w:rFonts w:ascii="Arial" w:hAnsi="Arial" w:eastAsia="黑体"/>
      <w:b/>
      <w:bCs/>
      <w:w w:val="90"/>
      <w:kern w:val="28"/>
      <w:sz w:val="28"/>
      <w:szCs w:val="20"/>
    </w:rPr>
  </w:style>
  <w:style w:type="paragraph" w:customStyle="1" w:styleId="476">
    <w:name w:val="自定样式1"/>
    <w:qFormat/>
    <w:uiPriority w:val="0"/>
    <w:pPr>
      <w:spacing w:line="360" w:lineRule="auto"/>
      <w:jc w:val="center"/>
    </w:pPr>
    <w:rPr>
      <w:rFonts w:ascii="宋体" w:hAnsi="宋体" w:eastAsia="宋体" w:cs="Times New Roman"/>
      <w:b/>
      <w:bCs/>
      <w:kern w:val="2"/>
      <w:sz w:val="32"/>
      <w:szCs w:val="32"/>
      <w:lang w:val="en-US" w:eastAsia="zh-CN" w:bidi="ar-SA"/>
    </w:rPr>
  </w:style>
  <w:style w:type="paragraph" w:customStyle="1" w:styleId="477">
    <w:name w:val="Char Char Char Char Char Char Char Char Char Char"/>
    <w:basedOn w:val="1"/>
    <w:qFormat/>
    <w:uiPriority w:val="0"/>
    <w:pPr>
      <w:spacing w:line="240" w:lineRule="atLeast"/>
      <w:ind w:left="420" w:firstLine="420"/>
    </w:pPr>
    <w:rPr>
      <w:kern w:val="0"/>
      <w:szCs w:val="21"/>
    </w:rPr>
  </w:style>
  <w:style w:type="paragraph" w:customStyle="1" w:styleId="478">
    <w:name w:val="Char Char Char Char Char Char"/>
    <w:basedOn w:val="1"/>
    <w:qFormat/>
    <w:uiPriority w:val="0"/>
    <w:pPr>
      <w:adjustRightInd w:val="0"/>
      <w:spacing w:line="360" w:lineRule="auto"/>
    </w:pPr>
    <w:rPr>
      <w:kern w:val="0"/>
      <w:sz w:val="24"/>
      <w:szCs w:val="20"/>
    </w:rPr>
  </w:style>
  <w:style w:type="paragraph" w:customStyle="1" w:styleId="479">
    <w:name w:val="xl71"/>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480">
    <w:name w:val="_Style 478"/>
    <w:basedOn w:val="3"/>
    <w:next w:val="1"/>
    <w:qFormat/>
    <w:uiPriority w:val="39"/>
    <w:pPr>
      <w:spacing w:line="576" w:lineRule="auto"/>
      <w:outlineLvl w:val="9"/>
    </w:pPr>
    <w:rPr>
      <w:rFonts w:ascii="Calibri" w:hAnsi="Calibri"/>
    </w:rPr>
  </w:style>
  <w:style w:type="paragraph" w:customStyle="1" w:styleId="481">
    <w:name w:val="font6"/>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48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483">
    <w:name w:val="txt14"/>
    <w:basedOn w:val="1"/>
    <w:qFormat/>
    <w:uiPriority w:val="0"/>
    <w:pPr>
      <w:widowControl/>
      <w:spacing w:before="100" w:beforeAutospacing="1" w:after="100" w:afterAutospacing="1"/>
      <w:jc w:val="left"/>
    </w:pPr>
    <w:rPr>
      <w:rFonts w:hint="eastAsia" w:ascii="宋体" w:hAnsi="宋体"/>
      <w:color w:val="000000"/>
      <w:kern w:val="0"/>
      <w:szCs w:val="21"/>
    </w:rPr>
  </w:style>
  <w:style w:type="paragraph" w:customStyle="1" w:styleId="484">
    <w:name w:val="Char6 Char Char Char1"/>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485">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2"/>
      <w:szCs w:val="22"/>
    </w:rPr>
  </w:style>
  <w:style w:type="paragraph" w:customStyle="1" w:styleId="486">
    <w:name w:val="font25"/>
    <w:basedOn w:val="1"/>
    <w:qFormat/>
    <w:uiPriority w:val="0"/>
    <w:pPr>
      <w:widowControl/>
      <w:spacing w:before="100" w:beforeAutospacing="1" w:after="100" w:afterAutospacing="1"/>
      <w:jc w:val="left"/>
    </w:pPr>
    <w:rPr>
      <w:rFonts w:hint="eastAsia" w:ascii="宋体" w:hAnsi="宋体" w:cs="Arial Unicode MS"/>
      <w:b/>
      <w:bCs/>
      <w:color w:val="000000"/>
      <w:kern w:val="0"/>
      <w:sz w:val="22"/>
      <w:szCs w:val="22"/>
    </w:rPr>
  </w:style>
  <w:style w:type="paragraph" w:customStyle="1" w:styleId="487">
    <w:name w:val="Char Char"/>
    <w:basedOn w:val="1"/>
    <w:qFormat/>
    <w:uiPriority w:val="0"/>
    <w:pPr>
      <w:adjustRightInd w:val="0"/>
      <w:spacing w:line="360" w:lineRule="auto"/>
    </w:pPr>
    <w:rPr>
      <w:kern w:val="0"/>
      <w:sz w:val="24"/>
      <w:szCs w:val="20"/>
    </w:rPr>
  </w:style>
  <w:style w:type="paragraph" w:customStyle="1" w:styleId="488">
    <w:name w:val="xl10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b/>
      <w:bCs/>
      <w:kern w:val="0"/>
      <w:sz w:val="22"/>
      <w:szCs w:val="22"/>
    </w:rPr>
  </w:style>
  <w:style w:type="paragraph" w:customStyle="1" w:styleId="489">
    <w:name w:val="日期1"/>
    <w:basedOn w:val="1"/>
    <w:next w:val="1"/>
    <w:qFormat/>
    <w:uiPriority w:val="0"/>
    <w:pPr>
      <w:adjustRightInd w:val="0"/>
      <w:spacing w:line="312" w:lineRule="atLeast"/>
      <w:textAlignment w:val="baseline"/>
    </w:pPr>
    <w:rPr>
      <w:kern w:val="0"/>
      <w:sz w:val="24"/>
      <w:szCs w:val="20"/>
    </w:rPr>
  </w:style>
  <w:style w:type="paragraph" w:customStyle="1" w:styleId="490">
    <w:name w:val="xl58"/>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kern w:val="0"/>
      <w:sz w:val="22"/>
      <w:szCs w:val="22"/>
    </w:rPr>
  </w:style>
  <w:style w:type="paragraph" w:customStyle="1" w:styleId="491">
    <w:name w:val="xl10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492">
    <w:name w:val="样式 样式 (西文) 宋体 (符号) Arial 首行缩进:  2 字符 行距: 1.5 倍行距 + 首行缩进:  2 字符"/>
    <w:basedOn w:val="1"/>
    <w:qFormat/>
    <w:uiPriority w:val="0"/>
    <w:pPr>
      <w:wordWrap w:val="0"/>
      <w:adjustRightInd w:val="0"/>
      <w:snapToGrid w:val="0"/>
      <w:spacing w:line="360" w:lineRule="auto"/>
      <w:ind w:firstLine="200" w:firstLineChars="200"/>
    </w:pPr>
    <w:rPr>
      <w:rFonts w:ascii="宋体" w:hAnsi="Arial" w:cs="宋体"/>
      <w:sz w:val="28"/>
      <w:szCs w:val="20"/>
    </w:rPr>
  </w:style>
  <w:style w:type="paragraph" w:customStyle="1" w:styleId="493">
    <w:name w:val="中等深浅网格 2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494">
    <w:name w:val="表头"/>
    <w:basedOn w:val="1"/>
    <w:qFormat/>
    <w:uiPriority w:val="0"/>
    <w:pPr>
      <w:keepNext/>
      <w:keepLines/>
      <w:adjustRightInd w:val="0"/>
      <w:spacing w:after="120" w:line="532" w:lineRule="exact"/>
      <w:ind w:firstLine="306"/>
      <w:jc w:val="left"/>
      <w:textAlignment w:val="baseline"/>
    </w:pPr>
    <w:rPr>
      <w:rFonts w:ascii="Arial" w:hAnsi="Arial" w:eastAsia="黑体"/>
      <w:kern w:val="0"/>
      <w:sz w:val="24"/>
      <w:szCs w:val="20"/>
    </w:rPr>
  </w:style>
  <w:style w:type="paragraph" w:customStyle="1" w:styleId="495">
    <w:name w:val="font26"/>
    <w:basedOn w:val="1"/>
    <w:qFormat/>
    <w:uiPriority w:val="0"/>
    <w:pPr>
      <w:widowControl/>
      <w:spacing w:before="100" w:beforeAutospacing="1" w:after="100" w:afterAutospacing="1"/>
      <w:jc w:val="left"/>
    </w:pPr>
    <w:rPr>
      <w:rFonts w:eastAsia="Arial Unicode MS"/>
      <w:color w:val="000000"/>
      <w:kern w:val="0"/>
      <w:sz w:val="22"/>
      <w:szCs w:val="22"/>
    </w:rPr>
  </w:style>
  <w:style w:type="paragraph" w:customStyle="1" w:styleId="496">
    <w:name w:val="Identation 2"/>
    <w:qFormat/>
    <w:uiPriority w:val="0"/>
    <w:pPr>
      <w:overflowPunct w:val="0"/>
      <w:autoSpaceDE w:val="0"/>
      <w:autoSpaceDN w:val="0"/>
      <w:adjustRightInd w:val="0"/>
      <w:spacing w:before="120" w:after="60" w:line="288" w:lineRule="auto"/>
      <w:ind w:left="432"/>
      <w:jc w:val="both"/>
      <w:textAlignment w:val="baseline"/>
    </w:pPr>
    <w:rPr>
      <w:rFonts w:ascii="Times New Roman" w:hAnsi="Times New Roman" w:eastAsia="楷体_GB2312" w:cs="Times New Roman"/>
      <w:color w:val="000000"/>
      <w:sz w:val="24"/>
      <w:lang w:val="en-US" w:eastAsia="zh-CN" w:bidi="ar-SA"/>
    </w:rPr>
  </w:style>
  <w:style w:type="paragraph" w:customStyle="1" w:styleId="497">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498">
    <w:name w:val="xl38"/>
    <w:basedOn w:val="1"/>
    <w:qFormat/>
    <w:uiPriority w:val="0"/>
    <w:pPr>
      <w:widowControl/>
      <w:pBdr>
        <w:bottom w:val="single" w:color="auto" w:sz="4" w:space="0"/>
        <w:right w:val="single" w:color="auto" w:sz="4" w:space="0"/>
      </w:pBdr>
      <w:spacing w:before="100" w:beforeAutospacing="1" w:after="100" w:afterAutospacing="1"/>
    </w:pPr>
    <w:rPr>
      <w:rFonts w:ascii="Arial Unicode MS" w:hAnsi="Arial Unicode MS" w:eastAsia="Arial Unicode MS" w:cs="Arial Unicode MS"/>
      <w:kern w:val="0"/>
      <w:sz w:val="22"/>
      <w:szCs w:val="22"/>
    </w:rPr>
  </w:style>
  <w:style w:type="paragraph" w:customStyle="1" w:styleId="499">
    <w:name w:val="样式 标题 3 + 段前: 0.5 行"/>
    <w:basedOn w:val="5"/>
    <w:next w:val="13"/>
    <w:qFormat/>
    <w:uiPriority w:val="0"/>
    <w:pPr>
      <w:numPr>
        <w:ilvl w:val="2"/>
        <w:numId w:val="2"/>
      </w:numPr>
      <w:tabs>
        <w:tab w:val="left" w:pos="1680"/>
      </w:tabs>
      <w:spacing w:before="0" w:after="0" w:line="360" w:lineRule="auto"/>
      <w:ind w:left="284"/>
    </w:pPr>
    <w:rPr>
      <w:rFonts w:ascii="宋体" w:hAnsi="宋体" w:eastAsia="黑体"/>
      <w:bCs w:val="0"/>
      <w:color w:val="000000"/>
      <w:sz w:val="24"/>
      <w:szCs w:val="24"/>
    </w:rPr>
  </w:style>
  <w:style w:type="paragraph" w:customStyle="1" w:styleId="500">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501">
    <w:name w:val="4 Char"/>
    <w:basedOn w:val="1"/>
    <w:qFormat/>
    <w:uiPriority w:val="0"/>
    <w:pPr>
      <w:spacing w:line="360" w:lineRule="auto"/>
      <w:ind w:firstLine="200" w:firstLineChars="200"/>
    </w:pPr>
    <w:rPr>
      <w:rFonts w:ascii="宋体" w:hAnsi="宋体" w:cs="宋体"/>
      <w:sz w:val="24"/>
    </w:rPr>
  </w:style>
  <w:style w:type="paragraph" w:customStyle="1" w:styleId="502">
    <w:name w:val="Char1 Char Char Char Char Char Char Char Char Char Char Char Char Char Char Char Char Char Char Char"/>
    <w:basedOn w:val="1"/>
    <w:qFormat/>
    <w:uiPriority w:val="0"/>
    <w:pPr>
      <w:spacing w:line="360" w:lineRule="auto"/>
    </w:pPr>
    <w:rPr>
      <w:szCs w:val="20"/>
    </w:rPr>
  </w:style>
  <w:style w:type="paragraph" w:customStyle="1" w:styleId="503">
    <w:name w:val="font15"/>
    <w:basedOn w:val="1"/>
    <w:qFormat/>
    <w:uiPriority w:val="0"/>
    <w:pPr>
      <w:widowControl/>
      <w:spacing w:before="100" w:beforeAutospacing="1" w:after="100" w:afterAutospacing="1"/>
      <w:jc w:val="left"/>
    </w:pPr>
    <w:rPr>
      <w:rFonts w:eastAsia="Arial Unicode MS"/>
      <w:color w:val="000000"/>
      <w:kern w:val="0"/>
      <w:sz w:val="22"/>
      <w:szCs w:val="22"/>
    </w:rPr>
  </w:style>
  <w:style w:type="paragraph" w:customStyle="1" w:styleId="504">
    <w:name w:val="样式 标题 2 + 小四"/>
    <w:basedOn w:val="4"/>
    <w:qFormat/>
    <w:uiPriority w:val="0"/>
    <w:pPr>
      <w:numPr>
        <w:ilvl w:val="1"/>
        <w:numId w:val="2"/>
      </w:numPr>
      <w:tabs>
        <w:tab w:val="left" w:pos="833"/>
        <w:tab w:val="left" w:pos="1260"/>
      </w:tabs>
      <w:spacing w:before="143" w:after="0" w:line="360" w:lineRule="auto"/>
    </w:pPr>
    <w:rPr>
      <w:rFonts w:eastAsia="宋体"/>
      <w:spacing w:val="16"/>
      <w:sz w:val="24"/>
    </w:rPr>
  </w:style>
  <w:style w:type="paragraph" w:customStyle="1" w:styleId="505">
    <w:name w:val="xl91"/>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2"/>
      <w:szCs w:val="22"/>
    </w:rPr>
  </w:style>
  <w:style w:type="paragraph" w:customStyle="1" w:styleId="506">
    <w:name w:val="Char Char Char Char Char Char Char Char Char Char Char Char Char Char Char1"/>
    <w:basedOn w:val="1"/>
    <w:qFormat/>
    <w:uiPriority w:val="0"/>
    <w:pPr>
      <w:spacing w:line="240" w:lineRule="atLeast"/>
      <w:ind w:left="420" w:firstLine="420"/>
    </w:pPr>
    <w:rPr>
      <w:kern w:val="0"/>
      <w:szCs w:val="21"/>
    </w:rPr>
  </w:style>
  <w:style w:type="paragraph" w:customStyle="1" w:styleId="507">
    <w:name w:val="xl51"/>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eastAsia="Arial Unicode MS"/>
      <w:kern w:val="0"/>
      <w:sz w:val="22"/>
      <w:szCs w:val="22"/>
    </w:rPr>
  </w:style>
  <w:style w:type="paragraph" w:customStyle="1" w:styleId="508">
    <w:name w:val="Char Char Char Char Char Char Char Char Char Char Char Char Char Char Char Char Char Char Char Char Char Char1"/>
    <w:basedOn w:val="1"/>
    <w:qFormat/>
    <w:uiPriority w:val="0"/>
    <w:pPr>
      <w:widowControl/>
      <w:spacing w:after="160" w:line="240" w:lineRule="exact"/>
      <w:jc w:val="left"/>
    </w:pPr>
    <w:rPr>
      <w:kern w:val="0"/>
      <w:sz w:val="20"/>
      <w:szCs w:val="20"/>
    </w:rPr>
  </w:style>
  <w:style w:type="paragraph" w:customStyle="1" w:styleId="509">
    <w:name w:val="xl9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51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eastAsia="Arial Unicode MS"/>
      <w:kern w:val="0"/>
      <w:sz w:val="22"/>
      <w:szCs w:val="22"/>
    </w:rPr>
  </w:style>
  <w:style w:type="paragraph" w:customStyle="1" w:styleId="511">
    <w:name w:val="font11"/>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512">
    <w:name w:val="Char Char Char Char Char Char Char"/>
    <w:basedOn w:val="1"/>
    <w:qFormat/>
    <w:uiPriority w:val="0"/>
    <w:rPr>
      <w:rFonts w:ascii="Tahoma" w:hAnsi="Tahoma"/>
      <w:sz w:val="24"/>
      <w:szCs w:val="20"/>
    </w:rPr>
  </w:style>
  <w:style w:type="paragraph" w:customStyle="1" w:styleId="513">
    <w:name w:val="un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514">
    <w:name w:val="Char Char Char1 Char Char Char Char"/>
    <w:basedOn w:val="1"/>
    <w:qFormat/>
    <w:uiPriority w:val="0"/>
  </w:style>
  <w:style w:type="paragraph" w:customStyle="1" w:styleId="515">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2"/>
      <w:szCs w:val="22"/>
    </w:rPr>
  </w:style>
  <w:style w:type="paragraph" w:customStyle="1" w:styleId="516">
    <w:name w:val="报告正文"/>
    <w:basedOn w:val="1"/>
    <w:qFormat/>
    <w:uiPriority w:val="0"/>
    <w:pPr>
      <w:autoSpaceDE w:val="0"/>
      <w:autoSpaceDN w:val="0"/>
      <w:adjustRightInd w:val="0"/>
      <w:spacing w:line="360" w:lineRule="auto"/>
      <w:ind w:firstLine="200" w:firstLineChars="200"/>
      <w:jc w:val="left"/>
    </w:pPr>
    <w:rPr>
      <w:rFonts w:ascii="Arial" w:hAnsi="Arial"/>
      <w:kern w:val="0"/>
      <w:szCs w:val="21"/>
    </w:rPr>
  </w:style>
  <w:style w:type="paragraph" w:customStyle="1" w:styleId="517">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2"/>
      <w:szCs w:val="22"/>
    </w:rPr>
  </w:style>
  <w:style w:type="paragraph" w:customStyle="1" w:styleId="518">
    <w:name w:val="引用1"/>
    <w:basedOn w:val="1"/>
    <w:next w:val="1"/>
    <w:qFormat/>
    <w:uiPriority w:val="0"/>
    <w:rPr>
      <w:rFonts w:ascii="Calibri" w:hAnsi="Calibri" w:eastAsia="微软雅黑"/>
      <w:i/>
      <w:iCs/>
      <w:color w:val="000000"/>
      <w:kern w:val="0"/>
      <w:sz w:val="22"/>
      <w:szCs w:val="22"/>
    </w:rPr>
  </w:style>
  <w:style w:type="paragraph" w:customStyle="1" w:styleId="519">
    <w:name w:val="Char1 Char Char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520">
    <w:name w:val="font14"/>
    <w:basedOn w:val="1"/>
    <w:qFormat/>
    <w:uiPriority w:val="0"/>
    <w:pPr>
      <w:widowControl/>
      <w:spacing w:before="100" w:beforeAutospacing="1" w:after="100" w:afterAutospacing="1"/>
      <w:jc w:val="left"/>
    </w:pPr>
    <w:rPr>
      <w:rFonts w:hint="eastAsia" w:ascii="宋体" w:hAnsi="宋体" w:cs="Arial Unicode MS"/>
      <w:color w:val="000000"/>
      <w:kern w:val="0"/>
      <w:sz w:val="22"/>
      <w:szCs w:val="22"/>
    </w:rPr>
  </w:style>
  <w:style w:type="paragraph" w:customStyle="1" w:styleId="521">
    <w:name w:val="xl90"/>
    <w:basedOn w:val="1"/>
    <w:qFormat/>
    <w:uiPriority w:val="0"/>
    <w:pPr>
      <w:widowControl/>
      <w:pBdr>
        <w:right w:val="single" w:color="auto" w:sz="4" w:space="0"/>
      </w:pBdr>
      <w:spacing w:before="100" w:beforeAutospacing="1" w:after="100" w:afterAutospacing="1"/>
      <w:jc w:val="left"/>
    </w:pPr>
    <w:rPr>
      <w:rFonts w:eastAsia="Arial Unicode MS"/>
      <w:kern w:val="0"/>
      <w:sz w:val="22"/>
      <w:szCs w:val="22"/>
    </w:rPr>
  </w:style>
  <w:style w:type="paragraph" w:customStyle="1" w:styleId="522">
    <w:name w:val="Char Char Char"/>
    <w:basedOn w:val="1"/>
    <w:qFormat/>
    <w:uiPriority w:val="0"/>
  </w:style>
  <w:style w:type="paragraph" w:customStyle="1" w:styleId="523">
    <w:name w:val="Char Char6 Char Char"/>
    <w:basedOn w:val="1"/>
    <w:qFormat/>
    <w:uiPriority w:val="0"/>
    <w:pPr>
      <w:adjustRightInd w:val="0"/>
      <w:spacing w:line="360" w:lineRule="auto"/>
    </w:pPr>
  </w:style>
  <w:style w:type="paragraph" w:customStyle="1" w:styleId="524">
    <w:name w:val="xl74"/>
    <w:basedOn w:val="1"/>
    <w:qFormat/>
    <w:uiPriority w:val="0"/>
    <w:pPr>
      <w:widowControl/>
      <w:pBdr>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FF00FF"/>
      <w:kern w:val="0"/>
      <w:sz w:val="22"/>
      <w:szCs w:val="22"/>
    </w:rPr>
  </w:style>
  <w:style w:type="paragraph" w:customStyle="1" w:styleId="525">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5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kern w:val="0"/>
      <w:sz w:val="22"/>
      <w:szCs w:val="22"/>
    </w:rPr>
  </w:style>
  <w:style w:type="paragraph" w:customStyle="1" w:styleId="527">
    <w:name w:val="批注框文本 Char Char"/>
    <w:basedOn w:val="1"/>
    <w:qFormat/>
    <w:uiPriority w:val="0"/>
    <w:rPr>
      <w:sz w:val="18"/>
      <w:szCs w:val="20"/>
    </w:rPr>
  </w:style>
  <w:style w:type="paragraph" w:customStyle="1" w:styleId="528">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529">
    <w:name w:val="xl52"/>
    <w:basedOn w:val="1"/>
    <w:qFormat/>
    <w:uiPriority w:val="0"/>
    <w:pPr>
      <w:widowControl/>
      <w:pBdr>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FF"/>
      <w:kern w:val="0"/>
      <w:sz w:val="22"/>
      <w:szCs w:val="22"/>
    </w:rPr>
  </w:style>
  <w:style w:type="paragraph" w:customStyle="1" w:styleId="530">
    <w:name w:val="xl76"/>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kern w:val="0"/>
      <w:sz w:val="22"/>
      <w:szCs w:val="22"/>
    </w:rPr>
  </w:style>
  <w:style w:type="paragraph" w:customStyle="1" w:styleId="531">
    <w:name w:val="xl85"/>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2"/>
      <w:szCs w:val="22"/>
    </w:rPr>
  </w:style>
  <w:style w:type="paragraph" w:customStyle="1" w:styleId="532">
    <w:name w:val="xl104"/>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b/>
      <w:bCs/>
      <w:kern w:val="0"/>
      <w:sz w:val="22"/>
      <w:szCs w:val="22"/>
    </w:rPr>
  </w:style>
  <w:style w:type="paragraph" w:customStyle="1" w:styleId="533">
    <w:name w:val="UserStyle_0"/>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534">
    <w:name w:val="Normal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35">
    <w:name w:val="font91"/>
    <w:qFormat/>
    <w:uiPriority w:val="0"/>
    <w:rPr>
      <w:rFonts w:hint="eastAsia" w:ascii="等线" w:hAnsi="等线" w:eastAsia="等线" w:cs="等线"/>
      <w:color w:val="000000"/>
      <w:sz w:val="20"/>
      <w:szCs w:val="20"/>
      <w:u w:val="none"/>
    </w:rPr>
  </w:style>
  <w:style w:type="character" w:customStyle="1" w:styleId="536">
    <w:name w:val="font51"/>
    <w:qFormat/>
    <w:uiPriority w:val="0"/>
    <w:rPr>
      <w:rFonts w:hint="eastAsia" w:ascii="宋体" w:hAnsi="宋体" w:eastAsia="宋体" w:cs="宋体"/>
      <w:color w:val="000000"/>
      <w:sz w:val="20"/>
      <w:szCs w:val="20"/>
      <w:u w:val="none"/>
    </w:rPr>
  </w:style>
  <w:style w:type="character" w:customStyle="1" w:styleId="537">
    <w:name w:val="font61"/>
    <w:qFormat/>
    <w:uiPriority w:val="0"/>
    <w:rPr>
      <w:rFonts w:hint="eastAsia" w:ascii="等线" w:hAnsi="等线" w:eastAsia="等线" w:cs="等线"/>
      <w:color w:val="000000"/>
      <w:sz w:val="20"/>
      <w:szCs w:val="20"/>
      <w:u w:val="none"/>
    </w:rPr>
  </w:style>
  <w:style w:type="character" w:customStyle="1" w:styleId="538">
    <w:name w:val="NormalCharacter"/>
    <w:qFormat/>
    <w:uiPriority w:val="0"/>
  </w:style>
  <w:style w:type="paragraph" w:customStyle="1" w:styleId="539">
    <w:name w:val="Main Title"/>
    <w:next w:val="1"/>
    <w:qFormat/>
    <w:uiPriority w:val="0"/>
    <w:pPr>
      <w:adjustRightInd w:val="0"/>
      <w:snapToGrid w:val="0"/>
      <w:spacing w:afterLines="50" w:line="360" w:lineRule="auto"/>
      <w:jc w:val="center"/>
    </w:pPr>
    <w:rPr>
      <w:rFonts w:ascii="黑体" w:hAnsi="黑体" w:eastAsia="黑体" w:cs="Times New Roman"/>
      <w:b/>
      <w:kern w:val="2"/>
      <w:sz w:val="36"/>
      <w:szCs w:val="22"/>
      <w:lang w:val="zh-CN" w:eastAsia="zh-CN" w:bidi="ar-SA"/>
    </w:rPr>
  </w:style>
  <w:style w:type="paragraph" w:customStyle="1" w:styleId="540">
    <w:name w:val="TOC 标题2"/>
    <w:basedOn w:val="3"/>
    <w:next w:val="1"/>
    <w:qFormat/>
    <w:uiPriority w:val="0"/>
    <w:pPr>
      <w:spacing w:before="260" w:after="260" w:line="413" w:lineRule="auto"/>
    </w:pPr>
    <w:rPr>
      <w:rFonts w:ascii="宋体" w:hAnsi="宋体"/>
      <w:sz w:val="36"/>
      <w:lang w:val="zh-CN"/>
    </w:rPr>
  </w:style>
  <w:style w:type="paragraph" w:customStyle="1" w:styleId="541">
    <w:name w:val="协议书标题2"/>
    <w:basedOn w:val="4"/>
    <w:next w:val="1"/>
    <w:qFormat/>
    <w:uiPriority w:val="0"/>
    <w:pPr>
      <w:keepNext w:val="0"/>
      <w:keepLines w:val="0"/>
      <w:numPr>
        <w:ilvl w:val="0"/>
        <w:numId w:val="3"/>
      </w:numPr>
      <w:tabs>
        <w:tab w:val="left" w:pos="567"/>
      </w:tabs>
      <w:wordWrap w:val="0"/>
      <w:topLinePunct/>
      <w:adjustRightInd w:val="0"/>
      <w:snapToGrid w:val="0"/>
      <w:spacing w:before="0" w:afterLines="50" w:line="360" w:lineRule="auto"/>
      <w:ind w:firstLine="0"/>
    </w:pPr>
    <w:rPr>
      <w:rFonts w:ascii="宋体" w:hAnsi="宋体" w:eastAsia="宋体"/>
      <w:sz w:val="24"/>
    </w:rPr>
  </w:style>
  <w:style w:type="paragraph" w:customStyle="1" w:styleId="542">
    <w:name w:val="table"/>
    <w:qFormat/>
    <w:uiPriority w:val="0"/>
    <w:pPr>
      <w:framePr w:hSpace="180" w:wrap="around" w:vAnchor="text" w:hAnchor="margin" w:y="1418"/>
      <w:adjustRightInd w:val="0"/>
      <w:snapToGrid w:val="0"/>
    </w:pPr>
    <w:rPr>
      <w:rFonts w:ascii="宋体" w:hAnsi="Calibri" w:eastAsia="宋体" w:cs="Times New Roman"/>
      <w:kern w:val="2"/>
      <w:sz w:val="24"/>
      <w:szCs w:val="22"/>
      <w:lang w:val="en-US" w:eastAsia="zh-CN" w:bidi="ar-SA"/>
    </w:rPr>
  </w:style>
  <w:style w:type="paragraph" w:customStyle="1" w:styleId="543">
    <w:name w:val="通用标题2"/>
    <w:basedOn w:val="4"/>
    <w:next w:val="1"/>
    <w:qFormat/>
    <w:uiPriority w:val="0"/>
    <w:pPr>
      <w:keepNext w:val="0"/>
      <w:keepLines w:val="0"/>
      <w:numPr>
        <w:ilvl w:val="0"/>
        <w:numId w:val="4"/>
      </w:numPr>
      <w:tabs>
        <w:tab w:val="left" w:pos="432"/>
        <w:tab w:val="left" w:pos="993"/>
      </w:tabs>
      <w:wordWrap w:val="0"/>
      <w:topLinePunct/>
      <w:adjustRightInd w:val="0"/>
      <w:snapToGrid w:val="0"/>
      <w:spacing w:before="0" w:afterLines="50" w:line="360" w:lineRule="auto"/>
    </w:pPr>
    <w:rPr>
      <w:rFonts w:ascii="黑体" w:hAnsi="黑体"/>
      <w:sz w:val="28"/>
    </w:rPr>
  </w:style>
  <w:style w:type="paragraph" w:customStyle="1" w:styleId="544">
    <w:name w:val="通用标题3"/>
    <w:next w:val="1"/>
    <w:qFormat/>
    <w:uiPriority w:val="0"/>
    <w:pPr>
      <w:widowControl w:val="0"/>
      <w:numPr>
        <w:ilvl w:val="1"/>
        <w:numId w:val="5"/>
      </w:numPr>
      <w:tabs>
        <w:tab w:val="left" w:pos="851"/>
      </w:tabs>
      <w:adjustRightInd w:val="0"/>
      <w:snapToGrid w:val="0"/>
      <w:spacing w:afterLines="50" w:line="360" w:lineRule="auto"/>
      <w:jc w:val="both"/>
      <w:outlineLvl w:val="2"/>
    </w:pPr>
    <w:rPr>
      <w:rFonts w:ascii="黑体" w:hAnsi="黑体" w:eastAsia="黑体" w:cs="Times New Roman"/>
      <w:b/>
      <w:kern w:val="2"/>
      <w:sz w:val="24"/>
      <w:szCs w:val="24"/>
      <w:lang w:val="en-US" w:eastAsia="zh-CN" w:bidi="ar-SA"/>
    </w:rPr>
  </w:style>
  <w:style w:type="paragraph" w:customStyle="1" w:styleId="545">
    <w:name w:val="通用标题4"/>
    <w:next w:val="1"/>
    <w:qFormat/>
    <w:uiPriority w:val="0"/>
    <w:pPr>
      <w:numPr>
        <w:ilvl w:val="2"/>
        <w:numId w:val="5"/>
      </w:numPr>
      <w:tabs>
        <w:tab w:val="left" w:pos="851"/>
      </w:tabs>
      <w:adjustRightInd w:val="0"/>
      <w:snapToGrid w:val="0"/>
      <w:spacing w:afterLines="50" w:line="360" w:lineRule="auto"/>
      <w:jc w:val="both"/>
      <w:outlineLvl w:val="3"/>
    </w:pPr>
    <w:rPr>
      <w:rFonts w:ascii="宋体" w:hAnsi="宋体" w:eastAsia="宋体" w:cs="Times New Roman"/>
      <w:kern w:val="2"/>
      <w:sz w:val="24"/>
      <w:szCs w:val="21"/>
      <w:lang w:val="en-US" w:eastAsia="zh-CN" w:bidi="ar-SA"/>
    </w:rPr>
  </w:style>
  <w:style w:type="paragraph" w:customStyle="1" w:styleId="546">
    <w:name w:val="通用标题5"/>
    <w:qFormat/>
    <w:uiPriority w:val="0"/>
    <w:pPr>
      <w:widowControl w:val="0"/>
      <w:numPr>
        <w:ilvl w:val="3"/>
        <w:numId w:val="5"/>
      </w:numPr>
      <w:tabs>
        <w:tab w:val="left" w:pos="1134"/>
      </w:tabs>
      <w:autoSpaceDE w:val="0"/>
      <w:autoSpaceDN w:val="0"/>
      <w:adjustRightInd w:val="0"/>
      <w:snapToGrid w:val="0"/>
      <w:spacing w:afterLines="50" w:line="360" w:lineRule="auto"/>
      <w:jc w:val="both"/>
    </w:pPr>
    <w:rPr>
      <w:rFonts w:ascii="宋体" w:hAnsi="宋体" w:eastAsia="宋体" w:cs="Times New Roman"/>
      <w:kern w:val="2"/>
      <w:sz w:val="24"/>
      <w:szCs w:val="21"/>
      <w:lang w:val="en-US" w:eastAsia="zh-CN" w:bidi="ar-SA"/>
    </w:rPr>
  </w:style>
  <w:style w:type="paragraph" w:customStyle="1" w:styleId="547">
    <w:name w:val="通用标题6"/>
    <w:basedOn w:val="1"/>
    <w:qFormat/>
    <w:uiPriority w:val="0"/>
    <w:pPr>
      <w:widowControl/>
      <w:numPr>
        <w:ilvl w:val="4"/>
        <w:numId w:val="6"/>
      </w:numPr>
      <w:tabs>
        <w:tab w:val="left" w:pos="993"/>
        <w:tab w:val="left" w:pos="1008"/>
      </w:tabs>
      <w:adjustRightInd w:val="0"/>
      <w:snapToGrid w:val="0"/>
      <w:spacing w:afterLines="50" w:line="360" w:lineRule="auto"/>
      <w:ind w:firstLine="0"/>
    </w:pPr>
    <w:rPr>
      <w:rFonts w:ascii="宋体" w:hAnsi="宋体"/>
      <w:kern w:val="0"/>
      <w:sz w:val="24"/>
      <w:szCs w:val="20"/>
    </w:rPr>
  </w:style>
  <w:style w:type="paragraph" w:customStyle="1" w:styleId="548">
    <w:name w:val="专用标题2"/>
    <w:basedOn w:val="4"/>
    <w:next w:val="1"/>
    <w:qFormat/>
    <w:uiPriority w:val="0"/>
    <w:pPr>
      <w:keepNext w:val="0"/>
      <w:keepLines w:val="0"/>
      <w:tabs>
        <w:tab w:val="left" w:pos="993"/>
      </w:tabs>
      <w:adjustRightInd w:val="0"/>
      <w:snapToGrid w:val="0"/>
      <w:spacing w:before="0" w:afterLines="50" w:line="360" w:lineRule="auto"/>
    </w:pPr>
    <w:rPr>
      <w:rFonts w:ascii="宋体" w:hAnsi="宋体" w:eastAsia="宋体" w:cs="Good Times"/>
      <w:sz w:val="28"/>
    </w:rPr>
  </w:style>
  <w:style w:type="paragraph" w:customStyle="1" w:styleId="549">
    <w:name w:val="附件标题"/>
    <w:basedOn w:val="4"/>
    <w:next w:val="1"/>
    <w:qFormat/>
    <w:uiPriority w:val="0"/>
    <w:pPr>
      <w:tabs>
        <w:tab w:val="left" w:pos="624"/>
        <w:tab w:val="left" w:pos="1134"/>
      </w:tabs>
      <w:wordWrap w:val="0"/>
      <w:topLinePunct/>
      <w:adjustRightInd w:val="0"/>
      <w:snapToGrid w:val="0"/>
      <w:spacing w:before="0" w:afterLines="50" w:line="360" w:lineRule="auto"/>
      <w:jc w:val="center"/>
    </w:pPr>
    <w:rPr>
      <w:rFonts w:ascii="黑体" w:hAnsi="黑体"/>
      <w:sz w:val="30"/>
      <w:szCs w:val="30"/>
    </w:rPr>
  </w:style>
  <w:style w:type="paragraph" w:customStyle="1" w:styleId="550">
    <w:name w:val="UserStyle_33"/>
    <w:qFormat/>
    <w:uiPriority w:val="0"/>
    <w:pPr>
      <w:textAlignment w:val="baseline"/>
    </w:pPr>
    <w:rPr>
      <w:rFonts w:ascii="黑体" w:hAnsi="Calibri" w:eastAsia="黑体" w:cs="Times New Roman"/>
      <w:color w:val="000000"/>
      <w:sz w:val="24"/>
      <w:szCs w:val="24"/>
      <w:lang w:val="en-US" w:eastAsia="zh-CN" w:bidi="ar-SA"/>
    </w:rPr>
  </w:style>
  <w:style w:type="paragraph" w:customStyle="1" w:styleId="551">
    <w:name w:val="Heading4"/>
    <w:basedOn w:val="1"/>
    <w:next w:val="1"/>
    <w:qFormat/>
    <w:uiPriority w:val="0"/>
    <w:pPr>
      <w:keepNext/>
      <w:keepLines/>
      <w:spacing w:line="360" w:lineRule="auto"/>
    </w:pPr>
    <w:rPr>
      <w:rFonts w:ascii="Arial" w:hAnsi="Arial"/>
      <w:b/>
      <w:kern w:val="0"/>
      <w:sz w:val="20"/>
    </w:rPr>
  </w:style>
  <w:style w:type="paragraph" w:customStyle="1" w:styleId="552">
    <w:name w:val="Heading2"/>
    <w:basedOn w:val="1"/>
    <w:next w:val="1"/>
    <w:qFormat/>
    <w:uiPriority w:val="0"/>
    <w:pPr>
      <w:keepNext/>
      <w:keepLines/>
      <w:spacing w:before="260" w:after="260" w:line="415" w:lineRule="auto"/>
    </w:pPr>
    <w:rPr>
      <w:rFonts w:ascii="Arial" w:hAnsi="Arial" w:eastAsia="黑体"/>
      <w:b/>
      <w:kern w:val="0"/>
      <w:sz w:val="32"/>
    </w:rPr>
  </w:style>
  <w:style w:type="paragraph" w:customStyle="1" w:styleId="553">
    <w:name w:val="WPSOffice手动目录 1"/>
    <w:qFormat/>
    <w:uiPriority w:val="0"/>
    <w:rPr>
      <w:rFonts w:ascii="Times New Roman" w:hAnsi="Times New Roman" w:eastAsia="宋体" w:cs="Times New Roman"/>
      <w:lang w:val="en-US" w:eastAsia="zh-CN" w:bidi="ar-SA"/>
    </w:rPr>
  </w:style>
  <w:style w:type="paragraph" w:customStyle="1" w:styleId="554">
    <w:name w:val="图片居中"/>
    <w:basedOn w:val="1"/>
    <w:next w:val="15"/>
    <w:qFormat/>
    <w:uiPriority w:val="0"/>
    <w:pPr>
      <w:jc w:val="center"/>
    </w:pPr>
  </w:style>
  <w:style w:type="paragraph" w:customStyle="1" w:styleId="555">
    <w:name w:val="标注文字"/>
    <w:basedOn w:val="14"/>
    <w:next w:val="15"/>
    <w:qFormat/>
    <w:uiPriority w:val="0"/>
  </w:style>
  <w:style w:type="table" w:customStyle="1" w:styleId="556">
    <w:name w:val="Table Normal"/>
    <w:unhideWhenUsed/>
    <w:qFormat/>
    <w:uiPriority w:val="0"/>
    <w:tblPr>
      <w:tblCellMar>
        <w:top w:w="0" w:type="dxa"/>
        <w:left w:w="0" w:type="dxa"/>
        <w:bottom w:w="0" w:type="dxa"/>
        <w:right w:w="0" w:type="dxa"/>
      </w:tblCellMar>
    </w:tblPr>
  </w:style>
  <w:style w:type="table" w:customStyle="1" w:styleId="557">
    <w:name w:val="TableGrid"/>
    <w:qFormat/>
    <w:uiPriority w:val="0"/>
    <w:tblPr>
      <w:tblCellMar>
        <w:top w:w="0" w:type="dxa"/>
        <w:left w:w="0" w:type="dxa"/>
        <w:bottom w:w="0" w:type="dxa"/>
        <w:right w:w="0" w:type="dxa"/>
      </w:tblCellMar>
    </w:tblPr>
  </w:style>
  <w:style w:type="paragraph" w:customStyle="1" w:styleId="558">
    <w:name w:val="List Paragraph1"/>
    <w:basedOn w:val="1"/>
    <w:qFormat/>
    <w:uiPriority w:val="0"/>
    <w:pPr>
      <w:widowControl/>
      <w:spacing w:line="360" w:lineRule="auto"/>
      <w:ind w:firstLine="420" w:firstLineChars="200"/>
    </w:pPr>
    <w:rPr>
      <w:rFonts w:ascii="等线" w:hAnsi="等线" w:eastAsia="仿宋" w:cs="黑体"/>
      <w:color w:val="000000"/>
      <w:sz w:val="32"/>
      <w:szCs w:val="22"/>
    </w:rPr>
  </w:style>
  <w:style w:type="paragraph" w:customStyle="1" w:styleId="559">
    <w:name w:val="gyy正文文字"/>
    <w:basedOn w:val="1"/>
    <w:qFormat/>
    <w:uiPriority w:val="0"/>
    <w:pPr>
      <w:widowControl/>
      <w:spacing w:line="360" w:lineRule="auto"/>
      <w:ind w:firstLine="471" w:firstLineChars="200"/>
    </w:pPr>
    <w:rPr>
      <w:rFonts w:ascii="宋体" w:hAnsi="宋体" w:cs="宋体"/>
      <w:color w:val="000000"/>
      <w:sz w:val="24"/>
      <w:szCs w:val="22"/>
    </w:rPr>
  </w:style>
  <w:style w:type="paragraph" w:customStyle="1" w:styleId="56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61">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562">
    <w:name w:val="font01"/>
    <w:qFormat/>
    <w:uiPriority w:val="0"/>
    <w:rPr>
      <w:rFonts w:hint="default" w:ascii="Times New Roman" w:hAnsi="Times New Roman" w:cs="Times New Roman"/>
      <w:color w:val="000000"/>
      <w:sz w:val="20"/>
      <w:szCs w:val="20"/>
      <w:u w:val="none"/>
    </w:rPr>
  </w:style>
  <w:style w:type="character" w:customStyle="1" w:styleId="563">
    <w:name w:val="font31"/>
    <w:qFormat/>
    <w:uiPriority w:val="0"/>
    <w:rPr>
      <w:rFonts w:hint="eastAsia" w:ascii="宋体" w:hAnsi="宋体" w:eastAsia="宋体" w:cs="宋体"/>
      <w:color w:val="000000"/>
      <w:sz w:val="20"/>
      <w:szCs w:val="20"/>
      <w:u w:val="none"/>
    </w:rPr>
  </w:style>
  <w:style w:type="paragraph" w:customStyle="1" w:styleId="564">
    <w:name w:val="正文2"/>
    <w:next w:val="1"/>
    <w:qFormat/>
    <w:uiPriority w:val="0"/>
    <w:pPr>
      <w:widowControl w:val="0"/>
      <w:jc w:val="center"/>
    </w:pPr>
    <w:rPr>
      <w:rFonts w:ascii="宋体" w:hAnsi="宋体" w:eastAsia="宋体" w:cs="Times New Roman"/>
      <w:color w:val="000000"/>
      <w:kern w:val="2"/>
      <w:sz w:val="21"/>
      <w:szCs w:val="24"/>
      <w:lang w:val="en-US" w:eastAsia="zh-CN" w:bidi="ar-SA"/>
    </w:rPr>
  </w:style>
  <w:style w:type="character" w:customStyle="1" w:styleId="565">
    <w:name w:val="font41"/>
    <w:qFormat/>
    <w:uiPriority w:val="0"/>
    <w:rPr>
      <w:rFonts w:hint="default" w:ascii="Times New Roman" w:hAnsi="Times New Roman" w:cs="Times New Roman"/>
      <w:color w:val="000000"/>
      <w:sz w:val="20"/>
      <w:szCs w:val="20"/>
      <w:u w:val="none"/>
    </w:rPr>
  </w:style>
  <w:style w:type="paragraph" w:customStyle="1" w:styleId="566">
    <w:name w:val="列表段落1"/>
    <w:basedOn w:val="1"/>
    <w:qFormat/>
    <w:uiPriority w:val="34"/>
    <w:pPr>
      <w:ind w:firstLine="420" w:firstLineChars="200"/>
    </w:pPr>
  </w:style>
  <w:style w:type="paragraph" w:customStyle="1" w:styleId="567">
    <w:name w:val="样式 首行缩进:  2 字符"/>
    <w:qFormat/>
    <w:uiPriority w:val="99"/>
    <w:pPr>
      <w:widowControl w:val="0"/>
      <w:spacing w:after="200" w:line="400" w:lineRule="exact"/>
      <w:ind w:firstLine="200" w:firstLineChars="200"/>
      <w:jc w:val="both"/>
    </w:pPr>
    <w:rPr>
      <w:rFonts w:ascii="Times New Roman" w:hAnsi="Times New Roman" w:eastAsia="宋体" w:cs="宋体"/>
      <w:kern w:val="2"/>
      <w:sz w:val="24"/>
      <w:szCs w:val="24"/>
      <w:lang w:val="en-US" w:eastAsia="zh-CN" w:bidi="ar-SA"/>
    </w:rPr>
  </w:style>
  <w:style w:type="paragraph" w:customStyle="1" w:styleId="568">
    <w:name w:val="标书的正文"/>
    <w:basedOn w:val="1"/>
    <w:next w:val="40"/>
    <w:qFormat/>
    <w:uiPriority w:val="0"/>
    <w:pPr>
      <w:spacing w:line="312" w:lineRule="auto"/>
      <w:ind w:firstLine="480"/>
    </w:pPr>
    <w:rPr>
      <w:rFonts w:ascii="宋体"/>
      <w:sz w:val="24"/>
    </w:rPr>
  </w:style>
  <w:style w:type="paragraph" w:customStyle="1" w:styleId="569">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570">
    <w:name w:val="修订3"/>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3815B3-6553-4764-A7B1-F744A791D38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81</Pages>
  <Words>10343</Words>
  <Characters>11427</Characters>
  <Lines>1</Lines>
  <Paragraphs>1</Paragraphs>
  <TotalTime>11</TotalTime>
  <ScaleCrop>false</ScaleCrop>
  <LinksUpToDate>false</LinksUpToDate>
  <CharactersWithSpaces>11548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2025-03-19T01:25:00Z</dcterms:created>
  <dc:creator>hu yan</dc:creator>
  <cp:lastModifiedBy>ROG</cp:lastModifiedBy>
  <cp:lastPrinted>2023-07-19T14:40:00Z</cp:lastPrinted>
  <dcterms:modified xsi:type="dcterms:W3CDTF">2026-08-21T10:21:06Z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151FE689A3CB416697BCCB68E44E2447_13</vt:lpwstr>
  </property>
  <property fmtid="{D5CDD505-2E9C-101B-9397-08002B2CF9AE}" pid="4" name="commondata">
    <vt:lpwstr>eyJoZGlkIjoiZWYwYzg3NWY4MzlmMGIzMDlhODVlZjllYzljZGU0OWQifQ==</vt:lpwstr>
  </property>
  <property fmtid="{D5CDD505-2E9C-101B-9397-08002B2CF9AE}" pid="5" name="KSOTemplateDocerSaveRecord">
    <vt:lpwstr>eyJoZGlkIjoiZDdkZWRmZjg4NDM2YzhhMTE1Yzg5ZWM0NzdjOTgxYjMiLCJ1c2VySWQiOiIzMTk2NjQwMTMifQ==</vt:lpwstr>
  </property>
</Properties>
</file>