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441501-2026-00997</w:t>
      </w:r>
    </w:p>
    <w:p>
      <w:pPr>
        <w:pStyle w:val="null3"/>
        <w:jc w:val="center"/>
        <w:outlineLvl w:val="3"/>
      </w:pPr>
      <w:r>
        <w:rPr>
          <w:sz w:val="24"/>
          <w:b/>
        </w:rPr>
        <w:t>采购项目编号：</w:t>
      </w:r>
      <w:r>
        <w:rPr>
          <w:sz w:val="24"/>
          <w:b/>
        </w:rPr>
        <w:t>441501-2026-00997</w:t>
      </w:r>
    </w:p>
    <w:p>
      <w:pPr>
        <w:pStyle w:val="null3"/>
        <w:jc w:val="center"/>
        <w:outlineLvl w:val="3"/>
      </w:pPr>
      <w:r>
        <w:rPr>
          <w:sz w:val="24"/>
          <w:b/>
        </w:rPr>
        <w:t>项目名称：</w:t>
      </w:r>
      <w:r>
        <w:rPr>
          <w:sz w:val="24"/>
          <w:b/>
        </w:rPr>
        <w:t>汕尾市公安局无人机应用服务(二次)</w:t>
      </w:r>
    </w:p>
    <w:p>
      <w:pPr>
        <w:pStyle w:val="null3"/>
        <w:jc w:val="center"/>
        <w:outlineLvl w:val="3"/>
      </w:pPr>
      <w:r>
        <w:rPr>
          <w:sz w:val="24"/>
          <w:b/>
        </w:rPr>
        <w:t>采购人：</w:t>
      </w:r>
      <w:r>
        <w:rPr>
          <w:sz w:val="24"/>
          <w:b/>
        </w:rPr>
        <w:t>汕尾市公安局</w:t>
      </w:r>
    </w:p>
    <w:p>
      <w:pPr>
        <w:pStyle w:val="null3"/>
        <w:jc w:val="center"/>
        <w:outlineLvl w:val="3"/>
      </w:pPr>
      <w:r>
        <w:rPr>
          <w:sz w:val="24"/>
          <w:b/>
        </w:rPr>
        <w:t>采购代理机构：</w:t>
      </w:r>
      <w:r>
        <w:rPr>
          <w:sz w:val="24"/>
          <w:b/>
        </w:rPr>
        <w:t>广东信越工程管理有限公司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广东信越工程管理有限公司</w:t>
      </w:r>
      <w:r>
        <w:rPr/>
        <w:t>受</w:t>
      </w:r>
      <w:r>
        <w:rPr/>
        <w:t>汕尾市公安局</w:t>
      </w:r>
      <w:r>
        <w:rPr/>
        <w:t>的委托，采用</w:t>
      </w:r>
      <w:r>
        <w:rPr/>
        <w:t>竞争性磋商</w:t>
      </w:r>
      <w:r>
        <w:rPr/>
        <w:t>方式组织采购</w:t>
      </w:r>
      <w:r>
        <w:rPr/>
        <w:t>汕尾市公安局无人机应用服务(二次)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汕尾市公安局无人机应用服务(二次)</w:t>
      </w:r>
    </w:p>
    <w:p>
      <w:pPr>
        <w:pStyle w:val="null3"/>
        <w:ind w:firstLine="480"/>
      </w:pPr>
      <w:r>
        <w:rPr/>
        <w:t>采购计划编号：</w:t>
      </w:r>
      <w:r>
        <w:rPr/>
        <w:t>441501-2026-00997</w:t>
      </w:r>
    </w:p>
    <w:p>
      <w:pPr>
        <w:pStyle w:val="null3"/>
        <w:ind w:firstLine="480"/>
      </w:pPr>
      <w:r>
        <w:rPr/>
        <w:t>采购项目编号：</w:t>
      </w:r>
      <w:r>
        <w:rPr/>
        <w:t>441501-2026-00997</w:t>
      </w:r>
    </w:p>
    <w:p>
      <w:pPr>
        <w:pStyle w:val="null3"/>
        <w:ind w:firstLine="480"/>
      </w:pPr>
      <w:r>
        <w:rPr/>
        <w:t>采购方式：</w:t>
      </w:r>
      <w:r>
        <w:rPr/>
        <w:t>竞争性磋商</w:t>
      </w:r>
    </w:p>
    <w:p>
      <w:pPr>
        <w:pStyle w:val="null3"/>
        <w:ind w:firstLine="480"/>
      </w:pPr>
      <w:r>
        <w:rPr/>
        <w:t>预算金额：</w:t>
      </w:r>
      <w:r>
        <w:rPr/>
        <w:t>2,858,184.00</w:t>
      </w:r>
      <w:r>
        <w:rPr/>
        <w:t>元</w:t>
      </w:r>
    </w:p>
    <w:p>
      <w:pPr>
        <w:pStyle w:val="null3"/>
        <w:outlineLvl w:val="3"/>
      </w:pPr>
      <w:r>
        <w:rPr>
          <w:sz w:val="24"/>
          <w:b/>
        </w:rPr>
        <w:t>2.项目内容及需求情况（采购项目技术规格、参数及要求）</w:t>
      </w:r>
    </w:p>
    <w:p>
      <w:pPr>
        <w:pStyle w:val="null3"/>
      </w:pPr>
      <w:r>
        <w:rPr/>
        <w:t>采购包1(汕尾市公安局无人机应用服务):</w:t>
      </w:r>
    </w:p>
    <w:p>
      <w:pPr>
        <w:pStyle w:val="null3"/>
      </w:pPr>
      <w:r>
        <w:rPr/>
        <w:t>采购包预算金额：2,858,184.00元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其他专业技术服务</w:t>
            </w:r>
          </w:p>
        </w:tc>
        <w:tc>
          <w:tcPr>
            <w:tcW w:type="dxa" w:w="2052"/>
          </w:tcPr>
          <w:p>
            <w:pPr>
              <w:pStyle w:val="null3"/>
            </w:pPr>
            <w:r>
              <w:rPr/>
              <w:t>汕尾市公安局无人机应用服务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2,858,184.00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合同履行期限：自合同签订之日起2年（包括服务、维护、培训），超出该完工期作无效投标处理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供应商提供以下其中一项有效材料即可：①提供《附件：政府采购供应商信用承诺函》并加盖公章；②提供投标截止日前6个月内任意1个月依法缴纳税收和社会保障资金的相关材料。如依法免税或不需要缴纳社会保障资金的，提供相应证明材料。注：供应商在投标（响应）时，按规定提供信用承诺函，无需提交上述证明材料，采购人有权在发放中标通知书前要求中标（成交）供应商提供证明材料，以备核实供应商承诺事项的真实性。</w:t>
      </w:r>
    </w:p>
    <w:p>
      <w:pPr>
        <w:pStyle w:val="null3"/>
      </w:pPr>
      <w:r>
        <w:rPr/>
        <w:t>3）具有良好的商业信誉和健全的财务会计制度：供应商提供以下其中一项有效材料即可：①提供《附件：政府采购供应商信用承诺函》并加盖公章；②提供2024年度财务状况报告或基本开户行出具的资信证明。注：供应商在投标（响应）时，按规定提供信用承诺函，无需提交上述证明材料，采购人有权在发放中标通知书前要求中标（成交）供应商提供证明材料，以备核实供应商承诺事项的真实性。</w:t>
      </w:r>
    </w:p>
    <w:p>
      <w:pPr>
        <w:pStyle w:val="null3"/>
      </w:pPr>
      <w:r>
        <w:rPr/>
        <w:t>4）履行合同所必需的设备和专业技术能力：供应商提供以下其中一项有效材料即可：①提供《附件：政府采购供应商信用承诺函》并加盖公章；②按投标（响应）文件格式填报设备及专业技术能力情况。注：供应商在投标（响应）时，按规定提供信用承诺函，无需提交上述证明材料，采购人有权在发放中标通知书前要求中标（成交）供应商提供证明材料，以备核实供应商承诺事项的真实性。</w:t>
      </w:r>
    </w:p>
    <w:p>
      <w:pPr>
        <w:pStyle w:val="null3"/>
      </w:pPr>
      <w:r>
        <w:rPr/>
        <w:t>5）参加采购活动前3年内，在经营活动中没有重大违法记录：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响应）时，按规定提供《政府采购供应商信用承诺函》，无需提交上述证明材料，采购人有权在发放中标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采购包1（汕尾市公安局无人机应用服务）：</w:t>
      </w:r>
      <w:r>
        <w:rPr/>
        <w:t>本项目不属于专门面向中小企业采购的项目，本项目中小企业划分标准所属行业为其他未列明行业。需要落实的政府采购政策：《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等。</w:t>
      </w:r>
    </w:p>
    <w:p>
      <w:pPr>
        <w:pStyle w:val="null3"/>
        <w:outlineLvl w:val="3"/>
      </w:pPr>
      <w:r>
        <w:rPr>
          <w:sz w:val="24"/>
          <w:b/>
        </w:rPr>
        <w:t>3.本项目特定的资格要求：</w:t>
      </w:r>
    </w:p>
    <w:p>
      <w:pPr>
        <w:pStyle w:val="null3"/>
      </w:pPr>
      <w:r>
        <w:rPr/>
        <w:t>采购包1（汕尾市公安局无人机应用服务）：</w:t>
      </w:r>
    </w:p>
    <w:p>
      <w:pPr>
        <w:pStyle w:val="null3"/>
      </w:pPr>
      <w:r>
        <w:rPr/>
        <w:t>1)信用记录：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递交响应文件截止日当天在“信用中国” 网站（www.creditchina.gov.cn）及中国政府采购网(www.ccgp.gov.cn)查询结果为准，如相关失信记录已失效，供应商需提供相关证明资料）。或提供《政府采购供应商信用承诺函》（文件格式详见《政府采购供应商信用承诺函》）。</w:t>
      </w:r>
    </w:p>
    <w:p>
      <w:pPr>
        <w:pStyle w:val="null3"/>
      </w:pPr>
      <w:r>
        <w:rPr/>
        <w:t>2)供应商必须符合法律、行政法规规定的其他条件：单位负责人为同一人或者存在直接控股、 管理关系的不同供应商，不得同时参加本采购项目（或采购包）投标（响应）。为本项目提供整体设计、规范编制或者项目管理、监理、检测等服务的供应商，不得再参与本项目投标（响应）。注：供应商在投标（响应）时，按规定提供《政府采购供应商信用承诺函》，无需提交上述证明材料，采购人有权在发放中标通知书前要求中标（成交）供应商提供证明材料，以备核实供应商承诺事项的真实性。</w:t>
      </w:r>
    </w:p>
    <w:p>
      <w:pPr>
        <w:pStyle w:val="null3"/>
      </w:pPr>
      <w:r>
        <w:rPr/>
        <w:t>3)供应商须具有中国民用航空局颁发有效期内的《民用无人驾驶航空器运营合格证》。</w:t>
      </w:r>
    </w:p>
    <w:p>
      <w:pPr>
        <w:pStyle w:val="null3"/>
      </w:pPr>
      <w:r>
        <w:rPr/>
        <w:t>4)本项目不接受联合体投标。</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汕尾市公安局</w:t>
      </w:r>
    </w:p>
    <w:p>
      <w:pPr>
        <w:pStyle w:val="null3"/>
        <w:ind w:firstLine="480"/>
      </w:pPr>
      <w:r>
        <w:rPr/>
        <w:t>地址：</w:t>
      </w:r>
      <w:r>
        <w:rPr/>
        <w:t>汕尾市城区红海中路汕尾市公安局</w:t>
      </w:r>
    </w:p>
    <w:p>
      <w:pPr>
        <w:pStyle w:val="null3"/>
        <w:ind w:firstLine="480"/>
      </w:pPr>
      <w:r>
        <w:rPr/>
        <w:t>联系方式：</w:t>
      </w:r>
      <w:r>
        <w:rPr/>
        <w:t>13923599995</w:t>
      </w:r>
    </w:p>
    <w:p>
      <w:pPr>
        <w:pStyle w:val="null3"/>
        <w:outlineLvl w:val="3"/>
      </w:pPr>
      <w:r>
        <w:rPr>
          <w:sz w:val="24"/>
          <w:b/>
        </w:rPr>
        <w:t>2.采购代理机构信息</w:t>
      </w:r>
    </w:p>
    <w:p>
      <w:pPr>
        <w:pStyle w:val="null3"/>
        <w:ind w:firstLine="480"/>
      </w:pPr>
      <w:r>
        <w:rPr/>
        <w:t>名称：</w:t>
      </w:r>
      <w:r>
        <w:rPr/>
        <w:t>广东信越工程管理有限公司</w:t>
      </w:r>
    </w:p>
    <w:p>
      <w:pPr>
        <w:pStyle w:val="null3"/>
        <w:ind w:firstLine="480"/>
      </w:pPr>
      <w:r>
        <w:rPr/>
        <w:t xml:space="preserve"> 地址：</w:t>
      </w:r>
      <w:r>
        <w:rPr/>
        <w:t>汕尾市区品清湖西侧滨湖路泰濠世纪豪庭2梯504室。</w:t>
      </w:r>
    </w:p>
    <w:p>
      <w:pPr>
        <w:pStyle w:val="null3"/>
        <w:ind w:firstLine="480"/>
      </w:pPr>
      <w:r>
        <w:rPr/>
        <w:t xml:space="preserve"> 联系方式：</w:t>
      </w:r>
      <w:r>
        <w:rPr/>
        <w:t>0660-3372398</w:t>
      </w:r>
    </w:p>
    <w:p>
      <w:pPr>
        <w:pStyle w:val="null3"/>
        <w:outlineLvl w:val="3"/>
      </w:pPr>
      <w:r>
        <w:rPr>
          <w:sz w:val="24"/>
          <w:b/>
        </w:rPr>
        <w:t xml:space="preserve"> 3.项目联系方式</w:t>
      </w:r>
    </w:p>
    <w:p>
      <w:pPr>
        <w:pStyle w:val="null3"/>
        <w:ind w:firstLine="480"/>
      </w:pPr>
      <w:r>
        <w:rPr/>
        <w:t xml:space="preserve"> 项目联系人：</w:t>
      </w:r>
      <w:r>
        <w:rPr/>
        <w:t>柳瑶瑶</w:t>
      </w:r>
    </w:p>
    <w:p>
      <w:pPr>
        <w:pStyle w:val="null3"/>
        <w:ind w:firstLine="480"/>
      </w:pPr>
      <w:r>
        <w:rPr/>
        <w:t xml:space="preserve"> 电话：</w:t>
      </w:r>
      <w:r>
        <w:rPr/>
        <w:t>0660-3372398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广东信越工程管理有限公司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 xml:space="preserve">       依据采购人的需求，提供无人机技术服务，旨在促使综合治理达成智慧化转型，构建“打、防、管、控”的立体防御体系，提升打击违法犯罪综合治理的现代化能力。服务内容包含每年提供1机组。每机组包含垂直起降无人机1台（含配套云台相机*1、电池*2组）、多旋翼无人机2台（含激光补光灯*2、配套电池*4组/台），可连续完成8小时空中侦察任务，配套技术飞行人员2名和多警种协作数据分析专员1名、作业车辆1辆。</w:t>
      </w:r>
      <w:r>
        <w:br/>
      </w:r>
      <w:r>
        <w:rPr/>
        <w:t xml:space="preserve">        中标供应商需为本项目提供每年不少于340天的无人机技术服务，其中无人机飞行服务每年不少于300天，单日飞行服务时长不低于 8 小时。服务内容包括但不限于无人机日常巡查、案件配合与现场勘查、电子数据地图搭建与更新、重点要素预警。同时，需配套提供电脑等必要的无人机指挥平台硬件设备，确保指挥平台稳定运行，满足日常调度、数据处理、实时监控及预警需求。</w:t>
      </w:r>
      <w:r>
        <w:br/>
      </w:r>
      <w:r>
        <w:rPr/>
        <w:t xml:space="preserve">       采购人需案件配合时，中标供应商保持24小时机动待命，随时配合采购人行动安排；无案件配合时，中标供应商根据采购人需求对重点区域进行日常巡防和重点要素服务。</w:t>
      </w:r>
    </w:p>
    <w:p>
      <w:pPr>
        <w:pStyle w:val="null3"/>
      </w:pPr>
      <w:r>
        <w:rPr/>
        <w:t>采购包1（汕尾市公安局无人机应用服务）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自合同签订之日起2年（包括服务、维护、培训），超出该完工期作无效投标处理</w:t>
            </w:r>
          </w:p>
        </w:tc>
      </w:tr>
      <w:tr>
        <w:tc>
          <w:tcPr>
            <w:tcW w:type="dxa" w:w="4153"/>
          </w:tcPr>
          <w:p>
            <w:pPr>
              <w:pStyle w:val="null3"/>
            </w:pPr>
            <w:r>
              <w:rPr/>
              <w:t>标的提供的地点</w:t>
            </w:r>
          </w:p>
        </w:tc>
        <w:tc>
          <w:tcPr>
            <w:tcW w:type="dxa" w:w="4153"/>
          </w:tcPr>
          <w:p>
            <w:pPr>
              <w:pStyle w:val="null3"/>
            </w:pPr>
            <w:r>
              <w:rPr/>
              <w:t>采购人指定地点（汕尾市内）</w:t>
            </w:r>
          </w:p>
        </w:tc>
      </w:tr>
      <w:tr>
        <w:tc>
          <w:tcPr>
            <w:tcW w:type="dxa" w:w="4153"/>
          </w:tcPr>
          <w:p>
            <w:pPr>
              <w:pStyle w:val="null3"/>
            </w:pPr>
            <w:r>
              <w:rPr/>
              <w:t>付款方式</w:t>
            </w:r>
          </w:p>
        </w:tc>
        <w:tc>
          <w:tcPr>
            <w:tcW w:type="dxa" w:w="4153"/>
          </w:tcPr>
          <w:p>
            <w:pPr>
              <w:pStyle w:val="null3"/>
            </w:pPr>
            <w:r>
              <w:rPr/>
              <w:t>1期：支付比例35%,合同签订生效后，中标供应商向采购人缴交发票后15个工作日内，采购人向中标供应商支付合同总额的35%。</w:t>
            </w:r>
          </w:p>
          <w:p>
            <w:pPr>
              <w:pStyle w:val="null3"/>
            </w:pPr>
            <w:r>
              <w:rPr/>
              <w:t>2期：支付比例45%,主要设备（飞行器）进场，无人机作业服务开始后15个工作日内，采购人向中标供应商支付合同总额的45%。</w:t>
            </w:r>
          </w:p>
          <w:p>
            <w:pPr>
              <w:pStyle w:val="null3"/>
            </w:pPr>
            <w:r>
              <w:rPr/>
              <w:t>3期：支付比例20%,服务期满且项目验收合格后，采购人向中标供应商支付至合同总额的20%。 注： （1）每期申请支付合同款项时，中标供应商须向采购人提供：①中标通知书；②合同； ③中标供应商开具的正式发票；④验收报告（如有）。 （2）合同付款时间为采购人向政府采购支付部门提出支付申请的时间（不含政府采购支付部门的审核和支付时间），在规定时间内提交付款申请即视为采购人已履行。</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1期：（1）验收主体 由采购人指定的相关业务部门（或牵头部门）负责组织验收工作，并代表采购人签署验收单。 （2）验收时间 成交供应商完成全部合同约定的无人机应用服务内容后，应向采购人提交书面验收申请及完整验收资料。采购人应在收到验收申请之日起 10个工作日内组织验收。 验收中发现不合格项的，采购人应出具书面整改意见，成交供应商应在5个工作日内完成整改并提交复验申请。复验合格后方可通过验收。逾期未完成整改或复验仍不合格的，视为验收不通过。 （3）验收方式 采用资料核查、现场查验、无人机作业成果报告核验相结合的方式进行验收。 （4）验收程序 ① 成交供应商提交验收申请及合同约定的全套资料（含作业记录、成果数据等）； ② 采购人对资料进行初审，资料不齐全或不符合要求的，供应商应在 3个工作日内补正； ③ 资料初审通过后，采购人组织核验，包括检查设备、作业过程合规性、成果质量等； ④ 采购人出具书面验收结果报告，明确结论（通过/不通过/整改后通过）； ⑤ 如存在不合格项，采购人发出限期整改通知，供应商整改后申请复检，复检程序同③④。 （5）验收内容 包括但不限于以下内容： ① 无人机作业服务是否按合同要求完成（覆盖范围、飞行架次、数据采集质量等）； ② 技术服务是否到位（培训、技术支持、维护保障等）； ③ 项目成果（报告、影像、模型、分析数据等）是否完整、准确、符合技术规范； ④服务过程记录是否规范、可追溯； ⑤ 所有交付资料是否齐全、符合归档要求。 （6）验收标准 ① 验收工作应遵循国家、行业现行有效的相关技术标准、规范，并以合同、招标文件、投标文件及成交供应商承诺为准。 ② 所有投入使用的无人机设备、载荷、地面站及相关附属设备，均须提供详细的中文说明书。 ③ 成交供应商提供的所有设备、系统及服务，必须同时满足： （1）国家及行业现行标准； （2）采购人合同及技术需求书中明确的性能与功能要求。 凡不符合上述任一条件的，采购人有权拒绝接受，并要求供应商无条件更换或重做，由此产生的费用、延误及相关后果均由成交供应商自行承担。 ④ 验收过程中发生的检测、检验、专家咨询等费用（如有），由成交供应商承担。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一、报价要求 投标报价应为人民币含税全包价，包含技术服务、设备供应/租赁、运输、安装调试、维护更换、培训、验收、保险、税费、作业车辆运营费等所有费用，采购人不再支付其他任何费用。 二、合同签订要求 采购合同由中标（成交）供应商与采购人双方签订，签订时间为《中标（成交）通知书》发出之日起30个日历天内。 三、设备配置要求 1.中标供应商须提供符合国家质量检测标准的设备提供作业服务。 四、售后服务要求 （一）故障响应服务 1.故障报修渠道：中标供应商须提供24 小时故障报修热线，建立报修台账，记录报修时间、问题描述、处理过程、处理结果等。 2.响应时效：接到故障报修信息后，2 小时内响应并提供书面故障解决方案；需现场解决的故障，技术人员须6 小时内到达现场开展处理。 3.维修与替代：若故障在24 小时内无法修复，中标供应商须立即提供性能相同或更优的替代设备，保障采购人作业不受影响；替代设备使用至原设备修复完毕，且不额外收取费用。 4.故障报告：故障问题解决后24 小时内，中标供应商须向采购人提交《故障处理报告》，详细说明问题类型、产生原因、处理方法、整改措施及造成的损失（如有）。 （二）长期技术支持 1.本项目中标供应商的技术指导服务不因服务期结束而终止。 2.服务期内：提供 7×24 小时技术支持，包括设备维护、飞行技术指导、应急作业支援等。 五、服务期满后移交手续 1.服务期满后，中标供应商须在7 个工作日内向采购人移交全部项目成果，包括飞行记录、视频影像、电子数据地图、设备资料等，成果所有权归采购人所有。 六、其他约定 1.飞行工作量违约扣款 全年在岗服务≥340 天、飞行服务≥300 天，单日飞行时长≥8 小时。 ①单日飞行不足 8 小时：3 日内补齐时长，拒不补飞扣除当日全额服务费； ②年终核算，每少1个飞行日扣合同总价 0.3%，每少1个在岗服务日扣合同总价0.15%；年底未补齐飞行量，差额扣款上浮 30%。 2.日常业务工作违约扣款 ①巡查、现场勘查、电子地图更新、24 小时预警、月度资料提交不合格，限期 5 日整改，逾期不改每次扣当期应付服务费 5%； ②案件保障未24小时待命、到场迟缓，单次扣当期应付服务费 5%，引发损失由供应商全额赔偿。 3.人员、设备、保险、维保违约扣款 ①飞行、数据分析人员配置不足、资质不达标、非本单位正式员工，3 日内未更换合格人员，每日扣合同总价 0.2%； ②设备缺配、故障响应超时、24 小时内无法修复且不提供同等替代设备，每日扣当期服务费 3%； ③未依规投保无人机保险、未定期保养检修设备，一次性扣合同总价2%，限期整改。 4.保密违约处置 人员未签保密协议、泄露影像、地图、预警等涉密资料，查实后一次性扣合同总价5%；造成损失全额赔付，采购人可直接中止服务。 5.验收不合格、无法整改处置流程 （1）服务期满整体验收时，经核查存在大量未完成合同服务内容、飞行指标、作业成果、人员设备不达标，且经过限期整改后依然无法达到招标文件、合同标准的，判定验收不通过； （2）采购人整理全部履约偏差、整改记录、核验材料，按内部审批流程呈批； （3）审批通过后采购人有权单方终止合同，中标供应商须全额退还未履约部分已支付预付款及进度款，并支付合同总价10% 的违约金；因重新采购、第三方支援产生的额外成本与一切损失，全部由中标供应商承担。 6.严重违约总规则 累计收到 2 次书面整改通知仍履约不达标的，直接视作严重违约，启用上述终止合同、退款、赔付违约金流程。</w:t>
            </w:r>
          </w:p>
        </w:tc>
        <w:tc>
          <w:tcPr>
            <w:tcW w:type="dxa" w:w="2076"/>
          </w:tcPr>
          <w:p>
            <w:pPr>
              <w:pStyle w:val="null3"/>
              <w:jc w:val="left"/>
            </w:pPr>
            <w:r>
              <w:rPr/>
              <w:t>无</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汕尾市公安局无人机应用服务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2,858,184.00</w:t>
            </w:r>
          </w:p>
        </w:tc>
        <w:tc>
          <w:tcPr>
            <w:tcW w:type="dxa" w:w="933"/>
          </w:tcPr>
          <w:p>
            <w:pPr>
              <w:pStyle w:val="null3"/>
              <w:jc w:val="right"/>
            </w:pPr>
            <w:r>
              <w:rPr/>
              <w:t>2,858,184.00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汕尾市公安局无人机应用服务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90"/>
              <w:ind w:left="105" w:firstLine="380"/>
            </w:pPr>
            <w:r>
              <w:rPr>
                <w:sz w:val="19"/>
                <w:color w:val="000000"/>
              </w:rPr>
              <w:t>一、项目背景</w:t>
            </w:r>
          </w:p>
          <w:p>
            <w:pPr>
              <w:pStyle w:val="null3"/>
              <w:spacing w:before="90"/>
              <w:ind w:left="105" w:firstLine="380"/>
            </w:pPr>
            <w:r>
              <w:rPr>
                <w:sz w:val="19"/>
                <w:color w:val="000000"/>
              </w:rPr>
              <w:t>依据采购人的需求，提供无人机技术服务，旨在促使综合治理达成智慧化转型，构建</w:t>
            </w:r>
            <w:r>
              <w:rPr>
                <w:sz w:val="19"/>
                <w:color w:val="000000"/>
              </w:rPr>
              <w:t>“打、防、管、控”的立体防御体系，提升打击违法犯罪综合治理的现代化能力。</w:t>
            </w:r>
          </w:p>
          <w:p>
            <w:pPr>
              <w:pStyle w:val="null3"/>
              <w:spacing w:before="90"/>
              <w:ind w:left="105" w:firstLine="380"/>
            </w:pPr>
            <w:r>
              <w:rPr>
                <w:sz w:val="19"/>
                <w:color w:val="000000"/>
              </w:rPr>
              <w:t>二、服务内容</w:t>
            </w:r>
          </w:p>
          <w:p>
            <w:pPr>
              <w:pStyle w:val="null3"/>
              <w:spacing w:before="90"/>
              <w:ind w:left="105" w:firstLine="380"/>
            </w:pPr>
            <w:r>
              <w:rPr>
                <w:sz w:val="19"/>
                <w:color w:val="000000"/>
              </w:rPr>
              <w:t>中标供应商每年提供</w:t>
            </w:r>
            <w:r>
              <w:rPr>
                <w:sz w:val="19"/>
                <w:color w:val="000000"/>
              </w:rPr>
              <w:t>1机组。每机组包含垂直起降</w:t>
            </w:r>
            <w:r>
              <w:rPr>
                <w:sz w:val="19"/>
                <w:color w:val="000000"/>
              </w:rPr>
              <w:t>无人机</w:t>
            </w:r>
            <w:r>
              <w:rPr>
                <w:sz w:val="19"/>
                <w:color w:val="000000"/>
              </w:rPr>
              <w:t>1台（含配套云台相机*1、电池*2组）、多旋翼无人机2台（含激光补光灯*2、配套电池*4组/台），可连续完成8小时空中侦察任务，配套技术飞行人员2名和多警种协作数据分析专员</w:t>
            </w:r>
            <w:r>
              <w:rPr>
                <w:sz w:val="19"/>
                <w:color w:val="000000"/>
              </w:rPr>
              <w:t>1名</w:t>
            </w:r>
            <w:r>
              <w:rPr>
                <w:sz w:val="19"/>
                <w:color w:val="000000"/>
              </w:rPr>
              <w:t>、作业车辆</w:t>
            </w:r>
            <w:r>
              <w:rPr>
                <w:sz w:val="19"/>
                <w:color w:val="000000"/>
              </w:rPr>
              <w:t>1辆。</w:t>
            </w:r>
          </w:p>
          <w:p>
            <w:pPr>
              <w:pStyle w:val="null3"/>
              <w:spacing w:before="90"/>
              <w:ind w:left="105" w:firstLine="380"/>
            </w:pPr>
            <w:r>
              <w:rPr>
                <w:sz w:val="19"/>
                <w:color w:val="000000"/>
              </w:rPr>
              <w:t>中标供应商需为本项目提供每年不少于</w:t>
            </w:r>
            <w:r>
              <w:rPr>
                <w:sz w:val="19"/>
                <w:color w:val="000000"/>
              </w:rPr>
              <w:t>340天的无人机技术服务，其中无人机飞行服务每年不少于300天，</w:t>
            </w:r>
            <w:r>
              <w:rPr>
                <w:sz w:val="19"/>
                <w:color w:val="000000"/>
              </w:rPr>
              <w:t>单日飞行服务时长不低于</w:t>
            </w:r>
            <w:r>
              <w:rPr>
                <w:sz w:val="19"/>
                <w:color w:val="000000"/>
              </w:rPr>
              <w:t xml:space="preserve"> 8 小时。</w:t>
            </w:r>
            <w:r>
              <w:rPr>
                <w:sz w:val="19"/>
                <w:color w:val="000000"/>
              </w:rPr>
              <w:t>服务内容包括但不限于无人机日常巡查、案件配合与现场勘查、电子数据地图搭建与更新、重点要素预警。同时，需配套提供电脑等必要的无人机指挥平台硬件设备，确保指挥平台稳定运行，满足日常调度、数据处理、实时监控及预警需求。</w:t>
            </w:r>
          </w:p>
          <w:p>
            <w:pPr>
              <w:pStyle w:val="null3"/>
              <w:spacing w:before="90"/>
              <w:ind w:left="105" w:firstLine="380"/>
            </w:pPr>
            <w:r>
              <w:rPr>
                <w:sz w:val="19"/>
                <w:color w:val="000000"/>
              </w:rPr>
              <w:t>采购人需案件配合时，中标供应商保持</w:t>
            </w:r>
            <w:r>
              <w:rPr>
                <w:sz w:val="19"/>
                <w:color w:val="000000"/>
              </w:rPr>
              <w:t>24小时机动待命，随时配合采购人行动安排；无案件配合时，中标供应商根据采购人需求对重点区域进行日常巡防和重点要素服务。</w:t>
            </w:r>
          </w:p>
          <w:p>
            <w:pPr>
              <w:pStyle w:val="null3"/>
              <w:spacing w:before="90"/>
              <w:ind w:left="105" w:firstLine="380"/>
            </w:pPr>
            <w:r>
              <w:rPr>
                <w:sz w:val="19"/>
                <w:color w:val="000000"/>
              </w:rPr>
              <w:t>（一）日常巡查服务</w:t>
            </w:r>
          </w:p>
          <w:p>
            <w:pPr>
              <w:pStyle w:val="null3"/>
              <w:spacing w:before="90"/>
              <w:ind w:left="105" w:firstLine="380"/>
            </w:pPr>
            <w:r>
              <w:rPr>
                <w:sz w:val="19"/>
                <w:color w:val="000000"/>
              </w:rPr>
              <w:t>利用无人机对重点区域开展常规化巡查，并对巡查区域周边重点要素进行排查，实现对区域情况的全面掌握，如遇可疑情况及时汇报，并提交视频等资料。日常巡查留存视频及无人机飞行记录等资料，定期每月以电子形式交付。</w:t>
            </w:r>
          </w:p>
          <w:p>
            <w:pPr>
              <w:pStyle w:val="null3"/>
              <w:spacing w:before="90"/>
              <w:ind w:left="105" w:firstLine="380"/>
            </w:pPr>
            <w:r>
              <w:rPr>
                <w:sz w:val="19"/>
                <w:color w:val="000000"/>
              </w:rPr>
              <w:t>（二）案件配合与现场勘查</w:t>
            </w:r>
          </w:p>
          <w:p>
            <w:pPr>
              <w:pStyle w:val="null3"/>
              <w:spacing w:before="90"/>
              <w:ind w:left="105" w:firstLine="380"/>
            </w:pPr>
            <w:r>
              <w:rPr>
                <w:sz w:val="19"/>
                <w:color w:val="000000"/>
              </w:rPr>
              <w:t>根据采购人任务要求按时到达指定地点进行无人机侦察，并根据采购人需求进行数据采集包括普通视频与照片、热成像视频图像、地形鸟瞰图、地形</w:t>
            </w:r>
            <w:r>
              <w:rPr>
                <w:sz w:val="19"/>
                <w:color w:val="000000"/>
              </w:rPr>
              <w:t>VR图等，做好前期重点要素分析，中期空中侦察支援，后期数据汇总、反馈等工作。</w:t>
            </w:r>
          </w:p>
          <w:p>
            <w:pPr>
              <w:pStyle w:val="null3"/>
              <w:spacing w:before="90"/>
              <w:ind w:left="105" w:firstLine="380"/>
            </w:pPr>
            <w:r>
              <w:rPr>
                <w:sz w:val="19"/>
                <w:color w:val="000000"/>
              </w:rPr>
              <w:t>（三）电子数据地图搭建与更新</w:t>
            </w:r>
          </w:p>
          <w:p>
            <w:pPr>
              <w:pStyle w:val="null3"/>
              <w:spacing w:before="90"/>
              <w:ind w:left="105" w:firstLine="380"/>
            </w:pPr>
            <w:r>
              <w:rPr>
                <w:sz w:val="19"/>
                <w:color w:val="000000"/>
              </w:rPr>
              <w:t>根据采购人工作要求，结合案件查获情况、日常巡防成果及情报信息汇总情况，对重点区域、码头、建筑物、道路等开展现场数据采集与信息核实，搭建并动态更新电子数据地图，供采购人实时查阅使用。</w:t>
            </w:r>
          </w:p>
          <w:p>
            <w:pPr>
              <w:pStyle w:val="null3"/>
              <w:spacing w:before="90"/>
              <w:ind w:left="105" w:firstLine="380"/>
            </w:pPr>
            <w:r>
              <w:rPr>
                <w:sz w:val="19"/>
                <w:color w:val="000000"/>
              </w:rPr>
              <w:t>（四）重点要素预警</w:t>
            </w:r>
          </w:p>
          <w:p>
            <w:pPr>
              <w:pStyle w:val="null3"/>
              <w:spacing w:before="90"/>
              <w:ind w:left="105" w:firstLine="380"/>
            </w:pPr>
            <w:r>
              <w:rPr>
                <w:sz w:val="19"/>
                <w:color w:val="000000"/>
              </w:rPr>
              <w:t>设立专业数据分析小组，对采购人辖区及指定重点区域内的重点要素实施网格化布控，进行全天</w:t>
            </w:r>
            <w:r>
              <w:rPr>
                <w:sz w:val="19"/>
                <w:color w:val="000000"/>
              </w:rPr>
              <w:t>24小时不间断监察。同时对重点要素开展数据分析。相关情况需立即向采购人汇报，并留存相关截图及事件记录，每月定期以电子形式提交给采购人。</w:t>
            </w:r>
          </w:p>
          <w:p>
            <w:pPr>
              <w:pStyle w:val="null3"/>
              <w:spacing w:before="90"/>
              <w:ind w:left="105" w:firstLine="380"/>
            </w:pPr>
            <w:r>
              <w:rPr>
                <w:sz w:val="19"/>
                <w:color w:val="000000"/>
              </w:rPr>
              <w:t>三、采购服务清单</w:t>
            </w:r>
          </w:p>
          <w:tbl>
            <w:tblPr>
              <w:tblBorders>
                <w:top w:val="none" w:color="000000" w:sz="4"/>
                <w:left w:val="none" w:color="000000" w:sz="4"/>
                <w:bottom w:val="none" w:color="000000" w:sz="4"/>
                <w:right w:val="none" w:color="000000" w:sz="4"/>
                <w:insideH w:val="none"/>
                <w:insideV w:val="none"/>
              </w:tblBorders>
            </w:tblPr>
            <w:tblGrid>
              <w:gridCol w:w="718"/>
              <w:gridCol w:w="887"/>
              <w:gridCol w:w="1831"/>
              <w:gridCol w:w="718"/>
              <w:gridCol w:w="718"/>
              <w:gridCol w:w="726"/>
            </w:tblGrid>
            <w:tr>
              <w:tc>
                <w:tcPr>
                  <w:tcW w:type="dxa" w:w="7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ind w:left="105" w:firstLine="380"/>
                  </w:pPr>
                  <w:r>
                    <w:rPr>
                      <w:sz w:val="19"/>
                      <w:color w:val="000000"/>
                    </w:rPr>
                    <w:t>序号</w:t>
                  </w:r>
                </w:p>
              </w:tc>
              <w:tc>
                <w:tcPr>
                  <w:tcW w:type="dxa" w:w="8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ind w:left="105" w:firstLine="380"/>
                  </w:pPr>
                  <w:r>
                    <w:rPr>
                      <w:sz w:val="19"/>
                      <w:color w:val="000000"/>
                    </w:rPr>
                    <w:t>项目</w:t>
                  </w:r>
                </w:p>
              </w:tc>
              <w:tc>
                <w:tcPr>
                  <w:tcW w:type="dxa" w:w="18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ind w:left="105" w:firstLine="380"/>
                  </w:pPr>
                  <w:r>
                    <w:rPr>
                      <w:sz w:val="19"/>
                      <w:color w:val="000000"/>
                    </w:rPr>
                    <w:t>服务要求</w:t>
                  </w:r>
                </w:p>
              </w:tc>
              <w:tc>
                <w:tcPr>
                  <w:tcW w:type="dxa" w:w="7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ind w:left="105" w:firstLine="380"/>
                  </w:pPr>
                  <w:r>
                    <w:rPr>
                      <w:sz w:val="19"/>
                      <w:color w:val="000000"/>
                    </w:rPr>
                    <w:t>数量</w:t>
                  </w:r>
                </w:p>
              </w:tc>
              <w:tc>
                <w:tcPr>
                  <w:tcW w:type="dxa" w:w="7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ind w:left="105" w:firstLine="380"/>
                  </w:pPr>
                  <w:r>
                    <w:rPr>
                      <w:sz w:val="19"/>
                      <w:color w:val="000000"/>
                    </w:rPr>
                    <w:t>单位</w:t>
                  </w:r>
                </w:p>
              </w:tc>
              <w:tc>
                <w:tcPr>
                  <w:tcW w:type="dxa" w:w="7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ind w:firstLine="190"/>
                  </w:pPr>
                  <w:r>
                    <w:rPr>
                      <w:sz w:val="19"/>
                      <w:color w:val="000000"/>
                    </w:rPr>
                    <w:t>服务期</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ind w:left="105" w:firstLine="380"/>
                  </w:pPr>
                  <w:r>
                    <w:rPr>
                      <w:sz w:val="19"/>
                      <w:color w:val="000000"/>
                    </w:rPr>
                    <w:t>1</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pPr>
                  <w:r>
                    <w:rPr>
                      <w:sz w:val="19"/>
                      <w:color w:val="000000"/>
                    </w:rPr>
                    <w:t>飞行团队</w:t>
                  </w:r>
                  <w:r>
                    <w:rPr>
                      <w:sz w:val="19"/>
                      <w:color w:val="000000"/>
                    </w:rPr>
                    <w:t>人员服务</w:t>
                  </w:r>
                </w:p>
              </w:tc>
              <w:tc>
                <w:tcPr>
                  <w:tcW w:type="dxa" w:w="1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ind w:left="105" w:firstLine="380"/>
                  </w:pPr>
                  <w:r>
                    <w:rPr>
                      <w:sz w:val="19"/>
                      <w:color w:val="000000"/>
                    </w:rPr>
                    <w:t>1.提供飞行服务人员2人。</w:t>
                  </w:r>
                </w:p>
                <w:p>
                  <w:pPr>
                    <w:pStyle w:val="null3"/>
                    <w:spacing w:before="90"/>
                    <w:ind w:left="105" w:firstLine="380"/>
                  </w:pPr>
                  <w:r>
                    <w:rPr>
                      <w:sz w:val="19"/>
                      <w:color w:val="000000"/>
                    </w:rPr>
                    <w:t>★投</w:t>
                  </w:r>
                  <w:r>
                    <w:rPr>
                      <w:sz w:val="19"/>
                      <w:color w:val="000000"/>
                    </w:rPr>
                    <w:t>标人须承诺拟派飞行人员</w:t>
                  </w:r>
                  <w:r>
                    <w:rPr>
                      <w:sz w:val="19"/>
                      <w:color w:val="000000"/>
                    </w:rPr>
                    <w:t>持有民用无人驾驶航空器操控员执照（</w:t>
                  </w:r>
                  <w:r>
                    <w:rPr>
                      <w:sz w:val="19"/>
                      <w:color w:val="000000"/>
                    </w:rPr>
                    <w:t>CAAC)，且具备3年以上从业经验，具备无光条件超视距盲飞能力</w:t>
                  </w:r>
                  <w:r>
                    <w:rPr>
                      <w:sz w:val="19"/>
                      <w:color w:val="000000"/>
                    </w:rPr>
                    <w:t>、</w:t>
                  </w:r>
                  <w:r>
                    <w:rPr>
                      <w:sz w:val="19"/>
                      <w:color w:val="000000"/>
                    </w:rPr>
                    <w:t>垂直起降及多旋翼飞行能力</w:t>
                  </w:r>
                  <w:r>
                    <w:rPr>
                      <w:sz w:val="19"/>
                      <w:color w:val="000000"/>
                    </w:rPr>
                    <w:t>，实现无人机技术飞行（提供承诺函，承诺函格式自拟，并且加盖投标人公章）。</w:t>
                  </w:r>
                </w:p>
                <w:p>
                  <w:pPr>
                    <w:pStyle w:val="null3"/>
                    <w:spacing w:before="90"/>
                    <w:ind w:left="105" w:firstLine="380"/>
                  </w:pPr>
                  <w:r>
                    <w:rPr>
                      <w:sz w:val="19"/>
                      <w:color w:val="000000"/>
                    </w:rPr>
                    <w:t>2.飞行小组可对嫌疑信息进行初步研判分析，具备一定的侦察及反侦察能力，须24小时全天候值班待命。</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ind w:left="105" w:firstLine="380"/>
                  </w:pPr>
                  <w:r>
                    <w:rPr>
                      <w:sz w:val="19"/>
                      <w:color w:val="000000"/>
                    </w:rPr>
                    <w:t>1</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ind w:left="105" w:firstLine="380"/>
                  </w:pPr>
                  <w:r>
                    <w:rPr>
                      <w:sz w:val="19"/>
                      <w:color w:val="000000"/>
                    </w:rPr>
                    <w:t>项</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ind w:left="105" w:firstLine="380"/>
                  </w:pPr>
                  <w:r>
                    <w:rPr>
                      <w:sz w:val="19"/>
                      <w:color w:val="000000"/>
                    </w:rPr>
                    <w:t>2</w:t>
                  </w:r>
                  <w:r>
                    <w:rPr>
                      <w:sz w:val="19"/>
                      <w:color w:val="000000"/>
                    </w:rPr>
                    <w:t>年</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ind w:left="105" w:firstLine="380"/>
                  </w:pPr>
                  <w:r>
                    <w:rPr>
                      <w:sz w:val="19"/>
                      <w:color w:val="000000"/>
                    </w:rPr>
                    <w:t>2</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pPr>
                  <w:r>
                    <w:rPr>
                      <w:sz w:val="19"/>
                      <w:color w:val="000000"/>
                    </w:rPr>
                    <w:t>重点要素预警</w:t>
                  </w:r>
                  <w:r>
                    <w:rPr>
                      <w:sz w:val="19"/>
                      <w:color w:val="000000"/>
                    </w:rPr>
                    <w:t>（</w:t>
                  </w:r>
                  <w:r>
                    <w:rPr>
                      <w:sz w:val="19"/>
                      <w:color w:val="000000"/>
                    </w:rPr>
                    <w:t>多警种协作数据分析</w:t>
                  </w:r>
                  <w:r>
                    <w:rPr>
                      <w:sz w:val="19"/>
                      <w:color w:val="000000"/>
                    </w:rPr>
                    <w:t>）</w:t>
                  </w:r>
                  <w:r>
                    <w:rPr>
                      <w:sz w:val="19"/>
                      <w:color w:val="000000"/>
                    </w:rPr>
                    <w:t>人员服务</w:t>
                  </w:r>
                </w:p>
              </w:tc>
              <w:tc>
                <w:tcPr>
                  <w:tcW w:type="dxa" w:w="1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ind w:left="105" w:firstLine="380"/>
                  </w:pPr>
                  <w:r>
                    <w:rPr>
                      <w:sz w:val="19"/>
                      <w:color w:val="000000"/>
                    </w:rPr>
                    <w:t>1. 提供重点要素预警服务人员</w:t>
                  </w:r>
                  <w:r>
                    <w:rPr>
                      <w:sz w:val="19"/>
                      <w:color w:val="000000"/>
                    </w:rPr>
                    <w:t>1</w:t>
                  </w:r>
                  <w:r>
                    <w:rPr>
                      <w:sz w:val="19"/>
                      <w:color w:val="000000"/>
                    </w:rPr>
                    <w:t>人。</w:t>
                  </w:r>
                </w:p>
                <w:p>
                  <w:pPr>
                    <w:pStyle w:val="null3"/>
                    <w:spacing w:before="90"/>
                    <w:ind w:left="105" w:firstLine="380"/>
                  </w:pPr>
                  <w:r>
                    <w:rPr>
                      <w:sz w:val="19"/>
                      <w:color w:val="000000"/>
                    </w:rPr>
                    <w:t>2.对采购人辖区及指定重点区域内的重点要素实施网格化布控，进行全天24小时不间断监测。同时对重点要素开展数据分析等，相关情况需立即向采购人汇报，并留存相关截图及事件记录，每月定期以电子形式提交给采购人。</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ind w:left="105" w:firstLine="380"/>
                  </w:pPr>
                  <w:r>
                    <w:rPr>
                      <w:sz w:val="19"/>
                      <w:color w:val="000000"/>
                    </w:rPr>
                    <w:t>1</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ind w:left="105" w:firstLine="380"/>
                  </w:pPr>
                  <w:r>
                    <w:rPr>
                      <w:sz w:val="19"/>
                      <w:color w:val="000000"/>
                    </w:rPr>
                    <w:t>项</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ind w:left="105" w:firstLine="380"/>
                  </w:pPr>
                  <w:r>
                    <w:rPr>
                      <w:sz w:val="19"/>
                      <w:color w:val="000000"/>
                    </w:rPr>
                    <w:t>2</w:t>
                  </w:r>
                  <w:r>
                    <w:rPr>
                      <w:sz w:val="19"/>
                      <w:color w:val="000000"/>
                    </w:rPr>
                    <w:t>年</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ind w:left="105" w:firstLine="380"/>
                  </w:pPr>
                  <w:r>
                    <w:rPr>
                      <w:sz w:val="19"/>
                      <w:color w:val="000000"/>
                    </w:rPr>
                    <w:t>3</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pPr>
                  <w:r>
                    <w:rPr>
                      <w:sz w:val="19"/>
                      <w:color w:val="000000"/>
                    </w:rPr>
                    <w:t>无人机服务</w:t>
                  </w:r>
                </w:p>
              </w:tc>
              <w:tc>
                <w:tcPr>
                  <w:tcW w:type="dxa" w:w="1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ind w:left="105" w:firstLine="380"/>
                  </w:pPr>
                  <w:r>
                    <w:rPr>
                      <w:sz w:val="19"/>
                      <w:color w:val="000000"/>
                    </w:rPr>
                    <w:t>1.服务期内需提供垂直起降</w:t>
                  </w:r>
                  <w:r>
                    <w:rPr>
                      <w:sz w:val="19"/>
                      <w:color w:val="000000"/>
                    </w:rPr>
                    <w:t>无人机</w:t>
                  </w:r>
                  <w:r>
                    <w:rPr>
                      <w:sz w:val="19"/>
                      <w:color w:val="000000"/>
                    </w:rPr>
                    <w:t>1台（含配套云台相机*1、电池*2组）、多旋翼无人机2台（含激光补光灯*2、配套电池*4组/台）。</w:t>
                  </w:r>
                </w:p>
                <w:p>
                  <w:pPr>
                    <w:pStyle w:val="null3"/>
                    <w:spacing w:before="90"/>
                    <w:ind w:left="105" w:firstLine="380"/>
                  </w:pPr>
                  <w:r>
                    <w:rPr>
                      <w:sz w:val="19"/>
                      <w:color w:val="000000"/>
                    </w:rPr>
                    <w:t>2.设备符合国家民用无人驾驶航空器标准，具备产品合格证书。</w:t>
                  </w:r>
                </w:p>
                <w:p>
                  <w:pPr>
                    <w:pStyle w:val="null3"/>
                    <w:spacing w:before="90"/>
                    <w:ind w:left="105" w:firstLine="380"/>
                  </w:pPr>
                  <w:r>
                    <w:rPr>
                      <w:sz w:val="19"/>
                      <w:color w:val="000000"/>
                    </w:rPr>
                    <w:t>3.无人机属高价值易损件，服务单位须按照行业通用保险购买标准对无人机依法购买责任保险，保险价格为飞机自身价值的10%-20%</w:t>
                  </w:r>
                  <w:r>
                    <w:rPr>
                      <w:sz w:val="19"/>
                      <w:color w:val="000000"/>
                    </w:rPr>
                    <w:t>。</w:t>
                  </w:r>
                </w:p>
                <w:p>
                  <w:pPr>
                    <w:pStyle w:val="null3"/>
                    <w:spacing w:before="90"/>
                    <w:ind w:left="105" w:firstLine="380"/>
                  </w:pPr>
                  <w:r>
                    <w:rPr>
                      <w:sz w:val="19"/>
                      <w:color w:val="000000"/>
                    </w:rPr>
                    <w:t>4.需为本项目提供每年不少于340天的无人机技术服务，其中无人机飞行服务每年不少于300天，服务内容包括但不限于无人机日常巡查、案件配合与现场勘查、电子数据地图搭建与更新、重点要素预警。</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ind w:left="105" w:firstLine="380"/>
                  </w:pPr>
                  <w:r>
                    <w:rPr>
                      <w:sz w:val="19"/>
                      <w:color w:val="000000"/>
                    </w:rPr>
                    <w:t>1</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ind w:left="105" w:firstLine="380"/>
                  </w:pPr>
                  <w:r>
                    <w:rPr>
                      <w:sz w:val="19"/>
                      <w:color w:val="000000"/>
                    </w:rPr>
                    <w:t>项</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ind w:left="105" w:firstLine="380"/>
                  </w:pPr>
                  <w:r>
                    <w:rPr>
                      <w:sz w:val="19"/>
                      <w:color w:val="000000"/>
                    </w:rPr>
                    <w:t>2</w:t>
                  </w:r>
                  <w:r>
                    <w:rPr>
                      <w:sz w:val="19"/>
                      <w:color w:val="000000"/>
                    </w:rPr>
                    <w:t>年</w:t>
                  </w:r>
                </w:p>
                <w:p>
                  <w:pPr>
                    <w:pStyle w:val="null3"/>
                    <w:spacing w:before="90"/>
                    <w:ind w:left="105" w:firstLine="380"/>
                  </w:pP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color w:val="000000"/>
                    </w:rPr>
                    <w:t>4</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pPr>
                  <w:r>
                    <w:rPr>
                      <w:sz w:val="19"/>
                      <w:color w:val="000000"/>
                    </w:rPr>
                    <w:t>重点要素预警平台租赁及软件授权服务</w:t>
                  </w:r>
                </w:p>
              </w:tc>
              <w:tc>
                <w:tcPr>
                  <w:tcW w:type="dxa" w:w="1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ind w:left="105" w:firstLine="380"/>
                  </w:pPr>
                  <w:r>
                    <w:rPr>
                      <w:sz w:val="19"/>
                      <w:color w:val="000000"/>
                    </w:rPr>
                    <w:t>租赁定位软件，可实现对辖区全域货车进行</w:t>
                  </w:r>
                  <w:r>
                    <w:rPr>
                      <w:sz w:val="19"/>
                      <w:color w:val="000000"/>
                    </w:rPr>
                    <w:t>24小时监测，包含境内海岸沿线、重点仓库、码头、村落等区域提取有效信息，对重点车辆进行全面管理以实现本辖区范围的风险预警。</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ind w:left="105" w:firstLine="380"/>
                  </w:pPr>
                  <w:r>
                    <w:rPr>
                      <w:sz w:val="19"/>
                      <w:color w:val="000000"/>
                    </w:rPr>
                    <w:t>1</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ind w:left="105" w:firstLine="380"/>
                  </w:pPr>
                  <w:r>
                    <w:rPr>
                      <w:sz w:val="19"/>
                      <w:color w:val="000000"/>
                    </w:rPr>
                    <w:t>项</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ind w:left="105" w:firstLine="380"/>
                  </w:pPr>
                  <w:r>
                    <w:rPr>
                      <w:sz w:val="19"/>
                      <w:color w:val="000000"/>
                    </w:rPr>
                    <w:t>2</w:t>
                  </w:r>
                  <w:r>
                    <w:rPr>
                      <w:sz w:val="19"/>
                      <w:color w:val="000000"/>
                    </w:rPr>
                    <w:t>年</w:t>
                  </w:r>
                </w:p>
              </w:tc>
            </w:tr>
            <w:tr>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ind w:left="105" w:firstLine="380"/>
                  </w:pPr>
                  <w:r>
                    <w:rPr>
                      <w:sz w:val="19"/>
                      <w:color w:val="000000"/>
                    </w:rPr>
                    <w:t>5</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pPr>
                  <w:r>
                    <w:rPr>
                      <w:sz w:val="19"/>
                      <w:color w:val="000000"/>
                    </w:rPr>
                    <w:t>车辆租赁服务</w:t>
                  </w:r>
                </w:p>
              </w:tc>
              <w:tc>
                <w:tcPr>
                  <w:tcW w:type="dxa" w:w="1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ind w:left="105" w:firstLine="380"/>
                  </w:pPr>
                  <w:r>
                    <w:rPr>
                      <w:sz w:val="19"/>
                      <w:color w:val="000000"/>
                    </w:rPr>
                    <w:t>1.服务期内需配置至少1辆具备反向充电功能作业乘用车，支持无人机野外续航充电，用于日常巡查及案件配合等作业。</w:t>
                  </w:r>
                </w:p>
                <w:p>
                  <w:pPr>
                    <w:pStyle w:val="null3"/>
                    <w:spacing w:before="90"/>
                    <w:ind w:left="105" w:firstLine="380"/>
                  </w:pPr>
                  <w:r>
                    <w:rPr>
                      <w:sz w:val="19"/>
                      <w:color w:val="000000"/>
                    </w:rPr>
                    <w:t>2.服务期内车辆专门用于本项目，</w:t>
                  </w:r>
                  <w:r>
                    <w:rPr>
                      <w:sz w:val="19"/>
                      <w:color w:val="000000"/>
                    </w:rPr>
                    <w:t>汕尾</w:t>
                  </w:r>
                  <w:r>
                    <w:rPr>
                      <w:sz w:val="19"/>
                      <w:color w:val="000000"/>
                    </w:rPr>
                    <w:t>市内常驻。</w:t>
                  </w:r>
                </w:p>
                <w:p>
                  <w:pPr>
                    <w:pStyle w:val="null3"/>
                    <w:spacing w:before="90"/>
                    <w:ind w:left="105" w:firstLine="380"/>
                  </w:pPr>
                  <w:r>
                    <w:rPr>
                      <w:sz w:val="19"/>
                      <w:color w:val="000000"/>
                    </w:rPr>
                    <w:t>3.承担车辆折旧费、保险、路费、油费、维修费等所有运营费用。</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ind w:left="105" w:firstLine="380"/>
                  </w:pPr>
                  <w:r>
                    <w:rPr>
                      <w:sz w:val="19"/>
                      <w:color w:val="000000"/>
                    </w:rPr>
                    <w:t>1</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ind w:left="105" w:firstLine="380"/>
                  </w:pPr>
                  <w:r>
                    <w:rPr>
                      <w:sz w:val="19"/>
                      <w:color w:val="000000"/>
                    </w:rPr>
                    <w:t>辆</w:t>
                  </w:r>
                </w:p>
              </w:tc>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ind w:left="105" w:firstLine="380"/>
                  </w:pPr>
                  <w:r>
                    <w:rPr>
                      <w:sz w:val="19"/>
                      <w:color w:val="000000"/>
                    </w:rPr>
                    <w:t>2</w:t>
                  </w:r>
                  <w:r>
                    <w:rPr>
                      <w:sz w:val="19"/>
                      <w:color w:val="000000"/>
                    </w:rPr>
                    <w:t>年</w:t>
                  </w:r>
                </w:p>
              </w:tc>
            </w:tr>
          </w:tbl>
          <w:p>
            <w:pPr>
              <w:pStyle w:val="null3"/>
            </w:pPr>
            <w:r>
              <w:rPr/>
              <w:t xml:space="preserve"> </w:t>
            </w:r>
          </w:p>
          <w:p>
            <w:pPr>
              <w:pStyle w:val="null3"/>
              <w:spacing w:before="90"/>
              <w:ind w:left="105" w:firstLine="380"/>
            </w:pPr>
            <w:r>
              <w:rPr>
                <w:sz w:val="19"/>
                <w:color w:val="000000"/>
              </w:rPr>
              <w:t>四、项目服务要求</w:t>
            </w:r>
          </w:p>
          <w:p>
            <w:pPr>
              <w:pStyle w:val="null3"/>
              <w:spacing w:before="90"/>
              <w:ind w:left="105" w:firstLine="380"/>
            </w:pPr>
            <w:r>
              <w:rPr>
                <w:sz w:val="19"/>
                <w:color w:val="000000"/>
              </w:rPr>
              <w:t>（一）岗位配置要求</w:t>
            </w:r>
          </w:p>
          <w:p>
            <w:pPr>
              <w:pStyle w:val="null3"/>
              <w:spacing w:before="90"/>
              <w:ind w:left="105" w:firstLine="380"/>
            </w:pPr>
            <w:r>
              <w:rPr>
                <w:sz w:val="19"/>
                <w:color w:val="000000"/>
              </w:rPr>
              <w:t xml:space="preserve">1.人员数量：服务期内，无人机操作岗位人员不少于 2 名，重点要素预警岗位人员不少于 </w:t>
            </w:r>
            <w:r>
              <w:rPr>
                <w:sz w:val="19"/>
                <w:color w:val="000000"/>
              </w:rPr>
              <w:t>1</w:t>
            </w:r>
            <w:r>
              <w:rPr>
                <w:sz w:val="19"/>
                <w:color w:val="000000"/>
              </w:rPr>
              <w:t>名，且所有人员均为中标供应商正式员工。</w:t>
            </w:r>
          </w:p>
          <w:p>
            <w:pPr>
              <w:pStyle w:val="null3"/>
              <w:spacing w:before="90"/>
              <w:ind w:left="105" w:firstLine="380"/>
            </w:pPr>
            <w:r>
              <w:rPr>
                <w:sz w:val="19"/>
                <w:color w:val="000000"/>
              </w:rPr>
              <w:t>2.人员资质：</w:t>
            </w:r>
          </w:p>
          <w:p>
            <w:pPr>
              <w:pStyle w:val="null3"/>
              <w:spacing w:before="90"/>
              <w:ind w:left="105" w:firstLine="380"/>
            </w:pPr>
            <w:r>
              <w:rPr>
                <w:sz w:val="19"/>
                <w:color w:val="000000"/>
              </w:rPr>
              <w:t>1）无人机操作人员：持有中国民航局颁发的民用无人驾驶航空器操控员执照，接受过警务无人机专业培训，熟知警务工作规范。</w:t>
            </w:r>
          </w:p>
          <w:p>
            <w:pPr>
              <w:pStyle w:val="null3"/>
              <w:spacing w:before="90"/>
              <w:ind w:left="105" w:firstLine="380"/>
            </w:pPr>
            <w:r>
              <w:rPr>
                <w:sz w:val="19"/>
                <w:color w:val="000000"/>
              </w:rPr>
              <w:t>2）重点要素预警人员：具备计算机、地理信息、数据分析、无人机等相关专业大专及以上学历或 2 年以上相关工作经验。</w:t>
            </w:r>
          </w:p>
          <w:p>
            <w:pPr>
              <w:pStyle w:val="null3"/>
              <w:spacing w:before="90"/>
              <w:ind w:left="105" w:firstLine="380"/>
            </w:pPr>
            <w:r>
              <w:rPr>
                <w:sz w:val="19"/>
                <w:color w:val="000000"/>
              </w:rPr>
              <w:t>3.人员保障：中标供应商须为所有项目服务人员缴纳社会保险及人身意外险，服务人员在服务期间发生工伤、意外事故的，所有责任及费用由中标供应商承担，采购人不承担任何责任。</w:t>
            </w:r>
          </w:p>
          <w:p>
            <w:pPr>
              <w:pStyle w:val="null3"/>
              <w:spacing w:before="90"/>
              <w:ind w:left="105" w:firstLine="380"/>
            </w:pPr>
            <w:r>
              <w:rPr>
                <w:sz w:val="19"/>
                <w:color w:val="000000"/>
              </w:rPr>
              <w:t>4.人员管理：中标供应商须建立服务人员考核制度，定期对人员服务质量进行考核，考核结果报采购人备案；采购人有权对服务人员的工作进行监督，对不合格人员要求中标供应商限期更换。</w:t>
            </w:r>
          </w:p>
          <w:p>
            <w:pPr>
              <w:pStyle w:val="null3"/>
              <w:spacing w:before="90"/>
              <w:ind w:left="105" w:firstLine="380"/>
            </w:pPr>
            <w:r>
              <w:rPr>
                <w:sz w:val="19"/>
                <w:color w:val="000000"/>
              </w:rPr>
              <w:t>（二）保密安全要求</w:t>
            </w:r>
          </w:p>
          <w:p>
            <w:pPr>
              <w:pStyle w:val="null3"/>
              <w:spacing w:before="90"/>
              <w:ind w:left="105" w:firstLine="380"/>
            </w:pPr>
            <w:r>
              <w:rPr>
                <w:sz w:val="19"/>
                <w:color w:val="000000"/>
              </w:rPr>
              <w:t>1.数据存储：中标供应商采集的所有视频影像、飞行记录、预警数据等资料，须通过网络专线存储于采购人指定专网，不得存储于外部服务器、个人设备等，数据存储符合相关法律法规要求。</w:t>
            </w:r>
          </w:p>
          <w:p>
            <w:pPr>
              <w:pStyle w:val="null3"/>
              <w:spacing w:before="90"/>
              <w:ind w:left="105" w:firstLine="380"/>
            </w:pPr>
            <w:r>
              <w:rPr>
                <w:sz w:val="19"/>
                <w:color w:val="000000"/>
              </w:rPr>
              <w:t>2.保密协议：中标供应商的项目服务人员须与采购人签订《保密协议书》，严格遵守采购人的保密规定，不得向第三方泄露采购人的任何资料、信息，不得提取、处理、发布系统中的敏感信息。</w:t>
            </w:r>
          </w:p>
          <w:p>
            <w:pPr>
              <w:pStyle w:val="null3"/>
              <w:spacing w:before="90"/>
              <w:ind w:left="105" w:firstLine="380"/>
            </w:pPr>
            <w:r>
              <w:rPr>
                <w:sz w:val="19"/>
                <w:color w:val="000000"/>
              </w:rPr>
              <w:t>3.设备安全：中标供应商须对无人机、作业车辆、指挥平台等设备进行安全管理，设置专人保管，定期进行安全检查，防止设备丢失、损坏、被篡改。</w:t>
            </w:r>
          </w:p>
          <w:p>
            <w:pPr>
              <w:pStyle w:val="null3"/>
              <w:spacing w:before="90"/>
              <w:ind w:left="105" w:firstLine="380"/>
            </w:pPr>
            <w:r>
              <w:rPr>
                <w:sz w:val="19"/>
                <w:color w:val="000000"/>
              </w:rPr>
              <w:t>4.责任追究：若中标供应商或其服务人员违反保密规定，采购人有权解除合同、扣除履约保证金，并追究其法律责任；造成采购人损失的，中标供应商须依法赔偿。</w:t>
            </w:r>
          </w:p>
          <w:p>
            <w:pPr>
              <w:pStyle w:val="null3"/>
              <w:spacing w:before="90"/>
              <w:ind w:left="105" w:firstLine="380"/>
            </w:pPr>
            <w:r>
              <w:rPr>
                <w:sz w:val="19"/>
                <w:color w:val="000000"/>
              </w:rPr>
              <w:t>（三）无人机设备技术参数要求</w:t>
            </w:r>
          </w:p>
          <w:tbl>
            <w:tblPr>
              <w:tblBorders>
                <w:top w:val="none" w:color="000000" w:sz="4"/>
                <w:left w:val="none" w:color="000000" w:sz="4"/>
                <w:bottom w:val="none" w:color="000000" w:sz="4"/>
                <w:right w:val="none" w:color="000000" w:sz="4"/>
                <w:insideH w:val="none"/>
                <w:insideV w:val="none"/>
              </w:tblBorders>
            </w:tblPr>
            <w:tblGrid>
              <w:gridCol w:w="616"/>
              <w:gridCol w:w="831"/>
              <w:gridCol w:w="1559"/>
              <w:gridCol w:w="1563"/>
              <w:gridCol w:w="521"/>
              <w:gridCol w:w="506"/>
            </w:tblGrid>
            <w:tr>
              <w:tc>
                <w:tcPr>
                  <w:tcW w:type="dxa" w:w="6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color w:val="000000"/>
                    </w:rPr>
                    <w:t>设备名称</w:t>
                  </w:r>
                </w:p>
              </w:tc>
              <w:tc>
                <w:tcPr>
                  <w:tcW w:type="dxa" w:w="3953"/>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color w:val="000000"/>
                    </w:rPr>
                    <w:t>参数技术要求</w:t>
                  </w:r>
                </w:p>
              </w:tc>
              <w:tc>
                <w:tcPr>
                  <w:tcW w:type="dxa" w:w="5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color w:val="000000"/>
                    </w:rPr>
                    <w:t>数量</w:t>
                  </w:r>
                </w:p>
              </w:tc>
              <w:tc>
                <w:tcPr>
                  <w:tcW w:type="dxa" w:w="5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color w:val="000000"/>
                    </w:rPr>
                    <w:t>单位</w:t>
                  </w:r>
                </w:p>
              </w:tc>
            </w:tr>
            <w:tr>
              <w:tc>
                <w:tcPr>
                  <w:tcW w:type="dxa" w:w="6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color w:val="000000"/>
                    </w:rPr>
                    <w:t>无人机设备机组</w:t>
                  </w:r>
                  <w:r>
                    <w:rPr>
                      <w:sz w:val="19"/>
                      <w:b/>
                      <w:color w:val="000000"/>
                    </w:rPr>
                    <w:t>1</w:t>
                  </w:r>
                </w:p>
              </w:tc>
              <w:tc>
                <w:tcPr>
                  <w:tcW w:type="dxa" w:w="8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color w:val="000000"/>
                    </w:rPr>
                    <w:t>飞行器（</w:t>
                  </w:r>
                  <w:r>
                    <w:rPr>
                      <w:sz w:val="19"/>
                      <w:b/>
                      <w:color w:val="000000"/>
                    </w:rPr>
                    <w:t>1）</w:t>
                  </w:r>
                </w:p>
              </w:tc>
              <w:tc>
                <w:tcPr>
                  <w:tcW w:type="dxa" w:w="31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▲1.机身结构采取模块化设计，免工具组装和快拆；</w:t>
                  </w:r>
                </w:p>
              </w:tc>
              <w:tc>
                <w:tcPr>
                  <w:tcW w:type="dxa" w:w="5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1</w:t>
                  </w:r>
                </w:p>
              </w:tc>
              <w:tc>
                <w:tcPr>
                  <w:tcW w:type="dxa" w:w="50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套</w:t>
                  </w: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31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▲2.翼展：≤4700mm（不含螺旋桨）；</w:t>
                  </w: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31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3.最大载重：≥10kg；</w:t>
                  </w: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31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4.重量（含电池，不含云台）≤30kg；</w:t>
                  </w: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31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▲5.最大起飞重量≤40kg；</w:t>
                  </w: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31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6.图数传输距离≥30km；</w:t>
                  </w: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31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▲7.续航时间≥200min；</w:t>
                  </w: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31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8.最大飞行海拔高度≥6000 m；</w:t>
                  </w: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31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9.最大可承受风速：≥12m/s（6级风）；</w:t>
                  </w: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31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10.最大平飞速度：≥35m/s，巡航速度：≥16m/s；</w:t>
                  </w: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31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11.起降方式：垂直起降；</w:t>
                  </w: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31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▲12.满足移动作业起降要求，无人机应具备移动平台起降能力；</w:t>
                  </w: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31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13.电池、IMU、气压计、指南针、定位系统均有备份模块；</w:t>
                  </w: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31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▲14.具备ADS-B模块，实时接收附近载人飞机讯号，实现威胁预警和规避；</w:t>
                  </w: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31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▲15.电池热替换：支持电池热替换功能，双电池供电且安装一块电池能够正常开机。</w:t>
                  </w:r>
                </w:p>
              </w:tc>
            </w:tr>
            <w:tr>
              <w:tc>
                <w:tcPr>
                  <w:tcW w:type="dxa" w:w="616"/>
                  <w:vMerge/>
                  <w:tcBorders>
                    <w:top w:val="none" w:color="000000" w:sz="4"/>
                    <w:left w:val="single" w:color="000000" w:sz="4"/>
                    <w:bottom w:val="single" w:color="000000" w:sz="4"/>
                    <w:right w:val="single" w:color="000000" w:sz="4"/>
                  </w:tcBorders>
                </w:tcPr>
                <w:p/>
              </w:tc>
              <w:tc>
                <w:tcPr>
                  <w:tcW w:type="dxa" w:w="8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color w:val="000000"/>
                    </w:rPr>
                    <w:t>云台（</w:t>
                  </w:r>
                  <w:r>
                    <w:rPr>
                      <w:sz w:val="19"/>
                      <w:b/>
                      <w:color w:val="000000"/>
                    </w:rPr>
                    <w:t>1）</w:t>
                  </w:r>
                </w:p>
                <w:p>
                  <w:pPr>
                    <w:pStyle w:val="null3"/>
                    <w:jc w:val="center"/>
                  </w:pPr>
                </w:p>
              </w:tc>
              <w:tc>
                <w:tcPr>
                  <w:tcW w:type="dxa" w:w="31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▲1.云台可控转动范围：俯仰：-90°至0°；偏航：-360°至+360°，支持连续旋转；</w:t>
                  </w: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31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▲2.云台结构设计范围：俯仰：-135°至+45°；横滚：-60°至+60°；偏航：-360°至+360°，支持连续旋转；</w:t>
                  </w: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31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▲3.变焦相机光学变焦≥30倍、数码变焦≥12倍、混合变焦≥500倍；</w:t>
                  </w: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31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4.广角相机：自动曝光,中心测光；</w:t>
                  </w: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31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5.广角相机支持视频字幕；</w:t>
                  </w: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31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▲6.变焦红外相机数码变焦：≥56倍；</w:t>
                  </w: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31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▲7.广角红外相机数码变焦：≥3.5倍；</w:t>
                  </w: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31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8.红外相机测温范围：高增益模式支持-20℃至+150℃，低增益模式支持0℃至+550℃；</w:t>
                  </w: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31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9.红外相机具备中心测温、点测温、区域测温功能；</w:t>
                  </w: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31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10.支持变焦、广角相机同时拍照/录像；</w:t>
                  </w: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31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11.视频字幕包含日期、时间、经纬度信息；</w:t>
                  </w: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31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▲12.云台具备云台锁定工作模式；</w:t>
                  </w: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31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13.防护等级：≥IP43；</w:t>
                  </w:r>
                </w:p>
              </w:tc>
            </w:tr>
            <w:tr>
              <w:tc>
                <w:tcPr>
                  <w:tcW w:type="dxa" w:w="6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color w:val="000000"/>
                    </w:rPr>
                    <w:t>无人机设备机组</w:t>
                  </w:r>
                  <w:r>
                    <w:rPr>
                      <w:sz w:val="19"/>
                      <w:b/>
                      <w:color w:val="000000"/>
                    </w:rPr>
                    <w:t>2</w:t>
                  </w:r>
                </w:p>
              </w:tc>
              <w:tc>
                <w:tcPr>
                  <w:tcW w:type="dxa" w:w="8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color w:val="000000"/>
                    </w:rPr>
                    <w:t>飞行器（</w:t>
                  </w:r>
                  <w:r>
                    <w:rPr>
                      <w:sz w:val="19"/>
                      <w:b/>
                      <w:color w:val="000000"/>
                    </w:rPr>
                    <w:t>2）</w:t>
                  </w:r>
                </w:p>
                <w:p>
                  <w:pPr>
                    <w:pStyle w:val="null3"/>
                    <w:jc w:val="center"/>
                  </w:pPr>
                </w:p>
              </w:tc>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起飞重量（含电池、普通桨叶和</w:t>
                  </w:r>
                  <w:r>
                    <w:rPr>
                      <w:sz w:val="19"/>
                      <w:color w:val="000000"/>
                    </w:rPr>
                    <w:t>microSD 卡、无配件）</w:t>
                  </w:r>
                </w:p>
              </w:tc>
              <w:tc>
                <w:tcPr>
                  <w:tcW w:type="dxa" w:w="1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≤1250 g</w:t>
                  </w:r>
                </w:p>
              </w:tc>
              <w:tc>
                <w:tcPr>
                  <w:tcW w:type="dxa" w:w="5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2</w:t>
                  </w:r>
                </w:p>
              </w:tc>
              <w:tc>
                <w:tcPr>
                  <w:tcW w:type="dxa" w:w="50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套</w:t>
                  </w: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最大起飞重量</w:t>
                  </w:r>
                </w:p>
              </w:tc>
              <w:tc>
                <w:tcPr>
                  <w:tcW w:type="dxa" w:w="1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≤1450 g</w:t>
                  </w:r>
                </w:p>
              </w:tc>
              <w:tc>
                <w:tcPr>
                  <w:tcW w:type="dxa" w:w="521"/>
                  <w:vMerge/>
                  <w:tcBorders>
                    <w:top w:val="none" w:color="000000" w:sz="4"/>
                    <w:left w:val="single" w:color="000000" w:sz="4"/>
                    <w:bottom w:val="single" w:color="000000" w:sz="4"/>
                    <w:right w:val="single" w:color="000000" w:sz="4"/>
                  </w:tcBorders>
                </w:tcPr>
                <w:p/>
              </w:tc>
              <w:tc>
                <w:tcPr>
                  <w:tcW w:type="dxa" w:w="506"/>
                  <w:vMerge/>
                  <w:tcBorders>
                    <w:top w:val="single" w:color="000000" w:sz="4"/>
                    <w:left w:val="single" w:color="000000" w:sz="4"/>
                    <w:bottom w:val="single" w:color="000000" w:sz="4"/>
                    <w:right w:val="single" w:color="000000" w:sz="4"/>
                  </w:tcBorders>
                </w:tcP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最大信号有效距离（无干扰、无遮挡）</w:t>
                  </w:r>
                </w:p>
              </w:tc>
              <w:tc>
                <w:tcPr>
                  <w:tcW w:type="dxa" w:w="1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≥25km</w:t>
                  </w:r>
                </w:p>
              </w:tc>
              <w:tc>
                <w:tcPr>
                  <w:tcW w:type="dxa" w:w="521"/>
                  <w:vMerge/>
                  <w:tcBorders>
                    <w:top w:val="none" w:color="000000" w:sz="4"/>
                    <w:left w:val="single" w:color="000000" w:sz="4"/>
                    <w:bottom w:val="single" w:color="000000" w:sz="4"/>
                    <w:right w:val="single" w:color="000000" w:sz="4"/>
                  </w:tcBorders>
                </w:tcPr>
                <w:p/>
              </w:tc>
              <w:tc>
                <w:tcPr>
                  <w:tcW w:type="dxa" w:w="506"/>
                  <w:vMerge/>
                  <w:tcBorders>
                    <w:top w:val="single" w:color="000000" w:sz="4"/>
                    <w:left w:val="single" w:color="000000" w:sz="4"/>
                    <w:bottom w:val="single" w:color="000000" w:sz="4"/>
                    <w:right w:val="single" w:color="000000" w:sz="4"/>
                  </w:tcBorders>
                </w:tcP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最长飞行时间</w:t>
                  </w:r>
                </w:p>
              </w:tc>
              <w:tc>
                <w:tcPr>
                  <w:tcW w:type="dxa" w:w="1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≥49 分钟</w:t>
                  </w:r>
                </w:p>
              </w:tc>
              <w:tc>
                <w:tcPr>
                  <w:tcW w:type="dxa" w:w="521"/>
                  <w:vMerge/>
                  <w:tcBorders>
                    <w:top w:val="none" w:color="000000" w:sz="4"/>
                    <w:left w:val="single" w:color="000000" w:sz="4"/>
                    <w:bottom w:val="single" w:color="000000" w:sz="4"/>
                    <w:right w:val="single" w:color="000000" w:sz="4"/>
                  </w:tcBorders>
                </w:tcPr>
                <w:p/>
              </w:tc>
              <w:tc>
                <w:tcPr>
                  <w:tcW w:type="dxa" w:w="506"/>
                  <w:vMerge/>
                  <w:tcBorders>
                    <w:top w:val="single" w:color="000000" w:sz="4"/>
                    <w:left w:val="single" w:color="000000" w:sz="4"/>
                    <w:bottom w:val="single" w:color="000000" w:sz="4"/>
                    <w:right w:val="single" w:color="000000" w:sz="4"/>
                  </w:tcBorders>
                </w:tcP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最大可抗风速</w:t>
                  </w:r>
                </w:p>
              </w:tc>
              <w:tc>
                <w:tcPr>
                  <w:tcW w:type="dxa" w:w="1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≥12m/s</w:t>
                  </w:r>
                </w:p>
              </w:tc>
              <w:tc>
                <w:tcPr>
                  <w:tcW w:type="dxa" w:w="521"/>
                  <w:vMerge/>
                  <w:tcBorders>
                    <w:top w:val="none" w:color="000000" w:sz="4"/>
                    <w:left w:val="single" w:color="000000" w:sz="4"/>
                    <w:bottom w:val="single" w:color="000000" w:sz="4"/>
                    <w:right w:val="single" w:color="000000" w:sz="4"/>
                  </w:tcBorders>
                </w:tcPr>
                <w:p/>
              </w:tc>
              <w:tc>
                <w:tcPr>
                  <w:tcW w:type="dxa" w:w="506"/>
                  <w:vMerge/>
                  <w:tcBorders>
                    <w:top w:val="single" w:color="000000" w:sz="4"/>
                    <w:left w:val="single" w:color="000000" w:sz="4"/>
                    <w:bottom w:val="single" w:color="000000" w:sz="4"/>
                    <w:right w:val="single" w:color="000000" w:sz="4"/>
                  </w:tcBorders>
                </w:tcP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北斗定位</w:t>
                  </w:r>
                  <w:r>
                    <w:rPr>
                      <w:sz w:val="19"/>
                      <w:color w:val="000000"/>
                    </w:rPr>
                    <w:t>(仅北斗版本硬件）</w:t>
                  </w:r>
                </w:p>
              </w:tc>
              <w:tc>
                <w:tcPr>
                  <w:tcW w:type="dxa" w:w="1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支持北斗定位模式</w:t>
                  </w:r>
                </w:p>
              </w:tc>
              <w:tc>
                <w:tcPr>
                  <w:tcW w:type="dxa" w:w="521"/>
                  <w:vMerge/>
                  <w:tcBorders>
                    <w:top w:val="none" w:color="000000" w:sz="4"/>
                    <w:left w:val="single" w:color="000000" w:sz="4"/>
                    <w:bottom w:val="single" w:color="000000" w:sz="4"/>
                    <w:right w:val="single" w:color="000000" w:sz="4"/>
                  </w:tcBorders>
                </w:tcPr>
                <w:p/>
              </w:tc>
              <w:tc>
                <w:tcPr>
                  <w:tcW w:type="dxa" w:w="506"/>
                  <w:vMerge/>
                  <w:tcBorders>
                    <w:top w:val="single" w:color="000000" w:sz="4"/>
                    <w:left w:val="single" w:color="000000" w:sz="4"/>
                    <w:bottom w:val="single" w:color="000000" w:sz="4"/>
                    <w:right w:val="single" w:color="000000" w:sz="4"/>
                  </w:tcBorders>
                </w:tcP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工作环境温度</w:t>
                  </w:r>
                </w:p>
              </w:tc>
              <w:tc>
                <w:tcPr>
                  <w:tcW w:type="dxa" w:w="1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工作温度范围覆盖</w:t>
                  </w:r>
                  <w:r>
                    <w:rPr>
                      <w:sz w:val="19"/>
                      <w:color w:val="000000"/>
                    </w:rPr>
                    <w:t>-10°C 至 40°C</w:t>
                  </w:r>
                </w:p>
              </w:tc>
              <w:tc>
                <w:tcPr>
                  <w:tcW w:type="dxa" w:w="521"/>
                  <w:vMerge/>
                  <w:tcBorders>
                    <w:top w:val="none" w:color="000000" w:sz="4"/>
                    <w:left w:val="single" w:color="000000" w:sz="4"/>
                    <w:bottom w:val="single" w:color="000000" w:sz="4"/>
                    <w:right w:val="single" w:color="000000" w:sz="4"/>
                  </w:tcBorders>
                </w:tcPr>
                <w:p/>
              </w:tc>
              <w:tc>
                <w:tcPr>
                  <w:tcW w:type="dxa" w:w="506"/>
                  <w:vMerge/>
                  <w:tcBorders>
                    <w:top w:val="single" w:color="000000" w:sz="4"/>
                    <w:left w:val="single" w:color="000000" w:sz="4"/>
                    <w:bottom w:val="single" w:color="000000" w:sz="4"/>
                    <w:right w:val="single" w:color="000000" w:sz="4"/>
                  </w:tcBorders>
                </w:tcP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GNSS定位悬停精度</w:t>
                  </w:r>
                </w:p>
              </w:tc>
              <w:tc>
                <w:tcPr>
                  <w:tcW w:type="dxa" w:w="1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垂直</w:t>
                  </w:r>
                  <w:r>
                    <w:rPr>
                      <w:sz w:val="19"/>
                      <w:color w:val="000000"/>
                    </w:rPr>
                    <w:t>≤0.5 m，水平≤0.5 m</w:t>
                  </w:r>
                </w:p>
              </w:tc>
              <w:tc>
                <w:tcPr>
                  <w:tcW w:type="dxa" w:w="521"/>
                  <w:vMerge/>
                  <w:tcBorders>
                    <w:top w:val="none" w:color="000000" w:sz="4"/>
                    <w:left w:val="single" w:color="000000" w:sz="4"/>
                    <w:bottom w:val="single" w:color="000000" w:sz="4"/>
                    <w:right w:val="single" w:color="000000" w:sz="4"/>
                  </w:tcBorders>
                </w:tcPr>
                <w:p/>
              </w:tc>
              <w:tc>
                <w:tcPr>
                  <w:tcW w:type="dxa" w:w="506"/>
                  <w:vMerge/>
                  <w:tcBorders>
                    <w:top w:val="single" w:color="000000" w:sz="4"/>
                    <w:left w:val="single" w:color="000000" w:sz="4"/>
                    <w:bottom w:val="single" w:color="000000" w:sz="4"/>
                    <w:right w:val="single" w:color="000000" w:sz="4"/>
                  </w:tcBorders>
                </w:tcP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RTK定位悬停精度</w:t>
                  </w:r>
                </w:p>
              </w:tc>
              <w:tc>
                <w:tcPr>
                  <w:tcW w:type="dxa" w:w="1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垂直</w:t>
                  </w:r>
                  <w:r>
                    <w:rPr>
                      <w:sz w:val="19"/>
                      <w:color w:val="000000"/>
                    </w:rPr>
                    <w:t>≤0.1 m，水平≤0.1 m</w:t>
                  </w:r>
                </w:p>
              </w:tc>
              <w:tc>
                <w:tcPr>
                  <w:tcW w:type="dxa" w:w="521"/>
                  <w:vMerge/>
                  <w:tcBorders>
                    <w:top w:val="none" w:color="000000" w:sz="4"/>
                    <w:left w:val="single" w:color="000000" w:sz="4"/>
                    <w:bottom w:val="single" w:color="000000" w:sz="4"/>
                    <w:right w:val="single" w:color="000000" w:sz="4"/>
                  </w:tcBorders>
                </w:tcPr>
                <w:p/>
              </w:tc>
              <w:tc>
                <w:tcPr>
                  <w:tcW w:type="dxa" w:w="506"/>
                  <w:vMerge/>
                  <w:tcBorders>
                    <w:top w:val="single" w:color="000000" w:sz="4"/>
                    <w:left w:val="single" w:color="000000" w:sz="4"/>
                    <w:bottom w:val="single" w:color="000000" w:sz="4"/>
                    <w:right w:val="single" w:color="000000" w:sz="4"/>
                  </w:tcBorders>
                </w:tcP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最大上升速度</w:t>
                  </w:r>
                </w:p>
              </w:tc>
              <w:tc>
                <w:tcPr>
                  <w:tcW w:type="dxa" w:w="1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≥10 m/s</w:t>
                  </w:r>
                </w:p>
              </w:tc>
              <w:tc>
                <w:tcPr>
                  <w:tcW w:type="dxa" w:w="521"/>
                  <w:vMerge/>
                  <w:tcBorders>
                    <w:top w:val="none" w:color="000000" w:sz="4"/>
                    <w:left w:val="single" w:color="000000" w:sz="4"/>
                    <w:bottom w:val="single" w:color="000000" w:sz="4"/>
                    <w:right w:val="single" w:color="000000" w:sz="4"/>
                  </w:tcBorders>
                </w:tcPr>
                <w:p/>
              </w:tc>
              <w:tc>
                <w:tcPr>
                  <w:tcW w:type="dxa" w:w="506"/>
                  <w:vMerge/>
                  <w:tcBorders>
                    <w:top w:val="single" w:color="000000" w:sz="4"/>
                    <w:left w:val="single" w:color="000000" w:sz="4"/>
                    <w:bottom w:val="single" w:color="000000" w:sz="4"/>
                    <w:right w:val="single" w:color="000000" w:sz="4"/>
                  </w:tcBorders>
                </w:tcP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最大下降速度</w:t>
                  </w:r>
                </w:p>
              </w:tc>
              <w:tc>
                <w:tcPr>
                  <w:tcW w:type="dxa" w:w="1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≥8 m/s</w:t>
                  </w:r>
                </w:p>
              </w:tc>
              <w:tc>
                <w:tcPr>
                  <w:tcW w:type="dxa" w:w="521"/>
                  <w:vMerge/>
                  <w:tcBorders>
                    <w:top w:val="none" w:color="000000" w:sz="4"/>
                    <w:left w:val="single" w:color="000000" w:sz="4"/>
                    <w:bottom w:val="single" w:color="000000" w:sz="4"/>
                    <w:right w:val="single" w:color="000000" w:sz="4"/>
                  </w:tcBorders>
                </w:tcPr>
                <w:p/>
              </w:tc>
              <w:tc>
                <w:tcPr>
                  <w:tcW w:type="dxa" w:w="506"/>
                  <w:vMerge/>
                  <w:tcBorders>
                    <w:top w:val="single" w:color="000000" w:sz="4"/>
                    <w:left w:val="single" w:color="000000" w:sz="4"/>
                    <w:bottom w:val="single" w:color="000000" w:sz="4"/>
                    <w:right w:val="single" w:color="000000" w:sz="4"/>
                  </w:tcBorders>
                </w:tcP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最大水平飞行速度</w:t>
                  </w:r>
                </w:p>
              </w:tc>
              <w:tc>
                <w:tcPr>
                  <w:tcW w:type="dxa" w:w="1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≥18m/s</w:t>
                  </w:r>
                </w:p>
              </w:tc>
              <w:tc>
                <w:tcPr>
                  <w:tcW w:type="dxa" w:w="521"/>
                  <w:vMerge/>
                  <w:tcBorders>
                    <w:top w:val="none" w:color="000000" w:sz="4"/>
                    <w:left w:val="single" w:color="000000" w:sz="4"/>
                    <w:bottom w:val="single" w:color="000000" w:sz="4"/>
                    <w:right w:val="single" w:color="000000" w:sz="4"/>
                  </w:tcBorders>
                </w:tcPr>
                <w:p/>
              </w:tc>
              <w:tc>
                <w:tcPr>
                  <w:tcW w:type="dxa" w:w="506"/>
                  <w:vMerge/>
                  <w:tcBorders>
                    <w:top w:val="single" w:color="000000" w:sz="4"/>
                    <w:left w:val="single" w:color="000000" w:sz="4"/>
                    <w:bottom w:val="single" w:color="000000" w:sz="4"/>
                    <w:right w:val="single" w:color="000000" w:sz="4"/>
                  </w:tcBorders>
                </w:tcP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图传加密</w:t>
                  </w:r>
                </w:p>
              </w:tc>
              <w:tc>
                <w:tcPr>
                  <w:tcW w:type="dxa" w:w="1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为保证数据安全，图传链路需通过</w:t>
                  </w:r>
                  <w:r>
                    <w:rPr>
                      <w:sz w:val="19"/>
                      <w:color w:val="000000"/>
                    </w:rPr>
                    <w:t>AES-256技术进行加密，图传支持多频段，具备抗干扰能力</w:t>
                  </w:r>
                </w:p>
              </w:tc>
              <w:tc>
                <w:tcPr>
                  <w:tcW w:type="dxa" w:w="521"/>
                  <w:vMerge/>
                  <w:tcBorders>
                    <w:top w:val="none" w:color="000000" w:sz="4"/>
                    <w:left w:val="single" w:color="000000" w:sz="4"/>
                    <w:bottom w:val="single" w:color="000000" w:sz="4"/>
                    <w:right w:val="single" w:color="000000" w:sz="4"/>
                  </w:tcBorders>
                </w:tcPr>
                <w:p/>
              </w:tc>
              <w:tc>
                <w:tcPr>
                  <w:tcW w:type="dxa" w:w="506"/>
                  <w:vMerge/>
                  <w:tcBorders>
                    <w:top w:val="single" w:color="000000" w:sz="4"/>
                    <w:left w:val="single" w:color="000000" w:sz="4"/>
                    <w:bottom w:val="single" w:color="000000" w:sz="4"/>
                    <w:right w:val="single" w:color="000000" w:sz="4"/>
                  </w:tcBorders>
                </w:tcP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飞行器自检功能</w:t>
                  </w:r>
                </w:p>
              </w:tc>
              <w:tc>
                <w:tcPr>
                  <w:tcW w:type="dxa" w:w="1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具备飞行器自检功能</w:t>
                  </w:r>
                </w:p>
              </w:tc>
              <w:tc>
                <w:tcPr>
                  <w:tcW w:type="dxa" w:w="521"/>
                  <w:vMerge/>
                  <w:tcBorders>
                    <w:top w:val="none" w:color="000000" w:sz="4"/>
                    <w:left w:val="single" w:color="000000" w:sz="4"/>
                    <w:bottom w:val="single" w:color="000000" w:sz="4"/>
                    <w:right w:val="single" w:color="000000" w:sz="4"/>
                  </w:tcBorders>
                </w:tcPr>
                <w:p/>
              </w:tc>
              <w:tc>
                <w:tcPr>
                  <w:tcW w:type="dxa" w:w="506"/>
                  <w:vMerge/>
                  <w:tcBorders>
                    <w:top w:val="single" w:color="000000" w:sz="4"/>
                    <w:left w:val="single" w:color="000000" w:sz="4"/>
                    <w:bottom w:val="single" w:color="000000" w:sz="4"/>
                    <w:right w:val="single" w:color="000000" w:sz="4"/>
                  </w:tcBorders>
                </w:tcP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低电量自动返航</w:t>
                  </w:r>
                </w:p>
              </w:tc>
              <w:tc>
                <w:tcPr>
                  <w:tcW w:type="dxa" w:w="1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具备低电量自动返航功能</w:t>
                  </w:r>
                </w:p>
              </w:tc>
              <w:tc>
                <w:tcPr>
                  <w:tcW w:type="dxa" w:w="521"/>
                  <w:vMerge/>
                  <w:tcBorders>
                    <w:top w:val="none" w:color="000000" w:sz="4"/>
                    <w:left w:val="single" w:color="000000" w:sz="4"/>
                    <w:bottom w:val="single" w:color="000000" w:sz="4"/>
                    <w:right w:val="single" w:color="000000" w:sz="4"/>
                  </w:tcBorders>
                </w:tcPr>
                <w:p/>
              </w:tc>
              <w:tc>
                <w:tcPr>
                  <w:tcW w:type="dxa" w:w="506"/>
                  <w:vMerge/>
                  <w:tcBorders>
                    <w:top w:val="single" w:color="000000" w:sz="4"/>
                    <w:left w:val="single" w:color="000000" w:sz="4"/>
                    <w:bottom w:val="single" w:color="000000" w:sz="4"/>
                    <w:right w:val="single" w:color="000000" w:sz="4"/>
                  </w:tcBorders>
                </w:tcP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信号丢失自动返航</w:t>
                  </w:r>
                </w:p>
              </w:tc>
              <w:tc>
                <w:tcPr>
                  <w:tcW w:type="dxa" w:w="1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具备信号丢失自动返航功能</w:t>
                  </w:r>
                </w:p>
              </w:tc>
              <w:tc>
                <w:tcPr>
                  <w:tcW w:type="dxa" w:w="521"/>
                  <w:vMerge/>
                  <w:tcBorders>
                    <w:top w:val="none" w:color="000000" w:sz="4"/>
                    <w:left w:val="single" w:color="000000" w:sz="4"/>
                    <w:bottom w:val="single" w:color="000000" w:sz="4"/>
                    <w:right w:val="single" w:color="000000" w:sz="4"/>
                  </w:tcBorders>
                </w:tcPr>
                <w:p/>
              </w:tc>
              <w:tc>
                <w:tcPr>
                  <w:tcW w:type="dxa" w:w="506"/>
                  <w:vMerge/>
                  <w:tcBorders>
                    <w:top w:val="single" w:color="000000" w:sz="4"/>
                    <w:left w:val="single" w:color="000000" w:sz="4"/>
                    <w:bottom w:val="single" w:color="000000" w:sz="4"/>
                    <w:right w:val="single" w:color="000000" w:sz="4"/>
                  </w:tcBorders>
                </w:tcPr>
                <w:p/>
              </w:tc>
            </w:tr>
            <w:tr>
              <w:tc>
                <w:tcPr>
                  <w:tcW w:type="dxa" w:w="616"/>
                  <w:vMerge/>
                  <w:tcBorders>
                    <w:top w:val="none" w:color="000000" w:sz="4"/>
                    <w:left w:val="single" w:color="000000" w:sz="4"/>
                    <w:bottom w:val="single" w:color="000000" w:sz="4"/>
                    <w:right w:val="single" w:color="000000" w:sz="4"/>
                  </w:tcBorders>
                </w:tcPr>
                <w:p/>
              </w:tc>
              <w:tc>
                <w:tcPr>
                  <w:tcW w:type="dxa" w:w="8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color w:val="000000"/>
                    </w:rPr>
                    <w:t>云台相机</w:t>
                  </w:r>
                </w:p>
                <w:p>
                  <w:pPr>
                    <w:pStyle w:val="null3"/>
                    <w:jc w:val="center"/>
                  </w:pPr>
                  <w:r>
                    <w:rPr>
                      <w:sz w:val="19"/>
                      <w:b/>
                      <w:color w:val="000000"/>
                    </w:rPr>
                    <w:t>（</w:t>
                  </w:r>
                  <w:r>
                    <w:rPr>
                      <w:sz w:val="19"/>
                      <w:b/>
                      <w:color w:val="000000"/>
                    </w:rPr>
                    <w:t>2）</w:t>
                  </w:r>
                </w:p>
              </w:tc>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相机类型</w:t>
                  </w:r>
                </w:p>
              </w:tc>
              <w:tc>
                <w:tcPr>
                  <w:tcW w:type="dxa" w:w="1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具有长焦可见光、中长焦可见光、广角可见光和红外热成像相机</w:t>
                  </w:r>
                </w:p>
              </w:tc>
              <w:tc>
                <w:tcPr>
                  <w:tcW w:type="dxa" w:w="521"/>
                  <w:vMerge/>
                  <w:tcBorders>
                    <w:top w:val="none" w:color="000000" w:sz="4"/>
                    <w:left w:val="single" w:color="000000" w:sz="4"/>
                    <w:bottom w:val="single" w:color="000000" w:sz="4"/>
                    <w:right w:val="single" w:color="000000" w:sz="4"/>
                  </w:tcBorders>
                </w:tcPr>
                <w:p/>
              </w:tc>
              <w:tc>
                <w:tcPr>
                  <w:tcW w:type="dxa" w:w="506"/>
                  <w:vMerge/>
                  <w:tcBorders>
                    <w:top w:val="single" w:color="000000" w:sz="4"/>
                    <w:left w:val="single" w:color="000000" w:sz="4"/>
                    <w:bottom w:val="single" w:color="000000" w:sz="4"/>
                    <w:right w:val="single" w:color="000000" w:sz="4"/>
                  </w:tcBorders>
                </w:tcP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广角相机</w:t>
                  </w:r>
                  <w:r>
                    <w:rPr>
                      <w:sz w:val="19"/>
                      <w:color w:val="000000"/>
                    </w:rPr>
                    <w:t>CMOS</w:t>
                  </w:r>
                </w:p>
              </w:tc>
              <w:tc>
                <w:tcPr>
                  <w:tcW w:type="dxa" w:w="1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1/1.3英寸</w:t>
                  </w:r>
                </w:p>
              </w:tc>
              <w:tc>
                <w:tcPr>
                  <w:tcW w:type="dxa" w:w="521"/>
                  <w:vMerge/>
                  <w:tcBorders>
                    <w:top w:val="none" w:color="000000" w:sz="4"/>
                    <w:left w:val="single" w:color="000000" w:sz="4"/>
                    <w:bottom w:val="single" w:color="000000" w:sz="4"/>
                    <w:right w:val="single" w:color="000000" w:sz="4"/>
                  </w:tcBorders>
                </w:tcPr>
                <w:p/>
              </w:tc>
              <w:tc>
                <w:tcPr>
                  <w:tcW w:type="dxa" w:w="506"/>
                  <w:vMerge/>
                  <w:tcBorders>
                    <w:top w:val="single" w:color="000000" w:sz="4"/>
                    <w:left w:val="single" w:color="000000" w:sz="4"/>
                    <w:bottom w:val="single" w:color="000000" w:sz="4"/>
                    <w:right w:val="single" w:color="000000" w:sz="4"/>
                  </w:tcBorders>
                </w:tcP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广角相机像素</w:t>
                  </w:r>
                </w:p>
              </w:tc>
              <w:tc>
                <w:tcPr>
                  <w:tcW w:type="dxa" w:w="1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具备广角相机，有效像素不低于</w:t>
                  </w:r>
                  <w:r>
                    <w:rPr>
                      <w:sz w:val="19"/>
                      <w:color w:val="000000"/>
                    </w:rPr>
                    <w:t>4800万</w:t>
                  </w:r>
                </w:p>
              </w:tc>
              <w:tc>
                <w:tcPr>
                  <w:tcW w:type="dxa" w:w="521"/>
                  <w:vMerge/>
                  <w:tcBorders>
                    <w:top w:val="none" w:color="000000" w:sz="4"/>
                    <w:left w:val="single" w:color="000000" w:sz="4"/>
                    <w:bottom w:val="single" w:color="000000" w:sz="4"/>
                    <w:right w:val="single" w:color="000000" w:sz="4"/>
                  </w:tcBorders>
                </w:tcPr>
                <w:p/>
              </w:tc>
              <w:tc>
                <w:tcPr>
                  <w:tcW w:type="dxa" w:w="506"/>
                  <w:vMerge/>
                  <w:tcBorders>
                    <w:top w:val="single" w:color="000000" w:sz="4"/>
                    <w:left w:val="single" w:color="000000" w:sz="4"/>
                    <w:bottom w:val="single" w:color="000000" w:sz="4"/>
                    <w:right w:val="single" w:color="000000" w:sz="4"/>
                  </w:tcBorders>
                </w:tcP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中长焦相机</w:t>
                  </w:r>
                  <w:r>
                    <w:rPr>
                      <w:sz w:val="19"/>
                      <w:color w:val="000000"/>
                    </w:rPr>
                    <w:t>CMOS</w:t>
                  </w:r>
                </w:p>
              </w:tc>
              <w:tc>
                <w:tcPr>
                  <w:tcW w:type="dxa" w:w="1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具备中长焦相机，相机</w:t>
                  </w:r>
                  <w:r>
                    <w:rPr>
                      <w:sz w:val="19"/>
                      <w:color w:val="000000"/>
                    </w:rPr>
                    <w:t>CMOS不低于1/1.3英寸</w:t>
                  </w:r>
                </w:p>
              </w:tc>
              <w:tc>
                <w:tcPr>
                  <w:tcW w:type="dxa" w:w="521"/>
                  <w:vMerge/>
                  <w:tcBorders>
                    <w:top w:val="none" w:color="000000" w:sz="4"/>
                    <w:left w:val="single" w:color="000000" w:sz="4"/>
                    <w:bottom w:val="single" w:color="000000" w:sz="4"/>
                    <w:right w:val="single" w:color="000000" w:sz="4"/>
                  </w:tcBorders>
                </w:tcPr>
                <w:p/>
              </w:tc>
              <w:tc>
                <w:tcPr>
                  <w:tcW w:type="dxa" w:w="506"/>
                  <w:vMerge/>
                  <w:tcBorders>
                    <w:top w:val="single" w:color="000000" w:sz="4"/>
                    <w:left w:val="single" w:color="000000" w:sz="4"/>
                    <w:bottom w:val="single" w:color="000000" w:sz="4"/>
                    <w:right w:val="single" w:color="000000" w:sz="4"/>
                  </w:tcBorders>
                </w:tcP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中长焦相机像素</w:t>
                  </w:r>
                </w:p>
              </w:tc>
              <w:tc>
                <w:tcPr>
                  <w:tcW w:type="dxa" w:w="1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像素数不低于</w:t>
                  </w:r>
                  <w:r>
                    <w:rPr>
                      <w:sz w:val="19"/>
                      <w:color w:val="000000"/>
                    </w:rPr>
                    <w:t>4800万</w:t>
                  </w:r>
                </w:p>
              </w:tc>
              <w:tc>
                <w:tcPr>
                  <w:tcW w:type="dxa" w:w="521"/>
                  <w:vMerge/>
                  <w:tcBorders>
                    <w:top w:val="none" w:color="000000" w:sz="4"/>
                    <w:left w:val="single" w:color="000000" w:sz="4"/>
                    <w:bottom w:val="single" w:color="000000" w:sz="4"/>
                    <w:right w:val="single" w:color="000000" w:sz="4"/>
                  </w:tcBorders>
                </w:tcPr>
                <w:p/>
              </w:tc>
              <w:tc>
                <w:tcPr>
                  <w:tcW w:type="dxa" w:w="506"/>
                  <w:vMerge/>
                  <w:tcBorders>
                    <w:top w:val="single" w:color="000000" w:sz="4"/>
                    <w:left w:val="single" w:color="000000" w:sz="4"/>
                    <w:bottom w:val="single" w:color="000000" w:sz="4"/>
                    <w:right w:val="single" w:color="000000" w:sz="4"/>
                  </w:tcBorders>
                </w:tcP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长焦相机</w:t>
                  </w:r>
                  <w:r>
                    <w:rPr>
                      <w:sz w:val="19"/>
                      <w:color w:val="000000"/>
                    </w:rPr>
                    <w:t>CMOS</w:t>
                  </w:r>
                </w:p>
              </w:tc>
              <w:tc>
                <w:tcPr>
                  <w:tcW w:type="dxa" w:w="1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具备长焦相机，相机</w:t>
                  </w:r>
                  <w:r>
                    <w:rPr>
                      <w:sz w:val="19"/>
                      <w:color w:val="000000"/>
                    </w:rPr>
                    <w:t>CMOS不低于1/1.5英寸</w:t>
                  </w:r>
                </w:p>
              </w:tc>
              <w:tc>
                <w:tcPr>
                  <w:tcW w:type="dxa" w:w="521"/>
                  <w:vMerge/>
                  <w:tcBorders>
                    <w:top w:val="none" w:color="000000" w:sz="4"/>
                    <w:left w:val="single" w:color="000000" w:sz="4"/>
                    <w:bottom w:val="single" w:color="000000" w:sz="4"/>
                    <w:right w:val="single" w:color="000000" w:sz="4"/>
                  </w:tcBorders>
                </w:tcPr>
                <w:p/>
              </w:tc>
              <w:tc>
                <w:tcPr>
                  <w:tcW w:type="dxa" w:w="506"/>
                  <w:vMerge/>
                  <w:tcBorders>
                    <w:top w:val="single" w:color="000000" w:sz="4"/>
                    <w:left w:val="single" w:color="000000" w:sz="4"/>
                    <w:bottom w:val="single" w:color="000000" w:sz="4"/>
                    <w:right w:val="single" w:color="000000" w:sz="4"/>
                  </w:tcBorders>
                </w:tcP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长焦相机像素</w:t>
                  </w:r>
                </w:p>
              </w:tc>
              <w:tc>
                <w:tcPr>
                  <w:tcW w:type="dxa" w:w="1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像素数不低于</w:t>
                  </w:r>
                  <w:r>
                    <w:rPr>
                      <w:sz w:val="19"/>
                      <w:color w:val="000000"/>
                    </w:rPr>
                    <w:t>4800万</w:t>
                  </w:r>
                </w:p>
              </w:tc>
              <w:tc>
                <w:tcPr>
                  <w:tcW w:type="dxa" w:w="521"/>
                  <w:vMerge/>
                  <w:tcBorders>
                    <w:top w:val="none" w:color="000000" w:sz="4"/>
                    <w:left w:val="single" w:color="000000" w:sz="4"/>
                    <w:bottom w:val="single" w:color="000000" w:sz="4"/>
                    <w:right w:val="single" w:color="000000" w:sz="4"/>
                  </w:tcBorders>
                </w:tcPr>
                <w:p/>
              </w:tc>
              <w:tc>
                <w:tcPr>
                  <w:tcW w:type="dxa" w:w="506"/>
                  <w:vMerge/>
                  <w:tcBorders>
                    <w:top w:val="single" w:color="000000" w:sz="4"/>
                    <w:left w:val="single" w:color="000000" w:sz="4"/>
                    <w:bottom w:val="single" w:color="000000" w:sz="4"/>
                    <w:right w:val="single" w:color="000000" w:sz="4"/>
                  </w:tcBorders>
                </w:tcP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可见光相机变焦倍数</w:t>
                  </w:r>
                </w:p>
              </w:tc>
              <w:tc>
                <w:tcPr>
                  <w:tcW w:type="dxa" w:w="1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变焦倍数不低于</w:t>
                  </w:r>
                  <w:r>
                    <w:rPr>
                      <w:sz w:val="19"/>
                      <w:color w:val="000000"/>
                    </w:rPr>
                    <w:t>112倍</w:t>
                  </w:r>
                </w:p>
              </w:tc>
              <w:tc>
                <w:tcPr>
                  <w:tcW w:type="dxa" w:w="521"/>
                  <w:vMerge/>
                  <w:tcBorders>
                    <w:top w:val="none" w:color="000000" w:sz="4"/>
                    <w:left w:val="single" w:color="000000" w:sz="4"/>
                    <w:bottom w:val="single" w:color="000000" w:sz="4"/>
                    <w:right w:val="single" w:color="000000" w:sz="4"/>
                  </w:tcBorders>
                </w:tcPr>
                <w:p/>
              </w:tc>
              <w:tc>
                <w:tcPr>
                  <w:tcW w:type="dxa" w:w="506"/>
                  <w:vMerge/>
                  <w:tcBorders>
                    <w:top w:val="single" w:color="000000" w:sz="4"/>
                    <w:left w:val="single" w:color="000000" w:sz="4"/>
                    <w:bottom w:val="single" w:color="000000" w:sz="4"/>
                    <w:right w:val="single" w:color="000000" w:sz="4"/>
                  </w:tcBorders>
                </w:tcP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红外传感器分辨率</w:t>
                  </w:r>
                </w:p>
              </w:tc>
              <w:tc>
                <w:tcPr>
                  <w:tcW w:type="dxa" w:w="1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≥640*512，超分模式≥1280*1024</w:t>
                  </w:r>
                </w:p>
              </w:tc>
              <w:tc>
                <w:tcPr>
                  <w:tcW w:type="dxa" w:w="521"/>
                  <w:vMerge/>
                  <w:tcBorders>
                    <w:top w:val="none" w:color="000000" w:sz="4"/>
                    <w:left w:val="single" w:color="000000" w:sz="4"/>
                    <w:bottom w:val="single" w:color="000000" w:sz="4"/>
                    <w:right w:val="single" w:color="000000" w:sz="4"/>
                  </w:tcBorders>
                </w:tcPr>
                <w:p/>
              </w:tc>
              <w:tc>
                <w:tcPr>
                  <w:tcW w:type="dxa" w:w="506"/>
                  <w:vMerge/>
                  <w:tcBorders>
                    <w:top w:val="single" w:color="000000" w:sz="4"/>
                    <w:left w:val="single" w:color="000000" w:sz="4"/>
                    <w:bottom w:val="single" w:color="000000" w:sz="4"/>
                    <w:right w:val="single" w:color="000000" w:sz="4"/>
                  </w:tcBorders>
                </w:tcP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红外传感器帧率</w:t>
                  </w:r>
                </w:p>
              </w:tc>
              <w:tc>
                <w:tcPr>
                  <w:tcW w:type="dxa" w:w="1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30Hz</w:t>
                  </w:r>
                </w:p>
              </w:tc>
              <w:tc>
                <w:tcPr>
                  <w:tcW w:type="dxa" w:w="521"/>
                  <w:vMerge/>
                  <w:tcBorders>
                    <w:top w:val="none" w:color="000000" w:sz="4"/>
                    <w:left w:val="single" w:color="000000" w:sz="4"/>
                    <w:bottom w:val="single" w:color="000000" w:sz="4"/>
                    <w:right w:val="single" w:color="000000" w:sz="4"/>
                  </w:tcBorders>
                </w:tcPr>
                <w:p/>
              </w:tc>
              <w:tc>
                <w:tcPr>
                  <w:tcW w:type="dxa" w:w="506"/>
                  <w:vMerge/>
                  <w:tcBorders>
                    <w:top w:val="single" w:color="000000" w:sz="4"/>
                    <w:left w:val="single" w:color="000000" w:sz="4"/>
                    <w:bottom w:val="single" w:color="000000" w:sz="4"/>
                    <w:right w:val="single" w:color="000000" w:sz="4"/>
                  </w:tcBorders>
                </w:tcP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红外热成像测温方式</w:t>
                  </w:r>
                </w:p>
              </w:tc>
              <w:tc>
                <w:tcPr>
                  <w:tcW w:type="dxa" w:w="1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支持点测温和区域测温</w:t>
                  </w:r>
                </w:p>
              </w:tc>
              <w:tc>
                <w:tcPr>
                  <w:tcW w:type="dxa" w:w="521"/>
                  <w:vMerge/>
                  <w:tcBorders>
                    <w:top w:val="none" w:color="000000" w:sz="4"/>
                    <w:left w:val="single" w:color="000000" w:sz="4"/>
                    <w:bottom w:val="single" w:color="000000" w:sz="4"/>
                    <w:right w:val="single" w:color="000000" w:sz="4"/>
                  </w:tcBorders>
                </w:tcPr>
                <w:p/>
              </w:tc>
              <w:tc>
                <w:tcPr>
                  <w:tcW w:type="dxa" w:w="506"/>
                  <w:vMerge/>
                  <w:tcBorders>
                    <w:top w:val="single" w:color="000000" w:sz="4"/>
                    <w:left w:val="single" w:color="000000" w:sz="4"/>
                    <w:bottom w:val="single" w:color="000000" w:sz="4"/>
                    <w:right w:val="single" w:color="000000" w:sz="4"/>
                  </w:tcBorders>
                </w:tcP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红外热成像相机变焦倍数</w:t>
                  </w:r>
                </w:p>
              </w:tc>
              <w:tc>
                <w:tcPr>
                  <w:tcW w:type="dxa" w:w="1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支持</w:t>
                  </w:r>
                  <w:r>
                    <w:rPr>
                      <w:sz w:val="19"/>
                      <w:color w:val="000000"/>
                    </w:rPr>
                    <w:t>28倍数码变焦</w:t>
                  </w:r>
                </w:p>
              </w:tc>
              <w:tc>
                <w:tcPr>
                  <w:tcW w:type="dxa" w:w="521"/>
                  <w:vMerge/>
                  <w:tcBorders>
                    <w:top w:val="none" w:color="000000" w:sz="4"/>
                    <w:left w:val="single" w:color="000000" w:sz="4"/>
                    <w:bottom w:val="single" w:color="000000" w:sz="4"/>
                    <w:right w:val="single" w:color="000000" w:sz="4"/>
                  </w:tcBorders>
                </w:tcPr>
                <w:p/>
              </w:tc>
              <w:tc>
                <w:tcPr>
                  <w:tcW w:type="dxa" w:w="506"/>
                  <w:vMerge/>
                  <w:tcBorders>
                    <w:top w:val="single" w:color="000000" w:sz="4"/>
                    <w:left w:val="single" w:color="000000" w:sz="4"/>
                    <w:bottom w:val="single" w:color="000000" w:sz="4"/>
                    <w:right w:val="single" w:color="000000" w:sz="4"/>
                  </w:tcBorders>
                </w:tcP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变焦方式</w:t>
                  </w:r>
                </w:p>
              </w:tc>
              <w:tc>
                <w:tcPr>
                  <w:tcW w:type="dxa" w:w="1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支持可见光与红外热成像联动变焦</w:t>
                  </w:r>
                </w:p>
              </w:tc>
              <w:tc>
                <w:tcPr>
                  <w:tcW w:type="dxa" w:w="521"/>
                  <w:vMerge/>
                  <w:tcBorders>
                    <w:top w:val="none" w:color="000000" w:sz="4"/>
                    <w:left w:val="single" w:color="000000" w:sz="4"/>
                    <w:bottom w:val="single" w:color="000000" w:sz="4"/>
                    <w:right w:val="single" w:color="000000" w:sz="4"/>
                  </w:tcBorders>
                </w:tcPr>
                <w:p/>
              </w:tc>
              <w:tc>
                <w:tcPr>
                  <w:tcW w:type="dxa" w:w="506"/>
                  <w:vMerge/>
                  <w:tcBorders>
                    <w:top w:val="single" w:color="000000" w:sz="4"/>
                    <w:left w:val="single" w:color="000000" w:sz="4"/>
                    <w:bottom w:val="single" w:color="000000" w:sz="4"/>
                    <w:right w:val="single" w:color="000000" w:sz="4"/>
                  </w:tcBorders>
                </w:tcP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稳定系统</w:t>
                  </w:r>
                </w:p>
              </w:tc>
              <w:tc>
                <w:tcPr>
                  <w:tcW w:type="dxa" w:w="1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具备三轴机械增稳云台（俯仰、横滚、平移）</w:t>
                  </w:r>
                </w:p>
              </w:tc>
              <w:tc>
                <w:tcPr>
                  <w:tcW w:type="dxa" w:w="521"/>
                  <w:vMerge/>
                  <w:tcBorders>
                    <w:top w:val="none" w:color="000000" w:sz="4"/>
                    <w:left w:val="single" w:color="000000" w:sz="4"/>
                    <w:bottom w:val="single" w:color="000000" w:sz="4"/>
                    <w:right w:val="single" w:color="000000" w:sz="4"/>
                  </w:tcBorders>
                </w:tcPr>
                <w:p/>
              </w:tc>
              <w:tc>
                <w:tcPr>
                  <w:tcW w:type="dxa" w:w="506"/>
                  <w:vMerge/>
                  <w:tcBorders>
                    <w:top w:val="single" w:color="000000" w:sz="4"/>
                    <w:left w:val="single" w:color="000000" w:sz="4"/>
                    <w:bottom w:val="single" w:color="000000" w:sz="4"/>
                    <w:right w:val="single" w:color="000000" w:sz="4"/>
                  </w:tcBorders>
                </w:tcP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可见光相机视频</w:t>
                  </w:r>
                </w:p>
              </w:tc>
              <w:tc>
                <w:tcPr>
                  <w:tcW w:type="dxa" w:w="1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可见光相机支持</w:t>
                  </w:r>
                  <w:r>
                    <w:rPr>
                      <w:sz w:val="19"/>
                      <w:color w:val="000000"/>
                    </w:rPr>
                    <w:t>4k30p视频录制</w:t>
                  </w:r>
                </w:p>
              </w:tc>
              <w:tc>
                <w:tcPr>
                  <w:tcW w:type="dxa" w:w="521"/>
                  <w:vMerge/>
                  <w:tcBorders>
                    <w:top w:val="none" w:color="000000" w:sz="4"/>
                    <w:left w:val="single" w:color="000000" w:sz="4"/>
                    <w:bottom w:val="single" w:color="000000" w:sz="4"/>
                    <w:right w:val="single" w:color="000000" w:sz="4"/>
                  </w:tcBorders>
                </w:tcPr>
                <w:p/>
              </w:tc>
              <w:tc>
                <w:tcPr>
                  <w:tcW w:type="dxa" w:w="506"/>
                  <w:vMerge/>
                  <w:tcBorders>
                    <w:top w:val="single" w:color="000000" w:sz="4"/>
                    <w:left w:val="single" w:color="000000" w:sz="4"/>
                    <w:bottom w:val="single" w:color="000000" w:sz="4"/>
                    <w:right w:val="single" w:color="000000" w:sz="4"/>
                  </w:tcBorders>
                </w:tcP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激光测距模块</w:t>
                  </w:r>
                </w:p>
              </w:tc>
              <w:tc>
                <w:tcPr>
                  <w:tcW w:type="dxa" w:w="1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最远正入射量程</w:t>
                  </w:r>
                  <w:r>
                    <w:rPr>
                      <w:sz w:val="19"/>
                      <w:color w:val="000000"/>
                    </w:rPr>
                    <w:t>1800m</w:t>
                  </w:r>
                </w:p>
              </w:tc>
              <w:tc>
                <w:tcPr>
                  <w:tcW w:type="dxa" w:w="521"/>
                  <w:vMerge/>
                  <w:tcBorders>
                    <w:top w:val="none" w:color="000000" w:sz="4"/>
                    <w:left w:val="single" w:color="000000" w:sz="4"/>
                    <w:bottom w:val="single" w:color="000000" w:sz="4"/>
                    <w:right w:val="single" w:color="000000" w:sz="4"/>
                  </w:tcBorders>
                </w:tcPr>
                <w:p/>
              </w:tc>
              <w:tc>
                <w:tcPr>
                  <w:tcW w:type="dxa" w:w="506"/>
                  <w:vMerge/>
                  <w:tcBorders>
                    <w:top w:val="single" w:color="000000" w:sz="4"/>
                    <w:left w:val="single" w:color="000000" w:sz="4"/>
                    <w:bottom w:val="single" w:color="000000" w:sz="4"/>
                    <w:right w:val="single" w:color="000000" w:sz="4"/>
                  </w:tcBorders>
                </w:tcPr>
                <w:p/>
              </w:tc>
            </w:tr>
            <w:tr>
              <w:tc>
                <w:tcPr>
                  <w:tcW w:type="dxa" w:w="616"/>
                  <w:vMerge/>
                  <w:tcBorders>
                    <w:top w:val="none" w:color="000000" w:sz="4"/>
                    <w:left w:val="single" w:color="000000" w:sz="4"/>
                    <w:bottom w:val="single" w:color="000000" w:sz="4"/>
                    <w:right w:val="single" w:color="000000" w:sz="4"/>
                  </w:tcBorders>
                </w:tcPr>
                <w:p/>
              </w:tc>
              <w:tc>
                <w:tcPr>
                  <w:tcW w:type="dxa" w:w="831"/>
                  <w:vMerge/>
                  <w:tcBorders>
                    <w:top w:val="none" w:color="000000" w:sz="4"/>
                    <w:left w:val="single" w:color="000000" w:sz="4"/>
                    <w:bottom w:val="single" w:color="000000" w:sz="4"/>
                    <w:right w:val="single" w:color="000000" w:sz="4"/>
                  </w:tcBorders>
                </w:tcPr>
                <w:p/>
              </w:tc>
              <w:tc>
                <w:tcPr>
                  <w:tcW w:type="dxa" w:w="1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红外补光</w:t>
                  </w:r>
                </w:p>
              </w:tc>
              <w:tc>
                <w:tcPr>
                  <w:tcW w:type="dxa" w:w="1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支持近红外补光灯</w:t>
                  </w:r>
                </w:p>
              </w:tc>
              <w:tc>
                <w:tcPr>
                  <w:tcW w:type="dxa" w:w="521"/>
                  <w:vMerge/>
                  <w:tcBorders>
                    <w:top w:val="none" w:color="000000" w:sz="4"/>
                    <w:left w:val="single" w:color="000000" w:sz="4"/>
                    <w:bottom w:val="single" w:color="000000" w:sz="4"/>
                    <w:right w:val="single" w:color="000000" w:sz="4"/>
                  </w:tcBorders>
                </w:tcPr>
                <w:p/>
              </w:tc>
              <w:tc>
                <w:tcPr>
                  <w:tcW w:type="dxa" w:w="506"/>
                  <w:vMerge/>
                  <w:tcBorders>
                    <w:top w:val="single" w:color="000000" w:sz="4"/>
                    <w:left w:val="single" w:color="000000" w:sz="4"/>
                    <w:bottom w:val="single" w:color="000000" w:sz="4"/>
                    <w:right w:val="single" w:color="000000" w:sz="4"/>
                  </w:tcBorders>
                </w:tcPr>
                <w:p/>
              </w:tc>
            </w:tr>
            <w:tr>
              <w:tc>
                <w:tcPr>
                  <w:tcW w:type="dxa" w:w="6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配套服务</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保险</w:t>
                  </w:r>
                </w:p>
              </w:tc>
              <w:tc>
                <w:tcPr>
                  <w:tcW w:type="dxa" w:w="31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无人机属高价值易损件，按照行业通用保险购买标准，保险价格应为飞机自身价值的</w:t>
                  </w:r>
                  <w:r>
                    <w:rPr>
                      <w:sz w:val="19"/>
                      <w:color w:val="000000"/>
                    </w:rPr>
                    <w:t>10%—20%。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2</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项</w:t>
                  </w:r>
                </w:p>
              </w:tc>
            </w:tr>
            <w:tr>
              <w:tc>
                <w:tcPr>
                  <w:tcW w:type="dxa" w:w="616"/>
                  <w:vMerge/>
                  <w:tcBorders>
                    <w:top w:val="none" w:color="000000" w:sz="4"/>
                    <w:left w:val="single" w:color="000000" w:sz="4"/>
                    <w:bottom w:val="single" w:color="000000" w:sz="4"/>
                    <w:right w:val="single" w:color="000000" w:sz="4"/>
                  </w:tcBorders>
                </w:tcP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w:t>
                  </w:r>
                </w:p>
                <w:p>
                  <w:pPr>
                    <w:pStyle w:val="null3"/>
                    <w:jc w:val="center"/>
                  </w:pPr>
                  <w:r>
                    <w:rPr>
                      <w:sz w:val="19"/>
                      <w:color w:val="000000"/>
                    </w:rPr>
                    <w:t>电池</w:t>
                  </w:r>
                </w:p>
              </w:tc>
              <w:tc>
                <w:tcPr>
                  <w:tcW w:type="dxa" w:w="31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color w:val="000000"/>
                    </w:rPr>
                    <w:t>每架无人机应配置足够电池用以支持无人机作业，每套</w:t>
                  </w:r>
                  <w:r>
                    <w:rPr>
                      <w:sz w:val="19"/>
                      <w:color w:val="000000"/>
                    </w:rPr>
                    <w:t>垂起固定翼</w:t>
                  </w:r>
                  <w:r>
                    <w:rPr>
                      <w:sz w:val="19"/>
                      <w:color w:val="000000"/>
                    </w:rPr>
                    <w:t>应配置至少</w:t>
                  </w:r>
                  <w:r>
                    <w:rPr>
                      <w:sz w:val="19"/>
                      <w:color w:val="000000"/>
                    </w:rPr>
                    <w:t>2</w:t>
                  </w:r>
                  <w:r>
                    <w:rPr>
                      <w:sz w:val="19"/>
                      <w:color w:val="000000"/>
                    </w:rPr>
                    <w:t>组电池</w:t>
                  </w:r>
                  <w:r>
                    <w:rPr>
                      <w:sz w:val="19"/>
                      <w:color w:val="000000"/>
                    </w:rPr>
                    <w:t>，</w:t>
                  </w:r>
                  <w:r>
                    <w:rPr>
                      <w:sz w:val="19"/>
                      <w:color w:val="000000"/>
                    </w:rPr>
                    <w:t>每套多旋翼应配置至少</w:t>
                  </w:r>
                  <w:r>
                    <w:rPr>
                      <w:sz w:val="19"/>
                      <w:color w:val="000000"/>
                    </w:rPr>
                    <w:t>4组电池</w:t>
                  </w:r>
                  <w:r>
                    <w:rPr>
                      <w:sz w:val="19"/>
                      <w:color w:val="000000"/>
                    </w:rPr>
                    <w:t>。</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2</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项</w:t>
                  </w:r>
                </w:p>
              </w:tc>
            </w:tr>
          </w:tbl>
          <w:p>
            <w:pPr>
              <w:pStyle w:val="null3"/>
              <w:spacing w:before="90"/>
            </w:pPr>
            <w:r>
              <w:rPr>
                <w:sz w:val="19"/>
                <w:color w:val="000000"/>
              </w:rPr>
              <w:t>（四）其他要求</w:t>
            </w:r>
          </w:p>
          <w:p>
            <w:pPr>
              <w:pStyle w:val="null3"/>
              <w:spacing w:before="90"/>
              <w:ind w:firstLine="380"/>
            </w:pPr>
            <w:r>
              <w:rPr>
                <w:sz w:val="19"/>
                <w:color w:val="000000"/>
              </w:rPr>
              <w:t>1. 车辆服务：中标供应商需提供具备反向充电功能的车辆进行服务，保障应对突发情况无人机长时间续航（中标供应商应在2年服务期间提供1辆车常驻</w:t>
            </w:r>
            <w:r>
              <w:rPr>
                <w:sz w:val="19"/>
                <w:color w:val="000000"/>
              </w:rPr>
              <w:t>汕尾</w:t>
            </w:r>
            <w:r>
              <w:rPr>
                <w:sz w:val="19"/>
                <w:color w:val="000000"/>
              </w:rPr>
              <w:t>市内，专门用于本项目作业，包括折旧费、保险、路费、车船费、油费、保管费、维修费等由中标供应商自行承担）。</w:t>
            </w:r>
          </w:p>
          <w:p>
            <w:pPr>
              <w:pStyle w:val="null3"/>
              <w:spacing w:before="90"/>
              <w:ind w:firstLine="380"/>
            </w:pPr>
            <w:r>
              <w:rPr>
                <w:sz w:val="19"/>
                <w:color w:val="000000"/>
              </w:rPr>
              <w:t>2. 开展定期评估与改进工作：中标供应商应定期对飞行作业进行评估，深入剖析飞行执行成效及存在的问题。依据评估结果，及时调整飞行范围、航线和巡查重点，持续优化飞行作业方案。</w:t>
            </w:r>
          </w:p>
          <w:p>
            <w:pPr>
              <w:pStyle w:val="null3"/>
              <w:spacing w:before="90"/>
              <w:ind w:firstLine="380"/>
            </w:pPr>
            <w:r>
              <w:rPr>
                <w:sz w:val="19"/>
                <w:color w:val="000000"/>
              </w:rPr>
              <w:t>3. 实施定期维护与保养措施：中标供应商须对无人机进行定期的维护与保养，维护保养内容包括电池检测、螺旋桨更换、云台校准、避障功能测试、软件升级等。确保设备处于良好的运行状态，保障巡查出勤率及设备完好率。</w:t>
            </w:r>
          </w:p>
          <w:p>
            <w:pPr>
              <w:pStyle w:val="null3"/>
              <w:spacing w:before="90"/>
              <w:ind w:firstLine="380"/>
            </w:pPr>
            <w:r>
              <w:rPr>
                <w:sz w:val="19"/>
                <w:color w:val="000000"/>
              </w:rPr>
              <w:t>4. 保险与法律责任：</w:t>
            </w:r>
          </w:p>
          <w:p>
            <w:pPr>
              <w:pStyle w:val="null3"/>
              <w:spacing w:before="90"/>
              <w:ind w:firstLine="380"/>
            </w:pPr>
            <w:r>
              <w:rPr>
                <w:sz w:val="19"/>
                <w:color w:val="000000"/>
              </w:rPr>
              <w:t>（</w:t>
            </w:r>
            <w:r>
              <w:rPr>
                <w:sz w:val="19"/>
                <w:color w:val="000000"/>
              </w:rPr>
              <w:t>1）中标供应商须严格依照《无人驾驶航空器飞行管理暂行条例》的规定，为所有投入作业的无人驾驶航空器投保责任险，涵盖但不限于无人机机身及挂载设备保险，以及无人机飞行作业所需的第三者财产损失险和人身伤亡险。</w:t>
            </w:r>
          </w:p>
          <w:p>
            <w:pPr>
              <w:pStyle w:val="null3"/>
              <w:spacing w:before="90"/>
              <w:ind w:firstLine="380"/>
            </w:pPr>
            <w:r>
              <w:rPr>
                <w:sz w:val="19"/>
                <w:color w:val="000000"/>
              </w:rPr>
              <w:t>（</w:t>
            </w:r>
            <w:r>
              <w:rPr>
                <w:sz w:val="19"/>
                <w:color w:val="000000"/>
              </w:rPr>
              <w:t>2）在执行任务期间，因无人机意外坠落等意外因素导致的第三者人身财产损失，或因闯入军事禁飞区、发生安全事故等引发的自身或他人财产损失及人员伤亡，由此产生的一切纠纷、责任及后果，均由中标供应商全权承担，采购人不承担任何责任。</w:t>
            </w:r>
          </w:p>
          <w:p>
            <w:pPr>
              <w:pStyle w:val="null3"/>
            </w:pPr>
            <w:r>
              <w:rPr>
                <w:sz w:val="21"/>
                <w:color w:val="000000"/>
              </w:rPr>
              <w:t xml:space="preserve">       5. 空域申请服务：中标供应商须严格依据通航管制相关条例，在服务期内负责办理无人机飞行空域申请手续，确保无人机日常作业及应急作业空域合法合规、安全可用；合理规划飞行空域，保障无人机与其他飞行器保持安全距离，避免飞行冲突，确保飞行活动安全有序。</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1.采购代理机构：本项目是指广东信越工程管理有限公司，负责整个采购活动的组织，依法负责编制和发布磋商文件，对磋商文件拥有最终的解释权，不以任何身份出任磋商小组成员。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汕尾市公安局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中标通知书中的中标金额作为采购代理服务费的计算基数。参照中华人民共和国国家发展计划委员会颁发的计价格〔2002〕1980号、发改办价格〔2003〕857号及发改价格〔2011〕534号文规定的“服务类”计费标准计算并缴纳</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 xml:space="preserve">（2）非加密电子版文件 U 盘(或光盘) </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根据实际情况填写。具体情况根据开标(开启)时现场代理机 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广东信越工程管理有限公司</w:t>
      </w:r>
      <w:r>
        <w:rPr/>
        <w:t>代收。具体操作要求详见</w:t>
      </w:r>
      <w:r>
        <w:rPr/>
        <w:t>广东信越工程管理有限公司</w:t>
      </w:r>
      <w:r>
        <w:rPr/>
        <w:t>有关指引，递交事宜请自行咨询</w:t>
      </w:r>
      <w:r>
        <w:rPr/>
        <w:t>广东信越工程管理有限公司</w:t>
      </w:r>
      <w:r>
        <w:rPr/>
        <w:t>；请各供应商在响应文件递交截止时间前按须知前附表规定的金额递交至</w:t>
      </w:r>
      <w:r>
        <w:rPr/>
        <w:t>广东信越工程管理有限公司</w:t>
      </w:r>
      <w:r>
        <w:rPr/>
        <w:t>，到账情况以开启时</w:t>
      </w:r>
      <w:r>
        <w:rPr/>
        <w:t>广东信越工程管理有限公司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柳瑶瑶</w:t>
      </w:r>
    </w:p>
    <w:p>
      <w:pPr>
        <w:pStyle w:val="null3"/>
        <w:ind w:firstLine="480"/>
      </w:pPr>
      <w:r>
        <w:rPr/>
        <w:t>电话：</w:t>
      </w:r>
      <w:r>
        <w:rPr/>
        <w:t>0660-3372398</w:t>
      </w:r>
    </w:p>
    <w:p>
      <w:pPr>
        <w:pStyle w:val="null3"/>
        <w:ind w:firstLine="480"/>
      </w:pPr>
      <w:r>
        <w:rPr/>
        <w:t>传真：</w:t>
      </w:r>
      <w:r>
        <w:rPr/>
        <w:t>0660-3372398</w:t>
      </w:r>
    </w:p>
    <w:p>
      <w:pPr>
        <w:pStyle w:val="null3"/>
        <w:ind w:firstLine="480"/>
      </w:pPr>
      <w:r>
        <w:rPr/>
        <w:t>邮箱：</w:t>
      </w:r>
      <w:r>
        <w:rPr/>
        <w:t>760621054@qq.com</w:t>
      </w:r>
    </w:p>
    <w:p>
      <w:pPr>
        <w:pStyle w:val="null3"/>
        <w:ind w:firstLine="480"/>
      </w:pPr>
      <w:r>
        <w:rPr/>
        <w:t>地址：</w:t>
      </w:r>
      <w:r>
        <w:rPr/>
        <w:t>汕尾市区品清湖西侧滨湖路泰濠世纪豪庭2梯504室</w:t>
      </w:r>
    </w:p>
    <w:p>
      <w:pPr>
        <w:pStyle w:val="null3"/>
        <w:ind w:firstLine="480"/>
      </w:pPr>
      <w:r>
        <w:rPr/>
        <w:t>邮编：</w:t>
      </w:r>
      <w:r>
        <w:rPr/>
        <w:t>516600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政府采购监督管理机构名称：汕尾市财政局政府采购监管科</w:t>
      </w:r>
    </w:p>
    <w:p>
      <w:pPr>
        <w:pStyle w:val="null3"/>
      </w:pPr>
      <w:r>
        <w:rPr/>
        <w:t>地 址：汕尾市城区政和路10号政府采购监管科</w:t>
      </w:r>
    </w:p>
    <w:p>
      <w:pPr>
        <w:pStyle w:val="null3"/>
      </w:pPr>
      <w:r>
        <w:rPr/>
        <w:t>电 话：0660—3310721</w:t>
      </w:r>
    </w:p>
    <w:p>
      <w:pPr>
        <w:pStyle w:val="null3"/>
      </w:pPr>
      <w:r>
        <w:rPr/>
        <w:t>邮 编：516600</w:t>
      </w:r>
    </w:p>
    <w:p>
      <w:pPr>
        <w:pStyle w:val="null3"/>
      </w:pPr>
      <w:r>
        <w:rPr/>
        <w:t>传 真：0660—3310721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汕尾市公安局无人机应用服务)：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广东信越工程管理有限公司</w:t>
      </w:r>
      <w:r>
        <w:rPr/>
        <w:t>统一对外发布。</w:t>
      </w:r>
    </w:p>
    <w:p>
      <w:pPr>
        <w:pStyle w:val="null3"/>
        <w:ind w:firstLine="480"/>
      </w:pPr>
      <w:r>
        <w:rPr/>
        <w:t>（2）对</w:t>
      </w:r>
      <w:r>
        <w:rPr/>
        <w:t>广东信越工程管理有限公司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采购包1（汕尾市公安局无人机应用服务）：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采购包1（汕尾市公安局无人机应用服务）：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以下其中一项有效材料即可：①提供《附件：政府采购供应商信用承诺函》并加盖公章；②提供投标截止日前6个月内任意1个月依法缴纳税收和社会保障资金的相关材料。如依法免税或不需要缴纳社会保障资金的，提供相应证明材料。注：供应商在投标（响应）时，按规定提供信用承诺函，无需提交上述证明材料，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以下其中一项有效材料即可：①提供《附件：政府采购供应商信用承诺函》并加盖公章；②提供2024年度财务状况报告或基本开户行出具的资信证明。注：供应商在投标（响应）时，按规定提供信用承诺函，无需提交上述证明材料，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提供以下其中一项有效材料即可：①提供《附件：政府采购供应商信用承诺函》并加盖公章；②按投标（响应）文件格式填报设备及专业技术能力情况。注：供应商在投标（响应）时，按规定提供信用承诺函，无需提交上述证明材料，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响应）时，按规定提供《政府采购供应商信用承诺函》，无需提交上述证明材料，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信用记录：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递交响应文件截止日当天在“信用中国” 网站（www.creditchina.gov.cn）及中国政府采购网(www.ccgp.gov.cn)查询结果为准，如相关失信记录已失效，供应商需提供相关证明资料）。或提供《政府采购供应商信用承诺函》（文件格式详见《政府采购供应商信用承诺函》）。</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供应商必须符合法律、行政法规规定的其他条件：单位负责人为同一人或者存在直接控股、 管理关系的不同供应商，不得同时参加本采购项目（或采购包）投标（响应）。为本项目提供整体设计、规范编制或者项目管理、监理、检测等服务的供应商，不得再参与本项目投标（响应）。注：供应商在投标（响应）时，按规定提供《政府采购供应商信用承诺函》，无需提交上述证明材料，采购人有权在发放中标通知书前要求中标（成交）供应商提供证明材料，以备核实供应商承诺事项的真实性。</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供应商须具有中国民用航空局颁发有效期内的《民用无人驾驶航空器运营合格证》。</w:t>
            </w:r>
          </w:p>
        </w:tc>
      </w:tr>
      <w:tr>
        <w:tc>
          <w:tcPr>
            <w:tcW w:type="dxa" w:w="890"/>
          </w:tcPr>
          <w:p>
            <w:pPr>
              <w:pStyle w:val="null3"/>
            </w:pPr>
            <w:r>
              <w:rPr/>
              <w:t>9</w:t>
            </w:r>
          </w:p>
        </w:tc>
        <w:tc>
          <w:tcPr>
            <w:tcW w:type="dxa" w:w="3178"/>
          </w:tcPr>
          <w:p>
            <w:pPr>
              <w:pStyle w:val="null3"/>
            </w:pPr>
            <w:r>
              <w:rPr/>
              <w:t>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中小企业划分标准所属行业为其他未列明行业。需要落实的政府采购政策：《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等。</w:t>
            </w:r>
          </w:p>
        </w:tc>
      </w:tr>
    </w:tbl>
    <w:p>
      <w:pPr>
        <w:pStyle w:val="null3"/>
        <w:ind w:firstLine="480"/>
      </w:pPr>
      <w:r>
        <w:rPr/>
        <w:t>表二符合性审查表：</w:t>
      </w:r>
    </w:p>
    <w:p>
      <w:pPr>
        <w:pStyle w:val="null3"/>
      </w:pPr>
      <w:r>
        <w:rPr/>
        <w:t>采购包1（汕尾市公安局无人机应用服务）：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响应文件符合磋商文件的式样和签署要求</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报价是唯一固定且未超过采购预算</w:t>
            </w:r>
          </w:p>
        </w:tc>
      </w:tr>
      <w:tr>
        <w:tc>
          <w:tcPr>
            <w:tcW w:type="dxa" w:w="890"/>
          </w:tcPr>
          <w:p>
            <w:pPr>
              <w:pStyle w:val="null3"/>
            </w:pPr>
            <w:r>
              <w:rPr/>
              <w:t>3</w:t>
            </w:r>
          </w:p>
        </w:tc>
        <w:tc>
          <w:tcPr>
            <w:tcW w:type="dxa" w:w="3178"/>
          </w:tcPr>
          <w:p>
            <w:pPr>
              <w:pStyle w:val="null3"/>
            </w:pPr>
            <w:r>
              <w:rPr/>
              <w:t>其他</w:t>
            </w:r>
          </w:p>
        </w:tc>
        <w:tc>
          <w:tcPr>
            <w:tcW w:type="dxa" w:w="4238"/>
          </w:tcPr>
          <w:p>
            <w:pPr>
              <w:pStyle w:val="null3"/>
            </w:pPr>
            <w:r>
              <w:rPr/>
              <w:t>响应文件实质性响应磋商文件要求</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采购包1(汕尾市公安局无人机应用服务):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技术响应情况 (28.0分)</w:t>
            </w:r>
          </w:p>
        </w:tc>
        <w:tc>
          <w:tcPr>
            <w:tcW w:type="dxa" w:w="5076"/>
          </w:tcPr>
          <w:p>
            <w:pPr>
              <w:pStyle w:val="null3"/>
              <w:jc w:val="left"/>
            </w:pPr>
            <w:r>
              <w:rPr/>
              <w:t>对应采购需求中“技术参数要求”，对各投标人提交的投标文件技术要求的响应情况进行评审：技术要求中带“▲”的为重要技术参数，一共14项，每满足一项得2分，最高得28分。 注：需按招标文件要求提供相关证明材料并加盖投标人公章，不提供视为未响应或不满足不得分。</w:t>
            </w:r>
          </w:p>
        </w:tc>
      </w:tr>
      <w:tr>
        <w:tc>
          <w:tcPr>
            <w:tcW w:type="dxa" w:w="922"/>
            <w:gridSpan w:val="2"/>
            <w:vMerge/>
          </w:tcPr>
          <w:p/>
        </w:tc>
        <w:tc>
          <w:tcPr>
            <w:tcW w:type="dxa" w:w="2307"/>
          </w:tcPr>
          <w:p>
            <w:pPr>
              <w:pStyle w:val="null3"/>
              <w:jc w:val="left"/>
            </w:pPr>
            <w:r>
              <w:rPr/>
              <w:t>拟投入服务的设备能力 (5.0分)</w:t>
            </w:r>
          </w:p>
        </w:tc>
        <w:tc>
          <w:tcPr>
            <w:tcW w:type="dxa" w:w="5076"/>
          </w:tcPr>
          <w:p>
            <w:pPr>
              <w:pStyle w:val="null3"/>
              <w:jc w:val="left"/>
            </w:pPr>
            <w:r>
              <w:rPr/>
              <w:t>投标人拟投入本项目反向充电功能作业车辆，每提供一辆得2.5分，最高得5分。 注：须提供有效期内的《机动车行驶证》复印件和显示清晰车牌号码及车载充电装置清晰可辨的车辆实景图片并加盖投标人公章，如租赁车辆的须提供上述资料及以投标人名义（含法定代表人）签署的租赁合同复印件并加盖投标人公章。未按要求提供相关证明材料或证明材料内容不齐全或不清晰等导致评委无法认定的，不得分。</w:t>
            </w:r>
          </w:p>
        </w:tc>
      </w:tr>
      <w:tr>
        <w:tc>
          <w:tcPr>
            <w:tcW w:type="dxa" w:w="922"/>
            <w:gridSpan w:val="2"/>
            <w:vMerge/>
          </w:tcPr>
          <w:p/>
        </w:tc>
        <w:tc>
          <w:tcPr>
            <w:tcW w:type="dxa" w:w="2307"/>
          </w:tcPr>
          <w:p>
            <w:pPr>
              <w:pStyle w:val="null3"/>
              <w:jc w:val="left"/>
            </w:pPr>
            <w:r>
              <w:rPr/>
              <w:t>项目重难点分析及解决方案 (8.0分)</w:t>
            </w:r>
          </w:p>
        </w:tc>
        <w:tc>
          <w:tcPr>
            <w:tcW w:type="dxa" w:w="5076"/>
          </w:tcPr>
          <w:p>
            <w:pPr>
              <w:pStyle w:val="null3"/>
              <w:jc w:val="left"/>
            </w:pPr>
            <w:r>
              <w:rPr/>
              <w:t>对投标人提供针对本项目的重难点分析及解决方案（包括但不限于：①应用场景分析；②重难点分析；③应对措施分析） 进行评审： 1.重难点分析覆盖上述3项内容，对项目重难点分析精准全面，应对措施明确、流程清晰，完全满足或优于采购需求，得8分； 2.重难点分析覆盖上述2项内容，对项目重难点分析基本到位，应对措施基本可行，基本满足采购需求，得5分； 3.重难点分析覆盖上述1项内容，对项目重难点分析不到位，对采购需求响应度较低，得2分； 4.不提供不得分。</w:t>
            </w:r>
          </w:p>
        </w:tc>
      </w:tr>
      <w:tr>
        <w:tc>
          <w:tcPr>
            <w:tcW w:type="dxa" w:w="922"/>
            <w:gridSpan w:val="2"/>
            <w:vMerge/>
          </w:tcPr>
          <w:p/>
        </w:tc>
        <w:tc>
          <w:tcPr>
            <w:tcW w:type="dxa" w:w="2307"/>
          </w:tcPr>
          <w:p>
            <w:pPr>
              <w:pStyle w:val="null3"/>
              <w:jc w:val="left"/>
            </w:pPr>
            <w:r>
              <w:rPr/>
              <w:t>项目技术保障服务方案 (8.0分)</w:t>
            </w:r>
          </w:p>
        </w:tc>
        <w:tc>
          <w:tcPr>
            <w:tcW w:type="dxa" w:w="5076"/>
          </w:tcPr>
          <w:p>
            <w:pPr>
              <w:pStyle w:val="null3"/>
              <w:jc w:val="left"/>
            </w:pPr>
            <w:r>
              <w:rPr/>
              <w:t>一、对投标人依据采购需求—技术要求中“服务内容、清单及要求”全部内容提供的技术保障服务方案（包括但不限于：①服务整体实施规划；②作业人员配置；③服务技术力量及设备性能保障等）进行评审： 1.服务方案作业人员配置在满足采购需求人员要求条款规定的2名飞手和1名预警人员基础上，每增加1名飞手得1分，最高得3分。 注：须提供承诺函或飞手证件作为证明材料，未按要求提供或提供材料不符合要求的不得分。 二、在上述评审得分基础上（得0分的不再参与本项后续评审），评标委员会根据各投标人的具体响应内容进行进一步评审： 1.方案覆盖上述3项内容，具备详尽完整性，服务规划清晰明确，服务技术力量及设备性能保障充分，完全满足或优于采购需求，得5分； 2.方案覆盖上述2项内容，人员基本配置到位；有服务规划与保障措施，基本满足采购需求，得3分； 3.方案覆盖上述1项内容，方案不全面、流程不清晰；人员或保障措施不足，对采购需求响应度较低，得1分； 4.不提供不得分。</w:t>
            </w:r>
          </w:p>
        </w:tc>
      </w:tr>
      <w:tr>
        <w:tc>
          <w:tcPr>
            <w:tcW w:type="dxa" w:w="922"/>
            <w:gridSpan w:val="2"/>
            <w:vMerge/>
          </w:tcPr>
          <w:p/>
        </w:tc>
        <w:tc>
          <w:tcPr>
            <w:tcW w:type="dxa" w:w="2307"/>
          </w:tcPr>
          <w:p>
            <w:pPr>
              <w:pStyle w:val="null3"/>
              <w:jc w:val="left"/>
            </w:pPr>
            <w:r>
              <w:rPr/>
              <w:t>保密与安全管理方案 (6.0分)</w:t>
            </w:r>
          </w:p>
        </w:tc>
        <w:tc>
          <w:tcPr>
            <w:tcW w:type="dxa" w:w="5076"/>
          </w:tcPr>
          <w:p>
            <w:pPr>
              <w:pStyle w:val="null3"/>
              <w:jc w:val="left"/>
            </w:pPr>
            <w:r>
              <w:rPr/>
              <w:t>对投标人依据采购需求—技术要求中“保密安全要求”全部内容编制的保密与安全管理方案（包括但不限于：①设备及数据安全管控措施；②保密协议与人员管理；③安全管理制度等）进行评审： 1.方案完整覆盖上述3项内容，且每项内容均提出具体、可落地的措施；针对无人机/作业设备、服务器、存储设备等硬件均有明确的保密管控方案；安全制度与保密管理制度完善，完全满足或优于采购需求，无安全漏洞风险，得6分； 2.方案完全覆盖上述2项内容，方案内容基本全面，具备基本安全与保密制度，基本满足采购需求，得4分； 3.方案完全覆盖上述1项内容，方案不全面，内容缺项多、安全措施薄弱；存在泄密与安全风险，对采购需求响应度较低，得2分；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(10.0分)</w:t>
            </w:r>
          </w:p>
        </w:tc>
        <w:tc>
          <w:tcPr>
            <w:tcW w:type="dxa" w:w="5076"/>
          </w:tcPr>
          <w:p>
            <w:pPr>
              <w:pStyle w:val="null3"/>
              <w:jc w:val="left"/>
            </w:pPr>
            <w:r>
              <w:rPr/>
              <w:t>投标人提供2025年1月1日至今（以合同签订时间为准）同类项目业绩，每提供一份得2.5分，最高得10分。 注：提供项目合同关键页复印件并加盖投标人公章，不提供不得分。</w:t>
            </w:r>
          </w:p>
        </w:tc>
      </w:tr>
      <w:tr>
        <w:tc>
          <w:tcPr>
            <w:tcW w:type="dxa" w:w="922"/>
            <w:gridSpan w:val="2"/>
            <w:vMerge/>
          </w:tcPr>
          <w:p/>
        </w:tc>
        <w:tc>
          <w:tcPr>
            <w:tcW w:type="dxa" w:w="2307"/>
          </w:tcPr>
          <w:p>
            <w:pPr>
              <w:pStyle w:val="null3"/>
              <w:jc w:val="left"/>
            </w:pPr>
            <w:r>
              <w:rPr/>
              <w:t>履约评价 (8.0分)</w:t>
            </w:r>
          </w:p>
        </w:tc>
        <w:tc>
          <w:tcPr>
            <w:tcW w:type="dxa" w:w="5076"/>
          </w:tcPr>
          <w:p>
            <w:pPr>
              <w:pStyle w:val="null3"/>
              <w:jc w:val="left"/>
            </w:pPr>
            <w:r>
              <w:rPr/>
              <w:t>提供上述业绩的满意度评价或验收合格证明，须用户单位盖章且评价为优秀、优良或满意等正面评价。每份得2分，最高8分。</w:t>
            </w:r>
          </w:p>
        </w:tc>
      </w:tr>
      <w:tr>
        <w:tc>
          <w:tcPr>
            <w:tcW w:type="dxa" w:w="922"/>
            <w:gridSpan w:val="2"/>
            <w:vMerge/>
          </w:tcPr>
          <w:p/>
        </w:tc>
        <w:tc>
          <w:tcPr>
            <w:tcW w:type="dxa" w:w="2307"/>
          </w:tcPr>
          <w:p>
            <w:pPr>
              <w:pStyle w:val="null3"/>
              <w:jc w:val="left"/>
            </w:pPr>
            <w:r>
              <w:rPr/>
              <w:t>服务响应与技术支持方案 (12.0分)</w:t>
            </w:r>
          </w:p>
        </w:tc>
        <w:tc>
          <w:tcPr>
            <w:tcW w:type="dxa" w:w="5076"/>
          </w:tcPr>
          <w:p>
            <w:pPr>
              <w:pStyle w:val="null3"/>
              <w:jc w:val="left"/>
            </w:pPr>
            <w:r>
              <w:rPr/>
              <w:t>一、对投标人依据采购需求—商务要求中“培训方案”“服务响应要求”提供的服务响应与技术支持方案（包括但不限于：①服务响应保障措施；②应急保障响应时限及措施；③专项培训计划等）进行评审： 1.承诺故障响应时长不超过 0.5 小时，得3 分；响应时长不超过 1 小时，得2 分；响应时长不超过 2 小时，得1 分。 注：须提供承诺函作为证明材料，格式自拟。 二、在上述评审得分基础上（得0分的不再参与本项后续评审），评标委员会根据各投标人的具体响应内容进行进一步评审： 1.方案完整覆盖上述3项内容，服务响应保障体系健全、方案内容完整规范；故障响应机制清晰，服务时效优于采购要求；配套完善专项应急处置预案，并制定系统完整的专项培训计划，整体完全满足或优于采购需求，得9分； 2.方案完全覆盖上述2项内容，方案基本全面，响应时限基本达标，有基本应急预案，具备基本培训内容，基本满足采购需求，得6分； 3.方案完全覆盖上述1项内容，方案不全面，响应超时或无备机保障，培训内容缺失或不明确，对采购需求响应度较低，得2分； 4.不提供不得分。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color w:val="000000"/>
        </w:rPr>
        <w:t>合同编号：</w:t>
      </w:r>
    </w:p>
    <w:p>
      <w:pPr>
        <w:pStyle w:val="null3"/>
        <w:jc w:val="left"/>
      </w:pPr>
      <w:r>
        <w:rPr>
          <w:sz w:val="67"/>
          <w:b/>
          <w:color w:val="000000"/>
        </w:rPr>
        <w:t>政</w:t>
      </w:r>
      <w:r>
        <w:rPr>
          <w:sz w:val="67"/>
          <w:b/>
          <w:color w:val="000000"/>
        </w:rPr>
        <w:t>府</w:t>
      </w:r>
      <w:r>
        <w:rPr>
          <w:sz w:val="67"/>
          <w:b/>
          <w:color w:val="000000"/>
        </w:rPr>
        <w:t>采</w:t>
      </w:r>
      <w:r>
        <w:rPr>
          <w:sz w:val="67"/>
          <w:b/>
          <w:color w:val="000000"/>
        </w:rPr>
        <w:t>购</w:t>
      </w:r>
      <w:r>
        <w:rPr>
          <w:sz w:val="67"/>
          <w:b/>
          <w:color w:val="000000"/>
        </w:rPr>
        <w:t>项</w:t>
      </w:r>
      <w:r>
        <w:rPr>
          <w:sz w:val="67"/>
          <w:b/>
          <w:color w:val="000000"/>
        </w:rPr>
        <w:t>目</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67"/>
          <w:b/>
          <w:color w:val="000000"/>
        </w:rPr>
        <w:t>合</w:t>
      </w:r>
      <w:r>
        <w:rPr>
          <w:sz w:val="67"/>
          <w:b/>
          <w:color w:val="000000"/>
        </w:rPr>
        <w:t>同</w:t>
      </w:r>
      <w:r>
        <w:rPr>
          <w:sz w:val="67"/>
          <w:b/>
          <w:color w:val="000000"/>
        </w:rPr>
        <w:t>书</w:t>
      </w:r>
    </w:p>
    <w:p>
      <w:pPr>
        <w:pStyle w:val="null3"/>
        <w:jc w:val="left"/>
      </w:pPr>
      <w:r>
        <w:rPr/>
        <w:t xml:space="preserve"> </w:t>
      </w:r>
    </w:p>
    <w:p>
      <w:pPr>
        <w:pStyle w:val="null3"/>
      </w:pPr>
      <w:r>
        <w:rPr/>
        <w:t xml:space="preserve"> </w:t>
      </w:r>
    </w:p>
    <w:p>
      <w:pPr>
        <w:pStyle w:val="null3"/>
      </w:pPr>
      <w:r>
        <w:rPr/>
        <w:t xml:space="preserve"> </w:t>
      </w:r>
    </w:p>
    <w:p>
      <w:pPr>
        <w:pStyle w:val="null3"/>
      </w:pPr>
      <w:r>
        <w:rPr>
          <w:sz w:val="22"/>
        </w:rPr>
        <w:t>（以下合同仅供参考，具体内容以双方按照招标文件、投标文件及相关法律政策规定所签订的合同为准。）</w:t>
      </w:r>
    </w:p>
    <w:p>
      <w:pPr>
        <w:pStyle w:val="null3"/>
        <w:jc w:val="left"/>
      </w:pPr>
      <w:r>
        <w:rPr>
          <w:sz w:val="22"/>
          <w:b/>
          <w:color w:val="000000"/>
        </w:rPr>
        <w:t>项目名称：</w:t>
      </w:r>
    </w:p>
    <w:p>
      <w:pPr>
        <w:pStyle w:val="null3"/>
        <w:jc w:val="left"/>
      </w:pPr>
      <w:r>
        <w:rPr>
          <w:sz w:val="22"/>
          <w:b/>
          <w:color w:val="000000"/>
        </w:rPr>
        <w:t>甲</w:t>
      </w:r>
      <w:r>
        <w:rPr>
          <w:sz w:val="22"/>
          <w:b/>
          <w:color w:val="000000"/>
        </w:rPr>
        <w:t xml:space="preserve">    </w:t>
      </w:r>
      <w:r>
        <w:rPr>
          <w:sz w:val="22"/>
          <w:b/>
          <w:color w:val="000000"/>
        </w:rPr>
        <w:t>方：</w:t>
      </w:r>
    </w:p>
    <w:p>
      <w:pPr>
        <w:pStyle w:val="null3"/>
        <w:jc w:val="left"/>
      </w:pPr>
      <w:r>
        <w:rPr>
          <w:sz w:val="22"/>
          <w:b/>
          <w:color w:val="000000"/>
        </w:rPr>
        <w:t>乙</w:t>
      </w:r>
      <w:r>
        <w:rPr>
          <w:sz w:val="22"/>
          <w:b/>
          <w:color w:val="000000"/>
        </w:rPr>
        <w:t xml:space="preserve">    </w:t>
      </w:r>
      <w:r>
        <w:rPr>
          <w:sz w:val="22"/>
          <w:b/>
          <w:color w:val="000000"/>
        </w:rPr>
        <w:t>方：</w:t>
      </w:r>
    </w:p>
    <w:p>
      <w:pPr>
        <w:pStyle w:val="null3"/>
        <w:jc w:val="left"/>
      </w:pPr>
      <w:r>
        <w:rPr>
          <w:sz w:val="22"/>
          <w:b/>
          <w:color w:val="000000"/>
        </w:rPr>
        <w:t>签订日期：</w:t>
      </w:r>
      <w:r>
        <w:rPr>
          <w:sz w:val="22"/>
          <w:b/>
          <w:color w:val="000000"/>
        </w:rPr>
        <w:t>二〇二</w:t>
      </w:r>
      <w:r>
        <w:rPr>
          <w:sz w:val="22"/>
          <w:b/>
          <w:color w:val="000000"/>
        </w:rPr>
        <w:t>六</w:t>
      </w:r>
      <w:r>
        <w:rPr>
          <w:sz w:val="22"/>
          <w:b/>
          <w:color w:val="000000"/>
        </w:rPr>
        <w:t>年</w:t>
      </w:r>
      <w:r>
        <w:rPr>
          <w:sz w:val="21"/>
          <w:color w:val="000000"/>
          <w:u w:val="single"/>
        </w:rPr>
        <w:t xml:space="preserve">      </w:t>
      </w:r>
      <w:r>
        <w:rPr>
          <w:sz w:val="22"/>
          <w:b/>
          <w:color w:val="000000"/>
        </w:rPr>
        <w:t>月</w:t>
      </w:r>
      <w:r>
        <w:rPr>
          <w:sz w:val="21"/>
          <w:color w:val="000000"/>
          <w:u w:val="single"/>
        </w:rPr>
        <w:t xml:space="preserve">      </w:t>
      </w:r>
      <w:r>
        <w:rPr>
          <w:sz w:val="22"/>
          <w:b/>
          <w:color w:val="000000"/>
        </w:rPr>
        <w:t>日</w:t>
      </w:r>
    </w:p>
    <w:p>
      <w:pPr>
        <w:pStyle w:val="null3"/>
        <w:jc w:val="left"/>
      </w:pPr>
      <w:r>
        <w:rPr/>
        <w:t xml:space="preserve"> </w:t>
      </w:r>
    </w:p>
    <w:p>
      <w:pPr>
        <w:pStyle w:val="null3"/>
        <w:jc w:val="left"/>
      </w:pPr>
      <w:r>
        <w:rPr/>
        <w:t xml:space="preserve"> </w:t>
      </w:r>
    </w:p>
    <w:p>
      <w:pPr>
        <w:pStyle w:val="null3"/>
        <w:jc w:val="left"/>
      </w:pPr>
      <w:r>
        <w:rPr>
          <w:sz w:val="21"/>
          <w:b/>
          <w:color w:val="000000"/>
        </w:rPr>
        <w:t>甲</w:t>
      </w:r>
      <w:r>
        <w:rPr>
          <w:sz w:val="21"/>
          <w:b/>
          <w:color w:val="000000"/>
        </w:rPr>
        <w:t xml:space="preserve">    </w:t>
      </w:r>
      <w:r>
        <w:rPr>
          <w:sz w:val="21"/>
          <w:b/>
          <w:color w:val="000000"/>
        </w:rPr>
        <w:t>方：</w:t>
      </w:r>
      <w:r>
        <w:rPr>
          <w:sz w:val="21"/>
          <w:b/>
          <w:color w:val="000000"/>
          <w:u w:val="single"/>
        </w:rPr>
        <w:t>汕尾市公安局</w:t>
      </w:r>
    </w:p>
    <w:p>
      <w:pPr>
        <w:pStyle w:val="null3"/>
        <w:jc w:val="left"/>
      </w:pPr>
      <w:r>
        <w:rPr>
          <w:sz w:val="21"/>
          <w:color w:val="000000"/>
        </w:rPr>
        <w:t>电</w:t>
      </w:r>
      <w:r>
        <w:rPr>
          <w:sz w:val="21"/>
          <w:color w:val="000000"/>
        </w:rPr>
        <w:t xml:space="preserve">    </w:t>
      </w:r>
      <w:r>
        <w:rPr>
          <w:sz w:val="21"/>
          <w:color w:val="000000"/>
        </w:rPr>
        <w:t>话：</w:t>
      </w:r>
      <w:r>
        <w:rPr>
          <w:sz w:val="21"/>
          <w:color w:val="000000"/>
        </w:rPr>
        <w:t xml:space="preserve">         </w:t>
      </w:r>
      <w:r>
        <w:rPr>
          <w:sz w:val="21"/>
          <w:color w:val="000000"/>
        </w:rPr>
        <w:t xml:space="preserve">       </w:t>
      </w:r>
      <w:r>
        <w:rPr>
          <w:sz w:val="21"/>
          <w:color w:val="000000"/>
        </w:rPr>
        <w:t>传</w:t>
      </w:r>
      <w:r>
        <w:rPr>
          <w:sz w:val="21"/>
          <w:color w:val="000000"/>
        </w:rPr>
        <w:t xml:space="preserve">  </w:t>
      </w:r>
      <w:r>
        <w:rPr>
          <w:sz w:val="21"/>
          <w:color w:val="000000"/>
        </w:rPr>
        <w:t>真：</w:t>
      </w:r>
      <w:r>
        <w:rPr>
          <w:sz w:val="21"/>
          <w:color w:val="000000"/>
        </w:rPr>
        <w:t xml:space="preserve">           </w:t>
      </w:r>
    </w:p>
    <w:p>
      <w:pPr>
        <w:pStyle w:val="null3"/>
        <w:jc w:val="left"/>
      </w:pPr>
      <w:r>
        <w:rPr>
          <w:sz w:val="21"/>
          <w:color w:val="000000"/>
        </w:rPr>
        <w:t>地</w:t>
      </w:r>
      <w:r>
        <w:rPr>
          <w:sz w:val="21"/>
          <w:color w:val="000000"/>
        </w:rPr>
        <w:t xml:space="preserve">  </w:t>
      </w:r>
      <w:r>
        <w:rPr>
          <w:sz w:val="21"/>
          <w:color w:val="000000"/>
        </w:rPr>
        <w:t xml:space="preserve"> </w:t>
      </w:r>
      <w:r>
        <w:rPr>
          <w:sz w:val="21"/>
          <w:color w:val="000000"/>
        </w:rPr>
        <w:t>址：</w:t>
      </w:r>
    </w:p>
    <w:p>
      <w:pPr>
        <w:pStyle w:val="null3"/>
        <w:jc w:val="left"/>
      </w:pPr>
      <w:r>
        <w:rPr>
          <w:sz w:val="21"/>
          <w:b/>
          <w:color w:val="000000"/>
        </w:rPr>
        <w:t>乙</w:t>
      </w:r>
      <w:r>
        <w:rPr>
          <w:sz w:val="21"/>
          <w:b/>
          <w:color w:val="000000"/>
        </w:rPr>
        <w:t xml:space="preserve">    </w:t>
      </w:r>
      <w:r>
        <w:rPr>
          <w:sz w:val="21"/>
          <w:b/>
          <w:color w:val="000000"/>
        </w:rPr>
        <w:t>方：</w:t>
      </w:r>
      <w:r>
        <w:rPr>
          <w:sz w:val="21"/>
          <w:b/>
          <w:color w:val="000000"/>
          <w:u w:val="single"/>
        </w:rPr>
        <w:t xml:space="preserve">                  </w:t>
      </w:r>
    </w:p>
    <w:p>
      <w:pPr>
        <w:pStyle w:val="null3"/>
        <w:jc w:val="left"/>
      </w:pPr>
      <w:r>
        <w:rPr>
          <w:sz w:val="21"/>
          <w:color w:val="000000"/>
        </w:rPr>
        <w:t>电</w:t>
      </w:r>
      <w:r>
        <w:rPr>
          <w:sz w:val="21"/>
          <w:color w:val="000000"/>
        </w:rPr>
        <w:t xml:space="preserve">    </w:t>
      </w:r>
      <w:r>
        <w:rPr>
          <w:sz w:val="21"/>
          <w:color w:val="000000"/>
        </w:rPr>
        <w:t>话：</w:t>
      </w:r>
      <w:r>
        <w:rPr>
          <w:sz w:val="21"/>
          <w:color w:val="000000"/>
        </w:rPr>
        <w:t xml:space="preserve">                </w:t>
      </w:r>
      <w:r>
        <w:rPr>
          <w:sz w:val="21"/>
          <w:color w:val="000000"/>
        </w:rPr>
        <w:t>传</w:t>
      </w:r>
      <w:r>
        <w:rPr>
          <w:sz w:val="21"/>
          <w:color w:val="000000"/>
        </w:rPr>
        <w:t xml:space="preserve">  </w:t>
      </w:r>
      <w:r>
        <w:rPr>
          <w:sz w:val="21"/>
          <w:color w:val="000000"/>
        </w:rPr>
        <w:t>真：</w:t>
      </w:r>
      <w:r>
        <w:rPr>
          <w:sz w:val="21"/>
          <w:color w:val="000000"/>
        </w:rPr>
        <w:t xml:space="preserve">           </w:t>
      </w:r>
    </w:p>
    <w:p>
      <w:pPr>
        <w:pStyle w:val="null3"/>
        <w:jc w:val="left"/>
      </w:pPr>
      <w:r>
        <w:rPr>
          <w:sz w:val="21"/>
          <w:color w:val="000000"/>
        </w:rPr>
        <w:t>地</w:t>
      </w:r>
      <w:r>
        <w:rPr>
          <w:sz w:val="21"/>
          <w:color w:val="000000"/>
        </w:rPr>
        <w:t xml:space="preserve">  </w:t>
      </w:r>
      <w:r>
        <w:rPr>
          <w:sz w:val="21"/>
          <w:color w:val="000000"/>
        </w:rPr>
        <w:t xml:space="preserve">  </w:t>
      </w:r>
      <w:r>
        <w:rPr>
          <w:sz w:val="21"/>
          <w:color w:val="000000"/>
        </w:rPr>
        <w:t>址：</w:t>
      </w:r>
      <w:r>
        <w:rPr>
          <w:sz w:val="21"/>
          <w:color w:val="000000"/>
        </w:rPr>
        <w:t xml:space="preserve">   </w:t>
      </w:r>
    </w:p>
    <w:p>
      <w:pPr>
        <w:pStyle w:val="null3"/>
        <w:jc w:val="left"/>
      </w:pPr>
      <w:r>
        <w:rPr>
          <w:sz w:val="21"/>
          <w:color w:val="000000"/>
        </w:rPr>
        <w:t>根据</w:t>
      </w:r>
      <w:r>
        <w:rPr>
          <w:sz w:val="21"/>
          <w:color w:val="000000"/>
          <w:u w:val="single"/>
        </w:rPr>
        <w:t xml:space="preserve"> </w:t>
      </w:r>
      <w:r>
        <w:rPr>
          <w:sz w:val="21"/>
          <w:color w:val="000000"/>
          <w:u w:val="single"/>
        </w:rPr>
        <w:t xml:space="preserve">                       </w:t>
      </w:r>
      <w:r>
        <w:rPr>
          <w:sz w:val="21"/>
          <w:color w:val="000000"/>
          <w:u w:val="single"/>
        </w:rPr>
        <w:t xml:space="preserve"> </w:t>
      </w:r>
      <w:r>
        <w:rPr>
          <w:sz w:val="21"/>
          <w:color w:val="000000"/>
        </w:rPr>
        <w:t>的采购结果，按照《</w:t>
      </w:r>
      <w:r>
        <w:rPr>
          <w:sz w:val="21"/>
          <w:color w:val="000000"/>
        </w:rPr>
        <w:t>中华人民共和国民法典（合同篇）</w:t>
      </w:r>
      <w:r>
        <w:rPr>
          <w:sz w:val="21"/>
          <w:color w:val="000000"/>
        </w:rPr>
        <w:t>》的规定，</w:t>
      </w:r>
      <w:r>
        <w:rPr>
          <w:sz w:val="21"/>
          <w:color w:val="000000"/>
        </w:rPr>
        <w:t>经双方协商，</w:t>
      </w:r>
      <w:r>
        <w:rPr>
          <w:sz w:val="21"/>
          <w:color w:val="000000"/>
        </w:rPr>
        <w:t>本着平等互利和诚实信用的原则，</w:t>
      </w:r>
      <w:r>
        <w:rPr>
          <w:sz w:val="21"/>
          <w:color w:val="000000"/>
        </w:rPr>
        <w:t>一致同意签订本合同如下</w:t>
      </w:r>
      <w:r>
        <w:rPr>
          <w:sz w:val="21"/>
          <w:color w:val="000000"/>
        </w:rPr>
        <w:t>。</w:t>
      </w:r>
    </w:p>
    <w:p>
      <w:pPr>
        <w:pStyle w:val="null3"/>
        <w:jc w:val="left"/>
      </w:pPr>
      <w:r>
        <w:rPr>
          <w:sz w:val="21"/>
          <w:color w:val="000000"/>
        </w:rPr>
        <w:t>一、项目名称和合同金额</w:t>
      </w:r>
    </w:p>
    <w:p>
      <w:pPr>
        <w:pStyle w:val="null3"/>
        <w:ind w:left="1530"/>
        <w:jc w:val="left"/>
      </w:pPr>
      <w:r>
        <w:rPr>
          <w:sz w:val="21"/>
          <w:color w:val="000000"/>
        </w:rPr>
        <w:t>项目名称：</w:t>
      </w:r>
      <w:r>
        <w:rPr>
          <w:sz w:val="21"/>
          <w:color w:val="000000"/>
          <w:u w:val="single"/>
        </w:rPr>
        <w:t xml:space="preserve">                            </w:t>
      </w:r>
    </w:p>
    <w:p>
      <w:pPr>
        <w:pStyle w:val="null3"/>
        <w:ind w:left="1530"/>
        <w:jc w:val="left"/>
      </w:pPr>
      <w:r>
        <w:rPr>
          <w:sz w:val="21"/>
          <w:color w:val="000000"/>
        </w:rPr>
        <w:t>项目编号：</w:t>
      </w:r>
      <w:r>
        <w:rPr>
          <w:sz w:val="21"/>
          <w:color w:val="000000"/>
          <w:u w:val="single"/>
        </w:rPr>
        <w:t xml:space="preserve">                            </w:t>
      </w:r>
    </w:p>
    <w:p>
      <w:pPr>
        <w:pStyle w:val="null3"/>
        <w:ind w:left="1530"/>
        <w:jc w:val="left"/>
      </w:pPr>
      <w:r>
        <w:rPr>
          <w:sz w:val="21"/>
          <w:color w:val="000000"/>
        </w:rPr>
        <w:t>合同金额：</w:t>
      </w:r>
      <w:r>
        <w:rPr>
          <w:sz w:val="21"/>
          <w:color w:val="000000"/>
          <w:u w:val="single"/>
        </w:rPr>
        <w:t xml:space="preserve">                           </w:t>
      </w:r>
      <w:r>
        <w:rPr>
          <w:sz w:val="21"/>
          <w:color w:val="000000"/>
          <w:u w:val="single"/>
        </w:rPr>
        <w:t>（大写）</w:t>
      </w:r>
    </w:p>
    <w:p>
      <w:pPr>
        <w:pStyle w:val="null3"/>
        <w:ind w:left="1530"/>
        <w:jc w:val="left"/>
      </w:pPr>
      <w:r>
        <w:rPr>
          <w:sz w:val="21"/>
          <w:color w:val="000000"/>
          <w:u w:val="single"/>
        </w:rPr>
        <w:t xml:space="preserve">                             </w:t>
      </w:r>
      <w:r>
        <w:rPr>
          <w:sz w:val="21"/>
          <w:color w:val="000000"/>
          <w:u w:val="single"/>
        </w:rPr>
        <w:t>（小写）</w:t>
      </w:r>
    </w:p>
    <w:p>
      <w:pPr>
        <w:pStyle w:val="null3"/>
        <w:jc w:val="left"/>
      </w:pPr>
      <w:r>
        <w:rPr>
          <w:sz w:val="21"/>
          <w:color w:val="000000"/>
        </w:rPr>
        <w:t>二、</w:t>
      </w:r>
      <w:r>
        <w:rPr>
          <w:sz w:val="21"/>
          <w:color w:val="000000"/>
        </w:rPr>
        <w:t>服务内容</w:t>
      </w:r>
    </w:p>
    <w:p>
      <w:pPr>
        <w:pStyle w:val="null3"/>
        <w:ind w:firstLine="420"/>
        <w:jc w:val="left"/>
      </w:pPr>
      <w:r>
        <w:rPr>
          <w:sz w:val="21"/>
          <w:color w:val="000000"/>
        </w:rPr>
        <w:t>依据甲方的需求，提供无人机技术服务，旨在促使综合治理达成智慧化转型，构建</w:t>
      </w:r>
      <w:r>
        <w:rPr>
          <w:sz w:val="21"/>
          <w:color w:val="000000"/>
        </w:rPr>
        <w:t>“打、防、管、控”的立体防御体系，提升打击违法犯罪综合治理的现代化能力。</w:t>
      </w:r>
    </w:p>
    <w:p>
      <w:pPr>
        <w:pStyle w:val="null3"/>
        <w:ind w:firstLine="420"/>
        <w:jc w:val="left"/>
      </w:pPr>
      <w:r>
        <w:rPr>
          <w:sz w:val="21"/>
          <w:color w:val="000000"/>
        </w:rPr>
        <w:t>乙方每年提供</w:t>
      </w:r>
      <w:r>
        <w:rPr>
          <w:sz w:val="21"/>
          <w:color w:val="000000"/>
        </w:rPr>
        <w:t>1机组。每机组包含垂直起降无人机1台（含配套云台相机*1、电池*2组）、多旋翼无人机2台（含激光补光灯*2、配套电池*4组/台），可连续完成8小时空中侦察任务，配套技术飞行人员2名和多警种协作数据分析专员1名、作业车辆1辆。</w:t>
      </w:r>
    </w:p>
    <w:p>
      <w:pPr>
        <w:pStyle w:val="null3"/>
        <w:ind w:firstLine="420"/>
        <w:jc w:val="left"/>
      </w:pPr>
      <w:r>
        <w:rPr>
          <w:sz w:val="21"/>
          <w:color w:val="000000"/>
        </w:rPr>
        <w:t>乙方需为本项目提供每年不少于</w:t>
      </w:r>
      <w:r>
        <w:rPr>
          <w:sz w:val="21"/>
          <w:color w:val="000000"/>
        </w:rPr>
        <w:t>340天的无人机技术服务，其中无人机飞行服务每年不少于300天，单日飞行服务时长不低于 8 小时。服务内容包括但不限于无人机日常巡查、案件配合与现场勘查、电子数据地图搭建与更新、重点要素预警。同时，需配套提供电脑等必要的无人机指挥平台硬件设备，确保指挥平台稳定运行，满足日常调度、数据处理、实时监控及预警需求。</w:t>
      </w:r>
    </w:p>
    <w:p>
      <w:pPr>
        <w:pStyle w:val="null3"/>
        <w:ind w:firstLine="420"/>
        <w:jc w:val="left"/>
      </w:pPr>
      <w:r>
        <w:rPr>
          <w:sz w:val="21"/>
          <w:color w:val="000000"/>
        </w:rPr>
        <w:t>甲方需案件配合时，中标供应商保持</w:t>
      </w:r>
      <w:r>
        <w:rPr>
          <w:sz w:val="21"/>
          <w:color w:val="000000"/>
        </w:rPr>
        <w:t>24小时机动待命，随时配合采购人行动安排；无案件配合时，中标供应商根据采购人需求对重点区域进行日常巡防和重点要素服务。</w:t>
      </w:r>
    </w:p>
    <w:p>
      <w:pPr>
        <w:pStyle w:val="null3"/>
        <w:jc w:val="left"/>
      </w:pPr>
      <w:r>
        <w:rPr>
          <w:sz w:val="21"/>
          <w:color w:val="000000"/>
        </w:rPr>
        <w:t>三、服务期限及要求</w:t>
      </w:r>
    </w:p>
    <w:p>
      <w:pPr>
        <w:pStyle w:val="null3"/>
        <w:ind w:firstLine="420"/>
        <w:jc w:val="left"/>
      </w:pPr>
      <w:r>
        <w:rPr>
          <w:sz w:val="21"/>
          <w:color w:val="000000"/>
        </w:rPr>
        <w:t>（一）服务期限：自合同签订之日起</w:t>
      </w:r>
      <w:r>
        <w:rPr>
          <w:sz w:val="21"/>
          <w:color w:val="000000"/>
        </w:rPr>
        <w:t>2年（包括服务、维护、培训），超出该完工期作无效投标处理。</w:t>
      </w:r>
    </w:p>
    <w:p>
      <w:pPr>
        <w:pStyle w:val="null3"/>
        <w:ind w:firstLine="420"/>
        <w:jc w:val="left"/>
      </w:pPr>
      <w:r>
        <w:rPr>
          <w:sz w:val="21"/>
          <w:color w:val="000000"/>
        </w:rPr>
        <w:t>（二）服务费用</w:t>
      </w:r>
    </w:p>
    <w:p>
      <w:pPr>
        <w:pStyle w:val="null3"/>
        <w:jc w:val="left"/>
      </w:pPr>
      <w:r>
        <w:rPr>
          <w:sz w:val="21"/>
          <w:color w:val="000000"/>
        </w:rPr>
        <w:t xml:space="preserve">    </w:t>
      </w:r>
      <w:r>
        <w:rPr>
          <w:sz w:val="21"/>
          <w:color w:val="000000"/>
        </w:rPr>
        <w:t>1.合同签订生效后，乙方向甲方缴交发票后15个工作日内，甲方向乙方支付合同总额的35%。</w:t>
      </w:r>
    </w:p>
    <w:p>
      <w:pPr>
        <w:pStyle w:val="null3"/>
        <w:ind w:firstLine="420"/>
        <w:jc w:val="left"/>
      </w:pPr>
      <w:r>
        <w:rPr>
          <w:sz w:val="21"/>
          <w:color w:val="000000"/>
        </w:rPr>
        <w:t>2.主要设备（飞行器）进场，无人机作业服务开始后15个工作日内，甲方向乙方支付合同总额的45%。</w:t>
      </w:r>
    </w:p>
    <w:p>
      <w:pPr>
        <w:pStyle w:val="null3"/>
        <w:ind w:firstLine="420"/>
        <w:jc w:val="left"/>
      </w:pPr>
      <w:r>
        <w:rPr>
          <w:sz w:val="21"/>
          <w:color w:val="000000"/>
        </w:rPr>
        <w:t>3. 服务期满且项目验收合格后，甲方向乙方支付至合同总额的20%。</w:t>
      </w:r>
    </w:p>
    <w:p>
      <w:pPr>
        <w:pStyle w:val="null3"/>
        <w:jc w:val="left"/>
      </w:pPr>
      <w:r>
        <w:rPr>
          <w:sz w:val="21"/>
          <w:color w:val="000000"/>
        </w:rPr>
        <w:t>注：</w:t>
      </w:r>
    </w:p>
    <w:p>
      <w:pPr>
        <w:pStyle w:val="null3"/>
        <w:ind w:firstLine="420"/>
        <w:jc w:val="left"/>
      </w:pPr>
      <w:r>
        <w:rPr>
          <w:sz w:val="21"/>
          <w:color w:val="000000"/>
        </w:rPr>
        <w:t>（</w:t>
      </w:r>
      <w:r>
        <w:rPr>
          <w:sz w:val="21"/>
          <w:color w:val="000000"/>
        </w:rPr>
        <w:t>1）每期申请支付合同款项时，乙方须向甲方提供：①中标通知书；②合同； ③乙方开具的正式发票；④验收报告（如有）。</w:t>
      </w:r>
    </w:p>
    <w:p>
      <w:pPr>
        <w:pStyle w:val="null3"/>
        <w:ind w:firstLine="420"/>
        <w:jc w:val="left"/>
      </w:pPr>
      <w:r>
        <w:rPr>
          <w:sz w:val="21"/>
          <w:color w:val="000000"/>
        </w:rPr>
        <w:t>（</w:t>
      </w:r>
      <w:r>
        <w:rPr>
          <w:sz w:val="21"/>
          <w:color w:val="000000"/>
        </w:rPr>
        <w:t>2）合同付款时间为甲方向政府采购支付部门提出支付申请的时间（不含政府采购支付部门的审核和支付时间），在规定时间内提交付款申请即视为甲方已履行。</w:t>
      </w:r>
    </w:p>
    <w:p>
      <w:pPr>
        <w:pStyle w:val="null3"/>
        <w:ind w:firstLine="420"/>
        <w:jc w:val="left"/>
      </w:pPr>
      <w:r>
        <w:rPr>
          <w:sz w:val="21"/>
          <w:color w:val="000000"/>
        </w:rPr>
        <w:t>（三）验收：</w:t>
      </w:r>
    </w:p>
    <w:p>
      <w:pPr>
        <w:pStyle w:val="null3"/>
        <w:ind w:firstLine="420"/>
        <w:jc w:val="left"/>
      </w:pPr>
      <w:r>
        <w:rPr>
          <w:sz w:val="21"/>
          <w:color w:val="000000"/>
        </w:rPr>
        <w:t>（</w:t>
      </w:r>
      <w:r>
        <w:rPr>
          <w:sz w:val="21"/>
          <w:color w:val="000000"/>
        </w:rPr>
        <w:t>1）验收主体</w:t>
      </w:r>
    </w:p>
    <w:p>
      <w:pPr>
        <w:pStyle w:val="null3"/>
        <w:ind w:firstLine="420"/>
        <w:jc w:val="left"/>
      </w:pPr>
      <w:r>
        <w:rPr>
          <w:sz w:val="21"/>
          <w:color w:val="000000"/>
        </w:rPr>
        <w:t>由甲方指定的相关业务部门（或牵头部门）负责组织验收工作，并代表甲方签署验收单。</w:t>
      </w:r>
    </w:p>
    <w:p>
      <w:pPr>
        <w:pStyle w:val="null3"/>
        <w:ind w:firstLine="420"/>
        <w:jc w:val="left"/>
      </w:pPr>
      <w:r>
        <w:rPr>
          <w:sz w:val="21"/>
          <w:color w:val="000000"/>
        </w:rPr>
        <w:t>（</w:t>
      </w:r>
      <w:r>
        <w:rPr>
          <w:sz w:val="21"/>
          <w:color w:val="000000"/>
        </w:rPr>
        <w:t>2）验收时间</w:t>
      </w:r>
    </w:p>
    <w:p>
      <w:pPr>
        <w:pStyle w:val="null3"/>
        <w:ind w:firstLine="420"/>
        <w:jc w:val="left"/>
      </w:pPr>
      <w:r>
        <w:rPr>
          <w:sz w:val="21"/>
          <w:color w:val="000000"/>
        </w:rPr>
        <w:t>乙方完成全部合同约定的无人机应用服务内容后，应向甲方提交书面验收申请及完整验收资料。甲方应在收到验收申请之日起</w:t>
      </w:r>
      <w:r>
        <w:rPr>
          <w:sz w:val="21"/>
          <w:color w:val="000000"/>
        </w:rPr>
        <w:t>10个工作日内组织验收。</w:t>
      </w:r>
    </w:p>
    <w:p>
      <w:pPr>
        <w:pStyle w:val="null3"/>
        <w:ind w:firstLine="420"/>
        <w:jc w:val="left"/>
      </w:pPr>
      <w:r>
        <w:rPr>
          <w:sz w:val="21"/>
          <w:color w:val="000000"/>
        </w:rPr>
        <w:t>验收中发现不合格项的，甲方应出具书面整改意见，乙方应在</w:t>
      </w:r>
      <w:r>
        <w:rPr>
          <w:sz w:val="21"/>
          <w:color w:val="000000"/>
        </w:rPr>
        <w:t>5个工作日 内完成整改并提交复验申请。复验合格后方可通过验收。逾期未完成整改或复验仍不合格的，视为验收不通过。</w:t>
      </w:r>
    </w:p>
    <w:p>
      <w:pPr>
        <w:pStyle w:val="null3"/>
        <w:ind w:firstLine="420"/>
        <w:jc w:val="left"/>
      </w:pPr>
      <w:r>
        <w:rPr>
          <w:sz w:val="21"/>
          <w:color w:val="000000"/>
        </w:rPr>
        <w:t>（</w:t>
      </w:r>
      <w:r>
        <w:rPr>
          <w:sz w:val="21"/>
          <w:color w:val="000000"/>
        </w:rPr>
        <w:t>3）验收方式</w:t>
      </w:r>
    </w:p>
    <w:p>
      <w:pPr>
        <w:pStyle w:val="null3"/>
        <w:ind w:firstLine="420"/>
        <w:jc w:val="left"/>
      </w:pPr>
      <w:r>
        <w:rPr>
          <w:sz w:val="21"/>
          <w:color w:val="000000"/>
        </w:rPr>
        <w:t>采用资料核查、现场查验、无人机作业成果报告核验相结合的方式进行验收。</w:t>
      </w:r>
    </w:p>
    <w:p>
      <w:pPr>
        <w:pStyle w:val="null3"/>
        <w:ind w:firstLine="420"/>
        <w:jc w:val="left"/>
      </w:pPr>
      <w:r>
        <w:rPr>
          <w:sz w:val="21"/>
          <w:color w:val="000000"/>
        </w:rPr>
        <w:t>（</w:t>
      </w:r>
      <w:r>
        <w:rPr>
          <w:sz w:val="21"/>
          <w:color w:val="000000"/>
        </w:rPr>
        <w:t>4）验收程序</w:t>
      </w:r>
    </w:p>
    <w:p>
      <w:pPr>
        <w:pStyle w:val="null3"/>
        <w:ind w:firstLine="420"/>
        <w:jc w:val="left"/>
      </w:pPr>
      <w:r>
        <w:rPr>
          <w:sz w:val="21"/>
          <w:color w:val="000000"/>
        </w:rPr>
        <w:t>① 乙方提交验收申请及合同约定的全套资料（含作业记录、成果数据等）；</w:t>
      </w:r>
    </w:p>
    <w:p>
      <w:pPr>
        <w:pStyle w:val="null3"/>
        <w:ind w:firstLine="420"/>
        <w:jc w:val="left"/>
      </w:pPr>
      <w:r>
        <w:rPr>
          <w:sz w:val="21"/>
          <w:color w:val="000000"/>
        </w:rPr>
        <w:t>② 甲方对资料进行初审，资料不齐全或不符合要求的，供应商应在 3个工作日内补正；</w:t>
      </w:r>
    </w:p>
    <w:p>
      <w:pPr>
        <w:pStyle w:val="null3"/>
        <w:ind w:firstLine="420"/>
        <w:jc w:val="left"/>
      </w:pPr>
      <w:r>
        <w:rPr>
          <w:sz w:val="21"/>
          <w:color w:val="000000"/>
        </w:rPr>
        <w:t>③ 资料初审通过后，甲方组织核验，包括检查设备、作业过程合规性、成果质量等；</w:t>
      </w:r>
    </w:p>
    <w:p>
      <w:pPr>
        <w:pStyle w:val="null3"/>
        <w:ind w:firstLine="420"/>
        <w:jc w:val="left"/>
      </w:pPr>
      <w:r>
        <w:rPr>
          <w:sz w:val="21"/>
          <w:color w:val="000000"/>
        </w:rPr>
        <w:t>④ 甲方出具书面验收结果报告，明确结论（通过/不通过/整改后通过）；</w:t>
      </w:r>
    </w:p>
    <w:p>
      <w:pPr>
        <w:pStyle w:val="null3"/>
        <w:ind w:firstLine="420"/>
        <w:jc w:val="left"/>
      </w:pPr>
      <w:r>
        <w:rPr>
          <w:sz w:val="21"/>
          <w:color w:val="000000"/>
        </w:rPr>
        <w:t>⑤ 如存在不合格项，甲方发出限期整改通知，乙方整改后申请复检，复检程序同③④。</w:t>
      </w:r>
    </w:p>
    <w:p>
      <w:pPr>
        <w:pStyle w:val="null3"/>
        <w:ind w:firstLine="420"/>
        <w:jc w:val="left"/>
      </w:pPr>
      <w:r>
        <w:rPr>
          <w:sz w:val="21"/>
          <w:color w:val="000000"/>
        </w:rPr>
        <w:t>（</w:t>
      </w:r>
      <w:r>
        <w:rPr>
          <w:sz w:val="21"/>
          <w:color w:val="000000"/>
        </w:rPr>
        <w:t>5）验收内容</w:t>
      </w:r>
    </w:p>
    <w:p>
      <w:pPr>
        <w:pStyle w:val="null3"/>
        <w:ind w:firstLine="420"/>
        <w:jc w:val="left"/>
      </w:pPr>
      <w:r>
        <w:rPr>
          <w:sz w:val="21"/>
          <w:color w:val="000000"/>
        </w:rPr>
        <w:t>包括但不限于以下内容：</w:t>
      </w:r>
    </w:p>
    <w:p>
      <w:pPr>
        <w:pStyle w:val="null3"/>
        <w:ind w:firstLine="420"/>
        <w:jc w:val="left"/>
      </w:pPr>
      <w:r>
        <w:rPr>
          <w:sz w:val="21"/>
          <w:color w:val="000000"/>
        </w:rPr>
        <w:t>① 无人机作业服务是否按合同要求完成（覆盖范围、飞行架次、数据采集质量等）；</w:t>
      </w:r>
    </w:p>
    <w:p>
      <w:pPr>
        <w:pStyle w:val="null3"/>
        <w:ind w:firstLine="420"/>
        <w:jc w:val="left"/>
      </w:pPr>
      <w:r>
        <w:rPr>
          <w:sz w:val="21"/>
          <w:color w:val="000000"/>
        </w:rPr>
        <w:t>② 技术服务是否到位（培训、技术支持、维护保障等）；</w:t>
      </w:r>
    </w:p>
    <w:p>
      <w:pPr>
        <w:pStyle w:val="null3"/>
        <w:ind w:firstLine="420"/>
        <w:jc w:val="left"/>
      </w:pPr>
      <w:r>
        <w:rPr>
          <w:sz w:val="21"/>
          <w:color w:val="000000"/>
        </w:rPr>
        <w:t>③ 项目成果（报告、影像、模型、分析数据等）是否完整、准确、符合技术规范；</w:t>
      </w:r>
    </w:p>
    <w:p>
      <w:pPr>
        <w:pStyle w:val="null3"/>
        <w:ind w:firstLine="420"/>
        <w:jc w:val="left"/>
      </w:pPr>
      <w:r>
        <w:rPr>
          <w:sz w:val="21"/>
          <w:color w:val="000000"/>
        </w:rPr>
        <w:t>④服务过程记录是否规范、可追溯；</w:t>
      </w:r>
    </w:p>
    <w:p>
      <w:pPr>
        <w:pStyle w:val="null3"/>
        <w:ind w:firstLine="420"/>
        <w:jc w:val="left"/>
      </w:pPr>
      <w:r>
        <w:rPr>
          <w:sz w:val="21"/>
          <w:color w:val="000000"/>
        </w:rPr>
        <w:t>⑤ 所有交付资料是否齐全、符合归档要求。</w:t>
      </w:r>
    </w:p>
    <w:p>
      <w:pPr>
        <w:pStyle w:val="null3"/>
        <w:ind w:firstLine="420"/>
        <w:jc w:val="left"/>
      </w:pPr>
      <w:r>
        <w:rPr>
          <w:sz w:val="21"/>
          <w:color w:val="000000"/>
        </w:rPr>
        <w:t>（</w:t>
      </w:r>
      <w:r>
        <w:rPr>
          <w:sz w:val="21"/>
          <w:color w:val="000000"/>
        </w:rPr>
        <w:t>6）验收标准</w:t>
      </w:r>
    </w:p>
    <w:p>
      <w:pPr>
        <w:pStyle w:val="null3"/>
        <w:ind w:firstLine="420"/>
        <w:jc w:val="left"/>
      </w:pPr>
      <w:r>
        <w:rPr>
          <w:sz w:val="21"/>
          <w:color w:val="000000"/>
        </w:rPr>
        <w:t>① 验收工作应遵循国家、行业现行有效的相关技术标准、规范，并以合同、招标文件、投标文件及成交供应商承诺为准。</w:t>
      </w:r>
    </w:p>
    <w:p>
      <w:pPr>
        <w:pStyle w:val="null3"/>
        <w:ind w:firstLine="420"/>
        <w:jc w:val="left"/>
      </w:pPr>
      <w:r>
        <w:rPr>
          <w:sz w:val="21"/>
          <w:color w:val="000000"/>
        </w:rPr>
        <w:t>② 所有投入使用的无人机设备、载荷、地面站及相关附属设备，均须提供详细的中文说明书。</w:t>
      </w:r>
    </w:p>
    <w:p>
      <w:pPr>
        <w:pStyle w:val="null3"/>
        <w:ind w:firstLine="420"/>
        <w:jc w:val="left"/>
      </w:pPr>
      <w:r>
        <w:rPr>
          <w:sz w:val="21"/>
          <w:color w:val="000000"/>
        </w:rPr>
        <w:t>③ 乙方提供的所有设备、系统及服务，必须同时满足：</w:t>
      </w:r>
    </w:p>
    <w:p>
      <w:pPr>
        <w:pStyle w:val="null3"/>
        <w:jc w:val="left"/>
      </w:pPr>
      <w:r>
        <w:rPr>
          <w:sz w:val="21"/>
          <w:color w:val="000000"/>
        </w:rPr>
        <w:t xml:space="preserve"> （1）国家及行业现行标准；</w:t>
      </w:r>
    </w:p>
    <w:p>
      <w:pPr>
        <w:pStyle w:val="null3"/>
        <w:ind w:firstLine="210"/>
        <w:jc w:val="left"/>
      </w:pPr>
      <w:r>
        <w:rPr>
          <w:sz w:val="21"/>
          <w:color w:val="000000"/>
        </w:rPr>
        <w:t>（</w:t>
      </w:r>
      <w:r>
        <w:rPr>
          <w:sz w:val="21"/>
          <w:color w:val="000000"/>
        </w:rPr>
        <w:t>2）甲方合同及技术需求书中明确的性能与功能要求。</w:t>
      </w:r>
    </w:p>
    <w:p>
      <w:pPr>
        <w:pStyle w:val="null3"/>
        <w:jc w:val="left"/>
      </w:pPr>
      <w:r>
        <w:rPr>
          <w:sz w:val="21"/>
          <w:color w:val="000000"/>
        </w:rPr>
        <w:t>凡不符合上述任一条件的，采购人有权拒绝接受，并要求供应商无条件更换或重做，由此产生的费用、延误及相关后果均由成交供应商自行承担。</w:t>
      </w:r>
    </w:p>
    <w:p>
      <w:pPr>
        <w:pStyle w:val="null3"/>
        <w:ind w:firstLine="420"/>
        <w:jc w:val="left"/>
      </w:pPr>
      <w:r>
        <w:rPr>
          <w:sz w:val="21"/>
          <w:color w:val="000000"/>
        </w:rPr>
        <w:t>④ 验收过程中发生的检测、检验、专家咨询等费用（如有），由成交供应商承担。</w:t>
      </w:r>
    </w:p>
    <w:p>
      <w:pPr>
        <w:pStyle w:val="null3"/>
        <w:jc w:val="left"/>
      </w:pPr>
      <w:r>
        <w:rPr>
          <w:sz w:val="21"/>
          <w:color w:val="000000"/>
        </w:rPr>
        <w:t>四、保密约定</w:t>
      </w:r>
    </w:p>
    <w:p>
      <w:pPr>
        <w:pStyle w:val="null3"/>
        <w:ind w:firstLine="420"/>
        <w:jc w:val="left"/>
      </w:pPr>
      <w:r>
        <w:rPr>
          <w:sz w:val="21"/>
          <w:color w:val="000000"/>
        </w:rPr>
        <w:t>1.数据存储：乙方采集的所有视频影像、飞行记录、预警数据等资料，须通过网络专线存储于甲方指定专网，不得存储于外部服务器、个人设备等，数据存储符合相关法律法规要求。</w:t>
      </w:r>
    </w:p>
    <w:p>
      <w:pPr>
        <w:pStyle w:val="null3"/>
        <w:ind w:firstLine="420"/>
        <w:jc w:val="left"/>
      </w:pPr>
      <w:r>
        <w:rPr>
          <w:sz w:val="21"/>
          <w:color w:val="000000"/>
        </w:rPr>
        <w:t>2.保密协议：乙方的项目服务人员须与甲方签订《保密协议书》，严格遵守甲方的保密规定，不得向第三方泄露甲方的任何资料、信息，不得提取、处理、发布系统中的敏感信息。</w:t>
      </w:r>
    </w:p>
    <w:p>
      <w:pPr>
        <w:pStyle w:val="null3"/>
        <w:ind w:firstLine="420"/>
        <w:jc w:val="left"/>
      </w:pPr>
      <w:r>
        <w:rPr>
          <w:sz w:val="21"/>
          <w:color w:val="000000"/>
        </w:rPr>
        <w:t>3.设备安全：乙方须对无人机、作业车辆、指挥平台等设备进行安全管理，设置专人保管，定期进行安全检查，防止设备丢失、损坏、被篡改。</w:t>
      </w:r>
    </w:p>
    <w:p>
      <w:pPr>
        <w:pStyle w:val="null3"/>
        <w:ind w:firstLine="420"/>
        <w:jc w:val="left"/>
      </w:pPr>
      <w:r>
        <w:rPr>
          <w:sz w:val="21"/>
          <w:color w:val="000000"/>
        </w:rPr>
        <w:t>4.责任追究：若乙方或其服务人员违反保密规定，甲方有权解除合同、扣除履约保证金，并追究其法律责任；造成甲方损失的，乙方须依法赔偿。</w:t>
      </w:r>
    </w:p>
    <w:p>
      <w:pPr>
        <w:pStyle w:val="null3"/>
        <w:jc w:val="left"/>
      </w:pPr>
      <w:r>
        <w:rPr>
          <w:sz w:val="21"/>
          <w:color w:val="000000"/>
        </w:rPr>
        <w:t>五、甲方的权利和义务</w:t>
      </w:r>
    </w:p>
    <w:p>
      <w:pPr>
        <w:pStyle w:val="null3"/>
        <w:ind w:firstLine="420"/>
        <w:jc w:val="left"/>
      </w:pPr>
      <w:r>
        <w:rPr>
          <w:sz w:val="21"/>
          <w:color w:val="000000"/>
        </w:rPr>
        <w:t>（一）甲方的权利</w:t>
      </w:r>
      <w:r>
        <w:rPr>
          <w:sz w:val="21"/>
          <w:color w:val="000000"/>
        </w:rPr>
        <w:t xml:space="preserve">                                           </w:t>
      </w:r>
    </w:p>
    <w:p>
      <w:pPr>
        <w:pStyle w:val="null3"/>
        <w:ind w:firstLine="420"/>
        <w:jc w:val="left"/>
      </w:pPr>
      <w:r>
        <w:rPr>
          <w:sz w:val="21"/>
          <w:color w:val="000000"/>
        </w:rPr>
        <w:t>1.甲方有权随时向乙方了解项目进度，并要求乙方提供项目相关资料。</w:t>
      </w:r>
    </w:p>
    <w:p>
      <w:pPr>
        <w:pStyle w:val="null3"/>
        <w:ind w:firstLine="420"/>
        <w:jc w:val="left"/>
      </w:pPr>
      <w:r>
        <w:rPr>
          <w:sz w:val="21"/>
          <w:color w:val="000000"/>
        </w:rPr>
        <w:t>2.甲方有权按照本合同约定或有关法律法规、政府管理的相关职能规定，对本项目进行监督和检查，有权要求乙方按照监督检查情况制定相应措施并加以整改。甲方不因行使该监督和检查权而承担任何责任，也不因此减轻或免除乙方根据本合同约定或相关法律法规规定应承担的任何义务或责任。</w:t>
      </w:r>
    </w:p>
    <w:p>
      <w:pPr>
        <w:pStyle w:val="null3"/>
        <w:ind w:firstLine="420"/>
        <w:jc w:val="left"/>
      </w:pPr>
      <w:r>
        <w:rPr>
          <w:sz w:val="21"/>
          <w:color w:val="000000"/>
        </w:rPr>
        <w:t>3.甲方有权在乙方履行合同过程中出现损害或可能损害公共利益、公共安全情形时终止本合同。</w:t>
      </w:r>
    </w:p>
    <w:p>
      <w:pPr>
        <w:pStyle w:val="null3"/>
        <w:ind w:firstLine="420"/>
        <w:jc w:val="left"/>
      </w:pPr>
      <w:r>
        <w:rPr>
          <w:sz w:val="21"/>
          <w:color w:val="000000"/>
        </w:rPr>
        <w:t>4.甲方有权根据国家政策或法律法规的变动或无人机行业新趋势对服务项目的需求标准和质量要求作出相应变动。</w:t>
      </w:r>
    </w:p>
    <w:p>
      <w:pPr>
        <w:pStyle w:val="null3"/>
        <w:ind w:firstLine="420"/>
        <w:jc w:val="left"/>
      </w:pPr>
      <w:r>
        <w:rPr>
          <w:sz w:val="21"/>
          <w:color w:val="000000"/>
        </w:rPr>
        <w:t>5.甲方有权将乙方履行合同中出现的服务不合格、违规情况，向有关部门报告并纳入不良信用记录、年检（报）、评估、执法等监管体系中。</w:t>
      </w:r>
    </w:p>
    <w:p>
      <w:pPr>
        <w:pStyle w:val="null3"/>
        <w:ind w:firstLine="420"/>
        <w:jc w:val="left"/>
      </w:pPr>
      <w:r>
        <w:rPr>
          <w:sz w:val="21"/>
          <w:color w:val="000000"/>
        </w:rPr>
        <w:t>（二）甲方的义务</w:t>
      </w:r>
    </w:p>
    <w:p>
      <w:pPr>
        <w:pStyle w:val="null3"/>
        <w:ind w:firstLine="420"/>
        <w:jc w:val="left"/>
      </w:pPr>
      <w:r>
        <w:rPr>
          <w:sz w:val="21"/>
          <w:color w:val="000000"/>
        </w:rPr>
        <w:t>1.甲方应及时向乙方提供与履行本合同相关的所必须的文件、资料。</w:t>
      </w:r>
    </w:p>
    <w:p>
      <w:pPr>
        <w:pStyle w:val="null3"/>
        <w:ind w:firstLine="420"/>
        <w:jc w:val="left"/>
      </w:pPr>
      <w:r>
        <w:rPr>
          <w:sz w:val="21"/>
          <w:color w:val="000000"/>
        </w:rPr>
        <w:t>2.甲方应为乙方履行本合同过程中与相关政府部门及其他第三方的沟通、协调提供必要的协助。</w:t>
      </w:r>
    </w:p>
    <w:p>
      <w:pPr>
        <w:pStyle w:val="null3"/>
        <w:ind w:firstLine="420"/>
        <w:jc w:val="left"/>
      </w:pPr>
      <w:r>
        <w:rPr>
          <w:sz w:val="21"/>
          <w:color w:val="000000"/>
        </w:rPr>
        <w:t>3.甲方应按照合同约定支付服务费。</w:t>
      </w:r>
    </w:p>
    <w:p>
      <w:pPr>
        <w:pStyle w:val="null3"/>
        <w:jc w:val="left"/>
      </w:pPr>
      <w:r>
        <w:rPr>
          <w:sz w:val="21"/>
          <w:color w:val="000000"/>
        </w:rPr>
        <w:t>六、乙方的权利和义务</w:t>
      </w:r>
    </w:p>
    <w:p>
      <w:pPr>
        <w:pStyle w:val="null3"/>
        <w:ind w:firstLine="420"/>
        <w:jc w:val="left"/>
      </w:pPr>
      <w:r>
        <w:rPr>
          <w:sz w:val="21"/>
          <w:color w:val="000000"/>
        </w:rPr>
        <w:t>（一）乙方的权利</w:t>
      </w:r>
    </w:p>
    <w:p>
      <w:pPr>
        <w:pStyle w:val="null3"/>
        <w:ind w:firstLine="420"/>
        <w:jc w:val="left"/>
      </w:pPr>
      <w:r>
        <w:rPr>
          <w:sz w:val="21"/>
          <w:color w:val="000000"/>
        </w:rPr>
        <w:t>1.乙方有权按照本合同约定向甲方收取服务费。</w:t>
      </w:r>
    </w:p>
    <w:p>
      <w:pPr>
        <w:pStyle w:val="null3"/>
        <w:ind w:firstLine="420"/>
        <w:jc w:val="left"/>
      </w:pPr>
      <w:r>
        <w:rPr>
          <w:sz w:val="21"/>
          <w:color w:val="000000"/>
        </w:rPr>
        <w:t>2.乙方有权自甲方处获得与提供本合同项下服务相关的所必须的文件、资料。</w:t>
      </w:r>
    </w:p>
    <w:p>
      <w:pPr>
        <w:pStyle w:val="null3"/>
        <w:ind w:firstLine="420"/>
        <w:jc w:val="left"/>
      </w:pPr>
      <w:r>
        <w:rPr>
          <w:sz w:val="21"/>
          <w:color w:val="000000"/>
        </w:rPr>
        <w:t>3.技术服务期限内所收集的监控视频、照片等相关信息资料最终均归甲方所有。</w:t>
      </w:r>
    </w:p>
    <w:p>
      <w:pPr>
        <w:pStyle w:val="null3"/>
        <w:ind w:firstLine="420"/>
        <w:jc w:val="left"/>
      </w:pPr>
      <w:r>
        <w:rPr>
          <w:sz w:val="21"/>
          <w:color w:val="000000"/>
        </w:rPr>
        <w:t>（二）乙方的义务</w:t>
      </w:r>
    </w:p>
    <w:p>
      <w:pPr>
        <w:pStyle w:val="null3"/>
        <w:ind w:firstLine="420"/>
        <w:jc w:val="left"/>
      </w:pPr>
      <w:r>
        <w:rPr>
          <w:sz w:val="21"/>
          <w:color w:val="000000"/>
        </w:rPr>
        <w:t>1.乙方应配备具有相应资质、特定经验的工作人员负责项目实施，按照本合同约定的要求和时间完成项目。乙方参与本服务的人员均为乙方员工，其中飞行技术人员须具有相关认证资质，乙方将相关人员名单向甲方备案。</w:t>
      </w:r>
    </w:p>
    <w:p>
      <w:pPr>
        <w:pStyle w:val="null3"/>
        <w:ind w:firstLine="420"/>
        <w:jc w:val="left"/>
      </w:pPr>
      <w:r>
        <w:rPr>
          <w:sz w:val="21"/>
          <w:color w:val="000000"/>
        </w:rPr>
        <w:t>2.乙方不得以任何理由将本合同项下的服务项目转包给第三方承担。</w:t>
      </w:r>
    </w:p>
    <w:p>
      <w:pPr>
        <w:pStyle w:val="null3"/>
        <w:ind w:firstLine="420"/>
        <w:jc w:val="left"/>
      </w:pPr>
      <w:r>
        <w:rPr>
          <w:sz w:val="21"/>
          <w:color w:val="000000"/>
        </w:rPr>
        <w:t>3.乙方不得以任何形式行贿甲方单位及其工作人员，否则将纳入合作黑名单。</w:t>
      </w:r>
    </w:p>
    <w:p>
      <w:pPr>
        <w:pStyle w:val="null3"/>
        <w:ind w:firstLine="420"/>
        <w:jc w:val="left"/>
      </w:pPr>
      <w:r>
        <w:rPr>
          <w:sz w:val="21"/>
          <w:color w:val="000000"/>
        </w:rPr>
        <w:t>4.乙方应全面履行本项目实施过程中的安全管理职责，因乙方未尽到管理职责而发生的安全事故的，包括不限于人身安全损失及财产损失，由乙方承担相应的法律及经济责任。</w:t>
      </w:r>
    </w:p>
    <w:p>
      <w:pPr>
        <w:pStyle w:val="null3"/>
        <w:ind w:firstLine="420"/>
        <w:jc w:val="left"/>
      </w:pPr>
      <w:r>
        <w:rPr>
          <w:sz w:val="21"/>
          <w:color w:val="000000"/>
        </w:rPr>
        <w:t>5.乙方根据甲方要求开展无人机侦察服务过程中应严格遵守国家法律法规，不得以甲方名义开展现场执法。</w:t>
      </w:r>
    </w:p>
    <w:p>
      <w:pPr>
        <w:pStyle w:val="null3"/>
        <w:ind w:firstLine="420"/>
        <w:jc w:val="left"/>
      </w:pPr>
      <w:r>
        <w:rPr>
          <w:sz w:val="21"/>
          <w:color w:val="000000"/>
        </w:rPr>
        <w:t>6.乙方承诺根据本合同提供的服务及使用的相关软件和技术资料，均已取得有关知识产权的权利人的合法授权。如发生涉及到专利权、著作权、商标权等争议，乙方负责处理并承担由此引起的全部法律及经济责任。</w:t>
      </w:r>
    </w:p>
    <w:p>
      <w:pPr>
        <w:pStyle w:val="null3"/>
        <w:ind w:firstLine="420"/>
        <w:jc w:val="left"/>
      </w:pPr>
      <w:r>
        <w:rPr>
          <w:sz w:val="21"/>
          <w:color w:val="000000"/>
        </w:rPr>
        <w:t>7.乙方应接受并配合甲方及相关上级组织对本合同履行情况的监督与检查，对于发现的问题，应及时作出合理解释或予以纠正。</w:t>
      </w:r>
    </w:p>
    <w:p>
      <w:pPr>
        <w:pStyle w:val="null3"/>
        <w:ind w:firstLine="420"/>
        <w:jc w:val="left"/>
      </w:pPr>
      <w:r>
        <w:rPr>
          <w:sz w:val="21"/>
          <w:color w:val="000000"/>
        </w:rPr>
        <w:t>8.乙方应建立记录报告制度，按要求向甲方提供项目执行情况、成果总结等材料，并配合甲方及上级组织的监督检查或绩效评价。本合同执行完毕，乙方应无条件向甲方移交项目电子资料，乙方可留存一份项目档案并予以妥善保管。</w:t>
      </w:r>
    </w:p>
    <w:p>
      <w:pPr>
        <w:pStyle w:val="null3"/>
        <w:jc w:val="left"/>
      </w:pPr>
      <w:r>
        <w:rPr>
          <w:sz w:val="21"/>
          <w:color w:val="000000"/>
        </w:rPr>
        <w:t>七、变更与修改</w:t>
      </w:r>
    </w:p>
    <w:p>
      <w:pPr>
        <w:pStyle w:val="null3"/>
        <w:ind w:firstLine="420"/>
        <w:jc w:val="left"/>
      </w:pPr>
      <w:r>
        <w:rPr>
          <w:sz w:val="21"/>
          <w:color w:val="000000"/>
        </w:rPr>
        <w:t>签约双方任何一方对合同内容提出修改，均应以书面形式通知另外一方，并经协商一致，达成由双方签署的合同修改书。</w:t>
      </w:r>
    </w:p>
    <w:p>
      <w:pPr>
        <w:pStyle w:val="null3"/>
        <w:jc w:val="left"/>
      </w:pPr>
      <w:r>
        <w:rPr>
          <w:sz w:val="21"/>
          <w:color w:val="000000"/>
        </w:rPr>
        <w:t>八、合同解除</w:t>
      </w:r>
    </w:p>
    <w:p>
      <w:pPr>
        <w:pStyle w:val="null3"/>
        <w:ind w:firstLine="420"/>
        <w:jc w:val="left"/>
      </w:pPr>
      <w:r>
        <w:rPr>
          <w:sz w:val="21"/>
          <w:color w:val="000000"/>
        </w:rPr>
        <w:t>有下列情况之一的，甲方可向乙方发出书面通知，解除本合同。</w:t>
      </w:r>
    </w:p>
    <w:p>
      <w:pPr>
        <w:pStyle w:val="null3"/>
        <w:ind w:firstLine="420"/>
        <w:jc w:val="left"/>
      </w:pPr>
      <w:r>
        <w:rPr>
          <w:sz w:val="21"/>
          <w:color w:val="000000"/>
        </w:rPr>
        <w:t>1.乙方未能在合同约定的限期内履行合同义务的；</w:t>
      </w:r>
    </w:p>
    <w:p>
      <w:pPr>
        <w:pStyle w:val="null3"/>
        <w:ind w:firstLine="420"/>
        <w:jc w:val="left"/>
      </w:pPr>
      <w:r>
        <w:rPr>
          <w:sz w:val="21"/>
          <w:color w:val="000000"/>
        </w:rPr>
        <w:t>2.乙方没有按照甲方要求提供服务；</w:t>
      </w:r>
    </w:p>
    <w:p>
      <w:pPr>
        <w:pStyle w:val="null3"/>
        <w:ind w:firstLine="420"/>
        <w:jc w:val="left"/>
      </w:pPr>
      <w:r>
        <w:rPr>
          <w:sz w:val="21"/>
          <w:color w:val="000000"/>
        </w:rPr>
        <w:t>3.乙方未经书面同意部分转让或全部转让其应履行的合同义务；</w:t>
      </w:r>
    </w:p>
    <w:p>
      <w:pPr>
        <w:pStyle w:val="null3"/>
        <w:ind w:firstLine="420"/>
        <w:jc w:val="left"/>
      </w:pPr>
      <w:r>
        <w:rPr>
          <w:sz w:val="21"/>
          <w:color w:val="000000"/>
        </w:rPr>
        <w:t>4.乙方未能在规定的时间内提供符合甲方要求的增值税专用发票；</w:t>
      </w:r>
    </w:p>
    <w:p>
      <w:pPr>
        <w:pStyle w:val="null3"/>
        <w:ind w:firstLine="420"/>
        <w:jc w:val="left"/>
      </w:pPr>
      <w:r>
        <w:rPr>
          <w:sz w:val="21"/>
          <w:color w:val="000000"/>
        </w:rPr>
        <w:t>5.乙方拒不执行因其他违约行为被处罚的决定的。</w:t>
      </w:r>
    </w:p>
    <w:p>
      <w:pPr>
        <w:pStyle w:val="null3"/>
        <w:jc w:val="left"/>
      </w:pPr>
      <w:r>
        <w:rPr>
          <w:sz w:val="21"/>
          <w:color w:val="000000"/>
        </w:rPr>
        <w:t>九、违约赔偿</w:t>
      </w:r>
    </w:p>
    <w:p>
      <w:pPr>
        <w:pStyle w:val="null3"/>
        <w:ind w:firstLine="420"/>
        <w:jc w:val="left"/>
      </w:pPr>
      <w:r>
        <w:rPr>
          <w:sz w:val="21"/>
          <w:color w:val="000000"/>
        </w:rPr>
        <w:t>（一）乙方须限期严格按照合同的约定履行义务，除</w:t>
      </w:r>
      <w:r>
        <w:rPr>
          <w:sz w:val="21"/>
          <w:color w:val="000000"/>
        </w:rPr>
        <w:t>“不可抗力”外，如乙方提供的服务质量不合格而造成的损失由乙方承担。“不可抗力”仅限于战争、严重火灾、洪水、台风、地震、疫情等事件。不可抗力发生时，有关方应尽到及时通知和补救义务。</w:t>
      </w:r>
    </w:p>
    <w:p>
      <w:pPr>
        <w:pStyle w:val="null3"/>
        <w:ind w:firstLine="420"/>
        <w:jc w:val="left"/>
      </w:pPr>
      <w:r>
        <w:rPr>
          <w:sz w:val="21"/>
          <w:color w:val="000000"/>
        </w:rPr>
        <w:t>（二）乙方未按时提供服务，或因自身技术原因服务质量低于行业水准所造成的不能满足甲方需求，或乙方提供的项目资料未一次性通过验收，视作服务逾期行为，在整改完成前每逾期一日按照合同总款的</w:t>
      </w:r>
      <w:r>
        <w:rPr>
          <w:sz w:val="21"/>
          <w:color w:val="000000"/>
        </w:rPr>
        <w:t>3‰向甲方交纳违约金，不足一日，按一日计算（下同）。</w:t>
      </w:r>
    </w:p>
    <w:p>
      <w:pPr>
        <w:pStyle w:val="null3"/>
        <w:ind w:firstLine="420"/>
        <w:jc w:val="left"/>
      </w:pPr>
      <w:r>
        <w:rPr>
          <w:sz w:val="21"/>
          <w:color w:val="000000"/>
        </w:rPr>
        <w:t>（三）乙方接受甲方内部供应商管理制度的管理约束。</w:t>
      </w:r>
    </w:p>
    <w:p>
      <w:pPr>
        <w:pStyle w:val="null3"/>
        <w:ind w:firstLine="420"/>
        <w:jc w:val="left"/>
      </w:pPr>
      <w:r>
        <w:rPr>
          <w:sz w:val="21"/>
          <w:color w:val="000000"/>
        </w:rPr>
        <w:t>（四）如因国家、行业政策发生重大变化，导致甲方无需乙方再提供本合同服务，甲乙双方应协商解除合同，甲方只需向乙方支付合同已履行部分金额。</w:t>
      </w:r>
    </w:p>
    <w:p>
      <w:pPr>
        <w:pStyle w:val="null3"/>
        <w:jc w:val="left"/>
      </w:pPr>
      <w:r>
        <w:rPr>
          <w:sz w:val="21"/>
          <w:color w:val="000000"/>
        </w:rPr>
        <w:t>十、其它</w:t>
      </w:r>
    </w:p>
    <w:p>
      <w:pPr>
        <w:pStyle w:val="null3"/>
        <w:ind w:firstLine="420"/>
        <w:jc w:val="left"/>
      </w:pPr>
      <w:r>
        <w:rPr>
          <w:sz w:val="21"/>
          <w:color w:val="000000"/>
        </w:rPr>
        <w:t>1.合同经双方法定代表人（负责人）或委托代理人签字并加盖合同双方公章或合同专用章后生效。</w:t>
      </w:r>
    </w:p>
    <w:p>
      <w:pPr>
        <w:pStyle w:val="null3"/>
        <w:ind w:firstLine="420"/>
        <w:jc w:val="left"/>
      </w:pPr>
      <w:r>
        <w:rPr>
          <w:sz w:val="21"/>
          <w:color w:val="000000"/>
        </w:rPr>
        <w:t>2.本合同在执行过程中如有争议，合同双方应友好协商解决。协商不成的，任何一方均应向甲方所在地的法院提起诉讼。</w:t>
      </w:r>
    </w:p>
    <w:p>
      <w:pPr>
        <w:pStyle w:val="null3"/>
        <w:ind w:firstLine="420"/>
        <w:jc w:val="left"/>
      </w:pPr>
      <w:r>
        <w:rPr>
          <w:sz w:val="21"/>
          <w:color w:val="000000"/>
        </w:rPr>
        <w:t>3. 本合同一式份，甲方执份、乙方执份，具有同等法律效力。</w:t>
      </w:r>
    </w:p>
    <w:p>
      <w:pPr>
        <w:pStyle w:val="null3"/>
        <w:jc w:val="left"/>
      </w:pPr>
      <w:r>
        <w:rPr>
          <w:sz w:val="21"/>
          <w:color w:val="000000"/>
        </w:rPr>
        <w:t>十一、合同附件</w:t>
      </w:r>
    </w:p>
    <w:p>
      <w:pPr>
        <w:pStyle w:val="null3"/>
        <w:jc w:val="left"/>
      </w:pPr>
      <w:r>
        <w:rPr>
          <w:sz w:val="21"/>
          <w:color w:val="000000"/>
        </w:rPr>
        <w:t xml:space="preserve">     </w:t>
      </w:r>
    </w:p>
    <w:p>
      <w:pPr>
        <w:pStyle w:val="null3"/>
        <w:jc w:val="left"/>
      </w:pPr>
      <w:r>
        <w:rPr>
          <w:sz w:val="21"/>
          <w:color w:val="000000"/>
        </w:rPr>
        <w:t>以下为签字</w:t>
      </w:r>
      <w:r>
        <w:rPr>
          <w:sz w:val="21"/>
          <w:color w:val="000000"/>
        </w:rPr>
        <w:t>/签章页，无正文。</w:t>
      </w:r>
    </w:p>
    <w:p>
      <w:pPr>
        <w:pStyle w:val="null3"/>
        <w:jc w:val="left"/>
      </w:pPr>
      <w:r>
        <w:rPr>
          <w:sz w:val="21"/>
          <w:color w:val="000000"/>
        </w:rPr>
        <w:t>甲方：（签章）</w:t>
      </w:r>
    </w:p>
    <w:p>
      <w:pPr>
        <w:pStyle w:val="null3"/>
        <w:jc w:val="left"/>
      </w:pPr>
      <w:r>
        <w:rPr>
          <w:sz w:val="21"/>
          <w:color w:val="000000"/>
        </w:rPr>
        <w:t>地址：</w:t>
      </w:r>
    </w:p>
    <w:p>
      <w:pPr>
        <w:pStyle w:val="null3"/>
        <w:jc w:val="left"/>
      </w:pPr>
      <w:r>
        <w:rPr>
          <w:sz w:val="21"/>
          <w:color w:val="000000"/>
        </w:rPr>
        <w:t>负责人</w:t>
      </w:r>
      <w:r>
        <w:rPr>
          <w:sz w:val="21"/>
          <w:color w:val="000000"/>
        </w:rPr>
        <w:t>/委托代理人签字：</w:t>
      </w:r>
    </w:p>
    <w:p>
      <w:pPr>
        <w:pStyle w:val="null3"/>
        <w:jc w:val="left"/>
      </w:pPr>
      <w:r>
        <w:rPr>
          <w:sz w:val="21"/>
          <w:color w:val="000000"/>
        </w:rPr>
        <w:t>乙方：（签章）</w:t>
      </w:r>
    </w:p>
    <w:p>
      <w:pPr>
        <w:pStyle w:val="null3"/>
        <w:jc w:val="left"/>
      </w:pPr>
      <w:r>
        <w:rPr>
          <w:sz w:val="21"/>
          <w:color w:val="000000"/>
        </w:rPr>
        <w:t>地址：</w:t>
      </w:r>
    </w:p>
    <w:p>
      <w:pPr>
        <w:pStyle w:val="null3"/>
        <w:jc w:val="left"/>
      </w:pPr>
      <w:r>
        <w:rPr>
          <w:sz w:val="21"/>
          <w:color w:val="000000"/>
        </w:rPr>
        <w:t>法定代表人</w:t>
      </w:r>
      <w:r>
        <w:rPr>
          <w:sz w:val="21"/>
          <w:color w:val="000000"/>
        </w:rPr>
        <w:t>/委托代理人签字：</w:t>
      </w:r>
    </w:p>
    <w:p>
      <w:pPr>
        <w:pStyle w:val="null3"/>
        <w:jc w:val="left"/>
      </w:pPr>
      <w:r>
        <w:rPr>
          <w:sz w:val="21"/>
          <w:color w:val="000000"/>
        </w:rPr>
        <w:t>签订日期：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441501-2026-00997</w:t>
      </w:r>
    </w:p>
    <w:p>
      <w:pPr>
        <w:pStyle w:val="null3"/>
        <w:jc w:val="center"/>
        <w:outlineLvl w:val="3"/>
      </w:pPr>
      <w:r>
        <w:rPr>
          <w:sz w:val="24"/>
          <w:b/>
        </w:rPr>
        <w:t>采购项目编号：</w:t>
      </w:r>
      <w:r>
        <w:rPr>
          <w:sz w:val="24"/>
          <w:b/>
        </w:rPr>
        <w:t>441501-2026-00997</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广东信越工程管理有限公司</w:t>
      </w:r>
    </w:p>
    <w:p>
      <w:pPr>
        <w:pStyle w:val="null3"/>
        <w:ind w:firstLine="480"/>
      </w:pPr>
      <w:r>
        <w:rPr/>
        <w:t xml:space="preserve"> 你方组织的</w:t>
      </w:r>
      <w:r>
        <w:rPr>
          <w:u w:val="single"/>
        </w:rPr>
        <w:t>“</w:t>
      </w:r>
      <w:r>
        <w:rPr>
          <w:u w:val="single"/>
        </w:rPr>
        <w:t>汕尾市公安局无人机应用服务(二次)</w:t>
      </w:r>
      <w:r>
        <w:rPr>
          <w:u w:val="single"/>
        </w:rPr>
        <w:t>”</w:t>
      </w:r>
      <w:r>
        <w:rPr/>
        <w:t>项目的竞争性磋商[采购项目编号为：</w:t>
      </w:r>
      <w:r>
        <w:rPr>
          <w:u w:val="single"/>
        </w:rPr>
        <w:t>441501-2026-00997</w:t>
      </w:r>
      <w:r>
        <w:rPr/>
        <w:t>]，我方愿参与响应。</w:t>
      </w:r>
    </w:p>
    <w:p>
      <w:pPr>
        <w:pStyle w:val="null3"/>
        <w:ind w:firstLine="480"/>
      </w:pPr>
      <w:r>
        <w:rPr/>
        <w:t>我方确认收到贵方提供的</w:t>
      </w:r>
      <w:r>
        <w:rPr>
          <w:u w:val="single"/>
        </w:rPr>
        <w:t>“</w:t>
      </w:r>
      <w:r>
        <w:rPr>
          <w:u w:val="single"/>
        </w:rPr>
        <w:t>汕尾市公安局无人机应用服务(二次)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广东信越工程管理有限公司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汕尾市公安局无人机应用服务(二次)</w:t>
      </w:r>
      <w:r>
        <w:rPr/>
        <w:t>”项目采购[采购项目编号为</w:t>
      </w:r>
      <w:r>
        <w:rPr/>
        <w:t>441501-2026-00997</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汕尾市公安局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广东信越工程管理有限公司</w:t>
      </w:r>
    </w:p>
    <w:p>
      <w:pPr>
        <w:pStyle w:val="null3"/>
        <w:ind w:firstLine="480"/>
      </w:pPr>
      <w:r>
        <w:rPr/>
        <w:t>我单位参加贵公司组织的</w:t>
      </w:r>
      <w:r>
        <w:rPr/>
        <w:t>汕尾市公安局无人机应用服务(二次)</w:t>
      </w:r>
      <w:r>
        <w:rPr/>
        <w:t>（采购项目编号：</w:t>
      </w:r>
      <w:r>
        <w:rPr/>
        <w:t>441501-2026-00997</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广东信越工程管理有限公司</w:t>
      </w:r>
    </w:p>
    <w:p>
      <w:pPr>
        <w:pStyle w:val="null3"/>
        <w:ind w:firstLine="480"/>
      </w:pPr>
      <w:r>
        <w:rPr/>
        <w:t>我单位已登记并准备参与“</w:t>
      </w:r>
      <w:r>
        <w:rPr/>
        <w:t>汕尾市公安局无人机应用服务(二次)</w:t>
      </w:r>
      <w:r>
        <w:rPr/>
        <w:t>”项目（采购项目编号：</w:t>
      </w:r>
      <w:r>
        <w:rPr/>
        <w:t>441501-2026-00997</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