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514AA9">
      <w:pPr>
        <w:pStyle w:val="2"/>
        <w:spacing w:before="312" w:beforeLines="100" w:after="312" w:afterLines="100"/>
        <w:rPr>
          <w:rFonts w:eastAsia="宋体"/>
          <w:color w:val="auto"/>
        </w:rPr>
      </w:pPr>
      <w:bookmarkStart w:id="0" w:name="_Toc211417606"/>
      <w:bookmarkStart w:id="1" w:name="_Toc27846"/>
      <w:bookmarkStart w:id="2" w:name="_Toc36127795"/>
      <w:bookmarkStart w:id="3" w:name="_Toc21871"/>
      <w:r>
        <w:rPr>
          <w:rFonts w:eastAsia="宋体"/>
          <w:color w:val="auto"/>
        </w:rPr>
        <w:t>技术文件</w:t>
      </w:r>
      <w:bookmarkEnd w:id="0"/>
      <w:bookmarkEnd w:id="1"/>
      <w:bookmarkEnd w:id="2"/>
      <w:bookmarkEnd w:id="3"/>
    </w:p>
    <w:p w14:paraId="17A9F0D1">
      <w:pPr>
        <w:adjustRightInd w:val="0"/>
        <w:snapToGrid w:val="0"/>
        <w:jc w:val="center"/>
        <w:outlineLvl w:val="1"/>
        <w:rPr>
          <w:b/>
          <w:bCs/>
          <w:color w:val="auto"/>
          <w:sz w:val="24"/>
        </w:rPr>
      </w:pPr>
      <w:bookmarkStart w:id="4" w:name="_Hlk204783809"/>
      <w:bookmarkStart w:id="5" w:name="_Toc24010"/>
      <w:bookmarkStart w:id="6" w:name="_Toc36127830"/>
      <w:r>
        <w:rPr>
          <w:b/>
          <w:bCs/>
          <w:color w:val="auto"/>
          <w:sz w:val="24"/>
        </w:rPr>
        <w:t>1、项目说明</w:t>
      </w:r>
    </w:p>
    <w:p w14:paraId="6D8836F9">
      <w:pPr>
        <w:adjustRightInd w:val="0"/>
        <w:snapToGrid w:val="0"/>
        <w:spacing w:before="62" w:beforeLines="20" w:after="62" w:afterLines="20"/>
        <w:ind w:firstLine="482" w:firstLineChars="200"/>
        <w:jc w:val="left"/>
        <w:outlineLvl w:val="2"/>
        <w:rPr>
          <w:rFonts w:cs="宋体"/>
          <w:b/>
          <w:bCs/>
          <w:color w:val="auto"/>
          <w:sz w:val="24"/>
          <w:lang w:bidi="ar"/>
        </w:rPr>
      </w:pPr>
      <w:r>
        <w:rPr>
          <w:rFonts w:cs="宋体"/>
          <w:b/>
          <w:bCs/>
          <w:color w:val="auto"/>
          <w:sz w:val="24"/>
          <w:lang w:bidi="ar"/>
        </w:rPr>
        <w:t>1.1 项目简介</w:t>
      </w:r>
    </w:p>
    <w:p w14:paraId="1DB1DF60">
      <w:pPr>
        <w:adjustRightInd w:val="0"/>
        <w:snapToGrid w:val="0"/>
        <w:ind w:firstLine="480" w:firstLineChars="200"/>
        <w:rPr>
          <w:color w:val="auto"/>
          <w:sz w:val="24"/>
        </w:rPr>
      </w:pPr>
      <w:r>
        <w:rPr>
          <w:rFonts w:hint="eastAsia"/>
          <w:color w:val="auto"/>
          <w:sz w:val="24"/>
        </w:rPr>
        <w:t>本项目对CSNS-II所需不锈钢高效空气粒子过滤器进行国内公开招标。高效空气粒子过滤器用于主装置区加速器隧道、谱仪散射室、实验终端等区域空调与通风系统，是确保主工艺设备正常运行的重要设备。高效空气过滤装置是对上述区域的空气进行过滤处理。要求全部招标设备使用安全、可靠。更换过滤器及高效空气粒子过滤器效率检测快捷、方便。</w:t>
      </w:r>
    </w:p>
    <w:p w14:paraId="4BD33586">
      <w:pPr>
        <w:adjustRightInd w:val="0"/>
        <w:snapToGrid w:val="0"/>
        <w:spacing w:before="62" w:beforeLines="20" w:after="62" w:afterLines="20"/>
        <w:ind w:firstLine="482" w:firstLineChars="200"/>
        <w:jc w:val="left"/>
        <w:outlineLvl w:val="2"/>
        <w:rPr>
          <w:rFonts w:cs="宋体"/>
          <w:b/>
          <w:bCs/>
          <w:color w:val="auto"/>
          <w:sz w:val="24"/>
          <w:lang w:bidi="ar"/>
        </w:rPr>
      </w:pPr>
      <w:r>
        <w:rPr>
          <w:rFonts w:cs="宋体"/>
          <w:b/>
          <w:bCs/>
          <w:color w:val="auto"/>
          <w:sz w:val="24"/>
          <w:lang w:bidi="ar"/>
        </w:rPr>
        <w:t>1.2招标范围、计划工期和质量要求</w:t>
      </w:r>
    </w:p>
    <w:p w14:paraId="00B932BF">
      <w:pPr>
        <w:pStyle w:val="59"/>
        <w:ind w:firstLine="480"/>
        <w:rPr>
          <w:rFonts w:ascii="Times New Roman" w:hAnsi="Times New Roman"/>
          <w:color w:val="auto"/>
          <w:sz w:val="24"/>
        </w:rPr>
      </w:pPr>
      <w:r>
        <w:rPr>
          <w:rFonts w:ascii="Times New Roman" w:hAnsi="Times New Roman"/>
          <w:color w:val="auto"/>
          <w:sz w:val="24"/>
        </w:rPr>
        <w:t>1.2.1合同的供货范围如下：</w:t>
      </w:r>
    </w:p>
    <w:p w14:paraId="5BDC6D6D">
      <w:pPr>
        <w:pStyle w:val="59"/>
        <w:ind w:firstLine="480"/>
        <w:rPr>
          <w:rFonts w:ascii="Times New Roman" w:hAnsi="Times New Roman"/>
          <w:color w:val="auto"/>
          <w:sz w:val="24"/>
        </w:rPr>
      </w:pPr>
      <w:r>
        <w:rPr>
          <w:rFonts w:ascii="Times New Roman" w:hAnsi="Times New Roman"/>
          <w:color w:val="auto"/>
          <w:sz w:val="24"/>
        </w:rPr>
        <w:t>高效空气粒子过滤器：数量</w:t>
      </w:r>
      <w:r>
        <w:rPr>
          <w:rFonts w:hint="eastAsia" w:ascii="Times New Roman" w:hAnsi="Times New Roman"/>
          <w:color w:val="auto"/>
          <w:sz w:val="24"/>
        </w:rPr>
        <w:t>8</w:t>
      </w:r>
      <w:r>
        <w:rPr>
          <w:rFonts w:ascii="Times New Roman" w:hAnsi="Times New Roman"/>
          <w:color w:val="auto"/>
          <w:sz w:val="24"/>
        </w:rPr>
        <w:t>台，</w:t>
      </w:r>
      <w:r>
        <w:rPr>
          <w:rFonts w:hint="eastAsia" w:ascii="Times New Roman" w:hAnsi="Times New Roman"/>
          <w:color w:val="auto"/>
          <w:sz w:val="24"/>
        </w:rPr>
        <w:t>详见本技术文件第2.4 条“设备主要技术参数”。</w:t>
      </w:r>
    </w:p>
    <w:p w14:paraId="325ED69A">
      <w:pPr>
        <w:pStyle w:val="59"/>
        <w:ind w:firstLine="480"/>
        <w:rPr>
          <w:rFonts w:ascii="Times New Roman" w:hAnsi="Times New Roman"/>
          <w:color w:val="auto"/>
          <w:sz w:val="24"/>
        </w:rPr>
      </w:pPr>
      <w:r>
        <w:rPr>
          <w:rFonts w:ascii="Times New Roman" w:hAnsi="Times New Roman"/>
          <w:color w:val="auto"/>
          <w:sz w:val="24"/>
        </w:rPr>
        <w:t>1.2.2中标人的工作范围，包括以下内容：</w:t>
      </w:r>
    </w:p>
    <w:p w14:paraId="7B5B9561">
      <w:pPr>
        <w:pStyle w:val="59"/>
        <w:ind w:firstLine="480"/>
        <w:rPr>
          <w:rFonts w:ascii="Times New Roman" w:hAnsi="Times New Roman"/>
          <w:color w:val="auto"/>
          <w:sz w:val="24"/>
        </w:rPr>
      </w:pPr>
      <w:r>
        <w:rPr>
          <w:rFonts w:hint="eastAsia" w:ascii="Times New Roman" w:hAnsi="Times New Roman"/>
          <w:color w:val="auto"/>
          <w:kern w:val="0"/>
          <w:sz w:val="24"/>
          <w:szCs w:val="23"/>
        </w:rPr>
        <w:t>中标人负责根据采购人提供的技术要求，完成不锈钢高效空气粒子过滤器的设计、制造、组装（在制造厂或施工现场进行）、检测、包装、运输，指导现场安装和调试，直至最终验收合格，并负责采购人操作维修人员的培训、售后技术服务等。</w:t>
      </w:r>
      <w:bookmarkEnd w:id="4"/>
      <w:r>
        <w:rPr>
          <w:rFonts w:ascii="Times New Roman" w:hAnsi="Times New Roman"/>
          <w:color w:val="auto"/>
          <w:kern w:val="0"/>
          <w:sz w:val="24"/>
          <w:szCs w:val="23"/>
        </w:rPr>
        <w:t xml:space="preserve">  </w:t>
      </w:r>
    </w:p>
    <w:p w14:paraId="037E965D">
      <w:pPr>
        <w:pStyle w:val="59"/>
        <w:ind w:firstLine="480"/>
        <w:rPr>
          <w:rFonts w:ascii="Times New Roman" w:hAnsi="Times New Roman"/>
          <w:color w:val="auto"/>
          <w:sz w:val="24"/>
        </w:rPr>
      </w:pPr>
      <w:bookmarkStart w:id="7" w:name="_Hlk204783837"/>
      <w:r>
        <w:rPr>
          <w:rFonts w:ascii="Times New Roman" w:hAnsi="Times New Roman"/>
          <w:color w:val="auto"/>
          <w:sz w:val="24"/>
        </w:rPr>
        <w:t>1.2.3计划工期</w:t>
      </w:r>
    </w:p>
    <w:tbl>
      <w:tblPr>
        <w:tblStyle w:val="3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4158"/>
        <w:gridCol w:w="2551"/>
        <w:gridCol w:w="1327"/>
      </w:tblGrid>
      <w:tr w14:paraId="642B8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blHeader/>
          <w:jc w:val="center"/>
        </w:trPr>
        <w:tc>
          <w:tcPr>
            <w:tcW w:w="799" w:type="dxa"/>
            <w:vAlign w:val="center"/>
          </w:tcPr>
          <w:p w14:paraId="2A5B2575">
            <w:pPr>
              <w:widowControl/>
              <w:jc w:val="center"/>
              <w:rPr>
                <w:color w:val="auto"/>
                <w:kern w:val="0"/>
                <w:sz w:val="24"/>
              </w:rPr>
            </w:pPr>
            <w:r>
              <w:rPr>
                <w:color w:val="auto"/>
                <w:kern w:val="0"/>
                <w:sz w:val="24"/>
              </w:rPr>
              <w:t>序号</w:t>
            </w:r>
          </w:p>
        </w:tc>
        <w:tc>
          <w:tcPr>
            <w:tcW w:w="4158" w:type="dxa"/>
            <w:vAlign w:val="center"/>
          </w:tcPr>
          <w:p w14:paraId="05B8D1C6">
            <w:pPr>
              <w:widowControl/>
              <w:jc w:val="center"/>
              <w:rPr>
                <w:color w:val="auto"/>
                <w:kern w:val="0"/>
                <w:sz w:val="24"/>
              </w:rPr>
            </w:pPr>
            <w:r>
              <w:rPr>
                <w:color w:val="auto"/>
                <w:kern w:val="0"/>
                <w:sz w:val="24"/>
              </w:rPr>
              <w:t>项目</w:t>
            </w:r>
          </w:p>
        </w:tc>
        <w:tc>
          <w:tcPr>
            <w:tcW w:w="2551" w:type="dxa"/>
            <w:vAlign w:val="center"/>
          </w:tcPr>
          <w:p w14:paraId="1E544B5C">
            <w:pPr>
              <w:widowControl/>
              <w:jc w:val="center"/>
              <w:rPr>
                <w:color w:val="auto"/>
                <w:kern w:val="0"/>
                <w:sz w:val="24"/>
              </w:rPr>
            </w:pPr>
            <w:r>
              <w:rPr>
                <w:color w:val="auto"/>
                <w:kern w:val="0"/>
                <w:sz w:val="24"/>
              </w:rPr>
              <w:t>时间要求</w:t>
            </w:r>
          </w:p>
        </w:tc>
        <w:tc>
          <w:tcPr>
            <w:tcW w:w="1327" w:type="dxa"/>
            <w:vAlign w:val="center"/>
          </w:tcPr>
          <w:p w14:paraId="22DBC544">
            <w:pPr>
              <w:widowControl/>
              <w:jc w:val="center"/>
              <w:rPr>
                <w:bCs/>
                <w:color w:val="auto"/>
                <w:sz w:val="24"/>
              </w:rPr>
            </w:pPr>
            <w:r>
              <w:rPr>
                <w:bCs/>
                <w:color w:val="auto"/>
                <w:sz w:val="24"/>
              </w:rPr>
              <w:t>备注</w:t>
            </w:r>
          </w:p>
        </w:tc>
      </w:tr>
      <w:tr w14:paraId="09DC5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99" w:type="dxa"/>
            <w:vAlign w:val="center"/>
          </w:tcPr>
          <w:p w14:paraId="750F96CA">
            <w:pPr>
              <w:widowControl/>
              <w:jc w:val="center"/>
              <w:rPr>
                <w:color w:val="auto"/>
                <w:kern w:val="0"/>
                <w:sz w:val="24"/>
              </w:rPr>
            </w:pPr>
            <w:r>
              <w:rPr>
                <w:color w:val="auto"/>
                <w:kern w:val="0"/>
                <w:sz w:val="24"/>
              </w:rPr>
              <w:t>1</w:t>
            </w:r>
          </w:p>
        </w:tc>
        <w:tc>
          <w:tcPr>
            <w:tcW w:w="4158" w:type="dxa"/>
            <w:vAlign w:val="center"/>
          </w:tcPr>
          <w:p w14:paraId="7218C06F">
            <w:pPr>
              <w:widowControl/>
              <w:rPr>
                <w:color w:val="auto"/>
                <w:kern w:val="0"/>
                <w:sz w:val="24"/>
              </w:rPr>
            </w:pPr>
            <w:r>
              <w:rPr>
                <w:color w:val="auto"/>
                <w:sz w:val="24"/>
              </w:rPr>
              <w:t>完成联合设计</w:t>
            </w:r>
          </w:p>
        </w:tc>
        <w:tc>
          <w:tcPr>
            <w:tcW w:w="2551" w:type="dxa"/>
            <w:vAlign w:val="center"/>
          </w:tcPr>
          <w:p w14:paraId="3A9B68AC">
            <w:pPr>
              <w:widowControl/>
              <w:jc w:val="center"/>
              <w:rPr>
                <w:color w:val="auto"/>
                <w:kern w:val="0"/>
                <w:sz w:val="24"/>
              </w:rPr>
            </w:pPr>
            <w:r>
              <w:rPr>
                <w:color w:val="auto"/>
                <w:kern w:val="0"/>
                <w:sz w:val="24"/>
              </w:rPr>
              <w:t>合同签订后30天以内</w:t>
            </w:r>
          </w:p>
        </w:tc>
        <w:tc>
          <w:tcPr>
            <w:tcW w:w="1327" w:type="dxa"/>
            <w:vAlign w:val="center"/>
          </w:tcPr>
          <w:p w14:paraId="770B5C2F">
            <w:pPr>
              <w:widowControl/>
              <w:jc w:val="center"/>
              <w:rPr>
                <w:bCs/>
                <w:color w:val="auto"/>
                <w:sz w:val="24"/>
              </w:rPr>
            </w:pPr>
          </w:p>
        </w:tc>
      </w:tr>
      <w:tr w14:paraId="1E3C2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99" w:type="dxa"/>
            <w:vAlign w:val="center"/>
          </w:tcPr>
          <w:p w14:paraId="662CBAC1">
            <w:pPr>
              <w:widowControl/>
              <w:jc w:val="center"/>
              <w:rPr>
                <w:color w:val="auto"/>
                <w:kern w:val="0"/>
                <w:sz w:val="24"/>
              </w:rPr>
            </w:pPr>
            <w:r>
              <w:rPr>
                <w:color w:val="auto"/>
                <w:kern w:val="0"/>
                <w:sz w:val="24"/>
              </w:rPr>
              <w:t>2</w:t>
            </w:r>
          </w:p>
        </w:tc>
        <w:tc>
          <w:tcPr>
            <w:tcW w:w="6709" w:type="dxa"/>
            <w:gridSpan w:val="2"/>
            <w:vAlign w:val="center"/>
          </w:tcPr>
          <w:p w14:paraId="5D055C5F">
            <w:pPr>
              <w:rPr>
                <w:color w:val="auto"/>
                <w:sz w:val="24"/>
              </w:rPr>
            </w:pPr>
            <w:r>
              <w:rPr>
                <w:rFonts w:hint="eastAsia"/>
                <w:color w:val="auto"/>
                <w:sz w:val="24"/>
              </w:rPr>
              <w:t>直线设备楼（二期）及高能质子实验厅高效空气粒子过滤器（4台）</w:t>
            </w:r>
          </w:p>
        </w:tc>
        <w:tc>
          <w:tcPr>
            <w:tcW w:w="1327" w:type="dxa"/>
            <w:vAlign w:val="center"/>
          </w:tcPr>
          <w:p w14:paraId="31B595AF">
            <w:pPr>
              <w:jc w:val="center"/>
              <w:rPr>
                <w:color w:val="auto"/>
                <w:sz w:val="24"/>
              </w:rPr>
            </w:pPr>
          </w:p>
        </w:tc>
      </w:tr>
      <w:tr w14:paraId="7C218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99" w:type="dxa"/>
            <w:vAlign w:val="center"/>
          </w:tcPr>
          <w:p w14:paraId="04B10F55">
            <w:pPr>
              <w:widowControl/>
              <w:jc w:val="center"/>
              <w:rPr>
                <w:color w:val="auto"/>
                <w:kern w:val="0"/>
                <w:sz w:val="24"/>
              </w:rPr>
            </w:pPr>
            <w:r>
              <w:rPr>
                <w:color w:val="auto"/>
                <w:kern w:val="0"/>
                <w:sz w:val="24"/>
              </w:rPr>
              <w:t>2.1</w:t>
            </w:r>
          </w:p>
        </w:tc>
        <w:tc>
          <w:tcPr>
            <w:tcW w:w="4158" w:type="dxa"/>
            <w:vAlign w:val="center"/>
          </w:tcPr>
          <w:p w14:paraId="17A5EBAD">
            <w:pPr>
              <w:rPr>
                <w:color w:val="auto"/>
                <w:sz w:val="24"/>
              </w:rPr>
            </w:pPr>
            <w:r>
              <w:rPr>
                <w:color w:val="auto"/>
                <w:sz w:val="24"/>
              </w:rPr>
              <w:t>完成设备生产</w:t>
            </w:r>
          </w:p>
        </w:tc>
        <w:tc>
          <w:tcPr>
            <w:tcW w:w="2551" w:type="dxa"/>
            <w:vAlign w:val="center"/>
          </w:tcPr>
          <w:p w14:paraId="534EFD60">
            <w:pPr>
              <w:jc w:val="center"/>
              <w:rPr>
                <w:color w:val="auto"/>
                <w:sz w:val="24"/>
              </w:rPr>
            </w:pPr>
            <w:r>
              <w:rPr>
                <w:color w:val="auto"/>
                <w:sz w:val="24"/>
              </w:rPr>
              <w:t>2026年3月20日</w:t>
            </w:r>
          </w:p>
        </w:tc>
        <w:tc>
          <w:tcPr>
            <w:tcW w:w="1327" w:type="dxa"/>
            <w:vAlign w:val="center"/>
          </w:tcPr>
          <w:p w14:paraId="185B2830">
            <w:pPr>
              <w:jc w:val="center"/>
              <w:rPr>
                <w:color w:val="auto"/>
                <w:sz w:val="24"/>
              </w:rPr>
            </w:pPr>
          </w:p>
        </w:tc>
      </w:tr>
      <w:tr w14:paraId="6BB6C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99" w:type="dxa"/>
            <w:vAlign w:val="center"/>
          </w:tcPr>
          <w:p w14:paraId="2DD9EAF3">
            <w:pPr>
              <w:widowControl/>
              <w:jc w:val="center"/>
              <w:rPr>
                <w:color w:val="auto"/>
                <w:kern w:val="0"/>
                <w:sz w:val="24"/>
              </w:rPr>
            </w:pPr>
            <w:r>
              <w:rPr>
                <w:rFonts w:hint="eastAsia"/>
                <w:color w:val="auto"/>
                <w:kern w:val="0"/>
                <w:sz w:val="24"/>
              </w:rPr>
              <w:t>2</w:t>
            </w:r>
            <w:r>
              <w:rPr>
                <w:color w:val="auto"/>
                <w:kern w:val="0"/>
                <w:sz w:val="24"/>
              </w:rPr>
              <w:t>.2</w:t>
            </w:r>
          </w:p>
        </w:tc>
        <w:tc>
          <w:tcPr>
            <w:tcW w:w="4158" w:type="dxa"/>
            <w:vAlign w:val="center"/>
          </w:tcPr>
          <w:p w14:paraId="1C174705">
            <w:pPr>
              <w:rPr>
                <w:color w:val="auto"/>
                <w:sz w:val="24"/>
              </w:rPr>
            </w:pPr>
            <w:r>
              <w:rPr>
                <w:rFonts w:hint="eastAsia"/>
                <w:color w:val="auto"/>
                <w:sz w:val="24"/>
              </w:rPr>
              <w:t>设备发货</w:t>
            </w:r>
          </w:p>
        </w:tc>
        <w:tc>
          <w:tcPr>
            <w:tcW w:w="2551" w:type="dxa"/>
            <w:vAlign w:val="center"/>
          </w:tcPr>
          <w:p w14:paraId="440C3D05">
            <w:pPr>
              <w:jc w:val="center"/>
              <w:rPr>
                <w:color w:val="auto"/>
                <w:sz w:val="24"/>
              </w:rPr>
            </w:pPr>
            <w:r>
              <w:rPr>
                <w:color w:val="auto"/>
                <w:sz w:val="24"/>
              </w:rPr>
              <w:t>202</w:t>
            </w:r>
            <w:r>
              <w:rPr>
                <w:rFonts w:hint="eastAsia"/>
                <w:color w:val="auto"/>
                <w:sz w:val="24"/>
              </w:rPr>
              <w:t>6</w:t>
            </w:r>
            <w:r>
              <w:rPr>
                <w:color w:val="auto"/>
                <w:sz w:val="24"/>
              </w:rPr>
              <w:t>年</w:t>
            </w:r>
            <w:r>
              <w:rPr>
                <w:rFonts w:hint="eastAsia"/>
                <w:color w:val="auto"/>
                <w:sz w:val="24"/>
              </w:rPr>
              <w:t>4</w:t>
            </w:r>
            <w:r>
              <w:rPr>
                <w:color w:val="auto"/>
                <w:sz w:val="24"/>
              </w:rPr>
              <w:t>月1日</w:t>
            </w:r>
          </w:p>
        </w:tc>
        <w:tc>
          <w:tcPr>
            <w:tcW w:w="1327" w:type="dxa"/>
            <w:vAlign w:val="center"/>
          </w:tcPr>
          <w:p w14:paraId="248DB71E">
            <w:pPr>
              <w:jc w:val="center"/>
              <w:rPr>
                <w:color w:val="auto"/>
                <w:sz w:val="24"/>
              </w:rPr>
            </w:pPr>
          </w:p>
        </w:tc>
      </w:tr>
      <w:tr w14:paraId="65EC4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99" w:type="dxa"/>
            <w:vAlign w:val="center"/>
          </w:tcPr>
          <w:p w14:paraId="5ED4B79E">
            <w:pPr>
              <w:widowControl/>
              <w:jc w:val="center"/>
              <w:rPr>
                <w:color w:val="auto"/>
                <w:kern w:val="0"/>
                <w:sz w:val="24"/>
              </w:rPr>
            </w:pPr>
            <w:r>
              <w:rPr>
                <w:color w:val="auto"/>
                <w:kern w:val="0"/>
                <w:sz w:val="24"/>
              </w:rPr>
              <w:t>2.3</w:t>
            </w:r>
          </w:p>
        </w:tc>
        <w:tc>
          <w:tcPr>
            <w:tcW w:w="4158" w:type="dxa"/>
            <w:vAlign w:val="center"/>
          </w:tcPr>
          <w:p w14:paraId="219509BC">
            <w:pPr>
              <w:rPr>
                <w:color w:val="auto"/>
                <w:sz w:val="24"/>
              </w:rPr>
            </w:pPr>
            <w:r>
              <w:rPr>
                <w:color w:val="auto"/>
                <w:sz w:val="24"/>
              </w:rPr>
              <w:t>货物运输到达安装地点</w:t>
            </w:r>
          </w:p>
        </w:tc>
        <w:tc>
          <w:tcPr>
            <w:tcW w:w="2551" w:type="dxa"/>
            <w:vAlign w:val="center"/>
          </w:tcPr>
          <w:p w14:paraId="6DA322E6">
            <w:pPr>
              <w:jc w:val="center"/>
              <w:rPr>
                <w:color w:val="auto"/>
                <w:sz w:val="24"/>
              </w:rPr>
            </w:pPr>
            <w:r>
              <w:rPr>
                <w:color w:val="auto"/>
                <w:sz w:val="24"/>
              </w:rPr>
              <w:t>202</w:t>
            </w:r>
            <w:r>
              <w:rPr>
                <w:rFonts w:hint="eastAsia"/>
                <w:color w:val="auto"/>
                <w:sz w:val="24"/>
              </w:rPr>
              <w:t>6</w:t>
            </w:r>
            <w:r>
              <w:rPr>
                <w:color w:val="auto"/>
                <w:sz w:val="24"/>
              </w:rPr>
              <w:t>年</w:t>
            </w:r>
            <w:r>
              <w:rPr>
                <w:rFonts w:hint="eastAsia"/>
                <w:color w:val="auto"/>
                <w:sz w:val="24"/>
              </w:rPr>
              <w:t>4</w:t>
            </w:r>
            <w:r>
              <w:rPr>
                <w:color w:val="auto"/>
                <w:sz w:val="24"/>
              </w:rPr>
              <w:t>月10日</w:t>
            </w:r>
          </w:p>
        </w:tc>
        <w:tc>
          <w:tcPr>
            <w:tcW w:w="1327" w:type="dxa"/>
            <w:vAlign w:val="center"/>
          </w:tcPr>
          <w:p w14:paraId="267EB4D6">
            <w:pPr>
              <w:jc w:val="center"/>
              <w:rPr>
                <w:color w:val="auto"/>
                <w:sz w:val="24"/>
              </w:rPr>
            </w:pPr>
          </w:p>
        </w:tc>
      </w:tr>
      <w:tr w14:paraId="624A2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99" w:type="dxa"/>
            <w:vAlign w:val="center"/>
          </w:tcPr>
          <w:p w14:paraId="33D8AE45">
            <w:pPr>
              <w:widowControl/>
              <w:jc w:val="center"/>
              <w:rPr>
                <w:color w:val="auto"/>
                <w:kern w:val="0"/>
                <w:sz w:val="24"/>
              </w:rPr>
            </w:pPr>
            <w:r>
              <w:rPr>
                <w:color w:val="auto"/>
                <w:kern w:val="0"/>
                <w:sz w:val="24"/>
              </w:rPr>
              <w:t>3</w:t>
            </w:r>
          </w:p>
        </w:tc>
        <w:tc>
          <w:tcPr>
            <w:tcW w:w="8036" w:type="dxa"/>
            <w:gridSpan w:val="3"/>
            <w:vAlign w:val="center"/>
          </w:tcPr>
          <w:p w14:paraId="1AA26004">
            <w:pPr>
              <w:adjustRightInd w:val="0"/>
              <w:snapToGrid w:val="0"/>
              <w:spacing w:line="240" w:lineRule="auto"/>
              <w:jc w:val="left"/>
              <w:rPr>
                <w:color w:val="auto"/>
                <w:sz w:val="24"/>
              </w:rPr>
            </w:pPr>
            <w:r>
              <w:rPr>
                <w:rFonts w:hint="eastAsia"/>
                <w:color w:val="auto"/>
                <w:sz w:val="24"/>
              </w:rPr>
              <w:t>靶站高效空气粒子过滤器（</w:t>
            </w:r>
            <w:r>
              <w:rPr>
                <w:color w:val="auto"/>
                <w:sz w:val="24"/>
              </w:rPr>
              <w:t>4</w:t>
            </w:r>
            <w:r>
              <w:rPr>
                <w:rFonts w:hint="eastAsia"/>
                <w:color w:val="auto"/>
                <w:sz w:val="24"/>
              </w:rPr>
              <w:t>台）</w:t>
            </w:r>
          </w:p>
        </w:tc>
      </w:tr>
      <w:tr w14:paraId="545E8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99" w:type="dxa"/>
            <w:vAlign w:val="center"/>
          </w:tcPr>
          <w:p w14:paraId="531A9317">
            <w:pPr>
              <w:widowControl/>
              <w:jc w:val="center"/>
              <w:rPr>
                <w:color w:val="auto"/>
                <w:kern w:val="0"/>
                <w:sz w:val="24"/>
              </w:rPr>
            </w:pPr>
            <w:r>
              <w:rPr>
                <w:color w:val="auto"/>
                <w:kern w:val="0"/>
                <w:sz w:val="24"/>
              </w:rPr>
              <w:t>3.1</w:t>
            </w:r>
          </w:p>
        </w:tc>
        <w:tc>
          <w:tcPr>
            <w:tcW w:w="4158" w:type="dxa"/>
            <w:vAlign w:val="center"/>
          </w:tcPr>
          <w:p w14:paraId="3D89AB7A">
            <w:pPr>
              <w:rPr>
                <w:color w:val="auto"/>
                <w:sz w:val="24"/>
              </w:rPr>
            </w:pPr>
            <w:r>
              <w:rPr>
                <w:color w:val="auto"/>
                <w:sz w:val="24"/>
              </w:rPr>
              <w:t>完成设备生产</w:t>
            </w:r>
          </w:p>
        </w:tc>
        <w:tc>
          <w:tcPr>
            <w:tcW w:w="2551" w:type="dxa"/>
            <w:vAlign w:val="center"/>
          </w:tcPr>
          <w:p w14:paraId="65844428">
            <w:pPr>
              <w:jc w:val="center"/>
              <w:rPr>
                <w:color w:val="auto"/>
                <w:sz w:val="24"/>
              </w:rPr>
            </w:pPr>
            <w:r>
              <w:rPr>
                <w:color w:val="auto"/>
                <w:sz w:val="24"/>
              </w:rPr>
              <w:t>2027年5月10日</w:t>
            </w:r>
          </w:p>
        </w:tc>
        <w:tc>
          <w:tcPr>
            <w:tcW w:w="1327" w:type="dxa"/>
            <w:vAlign w:val="center"/>
          </w:tcPr>
          <w:p w14:paraId="1E378E65">
            <w:pPr>
              <w:adjustRightInd w:val="0"/>
              <w:snapToGrid w:val="0"/>
              <w:jc w:val="center"/>
              <w:rPr>
                <w:color w:val="auto"/>
              </w:rPr>
            </w:pPr>
          </w:p>
        </w:tc>
      </w:tr>
      <w:tr w14:paraId="5DD8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99" w:type="dxa"/>
            <w:vAlign w:val="center"/>
          </w:tcPr>
          <w:p w14:paraId="49621183">
            <w:pPr>
              <w:widowControl/>
              <w:jc w:val="center"/>
              <w:rPr>
                <w:color w:val="auto"/>
                <w:kern w:val="0"/>
                <w:sz w:val="24"/>
              </w:rPr>
            </w:pPr>
            <w:r>
              <w:rPr>
                <w:color w:val="auto"/>
                <w:kern w:val="0"/>
                <w:sz w:val="24"/>
              </w:rPr>
              <w:t>3.2</w:t>
            </w:r>
          </w:p>
        </w:tc>
        <w:tc>
          <w:tcPr>
            <w:tcW w:w="4158" w:type="dxa"/>
            <w:vAlign w:val="center"/>
          </w:tcPr>
          <w:p w14:paraId="5246A6EE">
            <w:pPr>
              <w:rPr>
                <w:color w:val="auto"/>
                <w:sz w:val="24"/>
              </w:rPr>
            </w:pPr>
            <w:r>
              <w:rPr>
                <w:rFonts w:hint="eastAsia"/>
                <w:color w:val="auto"/>
                <w:sz w:val="24"/>
              </w:rPr>
              <w:t>设备发货</w:t>
            </w:r>
          </w:p>
        </w:tc>
        <w:tc>
          <w:tcPr>
            <w:tcW w:w="2551" w:type="dxa"/>
            <w:vAlign w:val="center"/>
          </w:tcPr>
          <w:p w14:paraId="7B7ED837">
            <w:pPr>
              <w:jc w:val="center"/>
              <w:rPr>
                <w:color w:val="auto"/>
                <w:sz w:val="24"/>
              </w:rPr>
            </w:pPr>
            <w:r>
              <w:rPr>
                <w:color w:val="auto"/>
                <w:sz w:val="24"/>
              </w:rPr>
              <w:t>2027年5月20日</w:t>
            </w:r>
          </w:p>
        </w:tc>
        <w:tc>
          <w:tcPr>
            <w:tcW w:w="1327" w:type="dxa"/>
            <w:vAlign w:val="center"/>
          </w:tcPr>
          <w:p w14:paraId="4C39BB6D">
            <w:pPr>
              <w:adjustRightInd w:val="0"/>
              <w:snapToGrid w:val="0"/>
              <w:jc w:val="center"/>
              <w:rPr>
                <w:color w:val="auto"/>
              </w:rPr>
            </w:pPr>
          </w:p>
        </w:tc>
      </w:tr>
      <w:tr w14:paraId="0BF9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99" w:type="dxa"/>
            <w:vAlign w:val="center"/>
          </w:tcPr>
          <w:p w14:paraId="49FA1EFE">
            <w:pPr>
              <w:widowControl/>
              <w:jc w:val="center"/>
              <w:rPr>
                <w:color w:val="auto"/>
                <w:kern w:val="0"/>
                <w:sz w:val="24"/>
              </w:rPr>
            </w:pPr>
            <w:r>
              <w:rPr>
                <w:color w:val="auto"/>
                <w:kern w:val="0"/>
                <w:sz w:val="24"/>
              </w:rPr>
              <w:t>3.3</w:t>
            </w:r>
          </w:p>
        </w:tc>
        <w:tc>
          <w:tcPr>
            <w:tcW w:w="4158" w:type="dxa"/>
            <w:vAlign w:val="center"/>
          </w:tcPr>
          <w:p w14:paraId="1B83DA9B">
            <w:pPr>
              <w:rPr>
                <w:color w:val="auto"/>
                <w:sz w:val="24"/>
              </w:rPr>
            </w:pPr>
            <w:r>
              <w:rPr>
                <w:color w:val="auto"/>
                <w:sz w:val="24"/>
              </w:rPr>
              <w:t>货物运输到达安装地点</w:t>
            </w:r>
          </w:p>
        </w:tc>
        <w:tc>
          <w:tcPr>
            <w:tcW w:w="2551" w:type="dxa"/>
            <w:vAlign w:val="center"/>
          </w:tcPr>
          <w:p w14:paraId="2C66281A">
            <w:pPr>
              <w:jc w:val="center"/>
              <w:rPr>
                <w:color w:val="auto"/>
                <w:sz w:val="24"/>
              </w:rPr>
            </w:pPr>
            <w:r>
              <w:rPr>
                <w:color w:val="auto"/>
                <w:sz w:val="24"/>
              </w:rPr>
              <w:t>2027年5月30日</w:t>
            </w:r>
          </w:p>
        </w:tc>
        <w:tc>
          <w:tcPr>
            <w:tcW w:w="1327" w:type="dxa"/>
            <w:vAlign w:val="center"/>
          </w:tcPr>
          <w:p w14:paraId="661D4556">
            <w:pPr>
              <w:adjustRightInd w:val="0"/>
              <w:snapToGrid w:val="0"/>
              <w:jc w:val="center"/>
              <w:rPr>
                <w:color w:val="auto"/>
              </w:rPr>
            </w:pPr>
          </w:p>
        </w:tc>
      </w:tr>
    </w:tbl>
    <w:p w14:paraId="09C2A909">
      <w:pPr>
        <w:pStyle w:val="59"/>
        <w:tabs>
          <w:tab w:val="left" w:pos="660"/>
        </w:tabs>
        <w:adjustRightInd w:val="0"/>
        <w:snapToGrid w:val="0"/>
        <w:ind w:firstLine="480"/>
        <w:rPr>
          <w:rFonts w:ascii="Times New Roman" w:hAnsi="Times New Roman"/>
          <w:color w:val="auto"/>
          <w:kern w:val="0"/>
          <w:sz w:val="24"/>
          <w:szCs w:val="23"/>
        </w:rPr>
      </w:pPr>
      <w:r>
        <w:rPr>
          <w:rFonts w:ascii="Times New Roman" w:hAnsi="Times New Roman"/>
          <w:color w:val="auto"/>
          <w:kern w:val="0"/>
          <w:sz w:val="24"/>
          <w:szCs w:val="23"/>
        </w:rPr>
        <w:t>中标人在生产过程中应认真设计和严格执行工艺规范，确保制造质量。保证最终产品满足</w:t>
      </w:r>
      <w:r>
        <w:rPr>
          <w:rFonts w:hint="eastAsia" w:ascii="Times New Roman" w:hAnsi="Times New Roman"/>
          <w:color w:val="auto"/>
          <w:kern w:val="0"/>
          <w:sz w:val="24"/>
          <w:szCs w:val="23"/>
        </w:rPr>
        <w:t>本</w:t>
      </w:r>
      <w:r>
        <w:rPr>
          <w:rFonts w:ascii="Times New Roman" w:hAnsi="Times New Roman"/>
          <w:color w:val="auto"/>
          <w:kern w:val="0"/>
          <w:sz w:val="24"/>
          <w:szCs w:val="23"/>
        </w:rPr>
        <w:t>技术文件的全部技术要求。</w:t>
      </w:r>
      <w:bookmarkEnd w:id="7"/>
    </w:p>
    <w:p w14:paraId="0BDB82C2">
      <w:pPr>
        <w:pStyle w:val="59"/>
        <w:tabs>
          <w:tab w:val="left" w:pos="660"/>
        </w:tabs>
        <w:adjustRightInd w:val="0"/>
        <w:snapToGrid w:val="0"/>
        <w:ind w:firstLine="480"/>
        <w:rPr>
          <w:rFonts w:ascii="Times New Roman" w:hAnsi="Times New Roman"/>
          <w:color w:val="auto"/>
          <w:kern w:val="0"/>
          <w:sz w:val="24"/>
          <w:szCs w:val="23"/>
        </w:rPr>
      </w:pPr>
    </w:p>
    <w:p w14:paraId="7F3400B3">
      <w:pPr>
        <w:adjustRightInd w:val="0"/>
        <w:snapToGrid w:val="0"/>
        <w:jc w:val="center"/>
        <w:outlineLvl w:val="1"/>
        <w:rPr>
          <w:b/>
          <w:bCs/>
          <w:color w:val="auto"/>
          <w:sz w:val="24"/>
        </w:rPr>
      </w:pPr>
      <w:bookmarkStart w:id="8" w:name="_Hlk204783902"/>
      <w:r>
        <w:rPr>
          <w:b/>
          <w:bCs/>
          <w:color w:val="auto"/>
          <w:sz w:val="24"/>
        </w:rPr>
        <w:t>2、技术要求</w:t>
      </w:r>
    </w:p>
    <w:p w14:paraId="090BC406">
      <w:pPr>
        <w:adjustRightInd w:val="0"/>
        <w:snapToGrid w:val="0"/>
        <w:spacing w:before="62" w:beforeLines="20" w:after="62" w:afterLines="20"/>
        <w:ind w:firstLine="482" w:firstLineChars="200"/>
        <w:jc w:val="left"/>
        <w:outlineLvl w:val="2"/>
        <w:rPr>
          <w:rFonts w:cs="宋体"/>
          <w:b/>
          <w:bCs/>
          <w:color w:val="auto"/>
          <w:sz w:val="24"/>
          <w:lang w:bidi="ar"/>
        </w:rPr>
      </w:pPr>
      <w:r>
        <w:rPr>
          <w:rFonts w:cs="宋体"/>
          <w:b/>
          <w:bCs/>
          <w:color w:val="auto"/>
          <w:sz w:val="24"/>
          <w:lang w:bidi="ar"/>
        </w:rPr>
        <w:t>2.1 执行的有关标准</w:t>
      </w:r>
    </w:p>
    <w:p w14:paraId="236BCA5C">
      <w:pPr>
        <w:ind w:firstLine="480" w:firstLineChars="200"/>
        <w:jc w:val="left"/>
        <w:rPr>
          <w:bCs/>
          <w:color w:val="auto"/>
          <w:sz w:val="24"/>
        </w:rPr>
      </w:pPr>
      <w:r>
        <w:rPr>
          <w:bCs/>
          <w:color w:val="auto"/>
          <w:sz w:val="24"/>
        </w:rPr>
        <w:t>设备的制造、试验和验收除了满足本技术规格书的要求外，还应符合如下标准：</w:t>
      </w:r>
    </w:p>
    <w:bookmarkEnd w:id="8"/>
    <w:tbl>
      <w:tblPr>
        <w:tblStyle w:val="31"/>
        <w:tblW w:w="8730" w:type="dxa"/>
        <w:tblInd w:w="0" w:type="dxa"/>
        <w:tblLayout w:type="autofit"/>
        <w:tblCellMar>
          <w:top w:w="0" w:type="dxa"/>
          <w:left w:w="108" w:type="dxa"/>
          <w:bottom w:w="0" w:type="dxa"/>
          <w:right w:w="108" w:type="dxa"/>
        </w:tblCellMar>
      </w:tblPr>
      <w:tblGrid>
        <w:gridCol w:w="6168"/>
        <w:gridCol w:w="2562"/>
      </w:tblGrid>
      <w:tr w14:paraId="104DB70A">
        <w:tblPrEx>
          <w:tblCellMar>
            <w:top w:w="0" w:type="dxa"/>
            <w:left w:w="108" w:type="dxa"/>
            <w:bottom w:w="0" w:type="dxa"/>
            <w:right w:w="108" w:type="dxa"/>
          </w:tblCellMar>
        </w:tblPrEx>
        <w:tc>
          <w:tcPr>
            <w:tcW w:w="6168" w:type="dxa"/>
          </w:tcPr>
          <w:p w14:paraId="793EFD64">
            <w:pPr>
              <w:adjustRightInd w:val="0"/>
              <w:snapToGrid w:val="0"/>
              <w:spacing w:before="62" w:beforeLines="20" w:after="62" w:afterLines="20" w:line="360" w:lineRule="atLeast"/>
              <w:jc w:val="left"/>
              <w:rPr>
                <w:bCs/>
                <w:color w:val="auto"/>
                <w:sz w:val="24"/>
                <w:szCs w:val="24"/>
              </w:rPr>
            </w:pPr>
            <w:r>
              <w:rPr>
                <w:rFonts w:hint="eastAsia"/>
                <w:bCs/>
                <w:color w:val="auto"/>
                <w:sz w:val="24"/>
                <w:szCs w:val="24"/>
              </w:rPr>
              <w:t>《高效空气过滤器》</w:t>
            </w:r>
          </w:p>
        </w:tc>
        <w:tc>
          <w:tcPr>
            <w:tcW w:w="2562" w:type="dxa"/>
          </w:tcPr>
          <w:p w14:paraId="008BDA98">
            <w:pPr>
              <w:adjustRightInd w:val="0"/>
              <w:snapToGrid w:val="0"/>
              <w:spacing w:before="62" w:beforeLines="20" w:after="62" w:afterLines="20" w:line="360" w:lineRule="atLeast"/>
              <w:jc w:val="left"/>
              <w:rPr>
                <w:bCs/>
                <w:color w:val="auto"/>
                <w:sz w:val="24"/>
                <w:szCs w:val="24"/>
              </w:rPr>
            </w:pPr>
            <w:r>
              <w:rPr>
                <w:bCs/>
                <w:color w:val="auto"/>
                <w:sz w:val="24"/>
                <w:szCs w:val="24"/>
              </w:rPr>
              <w:t>GB/T 13554-2020</w:t>
            </w:r>
          </w:p>
        </w:tc>
      </w:tr>
      <w:tr w14:paraId="4E2F2335">
        <w:tblPrEx>
          <w:tblCellMar>
            <w:top w:w="0" w:type="dxa"/>
            <w:left w:w="108" w:type="dxa"/>
            <w:bottom w:w="0" w:type="dxa"/>
            <w:right w:w="108" w:type="dxa"/>
          </w:tblCellMar>
        </w:tblPrEx>
        <w:tc>
          <w:tcPr>
            <w:tcW w:w="6168" w:type="dxa"/>
          </w:tcPr>
          <w:p w14:paraId="1073A87E">
            <w:pPr>
              <w:adjustRightInd w:val="0"/>
              <w:snapToGrid w:val="0"/>
              <w:spacing w:before="62" w:beforeLines="20" w:after="62" w:afterLines="20" w:line="360" w:lineRule="atLeast"/>
              <w:jc w:val="left"/>
              <w:rPr>
                <w:bCs/>
                <w:color w:val="auto"/>
                <w:sz w:val="24"/>
                <w:szCs w:val="24"/>
              </w:rPr>
            </w:pPr>
            <w:r>
              <w:rPr>
                <w:rFonts w:hint="eastAsia"/>
                <w:bCs/>
                <w:color w:val="auto"/>
                <w:sz w:val="24"/>
                <w:szCs w:val="24"/>
              </w:rPr>
              <w:t>《空气过滤器》</w:t>
            </w:r>
          </w:p>
        </w:tc>
        <w:tc>
          <w:tcPr>
            <w:tcW w:w="2562" w:type="dxa"/>
          </w:tcPr>
          <w:p w14:paraId="4013AF0C">
            <w:pPr>
              <w:adjustRightInd w:val="0"/>
              <w:snapToGrid w:val="0"/>
              <w:spacing w:before="62" w:beforeLines="20" w:after="62" w:afterLines="20" w:line="360" w:lineRule="atLeast"/>
              <w:jc w:val="left"/>
              <w:rPr>
                <w:bCs/>
                <w:color w:val="auto"/>
                <w:sz w:val="24"/>
                <w:szCs w:val="24"/>
              </w:rPr>
            </w:pPr>
            <w:r>
              <w:rPr>
                <w:bCs/>
                <w:color w:val="auto"/>
                <w:sz w:val="24"/>
                <w:szCs w:val="24"/>
              </w:rPr>
              <w:t>GB/T 14295-2019</w:t>
            </w:r>
          </w:p>
        </w:tc>
      </w:tr>
      <w:tr w14:paraId="0BB10925">
        <w:tblPrEx>
          <w:tblCellMar>
            <w:top w:w="0" w:type="dxa"/>
            <w:left w:w="108" w:type="dxa"/>
            <w:bottom w:w="0" w:type="dxa"/>
            <w:right w:w="108" w:type="dxa"/>
          </w:tblCellMar>
        </w:tblPrEx>
        <w:tc>
          <w:tcPr>
            <w:tcW w:w="6168" w:type="dxa"/>
          </w:tcPr>
          <w:p w14:paraId="0166811F">
            <w:pPr>
              <w:adjustRightInd w:val="0"/>
              <w:snapToGrid w:val="0"/>
              <w:spacing w:before="62" w:beforeLines="20" w:after="62" w:afterLines="20" w:line="360" w:lineRule="atLeast"/>
              <w:jc w:val="left"/>
              <w:rPr>
                <w:bCs/>
                <w:color w:val="auto"/>
                <w:sz w:val="24"/>
                <w:szCs w:val="24"/>
              </w:rPr>
            </w:pPr>
            <w:r>
              <w:rPr>
                <w:rFonts w:hint="eastAsia"/>
                <w:bCs/>
                <w:color w:val="auto"/>
                <w:sz w:val="24"/>
                <w:szCs w:val="24"/>
              </w:rPr>
              <w:t>《碳素结构钢冷轧钢板及钢带》</w:t>
            </w:r>
          </w:p>
        </w:tc>
        <w:tc>
          <w:tcPr>
            <w:tcW w:w="2562" w:type="dxa"/>
          </w:tcPr>
          <w:p w14:paraId="54744612">
            <w:pPr>
              <w:adjustRightInd w:val="0"/>
              <w:snapToGrid w:val="0"/>
              <w:spacing w:before="62" w:beforeLines="20" w:after="62" w:afterLines="20" w:line="360" w:lineRule="atLeast"/>
              <w:jc w:val="left"/>
              <w:rPr>
                <w:bCs/>
                <w:color w:val="auto"/>
                <w:sz w:val="24"/>
                <w:szCs w:val="24"/>
              </w:rPr>
            </w:pPr>
            <w:r>
              <w:rPr>
                <w:rFonts w:hint="eastAsia"/>
                <w:bCs/>
                <w:color w:val="auto"/>
                <w:sz w:val="24"/>
                <w:szCs w:val="24"/>
              </w:rPr>
              <w:t>GB/T 11253-20</w:t>
            </w:r>
            <w:r>
              <w:rPr>
                <w:bCs/>
                <w:color w:val="auto"/>
                <w:sz w:val="24"/>
                <w:szCs w:val="24"/>
              </w:rPr>
              <w:t>19</w:t>
            </w:r>
          </w:p>
        </w:tc>
      </w:tr>
      <w:tr w14:paraId="2FFFE8B6">
        <w:tblPrEx>
          <w:tblCellMar>
            <w:top w:w="0" w:type="dxa"/>
            <w:left w:w="108" w:type="dxa"/>
            <w:bottom w:w="0" w:type="dxa"/>
            <w:right w:w="108" w:type="dxa"/>
          </w:tblCellMar>
        </w:tblPrEx>
        <w:tc>
          <w:tcPr>
            <w:tcW w:w="6168" w:type="dxa"/>
          </w:tcPr>
          <w:p w14:paraId="21B87EE6">
            <w:pPr>
              <w:adjustRightInd w:val="0"/>
              <w:snapToGrid w:val="0"/>
              <w:spacing w:before="62" w:beforeLines="20" w:after="62" w:afterLines="20" w:line="360" w:lineRule="atLeast"/>
              <w:jc w:val="left"/>
              <w:rPr>
                <w:bCs/>
                <w:color w:val="auto"/>
                <w:sz w:val="24"/>
                <w:szCs w:val="24"/>
              </w:rPr>
            </w:pPr>
            <w:r>
              <w:rPr>
                <w:rFonts w:hint="eastAsia"/>
                <w:bCs/>
                <w:color w:val="auto"/>
                <w:sz w:val="24"/>
                <w:szCs w:val="24"/>
              </w:rPr>
              <w:t>《金属及其他无机覆盖层 钢铁上经过处理的锌电镀层》</w:t>
            </w:r>
          </w:p>
        </w:tc>
        <w:tc>
          <w:tcPr>
            <w:tcW w:w="2562" w:type="dxa"/>
          </w:tcPr>
          <w:p w14:paraId="3DE908B5">
            <w:pPr>
              <w:adjustRightInd w:val="0"/>
              <w:snapToGrid w:val="0"/>
              <w:spacing w:before="62" w:beforeLines="20" w:after="62" w:afterLines="20" w:line="360" w:lineRule="atLeast"/>
              <w:jc w:val="left"/>
              <w:rPr>
                <w:bCs/>
                <w:color w:val="auto"/>
                <w:sz w:val="24"/>
                <w:szCs w:val="24"/>
              </w:rPr>
            </w:pPr>
            <w:r>
              <w:rPr>
                <w:rFonts w:hint="eastAsia"/>
                <w:bCs/>
                <w:color w:val="auto"/>
                <w:sz w:val="24"/>
                <w:szCs w:val="24"/>
              </w:rPr>
              <w:t>GB/T 9799-20</w:t>
            </w:r>
            <w:r>
              <w:rPr>
                <w:bCs/>
                <w:color w:val="auto"/>
                <w:sz w:val="24"/>
                <w:szCs w:val="24"/>
              </w:rPr>
              <w:t>24</w:t>
            </w:r>
          </w:p>
        </w:tc>
      </w:tr>
      <w:tr w14:paraId="780526D4">
        <w:tblPrEx>
          <w:tblCellMar>
            <w:top w:w="0" w:type="dxa"/>
            <w:left w:w="108" w:type="dxa"/>
            <w:bottom w:w="0" w:type="dxa"/>
            <w:right w:w="108" w:type="dxa"/>
          </w:tblCellMar>
        </w:tblPrEx>
        <w:tc>
          <w:tcPr>
            <w:tcW w:w="6168" w:type="dxa"/>
          </w:tcPr>
          <w:p w14:paraId="078F699C">
            <w:pPr>
              <w:adjustRightInd w:val="0"/>
              <w:snapToGrid w:val="0"/>
              <w:spacing w:before="62" w:beforeLines="20" w:after="62" w:afterLines="20" w:line="360" w:lineRule="atLeast"/>
              <w:jc w:val="left"/>
              <w:rPr>
                <w:bCs/>
                <w:color w:val="auto"/>
                <w:sz w:val="24"/>
                <w:szCs w:val="24"/>
              </w:rPr>
            </w:pPr>
            <w:r>
              <w:rPr>
                <w:rFonts w:hint="eastAsia"/>
                <w:bCs/>
                <w:color w:val="auto"/>
                <w:sz w:val="24"/>
                <w:szCs w:val="24"/>
              </w:rPr>
              <w:t>《软质泡沫聚合材料 压缩永久变形的测定》</w:t>
            </w:r>
          </w:p>
        </w:tc>
        <w:tc>
          <w:tcPr>
            <w:tcW w:w="2562" w:type="dxa"/>
          </w:tcPr>
          <w:p w14:paraId="23D330D5">
            <w:pPr>
              <w:adjustRightInd w:val="0"/>
              <w:snapToGrid w:val="0"/>
              <w:spacing w:before="62" w:beforeLines="20" w:after="62" w:afterLines="20" w:line="360" w:lineRule="atLeast"/>
              <w:jc w:val="left"/>
              <w:rPr>
                <w:bCs/>
                <w:color w:val="auto"/>
                <w:sz w:val="24"/>
                <w:szCs w:val="24"/>
              </w:rPr>
            </w:pPr>
            <w:r>
              <w:rPr>
                <w:rFonts w:hint="eastAsia"/>
                <w:bCs/>
                <w:color w:val="auto"/>
                <w:sz w:val="24"/>
                <w:szCs w:val="24"/>
              </w:rPr>
              <w:t>GB/T 6669-2008</w:t>
            </w:r>
          </w:p>
        </w:tc>
      </w:tr>
      <w:tr w14:paraId="43CC9E94">
        <w:tblPrEx>
          <w:tblCellMar>
            <w:top w:w="0" w:type="dxa"/>
            <w:left w:w="108" w:type="dxa"/>
            <w:bottom w:w="0" w:type="dxa"/>
            <w:right w:w="108" w:type="dxa"/>
          </w:tblCellMar>
        </w:tblPrEx>
        <w:tc>
          <w:tcPr>
            <w:tcW w:w="6168" w:type="dxa"/>
          </w:tcPr>
          <w:p w14:paraId="78AF8FD8">
            <w:pPr>
              <w:adjustRightInd w:val="0"/>
              <w:snapToGrid w:val="0"/>
              <w:spacing w:before="62" w:beforeLines="20" w:after="62" w:afterLines="20" w:line="360" w:lineRule="atLeast"/>
              <w:jc w:val="left"/>
              <w:rPr>
                <w:bCs/>
                <w:color w:val="auto"/>
                <w:sz w:val="24"/>
                <w:szCs w:val="24"/>
              </w:rPr>
            </w:pPr>
            <w:r>
              <w:rPr>
                <w:rFonts w:hint="eastAsia"/>
                <w:bCs/>
                <w:color w:val="auto"/>
                <w:sz w:val="24"/>
                <w:szCs w:val="24"/>
              </w:rPr>
              <w:t>《高效空气过滤器性能试验方法 效率和阻力》</w:t>
            </w:r>
          </w:p>
        </w:tc>
        <w:tc>
          <w:tcPr>
            <w:tcW w:w="2562" w:type="dxa"/>
          </w:tcPr>
          <w:p w14:paraId="022E42FD">
            <w:pPr>
              <w:adjustRightInd w:val="0"/>
              <w:snapToGrid w:val="0"/>
              <w:spacing w:before="62" w:beforeLines="20" w:after="62" w:afterLines="20" w:line="360" w:lineRule="atLeast"/>
              <w:jc w:val="left"/>
              <w:rPr>
                <w:bCs/>
                <w:color w:val="auto"/>
                <w:sz w:val="24"/>
                <w:szCs w:val="24"/>
              </w:rPr>
            </w:pPr>
            <w:r>
              <w:rPr>
                <w:rFonts w:hint="eastAsia"/>
                <w:bCs/>
                <w:color w:val="auto"/>
                <w:sz w:val="24"/>
                <w:szCs w:val="24"/>
              </w:rPr>
              <w:t>GB/T 6165-20</w:t>
            </w:r>
            <w:r>
              <w:rPr>
                <w:bCs/>
                <w:color w:val="auto"/>
                <w:sz w:val="24"/>
                <w:szCs w:val="24"/>
              </w:rPr>
              <w:t>21</w:t>
            </w:r>
          </w:p>
        </w:tc>
      </w:tr>
      <w:tr w14:paraId="2A1B144C">
        <w:tblPrEx>
          <w:tblCellMar>
            <w:top w:w="0" w:type="dxa"/>
            <w:left w:w="108" w:type="dxa"/>
            <w:bottom w:w="0" w:type="dxa"/>
            <w:right w:w="108" w:type="dxa"/>
          </w:tblCellMar>
        </w:tblPrEx>
        <w:tc>
          <w:tcPr>
            <w:tcW w:w="6168" w:type="dxa"/>
          </w:tcPr>
          <w:p w14:paraId="1BEC763A">
            <w:pPr>
              <w:adjustRightInd w:val="0"/>
              <w:snapToGrid w:val="0"/>
              <w:spacing w:before="62" w:beforeLines="20" w:after="62" w:afterLines="20" w:line="360" w:lineRule="atLeast"/>
              <w:jc w:val="left"/>
              <w:rPr>
                <w:bCs/>
                <w:color w:val="auto"/>
                <w:sz w:val="24"/>
                <w:szCs w:val="24"/>
              </w:rPr>
            </w:pPr>
            <w:r>
              <w:rPr>
                <w:rFonts w:hint="eastAsia"/>
                <w:bCs/>
                <w:color w:val="auto"/>
                <w:sz w:val="24"/>
                <w:szCs w:val="24"/>
              </w:rPr>
              <w:t>《不锈钢冷轧钢板和钢带》</w:t>
            </w:r>
          </w:p>
        </w:tc>
        <w:tc>
          <w:tcPr>
            <w:tcW w:w="2562" w:type="dxa"/>
          </w:tcPr>
          <w:p w14:paraId="59804D1C">
            <w:pPr>
              <w:adjustRightInd w:val="0"/>
              <w:snapToGrid w:val="0"/>
              <w:spacing w:before="62" w:beforeLines="20" w:after="62" w:afterLines="20" w:line="360" w:lineRule="atLeast"/>
              <w:jc w:val="left"/>
              <w:rPr>
                <w:bCs/>
                <w:color w:val="auto"/>
                <w:sz w:val="24"/>
                <w:szCs w:val="24"/>
              </w:rPr>
            </w:pPr>
            <w:r>
              <w:rPr>
                <w:rFonts w:hint="eastAsia"/>
                <w:bCs/>
                <w:color w:val="auto"/>
                <w:sz w:val="24"/>
                <w:szCs w:val="24"/>
              </w:rPr>
              <w:t>GB/T 3280-20</w:t>
            </w:r>
            <w:r>
              <w:rPr>
                <w:bCs/>
                <w:color w:val="auto"/>
                <w:sz w:val="24"/>
                <w:szCs w:val="24"/>
              </w:rPr>
              <w:t>15</w:t>
            </w:r>
          </w:p>
        </w:tc>
      </w:tr>
      <w:tr w14:paraId="2AE7961A">
        <w:tblPrEx>
          <w:tblCellMar>
            <w:top w:w="0" w:type="dxa"/>
            <w:left w:w="108" w:type="dxa"/>
            <w:bottom w:w="0" w:type="dxa"/>
            <w:right w:w="108" w:type="dxa"/>
          </w:tblCellMar>
        </w:tblPrEx>
        <w:tc>
          <w:tcPr>
            <w:tcW w:w="6168" w:type="dxa"/>
          </w:tcPr>
          <w:p w14:paraId="6BE67B60">
            <w:pPr>
              <w:adjustRightInd w:val="0"/>
              <w:snapToGrid w:val="0"/>
              <w:spacing w:before="62" w:beforeLines="20" w:after="62" w:afterLines="20" w:line="360" w:lineRule="atLeast"/>
              <w:jc w:val="left"/>
              <w:rPr>
                <w:bCs/>
                <w:color w:val="auto"/>
                <w:sz w:val="24"/>
                <w:szCs w:val="24"/>
              </w:rPr>
            </w:pPr>
            <w:r>
              <w:rPr>
                <w:rFonts w:hint="eastAsia"/>
                <w:bCs/>
                <w:color w:val="auto"/>
                <w:sz w:val="24"/>
                <w:szCs w:val="24"/>
              </w:rPr>
              <w:t>《铝及铝合金箔》</w:t>
            </w:r>
          </w:p>
        </w:tc>
        <w:tc>
          <w:tcPr>
            <w:tcW w:w="2562" w:type="dxa"/>
          </w:tcPr>
          <w:p w14:paraId="041814EE">
            <w:pPr>
              <w:adjustRightInd w:val="0"/>
              <w:snapToGrid w:val="0"/>
              <w:spacing w:before="62" w:beforeLines="20" w:after="62" w:afterLines="20" w:line="360" w:lineRule="atLeast"/>
              <w:jc w:val="left"/>
              <w:rPr>
                <w:bCs/>
                <w:color w:val="auto"/>
                <w:sz w:val="24"/>
                <w:szCs w:val="24"/>
              </w:rPr>
            </w:pPr>
            <w:r>
              <w:rPr>
                <w:rFonts w:hint="eastAsia"/>
                <w:bCs/>
                <w:color w:val="auto"/>
                <w:sz w:val="24"/>
                <w:szCs w:val="24"/>
              </w:rPr>
              <w:t>GB/T 3198-20</w:t>
            </w:r>
            <w:r>
              <w:rPr>
                <w:bCs/>
                <w:color w:val="auto"/>
                <w:sz w:val="24"/>
                <w:szCs w:val="24"/>
              </w:rPr>
              <w:t>20</w:t>
            </w:r>
          </w:p>
        </w:tc>
      </w:tr>
      <w:tr w14:paraId="52ED6540">
        <w:tblPrEx>
          <w:tblCellMar>
            <w:top w:w="0" w:type="dxa"/>
            <w:left w:w="108" w:type="dxa"/>
            <w:bottom w:w="0" w:type="dxa"/>
            <w:right w:w="108" w:type="dxa"/>
          </w:tblCellMar>
        </w:tblPrEx>
        <w:tc>
          <w:tcPr>
            <w:tcW w:w="6168" w:type="dxa"/>
          </w:tcPr>
          <w:p w14:paraId="11761A4C">
            <w:pPr>
              <w:adjustRightInd w:val="0"/>
              <w:snapToGrid w:val="0"/>
              <w:spacing w:before="62" w:beforeLines="20" w:after="62" w:afterLines="20" w:line="360" w:lineRule="atLeast"/>
              <w:jc w:val="left"/>
              <w:rPr>
                <w:bCs/>
                <w:color w:val="auto"/>
                <w:sz w:val="24"/>
                <w:szCs w:val="24"/>
              </w:rPr>
            </w:pPr>
            <w:r>
              <w:rPr>
                <w:rFonts w:hint="eastAsia"/>
                <w:bCs/>
                <w:color w:val="auto"/>
                <w:sz w:val="24"/>
                <w:szCs w:val="24"/>
              </w:rPr>
              <w:t>《连续热镀锌和锌合金镀层钢板及钢带》</w:t>
            </w:r>
          </w:p>
        </w:tc>
        <w:tc>
          <w:tcPr>
            <w:tcW w:w="2562" w:type="dxa"/>
          </w:tcPr>
          <w:p w14:paraId="7ADB8795">
            <w:pPr>
              <w:adjustRightInd w:val="0"/>
              <w:snapToGrid w:val="0"/>
              <w:spacing w:before="62" w:beforeLines="20" w:after="62" w:afterLines="20" w:line="360" w:lineRule="atLeast"/>
              <w:jc w:val="left"/>
              <w:rPr>
                <w:bCs/>
                <w:color w:val="auto"/>
                <w:sz w:val="24"/>
                <w:szCs w:val="24"/>
              </w:rPr>
            </w:pPr>
            <w:r>
              <w:rPr>
                <w:rFonts w:hint="eastAsia"/>
                <w:bCs/>
                <w:color w:val="auto"/>
                <w:sz w:val="24"/>
                <w:szCs w:val="24"/>
              </w:rPr>
              <w:t>GB/T 2518-20</w:t>
            </w:r>
            <w:r>
              <w:rPr>
                <w:bCs/>
                <w:color w:val="auto"/>
                <w:sz w:val="24"/>
                <w:szCs w:val="24"/>
              </w:rPr>
              <w:t>19</w:t>
            </w:r>
          </w:p>
        </w:tc>
      </w:tr>
      <w:tr w14:paraId="57731435">
        <w:tblPrEx>
          <w:tblCellMar>
            <w:top w:w="0" w:type="dxa"/>
            <w:left w:w="108" w:type="dxa"/>
            <w:bottom w:w="0" w:type="dxa"/>
            <w:right w:w="108" w:type="dxa"/>
          </w:tblCellMar>
        </w:tblPrEx>
        <w:tc>
          <w:tcPr>
            <w:tcW w:w="6168" w:type="dxa"/>
            <w:vAlign w:val="center"/>
          </w:tcPr>
          <w:p w14:paraId="7852277B">
            <w:pPr>
              <w:adjustRightInd w:val="0"/>
              <w:snapToGrid w:val="0"/>
              <w:spacing w:before="62" w:beforeLines="20" w:after="62" w:afterLines="20" w:line="360" w:lineRule="atLeast"/>
              <w:jc w:val="left"/>
              <w:rPr>
                <w:bCs/>
                <w:color w:val="auto"/>
                <w:sz w:val="24"/>
                <w:szCs w:val="24"/>
              </w:rPr>
            </w:pPr>
            <w:r>
              <w:rPr>
                <w:rFonts w:hint="eastAsia"/>
                <w:bCs/>
                <w:color w:val="auto"/>
                <w:sz w:val="24"/>
                <w:szCs w:val="24"/>
              </w:rPr>
              <w:t>《硫化橡胶或热塑性橡胶 压入硬度试验方法 第1部分：邵氏硬度计法（邵尔硬度）》</w:t>
            </w:r>
          </w:p>
        </w:tc>
        <w:tc>
          <w:tcPr>
            <w:tcW w:w="2562" w:type="dxa"/>
            <w:vAlign w:val="center"/>
          </w:tcPr>
          <w:p w14:paraId="02C194B8">
            <w:pPr>
              <w:adjustRightInd w:val="0"/>
              <w:snapToGrid w:val="0"/>
              <w:spacing w:before="62" w:beforeLines="20" w:after="62" w:afterLines="20" w:line="360" w:lineRule="atLeast"/>
              <w:jc w:val="left"/>
              <w:rPr>
                <w:bCs/>
                <w:color w:val="auto"/>
                <w:sz w:val="24"/>
                <w:szCs w:val="24"/>
              </w:rPr>
            </w:pPr>
            <w:r>
              <w:rPr>
                <w:bCs/>
                <w:color w:val="auto"/>
                <w:sz w:val="24"/>
                <w:szCs w:val="24"/>
              </w:rPr>
              <w:t>GB/T 531.1-2008</w:t>
            </w:r>
          </w:p>
        </w:tc>
      </w:tr>
      <w:tr w14:paraId="7BDE5243">
        <w:tblPrEx>
          <w:tblCellMar>
            <w:top w:w="0" w:type="dxa"/>
            <w:left w:w="108" w:type="dxa"/>
            <w:bottom w:w="0" w:type="dxa"/>
            <w:right w:w="108" w:type="dxa"/>
          </w:tblCellMar>
        </w:tblPrEx>
        <w:tc>
          <w:tcPr>
            <w:tcW w:w="6168" w:type="dxa"/>
          </w:tcPr>
          <w:p w14:paraId="74DB2C64">
            <w:pPr>
              <w:adjustRightInd w:val="0"/>
              <w:snapToGrid w:val="0"/>
              <w:spacing w:before="62" w:beforeLines="20" w:after="62" w:afterLines="20" w:line="360" w:lineRule="atLeast"/>
              <w:rPr>
                <w:bCs/>
                <w:color w:val="auto"/>
                <w:sz w:val="24"/>
                <w:szCs w:val="24"/>
              </w:rPr>
            </w:pPr>
            <w:r>
              <w:rPr>
                <w:color w:val="auto"/>
                <w:sz w:val="24"/>
                <w:szCs w:val="24"/>
                <w:lang w:bidi="ar"/>
              </w:rPr>
              <w:t>《钢制管法兰 第1部分：PN 系列》</w:t>
            </w:r>
          </w:p>
        </w:tc>
        <w:tc>
          <w:tcPr>
            <w:tcW w:w="2562" w:type="dxa"/>
          </w:tcPr>
          <w:p w14:paraId="1742E1D4">
            <w:pPr>
              <w:adjustRightInd w:val="0"/>
              <w:snapToGrid w:val="0"/>
              <w:spacing w:before="62" w:beforeLines="20" w:after="62" w:afterLines="20" w:line="360" w:lineRule="atLeast"/>
              <w:rPr>
                <w:bCs/>
                <w:color w:val="auto"/>
                <w:sz w:val="24"/>
                <w:szCs w:val="24"/>
              </w:rPr>
            </w:pPr>
            <w:r>
              <w:rPr>
                <w:color w:val="auto"/>
                <w:sz w:val="24"/>
                <w:szCs w:val="24"/>
                <w:lang w:bidi="ar"/>
              </w:rPr>
              <w:t>GB/T 9124.1-2019</w:t>
            </w:r>
          </w:p>
        </w:tc>
      </w:tr>
      <w:tr w14:paraId="4CA6C4AA">
        <w:tblPrEx>
          <w:tblCellMar>
            <w:top w:w="0" w:type="dxa"/>
            <w:left w:w="108" w:type="dxa"/>
            <w:bottom w:w="0" w:type="dxa"/>
            <w:right w:w="108" w:type="dxa"/>
          </w:tblCellMar>
        </w:tblPrEx>
        <w:tc>
          <w:tcPr>
            <w:tcW w:w="6168" w:type="dxa"/>
          </w:tcPr>
          <w:p w14:paraId="1B06C2C9">
            <w:pPr>
              <w:adjustRightInd w:val="0"/>
              <w:snapToGrid w:val="0"/>
              <w:spacing w:before="62" w:beforeLines="20" w:after="62" w:afterLines="20" w:line="360" w:lineRule="atLeast"/>
              <w:jc w:val="left"/>
              <w:rPr>
                <w:bCs/>
                <w:color w:val="auto"/>
                <w:sz w:val="24"/>
                <w:szCs w:val="24"/>
              </w:rPr>
            </w:pPr>
            <w:r>
              <w:rPr>
                <w:rFonts w:hint="eastAsia"/>
                <w:bCs/>
                <w:color w:val="auto"/>
                <w:sz w:val="24"/>
                <w:szCs w:val="22"/>
                <w:lang w:bidi="ar"/>
              </w:rPr>
              <w:t>《管法兰用柔性石墨复合增强垫片 第1部分：PN系列》</w:t>
            </w:r>
          </w:p>
        </w:tc>
        <w:tc>
          <w:tcPr>
            <w:tcW w:w="2562" w:type="dxa"/>
          </w:tcPr>
          <w:p w14:paraId="6D6B68F7">
            <w:pPr>
              <w:adjustRightInd w:val="0"/>
              <w:snapToGrid w:val="0"/>
              <w:spacing w:before="62" w:beforeLines="20" w:after="62" w:afterLines="20" w:line="360" w:lineRule="atLeast"/>
              <w:jc w:val="left"/>
              <w:rPr>
                <w:bCs/>
                <w:color w:val="auto"/>
                <w:sz w:val="24"/>
                <w:szCs w:val="24"/>
              </w:rPr>
            </w:pPr>
            <w:r>
              <w:rPr>
                <w:bCs/>
                <w:color w:val="auto"/>
                <w:sz w:val="24"/>
              </w:rPr>
              <w:t>GB/T 19675.1-2023</w:t>
            </w:r>
          </w:p>
        </w:tc>
      </w:tr>
      <w:tr w14:paraId="0B615F62">
        <w:tblPrEx>
          <w:tblCellMar>
            <w:top w:w="0" w:type="dxa"/>
            <w:left w:w="108" w:type="dxa"/>
            <w:bottom w:w="0" w:type="dxa"/>
            <w:right w:w="108" w:type="dxa"/>
          </w:tblCellMar>
        </w:tblPrEx>
        <w:tc>
          <w:tcPr>
            <w:tcW w:w="6168" w:type="dxa"/>
          </w:tcPr>
          <w:p w14:paraId="34D38E31">
            <w:pPr>
              <w:adjustRightInd w:val="0"/>
              <w:snapToGrid w:val="0"/>
              <w:spacing w:before="62" w:beforeLines="20" w:after="62" w:afterLines="20" w:line="360" w:lineRule="atLeast"/>
              <w:jc w:val="left"/>
              <w:rPr>
                <w:color w:val="auto"/>
                <w:szCs w:val="24"/>
                <w:lang w:bidi="ar"/>
              </w:rPr>
            </w:pPr>
            <w:r>
              <w:rPr>
                <w:rFonts w:hint="eastAsia"/>
                <w:bCs/>
                <w:color w:val="auto"/>
                <w:sz w:val="24"/>
                <w:szCs w:val="22"/>
                <w:lang w:bidi="ar"/>
              </w:rPr>
              <w:t>《不锈钢 牌号及化学成分》</w:t>
            </w:r>
          </w:p>
        </w:tc>
        <w:tc>
          <w:tcPr>
            <w:tcW w:w="2562" w:type="dxa"/>
          </w:tcPr>
          <w:p w14:paraId="3302BEE0">
            <w:pPr>
              <w:adjustRightInd w:val="0"/>
              <w:snapToGrid w:val="0"/>
              <w:spacing w:before="62" w:beforeLines="20" w:after="62" w:afterLines="20" w:line="360" w:lineRule="atLeast"/>
              <w:jc w:val="left"/>
              <w:rPr>
                <w:color w:val="auto"/>
                <w:sz w:val="24"/>
                <w:lang w:bidi="ar"/>
              </w:rPr>
            </w:pPr>
            <w:r>
              <w:rPr>
                <w:rFonts w:cs="宋体"/>
                <w:bCs/>
                <w:color w:val="auto"/>
                <w:sz w:val="24"/>
                <w:lang w:bidi="ar"/>
              </w:rPr>
              <w:t>GB/T 20878-2024</w:t>
            </w:r>
          </w:p>
        </w:tc>
      </w:tr>
      <w:tr w14:paraId="02E9D96C">
        <w:tblPrEx>
          <w:tblCellMar>
            <w:top w:w="0" w:type="dxa"/>
            <w:left w:w="108" w:type="dxa"/>
            <w:bottom w:w="0" w:type="dxa"/>
            <w:right w:w="108" w:type="dxa"/>
          </w:tblCellMar>
        </w:tblPrEx>
        <w:tc>
          <w:tcPr>
            <w:tcW w:w="6168" w:type="dxa"/>
          </w:tcPr>
          <w:p w14:paraId="3194FB6F">
            <w:pPr>
              <w:adjustRightInd w:val="0"/>
              <w:snapToGrid w:val="0"/>
              <w:spacing w:before="62" w:beforeLines="20" w:after="62" w:afterLines="20" w:line="360" w:lineRule="atLeast"/>
              <w:jc w:val="left"/>
              <w:rPr>
                <w:bCs/>
                <w:color w:val="auto"/>
                <w:sz w:val="24"/>
                <w:szCs w:val="22"/>
                <w:lang w:bidi="ar"/>
              </w:rPr>
            </w:pPr>
          </w:p>
        </w:tc>
        <w:tc>
          <w:tcPr>
            <w:tcW w:w="2562" w:type="dxa"/>
          </w:tcPr>
          <w:p w14:paraId="3B7E9A15">
            <w:pPr>
              <w:adjustRightInd w:val="0"/>
              <w:snapToGrid w:val="0"/>
              <w:spacing w:before="62" w:beforeLines="20" w:after="62" w:afterLines="20" w:line="360" w:lineRule="atLeast"/>
              <w:jc w:val="left"/>
              <w:rPr>
                <w:bCs/>
                <w:color w:val="auto"/>
                <w:sz w:val="24"/>
              </w:rPr>
            </w:pPr>
          </w:p>
        </w:tc>
      </w:tr>
    </w:tbl>
    <w:p w14:paraId="6046A3C7">
      <w:pPr>
        <w:ind w:firstLine="480" w:firstLineChars="200"/>
        <w:jc w:val="left"/>
        <w:rPr>
          <w:bCs/>
          <w:color w:val="auto"/>
          <w:sz w:val="24"/>
        </w:rPr>
      </w:pPr>
    </w:p>
    <w:p w14:paraId="1105F532">
      <w:pPr>
        <w:adjustRightInd w:val="0"/>
        <w:snapToGrid w:val="0"/>
        <w:spacing w:before="62" w:beforeLines="20" w:after="62" w:afterLines="20"/>
        <w:ind w:firstLine="482" w:firstLineChars="200"/>
        <w:jc w:val="left"/>
        <w:outlineLvl w:val="2"/>
        <w:rPr>
          <w:rFonts w:cs="宋体"/>
          <w:b/>
          <w:bCs/>
          <w:color w:val="auto"/>
          <w:sz w:val="24"/>
          <w:lang w:bidi="ar"/>
        </w:rPr>
      </w:pPr>
      <w:bookmarkStart w:id="9" w:name="_Hlk204783930"/>
      <w:r>
        <w:rPr>
          <w:rFonts w:cs="宋体"/>
          <w:b/>
          <w:bCs/>
          <w:color w:val="auto"/>
          <w:sz w:val="24"/>
          <w:lang w:bidi="ar"/>
        </w:rPr>
        <w:t xml:space="preserve">2.2 </w:t>
      </w:r>
      <w:r>
        <w:rPr>
          <w:rFonts w:hint="eastAsia" w:cs="宋体"/>
          <w:b/>
          <w:bCs/>
          <w:color w:val="auto"/>
          <w:sz w:val="24"/>
          <w:lang w:bidi="ar"/>
        </w:rPr>
        <w:t>基本</w:t>
      </w:r>
      <w:r>
        <w:rPr>
          <w:rFonts w:cs="宋体"/>
          <w:b/>
          <w:bCs/>
          <w:color w:val="auto"/>
          <w:sz w:val="24"/>
          <w:lang w:bidi="ar"/>
        </w:rPr>
        <w:t>原则</w:t>
      </w:r>
    </w:p>
    <w:p w14:paraId="2C9C38DC">
      <w:pPr>
        <w:ind w:firstLine="480" w:firstLineChars="200"/>
        <w:jc w:val="left"/>
        <w:rPr>
          <w:bCs/>
          <w:color w:val="auto"/>
          <w:sz w:val="24"/>
        </w:rPr>
      </w:pPr>
      <w:r>
        <w:rPr>
          <w:bCs/>
          <w:color w:val="auto"/>
          <w:sz w:val="24"/>
        </w:rPr>
        <w:t>（1）</w:t>
      </w:r>
      <w:r>
        <w:rPr>
          <w:rFonts w:hint="eastAsia"/>
          <w:bCs/>
          <w:color w:val="auto"/>
          <w:sz w:val="24"/>
        </w:rPr>
        <w:t>箱体结构在设备承压范围内</w:t>
      </w:r>
      <w:r>
        <w:rPr>
          <w:bCs/>
          <w:color w:val="auto"/>
          <w:sz w:val="24"/>
        </w:rPr>
        <w:t>具备可靠的密闭性能，</w:t>
      </w:r>
      <w:bookmarkStart w:id="10" w:name="_Hlk205988723"/>
      <w:r>
        <w:rPr>
          <w:rFonts w:hint="eastAsia"/>
          <w:bCs/>
          <w:color w:val="auto"/>
          <w:sz w:val="24"/>
        </w:rPr>
        <w:t>箱体处于正压状态时，整体对外密闭，气泡无可见</w:t>
      </w:r>
      <w:r>
        <w:rPr>
          <w:bCs/>
          <w:color w:val="auto"/>
          <w:sz w:val="24"/>
        </w:rPr>
        <w:t>泄漏</w:t>
      </w:r>
      <w:r>
        <w:rPr>
          <w:rFonts w:hint="eastAsia"/>
          <w:bCs/>
          <w:color w:val="auto"/>
          <w:sz w:val="24"/>
        </w:rPr>
        <w:t>。</w:t>
      </w:r>
      <w:bookmarkEnd w:id="10"/>
    </w:p>
    <w:p w14:paraId="003E2485">
      <w:pPr>
        <w:ind w:firstLine="480" w:firstLineChars="200"/>
        <w:jc w:val="left"/>
        <w:rPr>
          <w:bCs/>
          <w:color w:val="auto"/>
          <w:sz w:val="24"/>
        </w:rPr>
      </w:pPr>
      <w:r>
        <w:rPr>
          <w:rFonts w:hint="eastAsia"/>
          <w:bCs/>
          <w:color w:val="auto"/>
          <w:sz w:val="24"/>
        </w:rPr>
        <w:t>（2）具备可靠的“袋进袋出”过滤器更换措施，便于操作、保证可靠性</w:t>
      </w:r>
      <w:r>
        <w:rPr>
          <w:bCs/>
          <w:color w:val="auto"/>
          <w:sz w:val="24"/>
        </w:rPr>
        <w:t>。</w:t>
      </w:r>
    </w:p>
    <w:p w14:paraId="6B0BB890">
      <w:pPr>
        <w:ind w:firstLine="480" w:firstLineChars="200"/>
        <w:jc w:val="left"/>
        <w:rPr>
          <w:bCs/>
          <w:color w:val="auto"/>
          <w:sz w:val="24"/>
        </w:rPr>
      </w:pPr>
      <w:r>
        <w:rPr>
          <w:bCs/>
          <w:color w:val="auto"/>
          <w:sz w:val="24"/>
        </w:rPr>
        <w:t>（3）</w:t>
      </w:r>
      <w:r>
        <w:rPr>
          <w:rFonts w:hint="eastAsia"/>
          <w:bCs/>
          <w:color w:val="auto"/>
          <w:sz w:val="24"/>
        </w:rPr>
        <w:t>箱体应配置合理的注入、</w:t>
      </w:r>
      <w:r>
        <w:rPr>
          <w:rFonts w:hint="eastAsia" w:cs="宋体"/>
          <w:bCs/>
          <w:color w:val="auto"/>
          <w:sz w:val="24"/>
          <w:lang w:bidi="ar"/>
        </w:rPr>
        <w:t>均流、</w:t>
      </w:r>
      <w:r>
        <w:rPr>
          <w:rFonts w:hint="eastAsia"/>
          <w:bCs/>
          <w:color w:val="auto"/>
          <w:sz w:val="24"/>
        </w:rPr>
        <w:t>取样等部件，使在线检测装置能对每个高效空气粒子过滤器滤芯在线检测效率</w:t>
      </w:r>
      <w:r>
        <w:rPr>
          <w:bCs/>
          <w:color w:val="auto"/>
          <w:sz w:val="24"/>
        </w:rPr>
        <w:t>。</w:t>
      </w:r>
    </w:p>
    <w:p w14:paraId="3BB459A3">
      <w:pPr>
        <w:ind w:firstLine="480" w:firstLineChars="200"/>
        <w:jc w:val="left"/>
        <w:rPr>
          <w:bCs/>
          <w:color w:val="auto"/>
          <w:sz w:val="24"/>
        </w:rPr>
      </w:pPr>
      <w:r>
        <w:rPr>
          <w:bCs/>
          <w:color w:val="auto"/>
          <w:sz w:val="24"/>
        </w:rPr>
        <w:t>（4）有较好的检修便利措施。需要维护检修需求的部件，有充分考虑检修便利的设计。</w:t>
      </w:r>
    </w:p>
    <w:p w14:paraId="10DF84AE">
      <w:pPr>
        <w:ind w:firstLine="480" w:firstLineChars="200"/>
        <w:jc w:val="left"/>
        <w:rPr>
          <w:bCs/>
          <w:color w:val="auto"/>
          <w:sz w:val="24"/>
        </w:rPr>
      </w:pPr>
    </w:p>
    <w:p w14:paraId="69F1BF1B">
      <w:pPr>
        <w:adjustRightInd w:val="0"/>
        <w:snapToGrid w:val="0"/>
        <w:spacing w:before="62" w:beforeLines="20" w:after="62" w:afterLines="20"/>
        <w:ind w:firstLine="482" w:firstLineChars="200"/>
        <w:jc w:val="left"/>
        <w:outlineLvl w:val="2"/>
        <w:rPr>
          <w:rFonts w:cs="宋体"/>
          <w:b/>
          <w:bCs/>
          <w:color w:val="auto"/>
          <w:sz w:val="24"/>
          <w:lang w:bidi="ar"/>
        </w:rPr>
      </w:pPr>
      <w:r>
        <w:rPr>
          <w:rFonts w:cs="宋体"/>
          <w:b/>
          <w:bCs/>
          <w:color w:val="auto"/>
          <w:sz w:val="24"/>
          <w:lang w:bidi="ar"/>
        </w:rPr>
        <w:t>2.3 环境及设计条件</w:t>
      </w:r>
    </w:p>
    <w:p w14:paraId="7A3D5BFA">
      <w:pPr>
        <w:ind w:firstLine="480" w:firstLineChars="200"/>
        <w:jc w:val="left"/>
        <w:rPr>
          <w:color w:val="auto"/>
          <w:sz w:val="24"/>
        </w:rPr>
      </w:pPr>
      <w:r>
        <w:rPr>
          <w:rFonts w:cs="宋体"/>
          <w:color w:val="auto"/>
          <w:sz w:val="24"/>
          <w:lang w:bidi="ar"/>
        </w:rPr>
        <w:t>（1）</w:t>
      </w:r>
      <w:r>
        <w:rPr>
          <w:rFonts w:hint="eastAsia" w:cs="宋体"/>
          <w:color w:val="auto"/>
          <w:sz w:val="24"/>
          <w:lang w:bidi="ar"/>
        </w:rPr>
        <w:t>厂址区域内的抗震设防烈度为</w:t>
      </w:r>
      <w:r>
        <w:rPr>
          <w:color w:val="auto"/>
          <w:sz w:val="24"/>
          <w:lang w:bidi="ar"/>
        </w:rPr>
        <w:t>6</w:t>
      </w:r>
      <w:r>
        <w:rPr>
          <w:rFonts w:hint="eastAsia" w:cs="宋体"/>
          <w:color w:val="auto"/>
          <w:sz w:val="24"/>
          <w:lang w:bidi="ar"/>
        </w:rPr>
        <w:t>度，设计基本地震加速度值为</w:t>
      </w:r>
      <w:r>
        <w:rPr>
          <w:color w:val="auto"/>
          <w:sz w:val="24"/>
          <w:lang w:bidi="ar"/>
        </w:rPr>
        <w:t>0.15g</w:t>
      </w:r>
      <w:r>
        <w:rPr>
          <w:rFonts w:hint="eastAsia" w:cs="宋体"/>
          <w:color w:val="auto"/>
          <w:sz w:val="24"/>
          <w:lang w:bidi="ar"/>
        </w:rPr>
        <w:t>。</w:t>
      </w:r>
    </w:p>
    <w:p w14:paraId="1EFE789D">
      <w:pPr>
        <w:ind w:firstLine="480" w:firstLineChars="200"/>
        <w:jc w:val="left"/>
        <w:rPr>
          <w:color w:val="auto"/>
          <w:sz w:val="24"/>
        </w:rPr>
      </w:pPr>
      <w:r>
        <w:rPr>
          <w:rFonts w:cs="宋体"/>
          <w:color w:val="auto"/>
          <w:sz w:val="24"/>
          <w:lang w:bidi="ar"/>
        </w:rPr>
        <w:t>（2）</w:t>
      </w:r>
      <w:r>
        <w:rPr>
          <w:rFonts w:hint="eastAsia" w:cs="宋体"/>
          <w:color w:val="auto"/>
          <w:sz w:val="24"/>
          <w:lang w:bidi="ar"/>
        </w:rPr>
        <w:t>工作环境：</w:t>
      </w:r>
      <w:r>
        <w:rPr>
          <w:color w:val="auto"/>
          <w:sz w:val="24"/>
          <w:lang w:bidi="ar"/>
        </w:rPr>
        <w:t>-5</w:t>
      </w:r>
      <w:r>
        <w:rPr>
          <w:rFonts w:hint="eastAsia" w:ascii="宋体" w:hAnsi="宋体" w:cs="宋体"/>
          <w:color w:val="auto"/>
          <w:sz w:val="24"/>
          <w:lang w:bidi="ar"/>
        </w:rPr>
        <w:t>℃</w:t>
      </w:r>
      <w:r>
        <w:rPr>
          <w:rFonts w:hint="eastAsia" w:cs="宋体"/>
          <w:color w:val="auto"/>
          <w:sz w:val="24"/>
          <w:lang w:bidi="ar"/>
        </w:rPr>
        <w:t>～</w:t>
      </w:r>
      <w:r>
        <w:rPr>
          <w:color w:val="auto"/>
          <w:sz w:val="24"/>
          <w:lang w:bidi="ar"/>
        </w:rPr>
        <w:t>45</w:t>
      </w:r>
      <w:r>
        <w:rPr>
          <w:rFonts w:hint="eastAsia" w:ascii="宋体" w:hAnsi="宋体" w:cs="宋体"/>
          <w:color w:val="auto"/>
          <w:sz w:val="24"/>
          <w:lang w:bidi="ar"/>
        </w:rPr>
        <w:t>℃</w:t>
      </w:r>
      <w:r>
        <w:rPr>
          <w:rFonts w:hint="eastAsia" w:cs="宋体"/>
          <w:color w:val="auto"/>
          <w:sz w:val="24"/>
          <w:lang w:bidi="ar"/>
        </w:rPr>
        <w:t>，相对湿度：</w:t>
      </w:r>
      <w:r>
        <w:rPr>
          <w:color w:val="auto"/>
          <w:sz w:val="24"/>
          <w:lang w:bidi="ar"/>
        </w:rPr>
        <w:t>10%</w:t>
      </w:r>
      <w:r>
        <w:rPr>
          <w:rFonts w:hint="eastAsia" w:cs="宋体"/>
          <w:color w:val="auto"/>
          <w:sz w:val="24"/>
          <w:lang w:bidi="ar"/>
        </w:rPr>
        <w:t>～</w:t>
      </w:r>
      <w:r>
        <w:rPr>
          <w:color w:val="auto"/>
          <w:sz w:val="24"/>
          <w:lang w:bidi="ar"/>
        </w:rPr>
        <w:t>99%</w:t>
      </w:r>
      <w:r>
        <w:rPr>
          <w:rFonts w:hint="eastAsia" w:cs="宋体"/>
          <w:color w:val="auto"/>
          <w:sz w:val="24"/>
          <w:lang w:bidi="ar"/>
        </w:rPr>
        <w:t>。</w:t>
      </w:r>
    </w:p>
    <w:p w14:paraId="2365DD01">
      <w:pPr>
        <w:ind w:firstLine="480" w:firstLineChars="200"/>
        <w:jc w:val="left"/>
        <w:rPr>
          <w:rFonts w:cs="宋体"/>
          <w:color w:val="auto"/>
          <w:sz w:val="24"/>
          <w:lang w:bidi="ar"/>
        </w:rPr>
      </w:pPr>
      <w:r>
        <w:rPr>
          <w:rFonts w:cs="宋体"/>
          <w:color w:val="auto"/>
          <w:sz w:val="24"/>
          <w:lang w:bidi="ar"/>
        </w:rPr>
        <w:t>（3）</w:t>
      </w:r>
      <w:r>
        <w:rPr>
          <w:rFonts w:hint="eastAsia" w:cs="宋体"/>
          <w:color w:val="auto"/>
          <w:sz w:val="24"/>
          <w:lang w:bidi="ar"/>
        </w:rPr>
        <w:t>设备</w:t>
      </w:r>
      <w:r>
        <w:rPr>
          <w:rFonts w:hint="eastAsia"/>
          <w:bCs/>
          <w:color w:val="auto"/>
          <w:sz w:val="24"/>
        </w:rPr>
        <w:t>运行时间</w:t>
      </w:r>
      <w:r>
        <w:rPr>
          <w:rFonts w:hint="eastAsia" w:cs="宋体"/>
          <w:color w:val="auto"/>
          <w:sz w:val="24"/>
          <w:lang w:bidi="ar"/>
        </w:rPr>
        <w:t>：每天</w:t>
      </w:r>
      <w:r>
        <w:rPr>
          <w:color w:val="auto"/>
          <w:sz w:val="24"/>
          <w:lang w:bidi="ar"/>
        </w:rPr>
        <w:t>24</w:t>
      </w:r>
      <w:r>
        <w:rPr>
          <w:rFonts w:hint="eastAsia" w:cs="宋体"/>
          <w:color w:val="auto"/>
          <w:sz w:val="24"/>
          <w:lang w:bidi="ar"/>
        </w:rPr>
        <w:t>小时，全年不间断运行。</w:t>
      </w:r>
    </w:p>
    <w:bookmarkEnd w:id="9"/>
    <w:p w14:paraId="15DC2B29">
      <w:pPr>
        <w:ind w:firstLine="480" w:firstLineChars="200"/>
        <w:jc w:val="left"/>
        <w:rPr>
          <w:bCs/>
          <w:color w:val="auto"/>
          <w:sz w:val="24"/>
        </w:rPr>
      </w:pPr>
    </w:p>
    <w:p w14:paraId="3A70756C">
      <w:pPr>
        <w:ind w:firstLine="480" w:firstLineChars="200"/>
        <w:jc w:val="left"/>
        <w:rPr>
          <w:bCs/>
          <w:color w:val="auto"/>
          <w:sz w:val="24"/>
        </w:rPr>
      </w:pPr>
    </w:p>
    <w:p w14:paraId="07558C8D">
      <w:pPr>
        <w:ind w:firstLine="480" w:firstLineChars="200"/>
        <w:jc w:val="left"/>
        <w:rPr>
          <w:bCs/>
          <w:color w:val="auto"/>
          <w:sz w:val="24"/>
        </w:rPr>
      </w:pPr>
    </w:p>
    <w:p w14:paraId="77FDA84E">
      <w:pPr>
        <w:ind w:firstLine="480" w:firstLineChars="200"/>
        <w:jc w:val="left"/>
        <w:rPr>
          <w:bCs/>
          <w:color w:val="auto"/>
          <w:sz w:val="24"/>
        </w:rPr>
        <w:sectPr>
          <w:headerReference r:id="rId5" w:type="default"/>
          <w:footerReference r:id="rId6" w:type="default"/>
          <w:pgSz w:w="11906" w:h="16838"/>
          <w:pgMar w:top="1418" w:right="1588" w:bottom="1418" w:left="1588" w:header="851" w:footer="992" w:gutter="0"/>
          <w:pgBorders w:offsetFrom="page">
            <w:top w:val="single" w:color="FFFFFF" w:sz="4" w:space="24"/>
            <w:left w:val="single" w:color="FFFFFF" w:sz="4" w:space="24"/>
            <w:right w:val="single" w:color="FFFFFF" w:sz="4" w:space="24"/>
          </w:pgBorders>
          <w:cols w:space="720" w:num="1"/>
          <w:docGrid w:type="lines" w:linePitch="312" w:charSpace="0"/>
        </w:sectPr>
      </w:pPr>
    </w:p>
    <w:p w14:paraId="592EA32F">
      <w:pPr>
        <w:adjustRightInd w:val="0"/>
        <w:snapToGrid w:val="0"/>
        <w:spacing w:before="62" w:beforeLines="20" w:after="62" w:afterLines="20"/>
        <w:ind w:firstLine="482" w:firstLineChars="200"/>
        <w:jc w:val="left"/>
        <w:outlineLvl w:val="2"/>
        <w:rPr>
          <w:rFonts w:cs="宋体"/>
          <w:b/>
          <w:bCs/>
          <w:color w:val="auto"/>
          <w:sz w:val="24"/>
          <w:lang w:bidi="ar"/>
        </w:rPr>
      </w:pPr>
      <w:bookmarkStart w:id="11" w:name="_Hlk203375550"/>
      <w:bookmarkStart w:id="12" w:name="_Hlk204783994"/>
      <w:r>
        <w:rPr>
          <w:rFonts w:cs="宋体"/>
          <w:b/>
          <w:bCs/>
          <w:color w:val="auto"/>
          <w:sz w:val="24"/>
          <w:lang w:bidi="ar"/>
        </w:rPr>
        <w:t>2.4 设备</w:t>
      </w:r>
      <w:r>
        <w:rPr>
          <w:rFonts w:hint="eastAsia" w:cs="宋体"/>
          <w:b/>
          <w:bCs/>
          <w:color w:val="auto"/>
          <w:sz w:val="24"/>
          <w:lang w:bidi="ar"/>
        </w:rPr>
        <w:t>主要</w:t>
      </w:r>
      <w:r>
        <w:rPr>
          <w:rFonts w:cs="宋体"/>
          <w:b/>
          <w:bCs/>
          <w:color w:val="auto"/>
          <w:sz w:val="24"/>
          <w:lang w:bidi="ar"/>
        </w:rPr>
        <w:t>技术参数</w:t>
      </w:r>
      <w:bookmarkEnd w:id="11"/>
    </w:p>
    <w:p w14:paraId="6D371CCF">
      <w:pPr>
        <w:adjustRightInd w:val="0"/>
        <w:snapToGrid w:val="0"/>
        <w:spacing w:before="62" w:beforeLines="20" w:after="62" w:afterLines="20"/>
        <w:ind w:firstLine="482" w:firstLineChars="200"/>
        <w:jc w:val="left"/>
        <w:rPr>
          <w:rFonts w:cs="宋体"/>
          <w:b/>
          <w:bCs/>
          <w:color w:val="auto"/>
          <w:sz w:val="24"/>
          <w:lang w:bidi="ar"/>
        </w:rPr>
      </w:pPr>
      <w:r>
        <w:rPr>
          <w:rFonts w:cs="宋体"/>
          <w:b/>
          <w:bCs/>
          <w:color w:val="auto"/>
          <w:sz w:val="24"/>
          <w:lang w:bidi="ar"/>
        </w:rPr>
        <w:t>2.4.1</w:t>
      </w:r>
      <w:r>
        <w:rPr>
          <w:rFonts w:hint="eastAsia" w:cs="宋体"/>
          <w:b/>
          <w:bCs/>
          <w:color w:val="auto"/>
          <w:sz w:val="24"/>
          <w:lang w:bidi="ar"/>
        </w:rPr>
        <w:t>不锈钢高效空气粒子过滤器</w:t>
      </w:r>
      <w:r>
        <w:rPr>
          <w:rFonts w:cs="宋体"/>
          <w:b/>
          <w:bCs/>
          <w:color w:val="auto"/>
          <w:sz w:val="24"/>
          <w:lang w:bidi="ar"/>
        </w:rPr>
        <w:t>技术参数表</w:t>
      </w:r>
    </w:p>
    <w:tbl>
      <w:tblPr>
        <w:tblStyle w:val="31"/>
        <w:tblW w:w="5000" w:type="pct"/>
        <w:tblInd w:w="0" w:type="dxa"/>
        <w:tblLayout w:type="autofit"/>
        <w:tblCellMar>
          <w:top w:w="0" w:type="dxa"/>
          <w:left w:w="0" w:type="dxa"/>
          <w:bottom w:w="0" w:type="dxa"/>
          <w:right w:w="0" w:type="dxa"/>
        </w:tblCellMar>
      </w:tblPr>
      <w:tblGrid>
        <w:gridCol w:w="627"/>
        <w:gridCol w:w="1546"/>
        <w:gridCol w:w="1514"/>
        <w:gridCol w:w="628"/>
        <w:gridCol w:w="1239"/>
        <w:gridCol w:w="1239"/>
        <w:gridCol w:w="816"/>
        <w:gridCol w:w="816"/>
        <w:gridCol w:w="1242"/>
        <w:gridCol w:w="1239"/>
        <w:gridCol w:w="628"/>
        <w:gridCol w:w="1239"/>
        <w:gridCol w:w="1239"/>
      </w:tblGrid>
      <w:tr w14:paraId="57BDDBB3">
        <w:tblPrEx>
          <w:tblCellMar>
            <w:top w:w="0" w:type="dxa"/>
            <w:left w:w="0" w:type="dxa"/>
            <w:bottom w:w="0" w:type="dxa"/>
            <w:right w:w="0" w:type="dxa"/>
          </w:tblCellMar>
        </w:tblPrEx>
        <w:trPr>
          <w:trHeight w:val="279" w:hRule="atLeast"/>
          <w:tblHeader/>
        </w:trPr>
        <w:tc>
          <w:tcPr>
            <w:tcW w:w="224" w:type="pct"/>
            <w:vMerge w:val="restart"/>
            <w:tcBorders>
              <w:top w:val="single" w:color="auto" w:sz="4" w:space="0"/>
              <w:left w:val="single" w:color="auto" w:sz="4" w:space="0"/>
              <w:right w:val="single" w:color="auto" w:sz="4" w:space="0"/>
            </w:tcBorders>
            <w:vAlign w:val="center"/>
          </w:tcPr>
          <w:p w14:paraId="76593020">
            <w:pPr>
              <w:widowControl/>
              <w:spacing w:line="240" w:lineRule="auto"/>
              <w:jc w:val="center"/>
              <w:rPr>
                <w:color w:val="auto"/>
                <w:kern w:val="0"/>
              </w:rPr>
            </w:pPr>
            <w:r>
              <w:rPr>
                <w:rFonts w:hint="eastAsia"/>
                <w:color w:val="auto"/>
                <w:kern w:val="0"/>
              </w:rPr>
              <w:t>序号</w:t>
            </w:r>
          </w:p>
        </w:tc>
        <w:tc>
          <w:tcPr>
            <w:tcW w:w="552" w:type="pct"/>
            <w:vMerge w:val="restart"/>
            <w:tcBorders>
              <w:top w:val="single" w:color="auto" w:sz="4" w:space="0"/>
              <w:left w:val="single" w:color="auto" w:sz="4" w:space="0"/>
              <w:bottom w:val="single" w:color="000000" w:sz="4" w:space="0"/>
              <w:right w:val="single" w:color="auto" w:sz="4" w:space="0"/>
            </w:tcBorders>
            <w:vAlign w:val="center"/>
          </w:tcPr>
          <w:p w14:paraId="56983070">
            <w:pPr>
              <w:widowControl/>
              <w:spacing w:line="240" w:lineRule="auto"/>
              <w:jc w:val="center"/>
              <w:rPr>
                <w:color w:val="auto"/>
                <w:kern w:val="0"/>
              </w:rPr>
            </w:pPr>
            <w:r>
              <w:rPr>
                <w:rFonts w:hint="eastAsia"/>
                <w:color w:val="auto"/>
                <w:kern w:val="0"/>
              </w:rPr>
              <w:t>设备名称</w:t>
            </w:r>
          </w:p>
        </w:tc>
        <w:tc>
          <w:tcPr>
            <w:tcW w:w="540" w:type="pct"/>
            <w:vMerge w:val="restart"/>
            <w:tcBorders>
              <w:top w:val="single" w:color="auto" w:sz="4" w:space="0"/>
              <w:left w:val="single" w:color="auto" w:sz="4" w:space="0"/>
              <w:bottom w:val="single" w:color="auto" w:sz="4" w:space="0"/>
              <w:right w:val="single" w:color="auto" w:sz="4" w:space="0"/>
            </w:tcBorders>
            <w:vAlign w:val="center"/>
          </w:tcPr>
          <w:p w14:paraId="2787196C">
            <w:pPr>
              <w:widowControl/>
              <w:spacing w:line="240" w:lineRule="auto"/>
              <w:jc w:val="center"/>
              <w:rPr>
                <w:color w:val="auto"/>
                <w:kern w:val="0"/>
              </w:rPr>
            </w:pPr>
            <w:r>
              <w:rPr>
                <w:color w:val="auto"/>
                <w:kern w:val="0"/>
              </w:rPr>
              <w:t>设备编号</w:t>
            </w:r>
          </w:p>
        </w:tc>
        <w:tc>
          <w:tcPr>
            <w:tcW w:w="224" w:type="pct"/>
            <w:vMerge w:val="restart"/>
            <w:tcBorders>
              <w:top w:val="single" w:color="auto" w:sz="4" w:space="0"/>
              <w:left w:val="single" w:color="auto" w:sz="4" w:space="0"/>
              <w:bottom w:val="single" w:color="auto" w:sz="4" w:space="0"/>
              <w:right w:val="single" w:color="auto" w:sz="4" w:space="0"/>
            </w:tcBorders>
            <w:vAlign w:val="center"/>
          </w:tcPr>
          <w:p w14:paraId="04E70AD2">
            <w:pPr>
              <w:widowControl/>
              <w:spacing w:line="240" w:lineRule="auto"/>
              <w:jc w:val="center"/>
              <w:rPr>
                <w:color w:val="auto"/>
                <w:kern w:val="0"/>
              </w:rPr>
            </w:pPr>
            <w:r>
              <w:rPr>
                <w:color w:val="auto"/>
                <w:kern w:val="0"/>
              </w:rPr>
              <w:t>数量</w:t>
            </w:r>
          </w:p>
        </w:tc>
        <w:tc>
          <w:tcPr>
            <w:tcW w:w="442" w:type="pct"/>
            <w:vMerge w:val="restart"/>
            <w:tcBorders>
              <w:top w:val="single" w:color="auto" w:sz="4" w:space="0"/>
              <w:left w:val="single" w:color="auto" w:sz="4" w:space="0"/>
              <w:bottom w:val="single" w:color="000000" w:sz="4" w:space="0"/>
              <w:right w:val="single" w:color="auto" w:sz="4" w:space="0"/>
            </w:tcBorders>
            <w:vAlign w:val="center"/>
          </w:tcPr>
          <w:p w14:paraId="2E96D1D0">
            <w:pPr>
              <w:widowControl/>
              <w:spacing w:line="240" w:lineRule="auto"/>
              <w:jc w:val="center"/>
              <w:rPr>
                <w:color w:val="auto"/>
                <w:kern w:val="0"/>
              </w:rPr>
            </w:pPr>
            <w:r>
              <w:rPr>
                <w:rFonts w:hint="eastAsia"/>
                <w:color w:val="auto"/>
                <w:kern w:val="0"/>
              </w:rPr>
              <w:t>单台</w:t>
            </w:r>
          </w:p>
          <w:p w14:paraId="6AFBE2E4">
            <w:pPr>
              <w:widowControl/>
              <w:spacing w:line="240" w:lineRule="auto"/>
              <w:jc w:val="center"/>
              <w:rPr>
                <w:color w:val="auto"/>
                <w:kern w:val="0"/>
              </w:rPr>
            </w:pPr>
            <w:r>
              <w:rPr>
                <w:color w:val="auto"/>
                <w:kern w:val="0"/>
              </w:rPr>
              <w:t>额定风量</w:t>
            </w:r>
            <w:r>
              <w:rPr>
                <w:color w:val="auto"/>
                <w:kern w:val="0"/>
              </w:rPr>
              <w:br w:type="textWrapping"/>
            </w:r>
            <w:r>
              <w:rPr>
                <w:color w:val="auto"/>
                <w:kern w:val="0"/>
              </w:rPr>
              <w:t>m</w:t>
            </w:r>
            <w:r>
              <w:rPr>
                <w:color w:val="auto"/>
                <w:kern w:val="0"/>
                <w:vertAlign w:val="superscript"/>
              </w:rPr>
              <w:t>3</w:t>
            </w:r>
            <w:r>
              <w:rPr>
                <w:color w:val="auto"/>
                <w:kern w:val="0"/>
              </w:rPr>
              <w:t>/h</w:t>
            </w:r>
          </w:p>
        </w:tc>
        <w:tc>
          <w:tcPr>
            <w:tcW w:w="1467" w:type="pct"/>
            <w:gridSpan w:val="4"/>
            <w:tcBorders>
              <w:top w:val="single" w:color="auto" w:sz="4" w:space="0"/>
              <w:left w:val="nil"/>
              <w:bottom w:val="single" w:color="auto" w:sz="4" w:space="0"/>
              <w:right w:val="single" w:color="auto" w:sz="4" w:space="0"/>
            </w:tcBorders>
            <w:vAlign w:val="center"/>
          </w:tcPr>
          <w:p w14:paraId="5C3C25DC">
            <w:pPr>
              <w:widowControl/>
              <w:spacing w:line="240" w:lineRule="auto"/>
              <w:jc w:val="center"/>
              <w:rPr>
                <w:color w:val="auto"/>
                <w:kern w:val="0"/>
              </w:rPr>
            </w:pPr>
            <w:r>
              <w:rPr>
                <w:rFonts w:hint="eastAsia"/>
                <w:color w:val="auto"/>
                <w:kern w:val="0"/>
              </w:rPr>
              <w:t>单台箱体</w:t>
            </w:r>
            <w:r>
              <w:rPr>
                <w:color w:val="auto"/>
                <w:kern w:val="0"/>
              </w:rPr>
              <w:t>配置要求</w:t>
            </w:r>
          </w:p>
        </w:tc>
        <w:tc>
          <w:tcPr>
            <w:tcW w:w="442" w:type="pct"/>
            <w:tcBorders>
              <w:top w:val="single" w:color="auto" w:sz="4" w:space="0"/>
              <w:left w:val="nil"/>
              <w:bottom w:val="single" w:color="auto" w:sz="4" w:space="0"/>
              <w:right w:val="single" w:color="auto" w:sz="4" w:space="0"/>
            </w:tcBorders>
            <w:vAlign w:val="center"/>
          </w:tcPr>
          <w:p w14:paraId="0A854B75">
            <w:pPr>
              <w:widowControl/>
              <w:spacing w:line="240" w:lineRule="auto"/>
              <w:jc w:val="center"/>
              <w:rPr>
                <w:color w:val="auto"/>
                <w:kern w:val="0"/>
              </w:rPr>
            </w:pPr>
            <w:r>
              <w:rPr>
                <w:rFonts w:hint="eastAsia"/>
                <w:color w:val="auto"/>
                <w:kern w:val="0"/>
              </w:rPr>
              <w:t>箱体承压</w:t>
            </w:r>
          </w:p>
        </w:tc>
        <w:tc>
          <w:tcPr>
            <w:tcW w:w="224" w:type="pct"/>
            <w:tcBorders>
              <w:top w:val="single" w:color="auto" w:sz="4" w:space="0"/>
              <w:left w:val="single" w:color="auto" w:sz="4" w:space="0"/>
              <w:bottom w:val="single" w:color="auto" w:sz="4" w:space="0"/>
              <w:right w:val="single" w:color="auto" w:sz="4" w:space="0"/>
            </w:tcBorders>
            <w:vAlign w:val="center"/>
          </w:tcPr>
          <w:p w14:paraId="36AC7583">
            <w:pPr>
              <w:widowControl/>
              <w:spacing w:line="240" w:lineRule="auto"/>
              <w:jc w:val="center"/>
              <w:rPr>
                <w:color w:val="auto"/>
                <w:kern w:val="0"/>
              </w:rPr>
            </w:pPr>
            <w:r>
              <w:rPr>
                <w:rFonts w:hint="eastAsia"/>
                <w:color w:val="auto"/>
                <w:kern w:val="0"/>
              </w:rPr>
              <w:t>★壁厚</w:t>
            </w:r>
          </w:p>
        </w:tc>
        <w:tc>
          <w:tcPr>
            <w:tcW w:w="442" w:type="pct"/>
            <w:vMerge w:val="restart"/>
            <w:tcBorders>
              <w:top w:val="single" w:color="auto" w:sz="4" w:space="0"/>
              <w:left w:val="single" w:color="auto" w:sz="4" w:space="0"/>
              <w:bottom w:val="single" w:color="auto" w:sz="4" w:space="0"/>
              <w:right w:val="single" w:color="auto" w:sz="4" w:space="0"/>
            </w:tcBorders>
            <w:vAlign w:val="center"/>
          </w:tcPr>
          <w:p w14:paraId="1124EA4D">
            <w:pPr>
              <w:widowControl/>
              <w:spacing w:line="240" w:lineRule="auto"/>
              <w:jc w:val="center"/>
              <w:rPr>
                <w:color w:val="auto"/>
                <w:kern w:val="0"/>
              </w:rPr>
            </w:pPr>
            <w:r>
              <w:rPr>
                <w:rFonts w:hint="eastAsia"/>
                <w:color w:val="auto"/>
                <w:kern w:val="0"/>
              </w:rPr>
              <w:t>气流方向</w:t>
            </w:r>
          </w:p>
        </w:tc>
        <w:tc>
          <w:tcPr>
            <w:tcW w:w="442" w:type="pct"/>
            <w:vMerge w:val="restart"/>
            <w:tcBorders>
              <w:top w:val="single" w:color="auto" w:sz="4" w:space="0"/>
              <w:left w:val="single" w:color="auto" w:sz="4" w:space="0"/>
              <w:right w:val="single" w:color="auto" w:sz="4" w:space="0"/>
            </w:tcBorders>
            <w:vAlign w:val="center"/>
          </w:tcPr>
          <w:p w14:paraId="503D38EE">
            <w:pPr>
              <w:widowControl/>
              <w:spacing w:line="240" w:lineRule="auto"/>
              <w:jc w:val="center"/>
              <w:rPr>
                <w:color w:val="auto"/>
                <w:kern w:val="0"/>
              </w:rPr>
            </w:pPr>
            <w:r>
              <w:rPr>
                <w:rFonts w:hint="eastAsia"/>
                <w:color w:val="auto"/>
                <w:kern w:val="0"/>
              </w:rPr>
              <w:t>安装位置</w:t>
            </w:r>
          </w:p>
        </w:tc>
      </w:tr>
      <w:tr w14:paraId="72B1166E">
        <w:tblPrEx>
          <w:tblCellMar>
            <w:top w:w="0" w:type="dxa"/>
            <w:left w:w="0" w:type="dxa"/>
            <w:bottom w:w="0" w:type="dxa"/>
            <w:right w:w="0" w:type="dxa"/>
          </w:tblCellMar>
        </w:tblPrEx>
        <w:trPr>
          <w:trHeight w:val="1080" w:hRule="atLeast"/>
          <w:tblHeader/>
        </w:trPr>
        <w:tc>
          <w:tcPr>
            <w:tcW w:w="224" w:type="pct"/>
            <w:vMerge w:val="continue"/>
            <w:tcBorders>
              <w:left w:val="single" w:color="auto" w:sz="4" w:space="0"/>
              <w:bottom w:val="single" w:color="000000" w:sz="4" w:space="0"/>
              <w:right w:val="single" w:color="auto" w:sz="4" w:space="0"/>
            </w:tcBorders>
          </w:tcPr>
          <w:p w14:paraId="29A248AE">
            <w:pPr>
              <w:widowControl/>
              <w:spacing w:line="240" w:lineRule="auto"/>
              <w:jc w:val="center"/>
              <w:rPr>
                <w:color w:val="auto"/>
                <w:kern w:val="0"/>
              </w:rPr>
            </w:pPr>
          </w:p>
        </w:tc>
        <w:tc>
          <w:tcPr>
            <w:tcW w:w="552" w:type="pct"/>
            <w:vMerge w:val="continue"/>
            <w:tcBorders>
              <w:top w:val="single" w:color="auto" w:sz="4" w:space="0"/>
              <w:left w:val="single" w:color="auto" w:sz="4" w:space="0"/>
              <w:bottom w:val="single" w:color="000000" w:sz="4" w:space="0"/>
              <w:right w:val="single" w:color="auto" w:sz="4" w:space="0"/>
            </w:tcBorders>
            <w:vAlign w:val="center"/>
          </w:tcPr>
          <w:p w14:paraId="51CB0F34">
            <w:pPr>
              <w:widowControl/>
              <w:spacing w:line="240" w:lineRule="auto"/>
              <w:jc w:val="center"/>
              <w:rPr>
                <w:color w:val="auto"/>
                <w:kern w:val="0"/>
              </w:rPr>
            </w:pPr>
          </w:p>
        </w:tc>
        <w:tc>
          <w:tcPr>
            <w:tcW w:w="540" w:type="pct"/>
            <w:vMerge w:val="continue"/>
            <w:tcBorders>
              <w:top w:val="single" w:color="auto" w:sz="4" w:space="0"/>
              <w:left w:val="single" w:color="auto" w:sz="4" w:space="0"/>
              <w:bottom w:val="single" w:color="auto" w:sz="4" w:space="0"/>
              <w:right w:val="single" w:color="auto" w:sz="4" w:space="0"/>
            </w:tcBorders>
            <w:vAlign w:val="center"/>
          </w:tcPr>
          <w:p w14:paraId="76132F7B">
            <w:pPr>
              <w:widowControl/>
              <w:spacing w:line="240" w:lineRule="auto"/>
              <w:jc w:val="center"/>
              <w:rPr>
                <w:color w:val="auto"/>
                <w:kern w:val="0"/>
              </w:rPr>
            </w:pPr>
          </w:p>
        </w:tc>
        <w:tc>
          <w:tcPr>
            <w:tcW w:w="224" w:type="pct"/>
            <w:vMerge w:val="continue"/>
            <w:tcBorders>
              <w:top w:val="single" w:color="auto" w:sz="4" w:space="0"/>
              <w:left w:val="single" w:color="auto" w:sz="4" w:space="0"/>
              <w:bottom w:val="single" w:color="auto" w:sz="4" w:space="0"/>
              <w:right w:val="single" w:color="auto" w:sz="4" w:space="0"/>
            </w:tcBorders>
            <w:vAlign w:val="center"/>
          </w:tcPr>
          <w:p w14:paraId="5911699C">
            <w:pPr>
              <w:widowControl/>
              <w:spacing w:line="240" w:lineRule="auto"/>
              <w:jc w:val="center"/>
              <w:rPr>
                <w:color w:val="auto"/>
                <w:kern w:val="0"/>
              </w:rPr>
            </w:pPr>
          </w:p>
        </w:tc>
        <w:tc>
          <w:tcPr>
            <w:tcW w:w="442" w:type="pct"/>
            <w:vMerge w:val="continue"/>
            <w:tcBorders>
              <w:top w:val="single" w:color="auto" w:sz="4" w:space="0"/>
              <w:left w:val="single" w:color="auto" w:sz="4" w:space="0"/>
              <w:bottom w:val="single" w:color="000000" w:sz="4" w:space="0"/>
              <w:right w:val="single" w:color="auto" w:sz="4" w:space="0"/>
            </w:tcBorders>
            <w:vAlign w:val="center"/>
          </w:tcPr>
          <w:p w14:paraId="0C0D5D1E">
            <w:pPr>
              <w:widowControl/>
              <w:spacing w:line="240" w:lineRule="auto"/>
              <w:jc w:val="center"/>
              <w:rPr>
                <w:color w:val="auto"/>
                <w:kern w:val="0"/>
              </w:rPr>
            </w:pPr>
          </w:p>
        </w:tc>
        <w:tc>
          <w:tcPr>
            <w:tcW w:w="442" w:type="pct"/>
            <w:tcBorders>
              <w:top w:val="nil"/>
              <w:left w:val="nil"/>
              <w:bottom w:val="single" w:color="auto" w:sz="4" w:space="0"/>
              <w:right w:val="single" w:color="auto" w:sz="4" w:space="0"/>
            </w:tcBorders>
            <w:vAlign w:val="center"/>
          </w:tcPr>
          <w:p w14:paraId="77B9FA66">
            <w:pPr>
              <w:widowControl/>
              <w:spacing w:line="240" w:lineRule="auto"/>
              <w:jc w:val="center"/>
              <w:rPr>
                <w:color w:val="auto"/>
                <w:kern w:val="0"/>
              </w:rPr>
            </w:pPr>
            <w:r>
              <w:rPr>
                <w:color w:val="auto"/>
                <w:kern w:val="0"/>
              </w:rPr>
              <w:t>预过滤器</w:t>
            </w:r>
          </w:p>
          <w:p w14:paraId="34C8053B">
            <w:pPr>
              <w:widowControl/>
              <w:spacing w:line="240" w:lineRule="auto"/>
              <w:jc w:val="center"/>
              <w:rPr>
                <w:color w:val="auto"/>
                <w:kern w:val="0"/>
              </w:rPr>
            </w:pPr>
            <w:r>
              <w:rPr>
                <w:rFonts w:hint="eastAsia"/>
                <w:color w:val="auto"/>
                <w:kern w:val="0"/>
              </w:rPr>
              <w:t>数量</w:t>
            </w:r>
          </w:p>
        </w:tc>
        <w:tc>
          <w:tcPr>
            <w:tcW w:w="291" w:type="pct"/>
            <w:tcBorders>
              <w:top w:val="nil"/>
              <w:left w:val="nil"/>
              <w:bottom w:val="single" w:color="auto" w:sz="4" w:space="0"/>
              <w:right w:val="single" w:color="auto" w:sz="4" w:space="0"/>
            </w:tcBorders>
            <w:vAlign w:val="center"/>
          </w:tcPr>
          <w:p w14:paraId="787D6ABE">
            <w:pPr>
              <w:widowControl/>
              <w:spacing w:line="240" w:lineRule="auto"/>
              <w:jc w:val="center"/>
              <w:rPr>
                <w:color w:val="auto"/>
                <w:kern w:val="0"/>
              </w:rPr>
            </w:pPr>
            <w:r>
              <w:rPr>
                <w:color w:val="auto"/>
                <w:kern w:val="0"/>
              </w:rPr>
              <w:t>一级</w:t>
            </w:r>
            <w:r>
              <w:rPr>
                <w:color w:val="auto"/>
                <w:kern w:val="0"/>
              </w:rPr>
              <w:br w:type="textWrapping"/>
            </w:r>
            <w:r>
              <w:rPr>
                <w:rFonts w:hint="eastAsia"/>
                <w:color w:val="auto"/>
                <w:kern w:val="0"/>
              </w:rPr>
              <w:t>H</w:t>
            </w:r>
            <w:r>
              <w:rPr>
                <w:color w:val="auto"/>
                <w:kern w:val="0"/>
              </w:rPr>
              <w:t>EPA</w:t>
            </w:r>
          </w:p>
          <w:p w14:paraId="7E74F1B5">
            <w:pPr>
              <w:widowControl/>
              <w:spacing w:line="240" w:lineRule="auto"/>
              <w:jc w:val="center"/>
              <w:rPr>
                <w:color w:val="auto"/>
                <w:kern w:val="0"/>
              </w:rPr>
            </w:pPr>
            <w:r>
              <w:rPr>
                <w:rFonts w:hint="eastAsia"/>
                <w:color w:val="auto"/>
                <w:kern w:val="0"/>
              </w:rPr>
              <w:t>数量</w:t>
            </w:r>
          </w:p>
        </w:tc>
        <w:tc>
          <w:tcPr>
            <w:tcW w:w="291" w:type="pct"/>
            <w:tcBorders>
              <w:top w:val="nil"/>
              <w:left w:val="nil"/>
              <w:bottom w:val="single" w:color="auto" w:sz="4" w:space="0"/>
              <w:right w:val="single" w:color="auto" w:sz="4" w:space="0"/>
            </w:tcBorders>
            <w:vAlign w:val="center"/>
          </w:tcPr>
          <w:p w14:paraId="6769A22A">
            <w:pPr>
              <w:widowControl/>
              <w:spacing w:line="240" w:lineRule="auto"/>
              <w:jc w:val="center"/>
              <w:rPr>
                <w:color w:val="auto"/>
                <w:kern w:val="0"/>
              </w:rPr>
            </w:pPr>
            <w:r>
              <w:rPr>
                <w:color w:val="auto"/>
                <w:kern w:val="0"/>
              </w:rPr>
              <w:t>二级</w:t>
            </w:r>
            <w:r>
              <w:rPr>
                <w:color w:val="auto"/>
                <w:kern w:val="0"/>
              </w:rPr>
              <w:br w:type="textWrapping"/>
            </w:r>
            <w:r>
              <w:rPr>
                <w:rFonts w:hint="eastAsia"/>
                <w:color w:val="auto"/>
                <w:kern w:val="0"/>
              </w:rPr>
              <w:t>H</w:t>
            </w:r>
            <w:r>
              <w:rPr>
                <w:color w:val="auto"/>
                <w:kern w:val="0"/>
              </w:rPr>
              <w:t>EPA</w:t>
            </w:r>
          </w:p>
          <w:p w14:paraId="5A7F175F">
            <w:pPr>
              <w:widowControl/>
              <w:spacing w:line="240" w:lineRule="auto"/>
              <w:jc w:val="center"/>
              <w:rPr>
                <w:color w:val="auto"/>
                <w:kern w:val="0"/>
              </w:rPr>
            </w:pPr>
            <w:r>
              <w:rPr>
                <w:rFonts w:hint="eastAsia"/>
                <w:color w:val="auto"/>
                <w:kern w:val="0"/>
              </w:rPr>
              <w:t>数量</w:t>
            </w:r>
          </w:p>
        </w:tc>
        <w:tc>
          <w:tcPr>
            <w:tcW w:w="443" w:type="pct"/>
            <w:tcBorders>
              <w:top w:val="nil"/>
              <w:left w:val="nil"/>
              <w:bottom w:val="single" w:color="auto" w:sz="4" w:space="0"/>
              <w:right w:val="single" w:color="auto" w:sz="4" w:space="0"/>
            </w:tcBorders>
            <w:vAlign w:val="center"/>
          </w:tcPr>
          <w:p w14:paraId="58B089DA">
            <w:pPr>
              <w:widowControl/>
              <w:spacing w:line="240" w:lineRule="auto"/>
              <w:jc w:val="center"/>
              <w:rPr>
                <w:color w:val="auto"/>
                <w:kern w:val="0"/>
              </w:rPr>
            </w:pPr>
            <w:r>
              <w:rPr>
                <w:color w:val="auto"/>
                <w:kern w:val="0"/>
              </w:rPr>
              <w:t>过滤器</w:t>
            </w:r>
          </w:p>
          <w:p w14:paraId="07A55115">
            <w:pPr>
              <w:widowControl/>
              <w:spacing w:line="240" w:lineRule="auto"/>
              <w:jc w:val="center"/>
              <w:rPr>
                <w:color w:val="auto"/>
                <w:kern w:val="0"/>
              </w:rPr>
            </w:pPr>
            <w:r>
              <w:rPr>
                <w:color w:val="auto"/>
                <w:kern w:val="0"/>
              </w:rPr>
              <w:t>额定风量</w:t>
            </w:r>
            <w:r>
              <w:rPr>
                <w:color w:val="auto"/>
                <w:kern w:val="0"/>
              </w:rPr>
              <w:br w:type="textWrapping"/>
            </w:r>
            <w:r>
              <w:rPr>
                <w:color w:val="auto"/>
                <w:kern w:val="0"/>
              </w:rPr>
              <w:t>m</w:t>
            </w:r>
            <w:r>
              <w:rPr>
                <w:color w:val="auto"/>
                <w:kern w:val="0"/>
                <w:vertAlign w:val="superscript"/>
              </w:rPr>
              <w:t>3</w:t>
            </w:r>
            <w:r>
              <w:rPr>
                <w:color w:val="auto"/>
                <w:kern w:val="0"/>
              </w:rPr>
              <w:t>/h</w:t>
            </w:r>
          </w:p>
        </w:tc>
        <w:tc>
          <w:tcPr>
            <w:tcW w:w="442" w:type="pct"/>
            <w:tcBorders>
              <w:top w:val="single" w:color="auto" w:sz="4" w:space="0"/>
              <w:left w:val="nil"/>
              <w:bottom w:val="single" w:color="auto" w:sz="4" w:space="0"/>
              <w:right w:val="single" w:color="auto" w:sz="4" w:space="0"/>
            </w:tcBorders>
            <w:vAlign w:val="center"/>
          </w:tcPr>
          <w:p w14:paraId="6C2440C8">
            <w:pPr>
              <w:widowControl/>
              <w:spacing w:line="240" w:lineRule="auto"/>
              <w:jc w:val="center"/>
              <w:rPr>
                <w:color w:val="auto"/>
                <w:kern w:val="0"/>
              </w:rPr>
            </w:pPr>
            <w:r>
              <w:rPr>
                <w:rFonts w:hint="eastAsia"/>
                <w:color w:val="auto"/>
                <w:kern w:val="0"/>
              </w:rPr>
              <w:t>kPa</w:t>
            </w:r>
          </w:p>
        </w:tc>
        <w:tc>
          <w:tcPr>
            <w:tcW w:w="224" w:type="pct"/>
            <w:tcBorders>
              <w:top w:val="single" w:color="auto" w:sz="4" w:space="0"/>
              <w:left w:val="single" w:color="auto" w:sz="4" w:space="0"/>
              <w:bottom w:val="single" w:color="auto" w:sz="4" w:space="0"/>
              <w:right w:val="single" w:color="auto" w:sz="4" w:space="0"/>
            </w:tcBorders>
            <w:vAlign w:val="center"/>
          </w:tcPr>
          <w:p w14:paraId="45D634AA">
            <w:pPr>
              <w:widowControl/>
              <w:spacing w:line="240" w:lineRule="auto"/>
              <w:jc w:val="center"/>
              <w:rPr>
                <w:color w:val="auto"/>
                <w:kern w:val="0"/>
              </w:rPr>
            </w:pPr>
            <w:r>
              <w:rPr>
                <w:rFonts w:hint="eastAsia"/>
                <w:color w:val="auto"/>
                <w:kern w:val="0"/>
              </w:rPr>
              <w:t>mm</w:t>
            </w:r>
          </w:p>
        </w:tc>
        <w:tc>
          <w:tcPr>
            <w:tcW w:w="442" w:type="pct"/>
            <w:vMerge w:val="continue"/>
            <w:tcBorders>
              <w:top w:val="single" w:color="auto" w:sz="4" w:space="0"/>
              <w:left w:val="single" w:color="auto" w:sz="4" w:space="0"/>
              <w:bottom w:val="single" w:color="auto" w:sz="4" w:space="0"/>
              <w:right w:val="single" w:color="auto" w:sz="4" w:space="0"/>
            </w:tcBorders>
          </w:tcPr>
          <w:p w14:paraId="45AF28E9">
            <w:pPr>
              <w:widowControl/>
              <w:spacing w:line="240" w:lineRule="auto"/>
              <w:jc w:val="center"/>
              <w:rPr>
                <w:color w:val="auto"/>
                <w:kern w:val="0"/>
              </w:rPr>
            </w:pPr>
          </w:p>
        </w:tc>
        <w:tc>
          <w:tcPr>
            <w:tcW w:w="442" w:type="pct"/>
            <w:vMerge w:val="continue"/>
            <w:tcBorders>
              <w:left w:val="single" w:color="auto" w:sz="4" w:space="0"/>
              <w:bottom w:val="single" w:color="auto" w:sz="4" w:space="0"/>
              <w:right w:val="single" w:color="auto" w:sz="4" w:space="0"/>
            </w:tcBorders>
          </w:tcPr>
          <w:p w14:paraId="6BC15399">
            <w:pPr>
              <w:widowControl/>
              <w:spacing w:line="240" w:lineRule="auto"/>
              <w:jc w:val="center"/>
              <w:rPr>
                <w:color w:val="auto"/>
                <w:kern w:val="0"/>
              </w:rPr>
            </w:pPr>
          </w:p>
        </w:tc>
      </w:tr>
      <w:tr w14:paraId="5ED2A7AA">
        <w:tblPrEx>
          <w:tblCellMar>
            <w:top w:w="0" w:type="dxa"/>
            <w:left w:w="0" w:type="dxa"/>
            <w:bottom w:w="0" w:type="dxa"/>
            <w:right w:w="0" w:type="dxa"/>
          </w:tblCellMar>
        </w:tblPrEx>
        <w:trPr>
          <w:trHeight w:val="300" w:hRule="atLeast"/>
        </w:trPr>
        <w:tc>
          <w:tcPr>
            <w:tcW w:w="224" w:type="pct"/>
            <w:tcBorders>
              <w:top w:val="nil"/>
              <w:left w:val="single" w:color="auto" w:sz="4" w:space="0"/>
              <w:bottom w:val="single" w:color="auto" w:sz="4" w:space="0"/>
              <w:right w:val="single" w:color="auto" w:sz="4" w:space="0"/>
            </w:tcBorders>
            <w:vAlign w:val="center"/>
          </w:tcPr>
          <w:p w14:paraId="0EB671ED">
            <w:pPr>
              <w:widowControl/>
              <w:spacing w:line="240" w:lineRule="auto"/>
              <w:jc w:val="center"/>
              <w:rPr>
                <w:color w:val="auto"/>
                <w:kern w:val="0"/>
              </w:rPr>
            </w:pPr>
            <w:r>
              <w:rPr>
                <w:rFonts w:hint="eastAsia"/>
                <w:color w:val="auto"/>
                <w:kern w:val="0"/>
              </w:rPr>
              <w:t>1</w:t>
            </w:r>
          </w:p>
        </w:tc>
        <w:tc>
          <w:tcPr>
            <w:tcW w:w="552" w:type="pct"/>
            <w:tcBorders>
              <w:top w:val="nil"/>
              <w:left w:val="single" w:color="auto" w:sz="4" w:space="0"/>
              <w:bottom w:val="single" w:color="auto" w:sz="4" w:space="0"/>
              <w:right w:val="single" w:color="auto" w:sz="4" w:space="0"/>
            </w:tcBorders>
            <w:vAlign w:val="center"/>
          </w:tcPr>
          <w:p w14:paraId="083D3D3C">
            <w:pPr>
              <w:widowControl/>
              <w:spacing w:line="240" w:lineRule="auto"/>
              <w:jc w:val="center"/>
              <w:rPr>
                <w:color w:val="auto"/>
                <w:kern w:val="0"/>
              </w:rPr>
            </w:pPr>
            <w:r>
              <w:rPr>
                <w:rFonts w:hint="eastAsia"/>
                <w:color w:val="auto"/>
                <w:kern w:val="0"/>
              </w:rPr>
              <w:t>过滤器箱体</w:t>
            </w:r>
          </w:p>
        </w:tc>
        <w:tc>
          <w:tcPr>
            <w:tcW w:w="540" w:type="pct"/>
            <w:tcBorders>
              <w:top w:val="single" w:color="auto" w:sz="4" w:space="0"/>
              <w:left w:val="nil"/>
              <w:bottom w:val="single" w:color="auto" w:sz="4" w:space="0"/>
              <w:right w:val="single" w:color="auto" w:sz="4" w:space="0"/>
            </w:tcBorders>
            <w:vAlign w:val="center"/>
          </w:tcPr>
          <w:p w14:paraId="3062D9C0">
            <w:pPr>
              <w:widowControl/>
              <w:spacing w:line="240" w:lineRule="auto"/>
              <w:jc w:val="center"/>
              <w:rPr>
                <w:rFonts w:eastAsiaTheme="minorEastAsia"/>
                <w:color w:val="auto"/>
                <w:kern w:val="0"/>
              </w:rPr>
            </w:pPr>
            <w:r>
              <w:rPr>
                <w:rFonts w:eastAsiaTheme="minorEastAsia"/>
                <w:color w:val="auto"/>
              </w:rPr>
              <w:t>PF-HP-2</w:t>
            </w:r>
          </w:p>
        </w:tc>
        <w:tc>
          <w:tcPr>
            <w:tcW w:w="224" w:type="pct"/>
            <w:tcBorders>
              <w:top w:val="single" w:color="auto" w:sz="4" w:space="0"/>
              <w:left w:val="single" w:color="auto" w:sz="4" w:space="0"/>
              <w:bottom w:val="single" w:color="auto" w:sz="4" w:space="0"/>
              <w:right w:val="single" w:color="auto" w:sz="4" w:space="0"/>
            </w:tcBorders>
            <w:vAlign w:val="center"/>
          </w:tcPr>
          <w:p w14:paraId="5B486201">
            <w:pPr>
              <w:widowControl/>
              <w:spacing w:line="240" w:lineRule="auto"/>
              <w:jc w:val="center"/>
              <w:rPr>
                <w:color w:val="auto"/>
                <w:kern w:val="0"/>
              </w:rPr>
            </w:pPr>
            <w:r>
              <w:rPr>
                <w:color w:val="auto"/>
                <w:kern w:val="0"/>
              </w:rPr>
              <w:t>1</w:t>
            </w:r>
            <w:r>
              <w:rPr>
                <w:rFonts w:hint="eastAsia"/>
                <w:color w:val="auto"/>
                <w:kern w:val="0"/>
              </w:rPr>
              <w:t>台</w:t>
            </w:r>
          </w:p>
        </w:tc>
        <w:tc>
          <w:tcPr>
            <w:tcW w:w="442" w:type="pct"/>
            <w:tcBorders>
              <w:top w:val="nil"/>
              <w:left w:val="nil"/>
              <w:bottom w:val="single" w:color="auto" w:sz="4" w:space="0"/>
              <w:right w:val="single" w:color="auto" w:sz="4" w:space="0"/>
            </w:tcBorders>
            <w:vAlign w:val="center"/>
          </w:tcPr>
          <w:p w14:paraId="02E4B69B">
            <w:pPr>
              <w:widowControl/>
              <w:spacing w:line="240" w:lineRule="auto"/>
              <w:jc w:val="center"/>
              <w:rPr>
                <w:color w:val="auto"/>
                <w:kern w:val="0"/>
              </w:rPr>
            </w:pPr>
            <w:r>
              <w:rPr>
                <w:color w:val="auto"/>
                <w:sz w:val="22"/>
                <w:szCs w:val="22"/>
              </w:rPr>
              <w:t>6800</w:t>
            </w:r>
          </w:p>
        </w:tc>
        <w:tc>
          <w:tcPr>
            <w:tcW w:w="442" w:type="pct"/>
            <w:tcBorders>
              <w:top w:val="nil"/>
              <w:left w:val="nil"/>
              <w:bottom w:val="single" w:color="auto" w:sz="4" w:space="0"/>
              <w:right w:val="single" w:color="auto" w:sz="4" w:space="0"/>
            </w:tcBorders>
            <w:vAlign w:val="center"/>
          </w:tcPr>
          <w:p w14:paraId="1B3DFD8D">
            <w:pPr>
              <w:widowControl/>
              <w:spacing w:line="240" w:lineRule="auto"/>
              <w:jc w:val="center"/>
              <w:rPr>
                <w:color w:val="auto"/>
                <w:kern w:val="0"/>
              </w:rPr>
            </w:pPr>
            <w:r>
              <w:rPr>
                <w:color w:val="auto"/>
                <w:kern w:val="0"/>
              </w:rPr>
              <w:t>2</w:t>
            </w:r>
          </w:p>
        </w:tc>
        <w:tc>
          <w:tcPr>
            <w:tcW w:w="291" w:type="pct"/>
            <w:tcBorders>
              <w:top w:val="nil"/>
              <w:left w:val="nil"/>
              <w:bottom w:val="single" w:color="auto" w:sz="4" w:space="0"/>
              <w:right w:val="single" w:color="auto" w:sz="4" w:space="0"/>
            </w:tcBorders>
            <w:vAlign w:val="center"/>
          </w:tcPr>
          <w:p w14:paraId="3434C844">
            <w:pPr>
              <w:widowControl/>
              <w:spacing w:line="240" w:lineRule="auto"/>
              <w:jc w:val="center"/>
              <w:rPr>
                <w:color w:val="auto"/>
                <w:kern w:val="0"/>
              </w:rPr>
            </w:pPr>
            <w:r>
              <w:rPr>
                <w:color w:val="auto"/>
                <w:kern w:val="0"/>
              </w:rPr>
              <w:t>2</w:t>
            </w:r>
          </w:p>
        </w:tc>
        <w:tc>
          <w:tcPr>
            <w:tcW w:w="291" w:type="pct"/>
            <w:tcBorders>
              <w:top w:val="nil"/>
              <w:left w:val="nil"/>
              <w:bottom w:val="single" w:color="auto" w:sz="4" w:space="0"/>
              <w:right w:val="single" w:color="auto" w:sz="4" w:space="0"/>
            </w:tcBorders>
            <w:vAlign w:val="center"/>
          </w:tcPr>
          <w:p w14:paraId="67F3B277">
            <w:pPr>
              <w:widowControl/>
              <w:spacing w:line="240" w:lineRule="auto"/>
              <w:jc w:val="center"/>
              <w:rPr>
                <w:color w:val="auto"/>
                <w:kern w:val="0"/>
              </w:rPr>
            </w:pPr>
            <w:r>
              <w:rPr>
                <w:color w:val="auto"/>
                <w:kern w:val="0"/>
              </w:rPr>
              <w:t>2</w:t>
            </w:r>
          </w:p>
        </w:tc>
        <w:tc>
          <w:tcPr>
            <w:tcW w:w="443" w:type="pct"/>
            <w:tcBorders>
              <w:top w:val="nil"/>
              <w:left w:val="nil"/>
              <w:bottom w:val="single" w:color="auto" w:sz="4" w:space="0"/>
              <w:right w:val="single" w:color="auto" w:sz="4" w:space="0"/>
            </w:tcBorders>
            <w:vAlign w:val="center"/>
          </w:tcPr>
          <w:p w14:paraId="0B12704D">
            <w:pPr>
              <w:widowControl/>
              <w:spacing w:line="240" w:lineRule="auto"/>
              <w:jc w:val="center"/>
              <w:rPr>
                <w:color w:val="auto"/>
                <w:kern w:val="0"/>
              </w:rPr>
            </w:pPr>
            <w:r>
              <w:rPr>
                <w:color w:val="auto"/>
                <w:kern w:val="0"/>
              </w:rPr>
              <w:t>3400</w:t>
            </w:r>
          </w:p>
        </w:tc>
        <w:tc>
          <w:tcPr>
            <w:tcW w:w="442" w:type="pct"/>
            <w:tcBorders>
              <w:top w:val="single" w:color="auto" w:sz="4" w:space="0"/>
              <w:left w:val="nil"/>
              <w:bottom w:val="single" w:color="auto" w:sz="4" w:space="0"/>
              <w:right w:val="single" w:color="auto" w:sz="4" w:space="0"/>
            </w:tcBorders>
            <w:vAlign w:val="center"/>
          </w:tcPr>
          <w:p w14:paraId="5D6AF11E">
            <w:pPr>
              <w:widowControl/>
              <w:spacing w:line="240" w:lineRule="auto"/>
              <w:jc w:val="center"/>
              <w:rPr>
                <w:color w:val="auto"/>
                <w:kern w:val="0"/>
              </w:rPr>
            </w:pPr>
            <w:r>
              <w:rPr>
                <w:rFonts w:hint="eastAsia"/>
                <w:color w:val="auto"/>
                <w:kern w:val="0"/>
              </w:rPr>
              <w:t>±</w:t>
            </w:r>
            <w:r>
              <w:rPr>
                <w:color w:val="auto"/>
                <w:kern w:val="0"/>
              </w:rPr>
              <w:t>5</w:t>
            </w:r>
          </w:p>
        </w:tc>
        <w:tc>
          <w:tcPr>
            <w:tcW w:w="224" w:type="pct"/>
            <w:tcBorders>
              <w:top w:val="single" w:color="auto" w:sz="4" w:space="0"/>
              <w:left w:val="single" w:color="auto" w:sz="4" w:space="0"/>
              <w:bottom w:val="single" w:color="auto" w:sz="4" w:space="0"/>
              <w:right w:val="single" w:color="auto" w:sz="4" w:space="0"/>
            </w:tcBorders>
            <w:vAlign w:val="center"/>
          </w:tcPr>
          <w:p w14:paraId="6AB1001C">
            <w:pPr>
              <w:widowControl/>
              <w:spacing w:line="240" w:lineRule="auto"/>
              <w:jc w:val="center"/>
              <w:rPr>
                <w:color w:val="auto"/>
                <w:kern w:val="0"/>
              </w:rPr>
            </w:pPr>
            <w:r>
              <w:rPr>
                <w:rFonts w:hint="eastAsia"/>
                <w:color w:val="auto"/>
                <w:kern w:val="0"/>
              </w:rPr>
              <w:t>≥2</w:t>
            </w:r>
          </w:p>
        </w:tc>
        <w:tc>
          <w:tcPr>
            <w:tcW w:w="442" w:type="pct"/>
            <w:tcBorders>
              <w:top w:val="single" w:color="auto" w:sz="4" w:space="0"/>
              <w:left w:val="single" w:color="auto" w:sz="4" w:space="0"/>
              <w:bottom w:val="single" w:color="auto" w:sz="4" w:space="0"/>
              <w:right w:val="single" w:color="auto" w:sz="4" w:space="0"/>
            </w:tcBorders>
            <w:vAlign w:val="center"/>
          </w:tcPr>
          <w:p w14:paraId="235E27D0">
            <w:pPr>
              <w:widowControl/>
              <w:spacing w:line="240" w:lineRule="auto"/>
              <w:jc w:val="center"/>
              <w:rPr>
                <w:color w:val="auto"/>
                <w:kern w:val="0"/>
              </w:rPr>
            </w:pPr>
            <w:r>
              <w:rPr>
                <w:rFonts w:hint="eastAsia"/>
                <w:color w:val="auto"/>
                <w:kern w:val="0"/>
              </w:rPr>
              <w:t>水平</w:t>
            </w:r>
          </w:p>
        </w:tc>
        <w:tc>
          <w:tcPr>
            <w:tcW w:w="442" w:type="pct"/>
            <w:tcBorders>
              <w:top w:val="single" w:color="auto" w:sz="4" w:space="0"/>
              <w:left w:val="single" w:color="auto" w:sz="4" w:space="0"/>
              <w:bottom w:val="single" w:color="auto" w:sz="4" w:space="0"/>
              <w:right w:val="single" w:color="auto" w:sz="4" w:space="0"/>
            </w:tcBorders>
            <w:vAlign w:val="center"/>
          </w:tcPr>
          <w:p w14:paraId="6E2A10C7">
            <w:pPr>
              <w:widowControl/>
              <w:spacing w:line="240" w:lineRule="auto"/>
              <w:jc w:val="center"/>
              <w:rPr>
                <w:color w:val="auto"/>
                <w:kern w:val="0"/>
              </w:rPr>
            </w:pPr>
            <w:r>
              <w:rPr>
                <w:rFonts w:hint="eastAsia"/>
                <w:color w:val="auto"/>
                <w:kern w:val="0"/>
              </w:rPr>
              <w:t>高能质子实验大厅</w:t>
            </w:r>
          </w:p>
        </w:tc>
      </w:tr>
      <w:tr w14:paraId="323B1990">
        <w:tblPrEx>
          <w:tblCellMar>
            <w:top w:w="0" w:type="dxa"/>
            <w:left w:w="0" w:type="dxa"/>
            <w:bottom w:w="0" w:type="dxa"/>
            <w:right w:w="0" w:type="dxa"/>
          </w:tblCellMar>
        </w:tblPrEx>
        <w:trPr>
          <w:trHeight w:val="300" w:hRule="atLeast"/>
        </w:trPr>
        <w:tc>
          <w:tcPr>
            <w:tcW w:w="224" w:type="pct"/>
            <w:tcBorders>
              <w:top w:val="nil"/>
              <w:left w:val="single" w:color="auto" w:sz="4" w:space="0"/>
              <w:bottom w:val="single" w:color="auto" w:sz="4" w:space="0"/>
              <w:right w:val="single" w:color="auto" w:sz="4" w:space="0"/>
            </w:tcBorders>
            <w:vAlign w:val="center"/>
          </w:tcPr>
          <w:p w14:paraId="52770AE2">
            <w:pPr>
              <w:widowControl/>
              <w:spacing w:line="240" w:lineRule="auto"/>
              <w:jc w:val="center"/>
              <w:rPr>
                <w:color w:val="auto"/>
                <w:kern w:val="0"/>
              </w:rPr>
            </w:pPr>
            <w:r>
              <w:rPr>
                <w:rFonts w:hint="eastAsia"/>
                <w:color w:val="auto"/>
                <w:kern w:val="0"/>
              </w:rPr>
              <w:t>2</w:t>
            </w:r>
          </w:p>
        </w:tc>
        <w:tc>
          <w:tcPr>
            <w:tcW w:w="552" w:type="pct"/>
            <w:tcBorders>
              <w:top w:val="nil"/>
              <w:left w:val="single" w:color="auto" w:sz="4" w:space="0"/>
              <w:bottom w:val="single" w:color="auto" w:sz="4" w:space="0"/>
              <w:right w:val="single" w:color="auto" w:sz="4" w:space="0"/>
            </w:tcBorders>
            <w:vAlign w:val="center"/>
          </w:tcPr>
          <w:p w14:paraId="3BE9700C">
            <w:pPr>
              <w:widowControl/>
              <w:spacing w:line="240" w:lineRule="auto"/>
              <w:jc w:val="center"/>
              <w:rPr>
                <w:color w:val="auto"/>
                <w:kern w:val="0"/>
              </w:rPr>
            </w:pPr>
            <w:r>
              <w:rPr>
                <w:rFonts w:hint="eastAsia"/>
                <w:color w:val="auto"/>
                <w:kern w:val="0"/>
              </w:rPr>
              <w:t>过滤器箱体</w:t>
            </w:r>
          </w:p>
        </w:tc>
        <w:tc>
          <w:tcPr>
            <w:tcW w:w="540" w:type="pct"/>
            <w:tcBorders>
              <w:top w:val="single" w:color="auto" w:sz="4" w:space="0"/>
              <w:left w:val="nil"/>
              <w:bottom w:val="single" w:color="auto" w:sz="4" w:space="0"/>
              <w:right w:val="single" w:color="auto" w:sz="4" w:space="0"/>
            </w:tcBorders>
            <w:vAlign w:val="center"/>
          </w:tcPr>
          <w:p w14:paraId="057C3E13">
            <w:pPr>
              <w:widowControl/>
              <w:spacing w:line="240" w:lineRule="auto"/>
              <w:jc w:val="center"/>
              <w:rPr>
                <w:rFonts w:eastAsiaTheme="minorEastAsia"/>
                <w:color w:val="auto"/>
                <w:kern w:val="0"/>
              </w:rPr>
            </w:pPr>
            <w:r>
              <w:rPr>
                <w:rFonts w:eastAsiaTheme="minorEastAsia"/>
                <w:color w:val="auto"/>
              </w:rPr>
              <w:t>PF-SCE-1/1</w:t>
            </w:r>
          </w:p>
        </w:tc>
        <w:tc>
          <w:tcPr>
            <w:tcW w:w="224" w:type="pct"/>
            <w:tcBorders>
              <w:top w:val="single" w:color="auto" w:sz="4" w:space="0"/>
              <w:left w:val="single" w:color="auto" w:sz="4" w:space="0"/>
              <w:bottom w:val="single" w:color="auto" w:sz="4" w:space="0"/>
              <w:right w:val="single" w:color="auto" w:sz="4" w:space="0"/>
            </w:tcBorders>
            <w:vAlign w:val="center"/>
          </w:tcPr>
          <w:p w14:paraId="0A661DD9">
            <w:pPr>
              <w:widowControl/>
              <w:spacing w:line="240" w:lineRule="auto"/>
              <w:jc w:val="center"/>
              <w:rPr>
                <w:color w:val="auto"/>
                <w:kern w:val="0"/>
              </w:rPr>
            </w:pPr>
            <w:r>
              <w:rPr>
                <w:color w:val="auto"/>
                <w:kern w:val="0"/>
              </w:rPr>
              <w:t>1</w:t>
            </w:r>
            <w:r>
              <w:rPr>
                <w:rFonts w:hint="eastAsia"/>
                <w:color w:val="auto"/>
                <w:kern w:val="0"/>
              </w:rPr>
              <w:t>台</w:t>
            </w:r>
          </w:p>
        </w:tc>
        <w:tc>
          <w:tcPr>
            <w:tcW w:w="442" w:type="pct"/>
            <w:tcBorders>
              <w:top w:val="nil"/>
              <w:left w:val="nil"/>
              <w:bottom w:val="single" w:color="auto" w:sz="4" w:space="0"/>
              <w:right w:val="single" w:color="auto" w:sz="4" w:space="0"/>
            </w:tcBorders>
            <w:vAlign w:val="center"/>
          </w:tcPr>
          <w:p w14:paraId="0A93B120">
            <w:pPr>
              <w:widowControl/>
              <w:spacing w:line="240" w:lineRule="auto"/>
              <w:jc w:val="center"/>
              <w:rPr>
                <w:color w:val="auto"/>
                <w:kern w:val="0"/>
              </w:rPr>
            </w:pPr>
            <w:r>
              <w:rPr>
                <w:color w:val="auto"/>
                <w:sz w:val="22"/>
                <w:szCs w:val="22"/>
              </w:rPr>
              <w:t>10200</w:t>
            </w:r>
          </w:p>
        </w:tc>
        <w:tc>
          <w:tcPr>
            <w:tcW w:w="442" w:type="pct"/>
            <w:tcBorders>
              <w:top w:val="nil"/>
              <w:left w:val="nil"/>
              <w:bottom w:val="single" w:color="auto" w:sz="4" w:space="0"/>
              <w:right w:val="single" w:color="auto" w:sz="4" w:space="0"/>
            </w:tcBorders>
            <w:vAlign w:val="center"/>
          </w:tcPr>
          <w:p w14:paraId="5EFEE14E">
            <w:pPr>
              <w:widowControl/>
              <w:spacing w:line="240" w:lineRule="auto"/>
              <w:jc w:val="center"/>
              <w:rPr>
                <w:color w:val="auto"/>
                <w:kern w:val="0"/>
              </w:rPr>
            </w:pPr>
            <w:r>
              <w:rPr>
                <w:color w:val="auto"/>
                <w:kern w:val="0"/>
              </w:rPr>
              <w:t>3</w:t>
            </w:r>
          </w:p>
        </w:tc>
        <w:tc>
          <w:tcPr>
            <w:tcW w:w="291" w:type="pct"/>
            <w:tcBorders>
              <w:top w:val="nil"/>
              <w:left w:val="nil"/>
              <w:bottom w:val="single" w:color="auto" w:sz="4" w:space="0"/>
              <w:right w:val="single" w:color="auto" w:sz="4" w:space="0"/>
            </w:tcBorders>
            <w:vAlign w:val="center"/>
          </w:tcPr>
          <w:p w14:paraId="73164E84">
            <w:pPr>
              <w:widowControl/>
              <w:spacing w:line="240" w:lineRule="auto"/>
              <w:jc w:val="center"/>
              <w:rPr>
                <w:color w:val="auto"/>
                <w:kern w:val="0"/>
              </w:rPr>
            </w:pPr>
            <w:r>
              <w:rPr>
                <w:color w:val="auto"/>
                <w:kern w:val="0"/>
              </w:rPr>
              <w:t>3</w:t>
            </w:r>
          </w:p>
        </w:tc>
        <w:tc>
          <w:tcPr>
            <w:tcW w:w="291" w:type="pct"/>
            <w:tcBorders>
              <w:top w:val="nil"/>
              <w:left w:val="nil"/>
              <w:bottom w:val="single" w:color="auto" w:sz="4" w:space="0"/>
              <w:right w:val="single" w:color="auto" w:sz="4" w:space="0"/>
            </w:tcBorders>
            <w:vAlign w:val="center"/>
          </w:tcPr>
          <w:p w14:paraId="39CF0E59">
            <w:pPr>
              <w:widowControl/>
              <w:spacing w:line="240" w:lineRule="auto"/>
              <w:jc w:val="center"/>
              <w:rPr>
                <w:color w:val="auto"/>
                <w:kern w:val="0"/>
              </w:rPr>
            </w:pPr>
            <w:r>
              <w:rPr>
                <w:color w:val="auto"/>
                <w:kern w:val="0"/>
              </w:rPr>
              <w:t>0</w:t>
            </w:r>
          </w:p>
        </w:tc>
        <w:tc>
          <w:tcPr>
            <w:tcW w:w="443" w:type="pct"/>
            <w:tcBorders>
              <w:top w:val="nil"/>
              <w:left w:val="nil"/>
              <w:bottom w:val="single" w:color="auto" w:sz="4" w:space="0"/>
              <w:right w:val="single" w:color="auto" w:sz="4" w:space="0"/>
            </w:tcBorders>
            <w:vAlign w:val="center"/>
          </w:tcPr>
          <w:p w14:paraId="5766317D">
            <w:pPr>
              <w:widowControl/>
              <w:spacing w:line="240" w:lineRule="auto"/>
              <w:jc w:val="center"/>
              <w:rPr>
                <w:color w:val="auto"/>
                <w:kern w:val="0"/>
              </w:rPr>
            </w:pPr>
            <w:r>
              <w:rPr>
                <w:color w:val="auto"/>
                <w:kern w:val="0"/>
              </w:rPr>
              <w:t>3400</w:t>
            </w:r>
          </w:p>
        </w:tc>
        <w:tc>
          <w:tcPr>
            <w:tcW w:w="442" w:type="pct"/>
            <w:tcBorders>
              <w:top w:val="single" w:color="auto" w:sz="4" w:space="0"/>
              <w:left w:val="nil"/>
              <w:bottom w:val="single" w:color="auto" w:sz="4" w:space="0"/>
              <w:right w:val="single" w:color="auto" w:sz="4" w:space="0"/>
            </w:tcBorders>
            <w:vAlign w:val="center"/>
          </w:tcPr>
          <w:p w14:paraId="06857B5B">
            <w:pPr>
              <w:widowControl/>
              <w:spacing w:line="240" w:lineRule="auto"/>
              <w:jc w:val="center"/>
              <w:rPr>
                <w:color w:val="auto"/>
                <w:kern w:val="0"/>
              </w:rPr>
            </w:pPr>
            <w:r>
              <w:rPr>
                <w:rFonts w:hint="eastAsia"/>
                <w:color w:val="auto"/>
                <w:kern w:val="0"/>
              </w:rPr>
              <w:t>±1</w:t>
            </w:r>
            <w:r>
              <w:rPr>
                <w:color w:val="auto"/>
                <w:kern w:val="0"/>
              </w:rPr>
              <w:t>5</w:t>
            </w:r>
          </w:p>
        </w:tc>
        <w:tc>
          <w:tcPr>
            <w:tcW w:w="224" w:type="pct"/>
            <w:tcBorders>
              <w:top w:val="single" w:color="auto" w:sz="4" w:space="0"/>
              <w:left w:val="single" w:color="auto" w:sz="4" w:space="0"/>
              <w:bottom w:val="single" w:color="auto" w:sz="4" w:space="0"/>
              <w:right w:val="single" w:color="auto" w:sz="4" w:space="0"/>
            </w:tcBorders>
            <w:vAlign w:val="center"/>
          </w:tcPr>
          <w:p w14:paraId="49D9F799">
            <w:pPr>
              <w:widowControl/>
              <w:spacing w:line="240" w:lineRule="auto"/>
              <w:jc w:val="center"/>
              <w:rPr>
                <w:color w:val="auto"/>
                <w:kern w:val="0"/>
              </w:rPr>
            </w:pPr>
            <w:r>
              <w:rPr>
                <w:rFonts w:hint="eastAsia"/>
                <w:color w:val="auto"/>
                <w:kern w:val="0"/>
              </w:rPr>
              <w:t>≥3</w:t>
            </w:r>
          </w:p>
        </w:tc>
        <w:tc>
          <w:tcPr>
            <w:tcW w:w="442" w:type="pct"/>
            <w:tcBorders>
              <w:top w:val="single" w:color="auto" w:sz="4" w:space="0"/>
              <w:left w:val="single" w:color="auto" w:sz="4" w:space="0"/>
              <w:bottom w:val="single" w:color="auto" w:sz="4" w:space="0"/>
              <w:right w:val="single" w:color="auto" w:sz="4" w:space="0"/>
            </w:tcBorders>
            <w:vAlign w:val="center"/>
          </w:tcPr>
          <w:p w14:paraId="49FC827F">
            <w:pPr>
              <w:widowControl/>
              <w:spacing w:line="240" w:lineRule="auto"/>
              <w:jc w:val="center"/>
              <w:rPr>
                <w:color w:val="auto"/>
                <w:kern w:val="0"/>
              </w:rPr>
            </w:pPr>
            <w:r>
              <w:rPr>
                <w:rFonts w:hint="eastAsia"/>
                <w:color w:val="auto"/>
                <w:kern w:val="0"/>
              </w:rPr>
              <w:t>水平</w:t>
            </w:r>
          </w:p>
        </w:tc>
        <w:tc>
          <w:tcPr>
            <w:tcW w:w="442" w:type="pct"/>
            <w:tcBorders>
              <w:top w:val="single" w:color="auto" w:sz="4" w:space="0"/>
              <w:left w:val="single" w:color="auto" w:sz="4" w:space="0"/>
              <w:bottom w:val="single" w:color="auto" w:sz="4" w:space="0"/>
              <w:right w:val="single" w:color="auto" w:sz="4" w:space="0"/>
            </w:tcBorders>
            <w:vAlign w:val="center"/>
          </w:tcPr>
          <w:p w14:paraId="77271AC6">
            <w:pPr>
              <w:widowControl/>
              <w:spacing w:line="240" w:lineRule="auto"/>
              <w:jc w:val="center"/>
              <w:rPr>
                <w:color w:val="auto"/>
                <w:kern w:val="0"/>
              </w:rPr>
            </w:pPr>
            <w:r>
              <w:rPr>
                <w:rFonts w:hint="eastAsia"/>
                <w:color w:val="auto"/>
                <w:kern w:val="0"/>
              </w:rPr>
              <w:t>靶站</w:t>
            </w:r>
          </w:p>
        </w:tc>
      </w:tr>
      <w:tr w14:paraId="0DEBC3A0">
        <w:tblPrEx>
          <w:tblCellMar>
            <w:top w:w="0" w:type="dxa"/>
            <w:left w:w="0" w:type="dxa"/>
            <w:bottom w:w="0" w:type="dxa"/>
            <w:right w:w="0" w:type="dxa"/>
          </w:tblCellMar>
        </w:tblPrEx>
        <w:trPr>
          <w:trHeight w:val="300" w:hRule="atLeast"/>
        </w:trPr>
        <w:tc>
          <w:tcPr>
            <w:tcW w:w="224" w:type="pct"/>
            <w:tcBorders>
              <w:top w:val="nil"/>
              <w:left w:val="single" w:color="auto" w:sz="4" w:space="0"/>
              <w:bottom w:val="single" w:color="auto" w:sz="4" w:space="0"/>
              <w:right w:val="single" w:color="auto" w:sz="4" w:space="0"/>
            </w:tcBorders>
            <w:vAlign w:val="center"/>
          </w:tcPr>
          <w:p w14:paraId="20507810">
            <w:pPr>
              <w:widowControl/>
              <w:spacing w:line="240" w:lineRule="auto"/>
              <w:jc w:val="center"/>
              <w:rPr>
                <w:color w:val="auto"/>
                <w:kern w:val="0"/>
              </w:rPr>
            </w:pPr>
            <w:r>
              <w:rPr>
                <w:color w:val="auto"/>
                <w:kern w:val="0"/>
              </w:rPr>
              <w:t>3</w:t>
            </w:r>
          </w:p>
        </w:tc>
        <w:tc>
          <w:tcPr>
            <w:tcW w:w="552" w:type="pct"/>
            <w:tcBorders>
              <w:top w:val="nil"/>
              <w:left w:val="single" w:color="auto" w:sz="4" w:space="0"/>
              <w:bottom w:val="single" w:color="auto" w:sz="4" w:space="0"/>
              <w:right w:val="single" w:color="auto" w:sz="4" w:space="0"/>
            </w:tcBorders>
            <w:vAlign w:val="center"/>
          </w:tcPr>
          <w:p w14:paraId="4A1AD3FB">
            <w:pPr>
              <w:widowControl/>
              <w:spacing w:line="240" w:lineRule="auto"/>
              <w:jc w:val="center"/>
              <w:rPr>
                <w:color w:val="auto"/>
                <w:kern w:val="0"/>
              </w:rPr>
            </w:pPr>
            <w:r>
              <w:rPr>
                <w:rFonts w:hint="eastAsia"/>
                <w:color w:val="auto"/>
                <w:kern w:val="0"/>
              </w:rPr>
              <w:t>过滤器箱体</w:t>
            </w:r>
          </w:p>
        </w:tc>
        <w:tc>
          <w:tcPr>
            <w:tcW w:w="540" w:type="pct"/>
            <w:tcBorders>
              <w:top w:val="single" w:color="auto" w:sz="4" w:space="0"/>
              <w:left w:val="nil"/>
              <w:bottom w:val="single" w:color="auto" w:sz="4" w:space="0"/>
              <w:right w:val="single" w:color="auto" w:sz="4" w:space="0"/>
            </w:tcBorders>
            <w:vAlign w:val="center"/>
          </w:tcPr>
          <w:p w14:paraId="024319AE">
            <w:pPr>
              <w:widowControl/>
              <w:spacing w:line="240" w:lineRule="auto"/>
              <w:jc w:val="center"/>
              <w:rPr>
                <w:rFonts w:eastAsiaTheme="minorEastAsia"/>
                <w:color w:val="auto"/>
                <w:kern w:val="0"/>
              </w:rPr>
            </w:pPr>
            <w:r>
              <w:rPr>
                <w:rFonts w:eastAsiaTheme="minorEastAsia"/>
                <w:color w:val="auto"/>
              </w:rPr>
              <w:t>PF-SCE-1/2</w:t>
            </w:r>
          </w:p>
        </w:tc>
        <w:tc>
          <w:tcPr>
            <w:tcW w:w="224" w:type="pct"/>
            <w:tcBorders>
              <w:top w:val="single" w:color="auto" w:sz="4" w:space="0"/>
              <w:left w:val="single" w:color="auto" w:sz="4" w:space="0"/>
              <w:bottom w:val="single" w:color="auto" w:sz="4" w:space="0"/>
              <w:right w:val="single" w:color="auto" w:sz="4" w:space="0"/>
            </w:tcBorders>
            <w:vAlign w:val="center"/>
          </w:tcPr>
          <w:p w14:paraId="633CE55A">
            <w:pPr>
              <w:widowControl/>
              <w:spacing w:line="240" w:lineRule="auto"/>
              <w:jc w:val="center"/>
              <w:rPr>
                <w:color w:val="auto"/>
                <w:kern w:val="0"/>
              </w:rPr>
            </w:pPr>
            <w:r>
              <w:rPr>
                <w:color w:val="auto"/>
                <w:kern w:val="0"/>
              </w:rPr>
              <w:t>1</w:t>
            </w:r>
            <w:r>
              <w:rPr>
                <w:rFonts w:hint="eastAsia"/>
                <w:color w:val="auto"/>
                <w:kern w:val="0"/>
              </w:rPr>
              <w:t>台</w:t>
            </w:r>
          </w:p>
        </w:tc>
        <w:tc>
          <w:tcPr>
            <w:tcW w:w="442" w:type="pct"/>
            <w:tcBorders>
              <w:top w:val="nil"/>
              <w:left w:val="nil"/>
              <w:bottom w:val="single" w:color="auto" w:sz="4" w:space="0"/>
              <w:right w:val="single" w:color="auto" w:sz="4" w:space="0"/>
            </w:tcBorders>
            <w:vAlign w:val="center"/>
          </w:tcPr>
          <w:p w14:paraId="32378FEE">
            <w:pPr>
              <w:widowControl/>
              <w:spacing w:line="240" w:lineRule="auto"/>
              <w:jc w:val="center"/>
              <w:rPr>
                <w:color w:val="auto"/>
                <w:kern w:val="0"/>
              </w:rPr>
            </w:pPr>
            <w:r>
              <w:rPr>
                <w:color w:val="auto"/>
                <w:sz w:val="22"/>
                <w:szCs w:val="22"/>
              </w:rPr>
              <w:t>10200</w:t>
            </w:r>
          </w:p>
        </w:tc>
        <w:tc>
          <w:tcPr>
            <w:tcW w:w="442" w:type="pct"/>
            <w:tcBorders>
              <w:top w:val="nil"/>
              <w:left w:val="nil"/>
              <w:bottom w:val="single" w:color="auto" w:sz="4" w:space="0"/>
              <w:right w:val="single" w:color="auto" w:sz="4" w:space="0"/>
            </w:tcBorders>
            <w:vAlign w:val="center"/>
          </w:tcPr>
          <w:p w14:paraId="18996CF6">
            <w:pPr>
              <w:widowControl/>
              <w:spacing w:line="240" w:lineRule="auto"/>
              <w:jc w:val="center"/>
              <w:rPr>
                <w:color w:val="auto"/>
                <w:kern w:val="0"/>
              </w:rPr>
            </w:pPr>
            <w:r>
              <w:rPr>
                <w:color w:val="auto"/>
                <w:kern w:val="0"/>
              </w:rPr>
              <w:t>3</w:t>
            </w:r>
          </w:p>
        </w:tc>
        <w:tc>
          <w:tcPr>
            <w:tcW w:w="291" w:type="pct"/>
            <w:tcBorders>
              <w:top w:val="nil"/>
              <w:left w:val="nil"/>
              <w:bottom w:val="single" w:color="auto" w:sz="4" w:space="0"/>
              <w:right w:val="single" w:color="auto" w:sz="4" w:space="0"/>
            </w:tcBorders>
            <w:vAlign w:val="center"/>
          </w:tcPr>
          <w:p w14:paraId="50F5E87E">
            <w:pPr>
              <w:widowControl/>
              <w:spacing w:line="240" w:lineRule="auto"/>
              <w:jc w:val="center"/>
              <w:rPr>
                <w:color w:val="auto"/>
                <w:kern w:val="0"/>
              </w:rPr>
            </w:pPr>
            <w:r>
              <w:rPr>
                <w:color w:val="auto"/>
                <w:kern w:val="0"/>
              </w:rPr>
              <w:t>3</w:t>
            </w:r>
          </w:p>
        </w:tc>
        <w:tc>
          <w:tcPr>
            <w:tcW w:w="291" w:type="pct"/>
            <w:tcBorders>
              <w:top w:val="nil"/>
              <w:left w:val="nil"/>
              <w:bottom w:val="single" w:color="auto" w:sz="4" w:space="0"/>
              <w:right w:val="single" w:color="auto" w:sz="4" w:space="0"/>
            </w:tcBorders>
            <w:vAlign w:val="center"/>
          </w:tcPr>
          <w:p w14:paraId="04E4FC6C">
            <w:pPr>
              <w:widowControl/>
              <w:spacing w:line="240" w:lineRule="auto"/>
              <w:jc w:val="center"/>
              <w:rPr>
                <w:color w:val="auto"/>
                <w:kern w:val="0"/>
              </w:rPr>
            </w:pPr>
            <w:r>
              <w:rPr>
                <w:color w:val="auto"/>
                <w:kern w:val="0"/>
              </w:rPr>
              <w:t>0</w:t>
            </w:r>
          </w:p>
        </w:tc>
        <w:tc>
          <w:tcPr>
            <w:tcW w:w="443" w:type="pct"/>
            <w:tcBorders>
              <w:top w:val="nil"/>
              <w:left w:val="nil"/>
              <w:bottom w:val="single" w:color="auto" w:sz="4" w:space="0"/>
              <w:right w:val="single" w:color="auto" w:sz="4" w:space="0"/>
            </w:tcBorders>
            <w:vAlign w:val="center"/>
          </w:tcPr>
          <w:p w14:paraId="5FB47C1F">
            <w:pPr>
              <w:widowControl/>
              <w:spacing w:line="240" w:lineRule="auto"/>
              <w:jc w:val="center"/>
              <w:rPr>
                <w:color w:val="auto"/>
                <w:kern w:val="0"/>
              </w:rPr>
            </w:pPr>
            <w:r>
              <w:rPr>
                <w:color w:val="auto"/>
                <w:kern w:val="0"/>
              </w:rPr>
              <w:t>3400</w:t>
            </w:r>
          </w:p>
        </w:tc>
        <w:tc>
          <w:tcPr>
            <w:tcW w:w="442" w:type="pct"/>
            <w:tcBorders>
              <w:top w:val="single" w:color="auto" w:sz="4" w:space="0"/>
              <w:left w:val="nil"/>
              <w:bottom w:val="single" w:color="auto" w:sz="4" w:space="0"/>
              <w:right w:val="single" w:color="auto" w:sz="4" w:space="0"/>
            </w:tcBorders>
            <w:vAlign w:val="center"/>
          </w:tcPr>
          <w:p w14:paraId="2A0A96A4">
            <w:pPr>
              <w:widowControl/>
              <w:spacing w:line="240" w:lineRule="auto"/>
              <w:jc w:val="center"/>
              <w:rPr>
                <w:color w:val="auto"/>
                <w:kern w:val="0"/>
              </w:rPr>
            </w:pPr>
            <w:r>
              <w:rPr>
                <w:rFonts w:hint="eastAsia"/>
                <w:color w:val="auto"/>
                <w:kern w:val="0"/>
              </w:rPr>
              <w:t>±1</w:t>
            </w:r>
            <w:r>
              <w:rPr>
                <w:color w:val="auto"/>
                <w:kern w:val="0"/>
              </w:rPr>
              <w:t>5</w:t>
            </w:r>
          </w:p>
        </w:tc>
        <w:tc>
          <w:tcPr>
            <w:tcW w:w="224" w:type="pct"/>
            <w:tcBorders>
              <w:top w:val="single" w:color="auto" w:sz="4" w:space="0"/>
              <w:left w:val="single" w:color="auto" w:sz="4" w:space="0"/>
              <w:bottom w:val="single" w:color="auto" w:sz="4" w:space="0"/>
              <w:right w:val="single" w:color="auto" w:sz="4" w:space="0"/>
            </w:tcBorders>
            <w:vAlign w:val="center"/>
          </w:tcPr>
          <w:p w14:paraId="7341E233">
            <w:pPr>
              <w:widowControl/>
              <w:spacing w:line="240" w:lineRule="auto"/>
              <w:jc w:val="center"/>
              <w:rPr>
                <w:color w:val="auto"/>
                <w:kern w:val="0"/>
              </w:rPr>
            </w:pPr>
            <w:r>
              <w:rPr>
                <w:rFonts w:hint="eastAsia"/>
                <w:color w:val="auto"/>
                <w:kern w:val="0"/>
              </w:rPr>
              <w:t>≥</w:t>
            </w:r>
            <w:r>
              <w:rPr>
                <w:color w:val="auto"/>
                <w:kern w:val="0"/>
              </w:rPr>
              <w:t>3</w:t>
            </w:r>
          </w:p>
        </w:tc>
        <w:tc>
          <w:tcPr>
            <w:tcW w:w="442" w:type="pct"/>
            <w:tcBorders>
              <w:top w:val="single" w:color="auto" w:sz="4" w:space="0"/>
              <w:left w:val="single" w:color="auto" w:sz="4" w:space="0"/>
              <w:bottom w:val="single" w:color="auto" w:sz="4" w:space="0"/>
              <w:right w:val="single" w:color="auto" w:sz="4" w:space="0"/>
            </w:tcBorders>
            <w:vAlign w:val="center"/>
          </w:tcPr>
          <w:p w14:paraId="418FA973">
            <w:pPr>
              <w:widowControl/>
              <w:spacing w:line="240" w:lineRule="auto"/>
              <w:jc w:val="center"/>
              <w:rPr>
                <w:color w:val="auto"/>
                <w:kern w:val="0"/>
              </w:rPr>
            </w:pPr>
            <w:r>
              <w:rPr>
                <w:rFonts w:hint="eastAsia"/>
                <w:color w:val="auto"/>
                <w:kern w:val="0"/>
              </w:rPr>
              <w:t>水平</w:t>
            </w:r>
          </w:p>
        </w:tc>
        <w:tc>
          <w:tcPr>
            <w:tcW w:w="442" w:type="pct"/>
            <w:tcBorders>
              <w:top w:val="single" w:color="auto" w:sz="4" w:space="0"/>
              <w:left w:val="single" w:color="auto" w:sz="4" w:space="0"/>
              <w:bottom w:val="single" w:color="auto" w:sz="4" w:space="0"/>
              <w:right w:val="single" w:color="auto" w:sz="4" w:space="0"/>
            </w:tcBorders>
            <w:vAlign w:val="center"/>
          </w:tcPr>
          <w:p w14:paraId="3F648269">
            <w:pPr>
              <w:widowControl/>
              <w:spacing w:line="240" w:lineRule="auto"/>
              <w:jc w:val="center"/>
              <w:rPr>
                <w:color w:val="auto"/>
                <w:kern w:val="0"/>
              </w:rPr>
            </w:pPr>
            <w:r>
              <w:rPr>
                <w:rFonts w:hint="eastAsia"/>
                <w:color w:val="auto"/>
                <w:kern w:val="0"/>
              </w:rPr>
              <w:t>靶站</w:t>
            </w:r>
          </w:p>
        </w:tc>
      </w:tr>
      <w:tr w14:paraId="4A5C8024">
        <w:tblPrEx>
          <w:tblCellMar>
            <w:top w:w="0" w:type="dxa"/>
            <w:left w:w="0" w:type="dxa"/>
            <w:bottom w:w="0" w:type="dxa"/>
            <w:right w:w="0" w:type="dxa"/>
          </w:tblCellMar>
        </w:tblPrEx>
        <w:trPr>
          <w:trHeight w:val="300" w:hRule="atLeast"/>
        </w:trPr>
        <w:tc>
          <w:tcPr>
            <w:tcW w:w="224" w:type="pct"/>
            <w:tcBorders>
              <w:top w:val="nil"/>
              <w:left w:val="single" w:color="auto" w:sz="4" w:space="0"/>
              <w:bottom w:val="single" w:color="auto" w:sz="4" w:space="0"/>
              <w:right w:val="single" w:color="auto" w:sz="4" w:space="0"/>
            </w:tcBorders>
            <w:vAlign w:val="center"/>
          </w:tcPr>
          <w:p w14:paraId="28BC7D8F">
            <w:pPr>
              <w:widowControl/>
              <w:spacing w:line="240" w:lineRule="auto"/>
              <w:jc w:val="center"/>
              <w:rPr>
                <w:color w:val="auto"/>
                <w:kern w:val="0"/>
              </w:rPr>
            </w:pPr>
            <w:r>
              <w:rPr>
                <w:color w:val="auto"/>
                <w:kern w:val="0"/>
              </w:rPr>
              <w:t>4</w:t>
            </w:r>
          </w:p>
        </w:tc>
        <w:tc>
          <w:tcPr>
            <w:tcW w:w="552" w:type="pct"/>
            <w:tcBorders>
              <w:top w:val="nil"/>
              <w:left w:val="single" w:color="auto" w:sz="4" w:space="0"/>
              <w:bottom w:val="single" w:color="auto" w:sz="4" w:space="0"/>
              <w:right w:val="single" w:color="auto" w:sz="4" w:space="0"/>
            </w:tcBorders>
            <w:vAlign w:val="center"/>
          </w:tcPr>
          <w:p w14:paraId="6229A5C6">
            <w:pPr>
              <w:widowControl/>
              <w:spacing w:line="240" w:lineRule="auto"/>
              <w:jc w:val="center"/>
              <w:rPr>
                <w:color w:val="auto"/>
                <w:kern w:val="0"/>
              </w:rPr>
            </w:pPr>
            <w:r>
              <w:rPr>
                <w:rFonts w:hint="eastAsia"/>
                <w:color w:val="auto"/>
                <w:kern w:val="0"/>
              </w:rPr>
              <w:t>过滤器箱体</w:t>
            </w:r>
          </w:p>
        </w:tc>
        <w:tc>
          <w:tcPr>
            <w:tcW w:w="540" w:type="pct"/>
            <w:tcBorders>
              <w:top w:val="single" w:color="auto" w:sz="4" w:space="0"/>
              <w:left w:val="nil"/>
              <w:bottom w:val="single" w:color="auto" w:sz="4" w:space="0"/>
              <w:right w:val="single" w:color="auto" w:sz="4" w:space="0"/>
            </w:tcBorders>
            <w:vAlign w:val="center"/>
          </w:tcPr>
          <w:p w14:paraId="72C97A10">
            <w:pPr>
              <w:widowControl/>
              <w:spacing w:line="240" w:lineRule="auto"/>
              <w:jc w:val="center"/>
              <w:rPr>
                <w:rFonts w:eastAsiaTheme="minorEastAsia"/>
                <w:color w:val="auto"/>
                <w:kern w:val="0"/>
              </w:rPr>
            </w:pPr>
            <w:r>
              <w:rPr>
                <w:rFonts w:eastAsiaTheme="minorEastAsia"/>
                <w:color w:val="auto"/>
              </w:rPr>
              <w:t>PF-HP-3</w:t>
            </w:r>
          </w:p>
        </w:tc>
        <w:tc>
          <w:tcPr>
            <w:tcW w:w="224" w:type="pct"/>
            <w:tcBorders>
              <w:top w:val="single" w:color="auto" w:sz="4" w:space="0"/>
              <w:left w:val="single" w:color="auto" w:sz="4" w:space="0"/>
              <w:bottom w:val="single" w:color="auto" w:sz="4" w:space="0"/>
              <w:right w:val="single" w:color="auto" w:sz="4" w:space="0"/>
            </w:tcBorders>
            <w:vAlign w:val="center"/>
          </w:tcPr>
          <w:p w14:paraId="365CAF8D">
            <w:pPr>
              <w:widowControl/>
              <w:spacing w:line="240" w:lineRule="auto"/>
              <w:jc w:val="center"/>
              <w:rPr>
                <w:color w:val="auto"/>
                <w:kern w:val="0"/>
              </w:rPr>
            </w:pPr>
            <w:r>
              <w:rPr>
                <w:color w:val="auto"/>
                <w:kern w:val="0"/>
              </w:rPr>
              <w:t>1</w:t>
            </w:r>
            <w:r>
              <w:rPr>
                <w:rFonts w:hint="eastAsia"/>
                <w:color w:val="auto"/>
                <w:kern w:val="0"/>
              </w:rPr>
              <w:t>台</w:t>
            </w:r>
          </w:p>
        </w:tc>
        <w:tc>
          <w:tcPr>
            <w:tcW w:w="442" w:type="pct"/>
            <w:tcBorders>
              <w:top w:val="nil"/>
              <w:left w:val="nil"/>
              <w:bottom w:val="single" w:color="auto" w:sz="4" w:space="0"/>
              <w:right w:val="single" w:color="auto" w:sz="4" w:space="0"/>
            </w:tcBorders>
            <w:vAlign w:val="center"/>
          </w:tcPr>
          <w:p w14:paraId="1CC771E4">
            <w:pPr>
              <w:widowControl/>
              <w:spacing w:line="240" w:lineRule="auto"/>
              <w:jc w:val="center"/>
              <w:rPr>
                <w:color w:val="auto"/>
                <w:kern w:val="0"/>
              </w:rPr>
            </w:pPr>
            <w:r>
              <w:rPr>
                <w:color w:val="auto"/>
                <w:sz w:val="22"/>
                <w:szCs w:val="22"/>
              </w:rPr>
              <w:t>6800</w:t>
            </w:r>
          </w:p>
        </w:tc>
        <w:tc>
          <w:tcPr>
            <w:tcW w:w="442" w:type="pct"/>
            <w:tcBorders>
              <w:top w:val="nil"/>
              <w:left w:val="nil"/>
              <w:bottom w:val="single" w:color="auto" w:sz="4" w:space="0"/>
              <w:right w:val="single" w:color="auto" w:sz="4" w:space="0"/>
            </w:tcBorders>
            <w:vAlign w:val="center"/>
          </w:tcPr>
          <w:p w14:paraId="2A68FE1D">
            <w:pPr>
              <w:widowControl/>
              <w:spacing w:line="240" w:lineRule="auto"/>
              <w:jc w:val="center"/>
              <w:rPr>
                <w:color w:val="auto"/>
                <w:kern w:val="0"/>
              </w:rPr>
            </w:pPr>
            <w:r>
              <w:rPr>
                <w:rFonts w:hint="eastAsia"/>
                <w:color w:val="auto"/>
                <w:kern w:val="0"/>
              </w:rPr>
              <w:t>2</w:t>
            </w:r>
          </w:p>
        </w:tc>
        <w:tc>
          <w:tcPr>
            <w:tcW w:w="291" w:type="pct"/>
            <w:tcBorders>
              <w:top w:val="nil"/>
              <w:left w:val="nil"/>
              <w:bottom w:val="single" w:color="auto" w:sz="4" w:space="0"/>
              <w:right w:val="single" w:color="auto" w:sz="4" w:space="0"/>
            </w:tcBorders>
            <w:vAlign w:val="center"/>
          </w:tcPr>
          <w:p w14:paraId="18E9608D">
            <w:pPr>
              <w:widowControl/>
              <w:spacing w:line="240" w:lineRule="auto"/>
              <w:jc w:val="center"/>
              <w:rPr>
                <w:color w:val="auto"/>
                <w:kern w:val="0"/>
              </w:rPr>
            </w:pPr>
            <w:r>
              <w:rPr>
                <w:rFonts w:hint="eastAsia"/>
                <w:color w:val="auto"/>
                <w:kern w:val="0"/>
              </w:rPr>
              <w:t>2</w:t>
            </w:r>
          </w:p>
        </w:tc>
        <w:tc>
          <w:tcPr>
            <w:tcW w:w="291" w:type="pct"/>
            <w:tcBorders>
              <w:top w:val="nil"/>
              <w:left w:val="nil"/>
              <w:bottom w:val="single" w:color="auto" w:sz="4" w:space="0"/>
              <w:right w:val="single" w:color="auto" w:sz="4" w:space="0"/>
            </w:tcBorders>
            <w:vAlign w:val="center"/>
          </w:tcPr>
          <w:p w14:paraId="4C29B5AC">
            <w:pPr>
              <w:widowControl/>
              <w:spacing w:line="240" w:lineRule="auto"/>
              <w:jc w:val="center"/>
              <w:rPr>
                <w:color w:val="auto"/>
                <w:kern w:val="0"/>
              </w:rPr>
            </w:pPr>
            <w:r>
              <w:rPr>
                <w:color w:val="auto"/>
                <w:kern w:val="0"/>
              </w:rPr>
              <w:t>0</w:t>
            </w:r>
          </w:p>
        </w:tc>
        <w:tc>
          <w:tcPr>
            <w:tcW w:w="443" w:type="pct"/>
            <w:tcBorders>
              <w:top w:val="nil"/>
              <w:left w:val="nil"/>
              <w:bottom w:val="single" w:color="auto" w:sz="4" w:space="0"/>
              <w:right w:val="single" w:color="auto" w:sz="4" w:space="0"/>
            </w:tcBorders>
            <w:vAlign w:val="center"/>
          </w:tcPr>
          <w:p w14:paraId="772B6704">
            <w:pPr>
              <w:widowControl/>
              <w:spacing w:line="240" w:lineRule="auto"/>
              <w:jc w:val="center"/>
              <w:rPr>
                <w:color w:val="auto"/>
                <w:kern w:val="0"/>
              </w:rPr>
            </w:pPr>
            <w:r>
              <w:rPr>
                <w:color w:val="auto"/>
                <w:kern w:val="0"/>
              </w:rPr>
              <w:t>3400</w:t>
            </w:r>
          </w:p>
        </w:tc>
        <w:tc>
          <w:tcPr>
            <w:tcW w:w="442" w:type="pct"/>
            <w:tcBorders>
              <w:top w:val="single" w:color="auto" w:sz="4" w:space="0"/>
              <w:left w:val="nil"/>
              <w:bottom w:val="single" w:color="auto" w:sz="4" w:space="0"/>
              <w:right w:val="single" w:color="auto" w:sz="4" w:space="0"/>
            </w:tcBorders>
            <w:vAlign w:val="center"/>
          </w:tcPr>
          <w:p w14:paraId="571BF4FF">
            <w:pPr>
              <w:widowControl/>
              <w:spacing w:line="240" w:lineRule="auto"/>
              <w:jc w:val="center"/>
              <w:rPr>
                <w:color w:val="auto"/>
                <w:kern w:val="0"/>
              </w:rPr>
            </w:pPr>
            <w:r>
              <w:rPr>
                <w:rFonts w:hint="eastAsia"/>
                <w:color w:val="auto"/>
                <w:kern w:val="0"/>
              </w:rPr>
              <w:t>±</w:t>
            </w:r>
            <w:r>
              <w:rPr>
                <w:color w:val="auto"/>
                <w:kern w:val="0"/>
              </w:rPr>
              <w:t>5</w:t>
            </w:r>
          </w:p>
        </w:tc>
        <w:tc>
          <w:tcPr>
            <w:tcW w:w="224" w:type="pct"/>
            <w:tcBorders>
              <w:top w:val="single" w:color="auto" w:sz="4" w:space="0"/>
              <w:left w:val="single" w:color="auto" w:sz="4" w:space="0"/>
              <w:bottom w:val="single" w:color="auto" w:sz="4" w:space="0"/>
              <w:right w:val="single" w:color="auto" w:sz="4" w:space="0"/>
            </w:tcBorders>
            <w:vAlign w:val="center"/>
          </w:tcPr>
          <w:p w14:paraId="6692ADE1">
            <w:pPr>
              <w:widowControl/>
              <w:spacing w:line="240" w:lineRule="auto"/>
              <w:jc w:val="center"/>
              <w:rPr>
                <w:color w:val="auto"/>
                <w:kern w:val="0"/>
              </w:rPr>
            </w:pPr>
            <w:r>
              <w:rPr>
                <w:rFonts w:hint="eastAsia"/>
                <w:color w:val="auto"/>
                <w:kern w:val="0"/>
              </w:rPr>
              <w:t>≥2</w:t>
            </w:r>
          </w:p>
        </w:tc>
        <w:tc>
          <w:tcPr>
            <w:tcW w:w="442" w:type="pct"/>
            <w:tcBorders>
              <w:top w:val="single" w:color="auto" w:sz="4" w:space="0"/>
              <w:left w:val="single" w:color="auto" w:sz="4" w:space="0"/>
              <w:bottom w:val="single" w:color="auto" w:sz="4" w:space="0"/>
              <w:right w:val="single" w:color="auto" w:sz="4" w:space="0"/>
            </w:tcBorders>
            <w:vAlign w:val="center"/>
          </w:tcPr>
          <w:p w14:paraId="24258960">
            <w:pPr>
              <w:widowControl/>
              <w:spacing w:line="240" w:lineRule="auto"/>
              <w:jc w:val="center"/>
              <w:rPr>
                <w:color w:val="auto"/>
                <w:kern w:val="0"/>
              </w:rPr>
            </w:pPr>
            <w:r>
              <w:rPr>
                <w:rFonts w:hint="eastAsia"/>
                <w:color w:val="auto"/>
                <w:kern w:val="0"/>
              </w:rPr>
              <w:t>水平</w:t>
            </w:r>
          </w:p>
        </w:tc>
        <w:tc>
          <w:tcPr>
            <w:tcW w:w="442" w:type="pct"/>
            <w:tcBorders>
              <w:top w:val="single" w:color="auto" w:sz="4" w:space="0"/>
              <w:left w:val="single" w:color="auto" w:sz="4" w:space="0"/>
              <w:bottom w:val="single" w:color="auto" w:sz="4" w:space="0"/>
              <w:right w:val="single" w:color="auto" w:sz="4" w:space="0"/>
            </w:tcBorders>
            <w:vAlign w:val="center"/>
          </w:tcPr>
          <w:p w14:paraId="4F13EC49">
            <w:pPr>
              <w:widowControl/>
              <w:spacing w:line="240" w:lineRule="auto"/>
              <w:jc w:val="center"/>
              <w:rPr>
                <w:color w:val="auto"/>
                <w:kern w:val="0"/>
              </w:rPr>
            </w:pPr>
            <w:r>
              <w:rPr>
                <w:rFonts w:hint="eastAsia"/>
                <w:color w:val="auto"/>
                <w:kern w:val="0"/>
              </w:rPr>
              <w:t>高能质子实验大厅</w:t>
            </w:r>
          </w:p>
        </w:tc>
      </w:tr>
      <w:tr w14:paraId="3D6D9C50">
        <w:tblPrEx>
          <w:tblCellMar>
            <w:top w:w="0" w:type="dxa"/>
            <w:left w:w="0" w:type="dxa"/>
            <w:bottom w:w="0" w:type="dxa"/>
            <w:right w:w="0" w:type="dxa"/>
          </w:tblCellMar>
        </w:tblPrEx>
        <w:trPr>
          <w:trHeight w:val="300" w:hRule="atLeast"/>
        </w:trPr>
        <w:tc>
          <w:tcPr>
            <w:tcW w:w="224" w:type="pct"/>
            <w:tcBorders>
              <w:top w:val="nil"/>
              <w:left w:val="single" w:color="auto" w:sz="4" w:space="0"/>
              <w:bottom w:val="single" w:color="auto" w:sz="4" w:space="0"/>
              <w:right w:val="single" w:color="auto" w:sz="4" w:space="0"/>
            </w:tcBorders>
            <w:vAlign w:val="center"/>
          </w:tcPr>
          <w:p w14:paraId="59ACB3D4">
            <w:pPr>
              <w:widowControl/>
              <w:spacing w:line="240" w:lineRule="auto"/>
              <w:jc w:val="center"/>
              <w:rPr>
                <w:color w:val="auto"/>
                <w:kern w:val="0"/>
              </w:rPr>
            </w:pPr>
            <w:r>
              <w:rPr>
                <w:color w:val="auto"/>
                <w:kern w:val="0"/>
              </w:rPr>
              <w:t>5</w:t>
            </w:r>
          </w:p>
        </w:tc>
        <w:tc>
          <w:tcPr>
            <w:tcW w:w="552" w:type="pct"/>
            <w:tcBorders>
              <w:top w:val="nil"/>
              <w:left w:val="single" w:color="auto" w:sz="4" w:space="0"/>
              <w:bottom w:val="single" w:color="auto" w:sz="4" w:space="0"/>
              <w:right w:val="single" w:color="auto" w:sz="4" w:space="0"/>
            </w:tcBorders>
            <w:vAlign w:val="center"/>
          </w:tcPr>
          <w:p w14:paraId="517BA22F">
            <w:pPr>
              <w:widowControl/>
              <w:spacing w:line="240" w:lineRule="auto"/>
              <w:jc w:val="center"/>
              <w:rPr>
                <w:color w:val="auto"/>
                <w:kern w:val="0"/>
              </w:rPr>
            </w:pPr>
            <w:r>
              <w:rPr>
                <w:rFonts w:hint="eastAsia"/>
                <w:color w:val="auto"/>
                <w:kern w:val="0"/>
              </w:rPr>
              <w:t>过滤器箱体</w:t>
            </w:r>
          </w:p>
        </w:tc>
        <w:tc>
          <w:tcPr>
            <w:tcW w:w="540" w:type="pct"/>
            <w:tcBorders>
              <w:top w:val="single" w:color="auto" w:sz="4" w:space="0"/>
              <w:left w:val="nil"/>
              <w:bottom w:val="single" w:color="auto" w:sz="4" w:space="0"/>
              <w:right w:val="single" w:color="auto" w:sz="4" w:space="0"/>
            </w:tcBorders>
            <w:vAlign w:val="center"/>
          </w:tcPr>
          <w:p w14:paraId="0F09BA92">
            <w:pPr>
              <w:widowControl/>
              <w:spacing w:line="240" w:lineRule="auto"/>
              <w:jc w:val="center"/>
              <w:rPr>
                <w:rFonts w:eastAsiaTheme="minorEastAsia"/>
                <w:color w:val="auto"/>
                <w:kern w:val="0"/>
              </w:rPr>
            </w:pPr>
            <w:r>
              <w:rPr>
                <w:rFonts w:eastAsiaTheme="minorEastAsia"/>
                <w:color w:val="auto"/>
              </w:rPr>
              <w:t>PF-BL-1</w:t>
            </w:r>
          </w:p>
        </w:tc>
        <w:tc>
          <w:tcPr>
            <w:tcW w:w="224" w:type="pct"/>
            <w:tcBorders>
              <w:top w:val="single" w:color="auto" w:sz="4" w:space="0"/>
              <w:left w:val="single" w:color="auto" w:sz="4" w:space="0"/>
              <w:bottom w:val="single" w:color="auto" w:sz="4" w:space="0"/>
              <w:right w:val="single" w:color="auto" w:sz="4" w:space="0"/>
            </w:tcBorders>
            <w:vAlign w:val="center"/>
          </w:tcPr>
          <w:p w14:paraId="0347302F">
            <w:pPr>
              <w:widowControl/>
              <w:spacing w:line="240" w:lineRule="auto"/>
              <w:jc w:val="center"/>
              <w:rPr>
                <w:color w:val="auto"/>
                <w:kern w:val="0"/>
              </w:rPr>
            </w:pPr>
            <w:r>
              <w:rPr>
                <w:color w:val="auto"/>
                <w:kern w:val="0"/>
              </w:rPr>
              <w:t>1</w:t>
            </w:r>
            <w:r>
              <w:rPr>
                <w:rFonts w:hint="eastAsia"/>
                <w:color w:val="auto"/>
                <w:kern w:val="0"/>
              </w:rPr>
              <w:t>台</w:t>
            </w:r>
          </w:p>
        </w:tc>
        <w:tc>
          <w:tcPr>
            <w:tcW w:w="442" w:type="pct"/>
            <w:tcBorders>
              <w:top w:val="nil"/>
              <w:left w:val="nil"/>
              <w:bottom w:val="single" w:color="auto" w:sz="4" w:space="0"/>
              <w:right w:val="single" w:color="auto" w:sz="4" w:space="0"/>
            </w:tcBorders>
            <w:vAlign w:val="center"/>
          </w:tcPr>
          <w:p w14:paraId="5D1036F1">
            <w:pPr>
              <w:widowControl/>
              <w:spacing w:line="240" w:lineRule="auto"/>
              <w:jc w:val="center"/>
              <w:rPr>
                <w:color w:val="auto"/>
                <w:kern w:val="0"/>
              </w:rPr>
            </w:pPr>
            <w:r>
              <w:rPr>
                <w:color w:val="auto"/>
                <w:sz w:val="22"/>
                <w:szCs w:val="22"/>
              </w:rPr>
              <w:t>13600</w:t>
            </w:r>
          </w:p>
        </w:tc>
        <w:tc>
          <w:tcPr>
            <w:tcW w:w="442" w:type="pct"/>
            <w:tcBorders>
              <w:top w:val="nil"/>
              <w:left w:val="nil"/>
              <w:bottom w:val="single" w:color="auto" w:sz="4" w:space="0"/>
              <w:right w:val="single" w:color="auto" w:sz="4" w:space="0"/>
            </w:tcBorders>
            <w:vAlign w:val="center"/>
          </w:tcPr>
          <w:p w14:paraId="52189A69">
            <w:pPr>
              <w:widowControl/>
              <w:spacing w:line="240" w:lineRule="auto"/>
              <w:jc w:val="center"/>
              <w:rPr>
                <w:color w:val="auto"/>
                <w:kern w:val="0"/>
              </w:rPr>
            </w:pPr>
            <w:r>
              <w:rPr>
                <w:color w:val="auto"/>
                <w:kern w:val="0"/>
              </w:rPr>
              <w:t>4</w:t>
            </w:r>
          </w:p>
        </w:tc>
        <w:tc>
          <w:tcPr>
            <w:tcW w:w="291" w:type="pct"/>
            <w:tcBorders>
              <w:top w:val="nil"/>
              <w:left w:val="nil"/>
              <w:bottom w:val="single" w:color="auto" w:sz="4" w:space="0"/>
              <w:right w:val="single" w:color="auto" w:sz="4" w:space="0"/>
            </w:tcBorders>
            <w:vAlign w:val="center"/>
          </w:tcPr>
          <w:p w14:paraId="14E89D57">
            <w:pPr>
              <w:widowControl/>
              <w:spacing w:line="240" w:lineRule="auto"/>
              <w:jc w:val="center"/>
              <w:rPr>
                <w:color w:val="auto"/>
                <w:kern w:val="0"/>
              </w:rPr>
            </w:pPr>
            <w:r>
              <w:rPr>
                <w:color w:val="auto"/>
                <w:kern w:val="0"/>
              </w:rPr>
              <w:t>4</w:t>
            </w:r>
          </w:p>
        </w:tc>
        <w:tc>
          <w:tcPr>
            <w:tcW w:w="291" w:type="pct"/>
            <w:tcBorders>
              <w:top w:val="nil"/>
              <w:left w:val="nil"/>
              <w:bottom w:val="single" w:color="auto" w:sz="4" w:space="0"/>
              <w:right w:val="single" w:color="auto" w:sz="4" w:space="0"/>
            </w:tcBorders>
            <w:vAlign w:val="center"/>
          </w:tcPr>
          <w:p w14:paraId="3AE8DB5D">
            <w:pPr>
              <w:widowControl/>
              <w:spacing w:line="240" w:lineRule="auto"/>
              <w:jc w:val="center"/>
              <w:rPr>
                <w:color w:val="auto"/>
                <w:kern w:val="0"/>
              </w:rPr>
            </w:pPr>
            <w:r>
              <w:rPr>
                <w:color w:val="auto"/>
                <w:kern w:val="0"/>
              </w:rPr>
              <w:t>0</w:t>
            </w:r>
          </w:p>
        </w:tc>
        <w:tc>
          <w:tcPr>
            <w:tcW w:w="443" w:type="pct"/>
            <w:tcBorders>
              <w:top w:val="nil"/>
              <w:left w:val="nil"/>
              <w:bottom w:val="single" w:color="auto" w:sz="4" w:space="0"/>
              <w:right w:val="single" w:color="auto" w:sz="4" w:space="0"/>
            </w:tcBorders>
            <w:vAlign w:val="center"/>
          </w:tcPr>
          <w:p w14:paraId="12344093">
            <w:pPr>
              <w:widowControl/>
              <w:spacing w:line="240" w:lineRule="auto"/>
              <w:jc w:val="center"/>
              <w:rPr>
                <w:color w:val="auto"/>
                <w:kern w:val="0"/>
              </w:rPr>
            </w:pPr>
            <w:r>
              <w:rPr>
                <w:color w:val="auto"/>
                <w:kern w:val="0"/>
              </w:rPr>
              <w:t>3400</w:t>
            </w:r>
          </w:p>
        </w:tc>
        <w:tc>
          <w:tcPr>
            <w:tcW w:w="442" w:type="pct"/>
            <w:tcBorders>
              <w:top w:val="single" w:color="auto" w:sz="4" w:space="0"/>
              <w:left w:val="nil"/>
              <w:bottom w:val="single" w:color="auto" w:sz="4" w:space="0"/>
              <w:right w:val="single" w:color="auto" w:sz="4" w:space="0"/>
            </w:tcBorders>
            <w:vAlign w:val="center"/>
          </w:tcPr>
          <w:p w14:paraId="799E0D4F">
            <w:pPr>
              <w:widowControl/>
              <w:spacing w:line="240" w:lineRule="auto"/>
              <w:jc w:val="center"/>
              <w:rPr>
                <w:color w:val="auto"/>
                <w:kern w:val="0"/>
              </w:rPr>
            </w:pPr>
            <w:r>
              <w:rPr>
                <w:rFonts w:hint="eastAsia"/>
                <w:color w:val="auto"/>
                <w:kern w:val="0"/>
              </w:rPr>
              <w:t>±</w:t>
            </w:r>
            <w:r>
              <w:rPr>
                <w:color w:val="auto"/>
                <w:kern w:val="0"/>
              </w:rPr>
              <w:t>5</w:t>
            </w:r>
          </w:p>
        </w:tc>
        <w:tc>
          <w:tcPr>
            <w:tcW w:w="224" w:type="pct"/>
            <w:tcBorders>
              <w:top w:val="single" w:color="auto" w:sz="4" w:space="0"/>
              <w:left w:val="single" w:color="auto" w:sz="4" w:space="0"/>
              <w:bottom w:val="single" w:color="auto" w:sz="4" w:space="0"/>
              <w:right w:val="single" w:color="auto" w:sz="4" w:space="0"/>
            </w:tcBorders>
            <w:vAlign w:val="center"/>
          </w:tcPr>
          <w:p w14:paraId="3F717B99">
            <w:pPr>
              <w:widowControl/>
              <w:spacing w:line="240" w:lineRule="auto"/>
              <w:jc w:val="center"/>
              <w:rPr>
                <w:color w:val="auto"/>
                <w:kern w:val="0"/>
              </w:rPr>
            </w:pPr>
            <w:r>
              <w:rPr>
                <w:rFonts w:hint="eastAsia"/>
                <w:color w:val="auto"/>
                <w:kern w:val="0"/>
              </w:rPr>
              <w:t>≥2</w:t>
            </w:r>
          </w:p>
        </w:tc>
        <w:tc>
          <w:tcPr>
            <w:tcW w:w="442" w:type="pct"/>
            <w:tcBorders>
              <w:top w:val="single" w:color="auto" w:sz="4" w:space="0"/>
              <w:left w:val="single" w:color="auto" w:sz="4" w:space="0"/>
              <w:bottom w:val="single" w:color="auto" w:sz="4" w:space="0"/>
              <w:right w:val="single" w:color="auto" w:sz="4" w:space="0"/>
            </w:tcBorders>
            <w:vAlign w:val="center"/>
          </w:tcPr>
          <w:p w14:paraId="7F9F65A2">
            <w:pPr>
              <w:widowControl/>
              <w:spacing w:line="240" w:lineRule="auto"/>
              <w:jc w:val="center"/>
              <w:rPr>
                <w:color w:val="auto"/>
                <w:kern w:val="0"/>
              </w:rPr>
            </w:pPr>
            <w:r>
              <w:rPr>
                <w:rFonts w:hint="eastAsia"/>
                <w:color w:val="auto"/>
                <w:kern w:val="0"/>
              </w:rPr>
              <w:t>水平</w:t>
            </w:r>
          </w:p>
        </w:tc>
        <w:tc>
          <w:tcPr>
            <w:tcW w:w="442" w:type="pct"/>
            <w:tcBorders>
              <w:top w:val="single" w:color="auto" w:sz="4" w:space="0"/>
              <w:left w:val="single" w:color="auto" w:sz="4" w:space="0"/>
              <w:bottom w:val="single" w:color="auto" w:sz="4" w:space="0"/>
              <w:right w:val="single" w:color="auto" w:sz="4" w:space="0"/>
            </w:tcBorders>
            <w:vAlign w:val="center"/>
          </w:tcPr>
          <w:p w14:paraId="210AFBE1">
            <w:pPr>
              <w:widowControl/>
              <w:spacing w:line="240" w:lineRule="auto"/>
              <w:jc w:val="center"/>
              <w:rPr>
                <w:color w:val="auto"/>
                <w:kern w:val="0"/>
              </w:rPr>
            </w:pPr>
            <w:r>
              <w:rPr>
                <w:rFonts w:hint="eastAsia"/>
                <w:color w:val="auto"/>
                <w:kern w:val="0"/>
              </w:rPr>
              <w:t>靶站</w:t>
            </w:r>
          </w:p>
        </w:tc>
      </w:tr>
      <w:tr w14:paraId="63A0C476">
        <w:tblPrEx>
          <w:tblCellMar>
            <w:top w:w="0" w:type="dxa"/>
            <w:left w:w="0" w:type="dxa"/>
            <w:bottom w:w="0" w:type="dxa"/>
            <w:right w:w="0" w:type="dxa"/>
          </w:tblCellMar>
        </w:tblPrEx>
        <w:trPr>
          <w:trHeight w:val="300" w:hRule="atLeast"/>
        </w:trPr>
        <w:tc>
          <w:tcPr>
            <w:tcW w:w="224" w:type="pct"/>
            <w:tcBorders>
              <w:top w:val="nil"/>
              <w:left w:val="single" w:color="auto" w:sz="4" w:space="0"/>
              <w:bottom w:val="single" w:color="auto" w:sz="4" w:space="0"/>
              <w:right w:val="single" w:color="auto" w:sz="4" w:space="0"/>
            </w:tcBorders>
            <w:vAlign w:val="center"/>
          </w:tcPr>
          <w:p w14:paraId="31127E08">
            <w:pPr>
              <w:widowControl/>
              <w:spacing w:line="240" w:lineRule="auto"/>
              <w:jc w:val="center"/>
              <w:rPr>
                <w:color w:val="auto"/>
                <w:kern w:val="0"/>
              </w:rPr>
            </w:pPr>
            <w:r>
              <w:rPr>
                <w:color w:val="auto"/>
                <w:kern w:val="0"/>
              </w:rPr>
              <w:t>6</w:t>
            </w:r>
          </w:p>
        </w:tc>
        <w:tc>
          <w:tcPr>
            <w:tcW w:w="552" w:type="pct"/>
            <w:tcBorders>
              <w:top w:val="nil"/>
              <w:left w:val="single" w:color="auto" w:sz="4" w:space="0"/>
              <w:bottom w:val="single" w:color="auto" w:sz="4" w:space="0"/>
              <w:right w:val="single" w:color="auto" w:sz="4" w:space="0"/>
            </w:tcBorders>
            <w:vAlign w:val="center"/>
          </w:tcPr>
          <w:p w14:paraId="2D79D1FF">
            <w:pPr>
              <w:widowControl/>
              <w:spacing w:line="240" w:lineRule="auto"/>
              <w:jc w:val="center"/>
              <w:rPr>
                <w:color w:val="auto"/>
                <w:kern w:val="0"/>
              </w:rPr>
            </w:pPr>
            <w:r>
              <w:rPr>
                <w:rFonts w:hint="eastAsia"/>
                <w:color w:val="auto"/>
                <w:kern w:val="0"/>
              </w:rPr>
              <w:t>过滤器箱体</w:t>
            </w:r>
          </w:p>
        </w:tc>
        <w:tc>
          <w:tcPr>
            <w:tcW w:w="540" w:type="pct"/>
            <w:tcBorders>
              <w:top w:val="single" w:color="auto" w:sz="4" w:space="0"/>
              <w:left w:val="nil"/>
              <w:bottom w:val="single" w:color="auto" w:sz="4" w:space="0"/>
              <w:right w:val="single" w:color="auto" w:sz="4" w:space="0"/>
            </w:tcBorders>
            <w:vAlign w:val="center"/>
          </w:tcPr>
          <w:p w14:paraId="3579FC5A">
            <w:pPr>
              <w:widowControl/>
              <w:spacing w:line="240" w:lineRule="auto"/>
              <w:jc w:val="center"/>
              <w:rPr>
                <w:rFonts w:eastAsiaTheme="minorEastAsia"/>
                <w:color w:val="auto"/>
                <w:kern w:val="0"/>
              </w:rPr>
            </w:pPr>
            <w:r>
              <w:rPr>
                <w:rFonts w:eastAsiaTheme="minorEastAsia"/>
                <w:color w:val="auto"/>
              </w:rPr>
              <w:t>PF-BL-2</w:t>
            </w:r>
          </w:p>
        </w:tc>
        <w:tc>
          <w:tcPr>
            <w:tcW w:w="224" w:type="pct"/>
            <w:tcBorders>
              <w:top w:val="single" w:color="auto" w:sz="4" w:space="0"/>
              <w:left w:val="single" w:color="auto" w:sz="4" w:space="0"/>
              <w:bottom w:val="single" w:color="auto" w:sz="4" w:space="0"/>
              <w:right w:val="single" w:color="auto" w:sz="4" w:space="0"/>
            </w:tcBorders>
            <w:vAlign w:val="center"/>
          </w:tcPr>
          <w:p w14:paraId="23D2E4EF">
            <w:pPr>
              <w:widowControl/>
              <w:spacing w:line="240" w:lineRule="auto"/>
              <w:jc w:val="center"/>
              <w:rPr>
                <w:color w:val="auto"/>
                <w:kern w:val="0"/>
              </w:rPr>
            </w:pPr>
            <w:r>
              <w:rPr>
                <w:color w:val="auto"/>
                <w:kern w:val="0"/>
              </w:rPr>
              <w:t>1</w:t>
            </w:r>
            <w:r>
              <w:rPr>
                <w:rFonts w:hint="eastAsia"/>
                <w:color w:val="auto"/>
                <w:kern w:val="0"/>
              </w:rPr>
              <w:t>台</w:t>
            </w:r>
          </w:p>
        </w:tc>
        <w:tc>
          <w:tcPr>
            <w:tcW w:w="442" w:type="pct"/>
            <w:tcBorders>
              <w:top w:val="nil"/>
              <w:left w:val="nil"/>
              <w:bottom w:val="single" w:color="auto" w:sz="4" w:space="0"/>
              <w:right w:val="single" w:color="auto" w:sz="4" w:space="0"/>
            </w:tcBorders>
            <w:vAlign w:val="center"/>
          </w:tcPr>
          <w:p w14:paraId="6CA56F4D">
            <w:pPr>
              <w:widowControl/>
              <w:spacing w:line="240" w:lineRule="auto"/>
              <w:jc w:val="center"/>
              <w:rPr>
                <w:color w:val="auto"/>
                <w:kern w:val="0"/>
              </w:rPr>
            </w:pPr>
            <w:r>
              <w:rPr>
                <w:color w:val="auto"/>
                <w:sz w:val="22"/>
                <w:szCs w:val="22"/>
              </w:rPr>
              <w:t>13600</w:t>
            </w:r>
          </w:p>
        </w:tc>
        <w:tc>
          <w:tcPr>
            <w:tcW w:w="442" w:type="pct"/>
            <w:tcBorders>
              <w:top w:val="nil"/>
              <w:left w:val="nil"/>
              <w:bottom w:val="single" w:color="auto" w:sz="4" w:space="0"/>
              <w:right w:val="single" w:color="auto" w:sz="4" w:space="0"/>
            </w:tcBorders>
            <w:vAlign w:val="center"/>
          </w:tcPr>
          <w:p w14:paraId="21ABCBF2">
            <w:pPr>
              <w:widowControl/>
              <w:spacing w:line="240" w:lineRule="auto"/>
              <w:jc w:val="center"/>
              <w:rPr>
                <w:color w:val="auto"/>
                <w:kern w:val="0"/>
              </w:rPr>
            </w:pPr>
            <w:r>
              <w:rPr>
                <w:color w:val="auto"/>
                <w:kern w:val="0"/>
              </w:rPr>
              <w:t>4</w:t>
            </w:r>
          </w:p>
        </w:tc>
        <w:tc>
          <w:tcPr>
            <w:tcW w:w="291" w:type="pct"/>
            <w:tcBorders>
              <w:top w:val="nil"/>
              <w:left w:val="nil"/>
              <w:bottom w:val="single" w:color="auto" w:sz="4" w:space="0"/>
              <w:right w:val="single" w:color="auto" w:sz="4" w:space="0"/>
            </w:tcBorders>
            <w:vAlign w:val="center"/>
          </w:tcPr>
          <w:p w14:paraId="56BBB6D7">
            <w:pPr>
              <w:widowControl/>
              <w:spacing w:line="240" w:lineRule="auto"/>
              <w:jc w:val="center"/>
              <w:rPr>
                <w:color w:val="auto"/>
                <w:kern w:val="0"/>
              </w:rPr>
            </w:pPr>
            <w:r>
              <w:rPr>
                <w:color w:val="auto"/>
                <w:kern w:val="0"/>
              </w:rPr>
              <w:t>4</w:t>
            </w:r>
          </w:p>
        </w:tc>
        <w:tc>
          <w:tcPr>
            <w:tcW w:w="291" w:type="pct"/>
            <w:tcBorders>
              <w:top w:val="nil"/>
              <w:left w:val="nil"/>
              <w:bottom w:val="single" w:color="auto" w:sz="4" w:space="0"/>
              <w:right w:val="single" w:color="auto" w:sz="4" w:space="0"/>
            </w:tcBorders>
            <w:vAlign w:val="center"/>
          </w:tcPr>
          <w:p w14:paraId="7A622B39">
            <w:pPr>
              <w:widowControl/>
              <w:spacing w:line="240" w:lineRule="auto"/>
              <w:jc w:val="center"/>
              <w:rPr>
                <w:color w:val="auto"/>
                <w:kern w:val="0"/>
              </w:rPr>
            </w:pPr>
            <w:r>
              <w:rPr>
                <w:color w:val="auto"/>
                <w:kern w:val="0"/>
              </w:rPr>
              <w:t>0</w:t>
            </w:r>
          </w:p>
        </w:tc>
        <w:tc>
          <w:tcPr>
            <w:tcW w:w="443" w:type="pct"/>
            <w:tcBorders>
              <w:top w:val="nil"/>
              <w:left w:val="nil"/>
              <w:bottom w:val="single" w:color="auto" w:sz="4" w:space="0"/>
              <w:right w:val="single" w:color="auto" w:sz="4" w:space="0"/>
            </w:tcBorders>
            <w:vAlign w:val="center"/>
          </w:tcPr>
          <w:p w14:paraId="232110BC">
            <w:pPr>
              <w:widowControl/>
              <w:spacing w:line="240" w:lineRule="auto"/>
              <w:jc w:val="center"/>
              <w:rPr>
                <w:color w:val="auto"/>
                <w:kern w:val="0"/>
              </w:rPr>
            </w:pPr>
            <w:r>
              <w:rPr>
                <w:color w:val="auto"/>
                <w:kern w:val="0"/>
              </w:rPr>
              <w:t>3400</w:t>
            </w:r>
          </w:p>
        </w:tc>
        <w:tc>
          <w:tcPr>
            <w:tcW w:w="442" w:type="pct"/>
            <w:tcBorders>
              <w:top w:val="single" w:color="auto" w:sz="4" w:space="0"/>
              <w:left w:val="nil"/>
              <w:bottom w:val="single" w:color="auto" w:sz="4" w:space="0"/>
              <w:right w:val="single" w:color="auto" w:sz="4" w:space="0"/>
            </w:tcBorders>
            <w:vAlign w:val="center"/>
          </w:tcPr>
          <w:p w14:paraId="468BCCD8">
            <w:pPr>
              <w:widowControl/>
              <w:spacing w:line="240" w:lineRule="auto"/>
              <w:jc w:val="center"/>
              <w:rPr>
                <w:color w:val="auto"/>
                <w:kern w:val="0"/>
              </w:rPr>
            </w:pPr>
            <w:r>
              <w:rPr>
                <w:rFonts w:hint="eastAsia"/>
                <w:color w:val="auto"/>
                <w:kern w:val="0"/>
              </w:rPr>
              <w:t>±</w:t>
            </w:r>
            <w:r>
              <w:rPr>
                <w:color w:val="auto"/>
                <w:kern w:val="0"/>
              </w:rPr>
              <w:t>5</w:t>
            </w:r>
          </w:p>
        </w:tc>
        <w:tc>
          <w:tcPr>
            <w:tcW w:w="224" w:type="pct"/>
            <w:tcBorders>
              <w:top w:val="single" w:color="auto" w:sz="4" w:space="0"/>
              <w:left w:val="single" w:color="auto" w:sz="4" w:space="0"/>
              <w:bottom w:val="single" w:color="auto" w:sz="4" w:space="0"/>
              <w:right w:val="single" w:color="auto" w:sz="4" w:space="0"/>
            </w:tcBorders>
            <w:vAlign w:val="center"/>
          </w:tcPr>
          <w:p w14:paraId="7C3E5E6B">
            <w:pPr>
              <w:widowControl/>
              <w:spacing w:line="240" w:lineRule="auto"/>
              <w:jc w:val="center"/>
              <w:rPr>
                <w:color w:val="auto"/>
                <w:kern w:val="0"/>
              </w:rPr>
            </w:pPr>
            <w:r>
              <w:rPr>
                <w:rFonts w:hint="eastAsia"/>
                <w:color w:val="auto"/>
                <w:kern w:val="0"/>
              </w:rPr>
              <w:t>≥2</w:t>
            </w:r>
          </w:p>
        </w:tc>
        <w:tc>
          <w:tcPr>
            <w:tcW w:w="442" w:type="pct"/>
            <w:tcBorders>
              <w:top w:val="single" w:color="auto" w:sz="4" w:space="0"/>
              <w:left w:val="single" w:color="auto" w:sz="4" w:space="0"/>
              <w:bottom w:val="single" w:color="auto" w:sz="4" w:space="0"/>
              <w:right w:val="single" w:color="auto" w:sz="4" w:space="0"/>
            </w:tcBorders>
            <w:vAlign w:val="center"/>
          </w:tcPr>
          <w:p w14:paraId="7FB93AE9">
            <w:pPr>
              <w:widowControl/>
              <w:spacing w:line="240" w:lineRule="auto"/>
              <w:jc w:val="center"/>
              <w:rPr>
                <w:color w:val="auto"/>
                <w:kern w:val="0"/>
              </w:rPr>
            </w:pPr>
            <w:r>
              <w:rPr>
                <w:rFonts w:hint="eastAsia"/>
                <w:color w:val="auto"/>
                <w:kern w:val="0"/>
              </w:rPr>
              <w:t>水平</w:t>
            </w:r>
          </w:p>
        </w:tc>
        <w:tc>
          <w:tcPr>
            <w:tcW w:w="442" w:type="pct"/>
            <w:tcBorders>
              <w:top w:val="single" w:color="auto" w:sz="4" w:space="0"/>
              <w:left w:val="single" w:color="auto" w:sz="4" w:space="0"/>
              <w:bottom w:val="single" w:color="auto" w:sz="4" w:space="0"/>
              <w:right w:val="single" w:color="auto" w:sz="4" w:space="0"/>
            </w:tcBorders>
            <w:vAlign w:val="center"/>
          </w:tcPr>
          <w:p w14:paraId="0015E938">
            <w:pPr>
              <w:widowControl/>
              <w:spacing w:line="240" w:lineRule="auto"/>
              <w:jc w:val="center"/>
              <w:rPr>
                <w:color w:val="auto"/>
                <w:kern w:val="0"/>
              </w:rPr>
            </w:pPr>
            <w:r>
              <w:rPr>
                <w:rFonts w:hint="eastAsia"/>
                <w:color w:val="auto"/>
                <w:kern w:val="0"/>
              </w:rPr>
              <w:t>靶站</w:t>
            </w:r>
          </w:p>
        </w:tc>
      </w:tr>
      <w:tr w14:paraId="59792292">
        <w:tblPrEx>
          <w:tblCellMar>
            <w:top w:w="0" w:type="dxa"/>
            <w:left w:w="0" w:type="dxa"/>
            <w:bottom w:w="0" w:type="dxa"/>
            <w:right w:w="0" w:type="dxa"/>
          </w:tblCellMar>
        </w:tblPrEx>
        <w:trPr>
          <w:trHeight w:val="300" w:hRule="atLeast"/>
        </w:trPr>
        <w:tc>
          <w:tcPr>
            <w:tcW w:w="224" w:type="pct"/>
            <w:tcBorders>
              <w:top w:val="nil"/>
              <w:left w:val="single" w:color="auto" w:sz="4" w:space="0"/>
              <w:bottom w:val="single" w:color="auto" w:sz="4" w:space="0"/>
              <w:right w:val="single" w:color="auto" w:sz="4" w:space="0"/>
            </w:tcBorders>
            <w:vAlign w:val="center"/>
          </w:tcPr>
          <w:p w14:paraId="299DC8C6">
            <w:pPr>
              <w:widowControl/>
              <w:spacing w:line="240" w:lineRule="auto"/>
              <w:jc w:val="center"/>
              <w:rPr>
                <w:color w:val="auto"/>
                <w:kern w:val="0"/>
              </w:rPr>
            </w:pPr>
            <w:r>
              <w:rPr>
                <w:color w:val="auto"/>
                <w:kern w:val="0"/>
              </w:rPr>
              <w:t>7</w:t>
            </w:r>
          </w:p>
        </w:tc>
        <w:tc>
          <w:tcPr>
            <w:tcW w:w="552" w:type="pct"/>
            <w:tcBorders>
              <w:top w:val="nil"/>
              <w:left w:val="single" w:color="auto" w:sz="4" w:space="0"/>
              <w:bottom w:val="single" w:color="auto" w:sz="4" w:space="0"/>
              <w:right w:val="single" w:color="auto" w:sz="4" w:space="0"/>
            </w:tcBorders>
            <w:vAlign w:val="center"/>
          </w:tcPr>
          <w:p w14:paraId="252C163E">
            <w:pPr>
              <w:widowControl/>
              <w:spacing w:line="240" w:lineRule="auto"/>
              <w:jc w:val="center"/>
              <w:rPr>
                <w:color w:val="auto"/>
                <w:kern w:val="0"/>
              </w:rPr>
            </w:pPr>
            <w:r>
              <w:rPr>
                <w:rFonts w:hint="eastAsia"/>
                <w:color w:val="auto"/>
                <w:kern w:val="0"/>
              </w:rPr>
              <w:t>过滤器箱体</w:t>
            </w:r>
          </w:p>
        </w:tc>
        <w:tc>
          <w:tcPr>
            <w:tcW w:w="540" w:type="pct"/>
            <w:tcBorders>
              <w:top w:val="single" w:color="auto" w:sz="4" w:space="0"/>
              <w:left w:val="nil"/>
              <w:bottom w:val="single" w:color="auto" w:sz="4" w:space="0"/>
              <w:right w:val="single" w:color="auto" w:sz="4" w:space="0"/>
            </w:tcBorders>
            <w:vAlign w:val="center"/>
          </w:tcPr>
          <w:p w14:paraId="275E18D9">
            <w:pPr>
              <w:widowControl/>
              <w:spacing w:line="240" w:lineRule="auto"/>
              <w:jc w:val="center"/>
              <w:rPr>
                <w:rFonts w:eastAsiaTheme="minorEastAsia"/>
                <w:color w:val="auto"/>
                <w:kern w:val="0"/>
              </w:rPr>
            </w:pPr>
            <w:r>
              <w:rPr>
                <w:rFonts w:eastAsiaTheme="minorEastAsia"/>
                <w:color w:val="auto"/>
              </w:rPr>
              <w:t>PF-HP-1</w:t>
            </w:r>
          </w:p>
        </w:tc>
        <w:tc>
          <w:tcPr>
            <w:tcW w:w="224" w:type="pct"/>
            <w:tcBorders>
              <w:top w:val="single" w:color="auto" w:sz="4" w:space="0"/>
              <w:left w:val="single" w:color="auto" w:sz="4" w:space="0"/>
              <w:bottom w:val="single" w:color="auto" w:sz="4" w:space="0"/>
              <w:right w:val="single" w:color="auto" w:sz="4" w:space="0"/>
            </w:tcBorders>
            <w:vAlign w:val="center"/>
          </w:tcPr>
          <w:p w14:paraId="5FEC0BE1">
            <w:pPr>
              <w:widowControl/>
              <w:spacing w:line="240" w:lineRule="auto"/>
              <w:jc w:val="center"/>
              <w:rPr>
                <w:color w:val="auto"/>
                <w:kern w:val="0"/>
              </w:rPr>
            </w:pPr>
            <w:r>
              <w:rPr>
                <w:color w:val="auto"/>
                <w:kern w:val="0"/>
              </w:rPr>
              <w:t>1</w:t>
            </w:r>
            <w:r>
              <w:rPr>
                <w:rFonts w:hint="eastAsia"/>
                <w:color w:val="auto"/>
                <w:kern w:val="0"/>
              </w:rPr>
              <w:t>台</w:t>
            </w:r>
          </w:p>
        </w:tc>
        <w:tc>
          <w:tcPr>
            <w:tcW w:w="442" w:type="pct"/>
            <w:tcBorders>
              <w:top w:val="nil"/>
              <w:left w:val="nil"/>
              <w:bottom w:val="single" w:color="auto" w:sz="4" w:space="0"/>
              <w:right w:val="single" w:color="auto" w:sz="4" w:space="0"/>
            </w:tcBorders>
            <w:vAlign w:val="center"/>
          </w:tcPr>
          <w:p w14:paraId="7D90A8C7">
            <w:pPr>
              <w:widowControl/>
              <w:spacing w:line="240" w:lineRule="auto"/>
              <w:jc w:val="center"/>
              <w:rPr>
                <w:color w:val="auto"/>
                <w:kern w:val="0"/>
              </w:rPr>
            </w:pPr>
            <w:r>
              <w:rPr>
                <w:color w:val="auto"/>
                <w:sz w:val="22"/>
                <w:szCs w:val="22"/>
              </w:rPr>
              <w:t>13600</w:t>
            </w:r>
          </w:p>
        </w:tc>
        <w:tc>
          <w:tcPr>
            <w:tcW w:w="442" w:type="pct"/>
            <w:tcBorders>
              <w:top w:val="nil"/>
              <w:left w:val="nil"/>
              <w:bottom w:val="single" w:color="auto" w:sz="4" w:space="0"/>
              <w:right w:val="single" w:color="auto" w:sz="4" w:space="0"/>
            </w:tcBorders>
            <w:vAlign w:val="center"/>
          </w:tcPr>
          <w:p w14:paraId="31A7C5AB">
            <w:pPr>
              <w:widowControl/>
              <w:spacing w:line="240" w:lineRule="auto"/>
              <w:jc w:val="center"/>
              <w:rPr>
                <w:color w:val="auto"/>
                <w:kern w:val="0"/>
              </w:rPr>
            </w:pPr>
            <w:r>
              <w:rPr>
                <w:color w:val="auto"/>
                <w:kern w:val="0"/>
              </w:rPr>
              <w:t>4</w:t>
            </w:r>
          </w:p>
        </w:tc>
        <w:tc>
          <w:tcPr>
            <w:tcW w:w="291" w:type="pct"/>
            <w:tcBorders>
              <w:top w:val="nil"/>
              <w:left w:val="nil"/>
              <w:bottom w:val="single" w:color="auto" w:sz="4" w:space="0"/>
              <w:right w:val="single" w:color="auto" w:sz="4" w:space="0"/>
            </w:tcBorders>
            <w:vAlign w:val="center"/>
          </w:tcPr>
          <w:p w14:paraId="0C56EFD7">
            <w:pPr>
              <w:widowControl/>
              <w:spacing w:line="240" w:lineRule="auto"/>
              <w:jc w:val="center"/>
              <w:rPr>
                <w:color w:val="auto"/>
                <w:kern w:val="0"/>
              </w:rPr>
            </w:pPr>
            <w:r>
              <w:rPr>
                <w:color w:val="auto"/>
                <w:kern w:val="0"/>
              </w:rPr>
              <w:t>4</w:t>
            </w:r>
          </w:p>
        </w:tc>
        <w:tc>
          <w:tcPr>
            <w:tcW w:w="291" w:type="pct"/>
            <w:tcBorders>
              <w:top w:val="nil"/>
              <w:left w:val="nil"/>
              <w:bottom w:val="single" w:color="auto" w:sz="4" w:space="0"/>
              <w:right w:val="single" w:color="auto" w:sz="4" w:space="0"/>
            </w:tcBorders>
            <w:vAlign w:val="center"/>
          </w:tcPr>
          <w:p w14:paraId="7E3BBFDA">
            <w:pPr>
              <w:widowControl/>
              <w:spacing w:line="240" w:lineRule="auto"/>
              <w:jc w:val="center"/>
              <w:rPr>
                <w:color w:val="auto"/>
                <w:kern w:val="0"/>
              </w:rPr>
            </w:pPr>
            <w:r>
              <w:rPr>
                <w:color w:val="auto"/>
                <w:kern w:val="0"/>
              </w:rPr>
              <w:t>0</w:t>
            </w:r>
          </w:p>
        </w:tc>
        <w:tc>
          <w:tcPr>
            <w:tcW w:w="443" w:type="pct"/>
            <w:tcBorders>
              <w:top w:val="nil"/>
              <w:left w:val="nil"/>
              <w:bottom w:val="single" w:color="auto" w:sz="4" w:space="0"/>
              <w:right w:val="single" w:color="auto" w:sz="4" w:space="0"/>
            </w:tcBorders>
            <w:vAlign w:val="center"/>
          </w:tcPr>
          <w:p w14:paraId="553C099A">
            <w:pPr>
              <w:widowControl/>
              <w:spacing w:line="240" w:lineRule="auto"/>
              <w:jc w:val="center"/>
              <w:rPr>
                <w:color w:val="auto"/>
                <w:kern w:val="0"/>
              </w:rPr>
            </w:pPr>
            <w:r>
              <w:rPr>
                <w:color w:val="auto"/>
                <w:kern w:val="0"/>
              </w:rPr>
              <w:t>3400</w:t>
            </w:r>
          </w:p>
        </w:tc>
        <w:tc>
          <w:tcPr>
            <w:tcW w:w="442" w:type="pct"/>
            <w:tcBorders>
              <w:top w:val="single" w:color="auto" w:sz="4" w:space="0"/>
              <w:left w:val="nil"/>
              <w:bottom w:val="single" w:color="auto" w:sz="4" w:space="0"/>
              <w:right w:val="single" w:color="auto" w:sz="4" w:space="0"/>
            </w:tcBorders>
            <w:vAlign w:val="center"/>
          </w:tcPr>
          <w:p w14:paraId="7B493913">
            <w:pPr>
              <w:widowControl/>
              <w:spacing w:line="240" w:lineRule="auto"/>
              <w:jc w:val="center"/>
              <w:rPr>
                <w:color w:val="auto"/>
                <w:kern w:val="0"/>
              </w:rPr>
            </w:pPr>
            <w:r>
              <w:rPr>
                <w:rFonts w:hint="eastAsia"/>
                <w:color w:val="auto"/>
                <w:kern w:val="0"/>
              </w:rPr>
              <w:t>±</w:t>
            </w:r>
            <w:r>
              <w:rPr>
                <w:color w:val="auto"/>
                <w:kern w:val="0"/>
              </w:rPr>
              <w:t>5</w:t>
            </w:r>
          </w:p>
        </w:tc>
        <w:tc>
          <w:tcPr>
            <w:tcW w:w="224" w:type="pct"/>
            <w:tcBorders>
              <w:top w:val="single" w:color="auto" w:sz="4" w:space="0"/>
              <w:left w:val="single" w:color="auto" w:sz="4" w:space="0"/>
              <w:bottom w:val="single" w:color="auto" w:sz="4" w:space="0"/>
              <w:right w:val="single" w:color="auto" w:sz="4" w:space="0"/>
            </w:tcBorders>
            <w:vAlign w:val="center"/>
          </w:tcPr>
          <w:p w14:paraId="431F8FD4">
            <w:pPr>
              <w:widowControl/>
              <w:spacing w:line="240" w:lineRule="auto"/>
              <w:jc w:val="center"/>
              <w:rPr>
                <w:color w:val="auto"/>
                <w:kern w:val="0"/>
              </w:rPr>
            </w:pPr>
            <w:r>
              <w:rPr>
                <w:rFonts w:hint="eastAsia"/>
                <w:color w:val="auto"/>
                <w:kern w:val="0"/>
              </w:rPr>
              <w:t>≥2</w:t>
            </w:r>
          </w:p>
        </w:tc>
        <w:tc>
          <w:tcPr>
            <w:tcW w:w="442" w:type="pct"/>
            <w:tcBorders>
              <w:top w:val="single" w:color="auto" w:sz="4" w:space="0"/>
              <w:left w:val="single" w:color="auto" w:sz="4" w:space="0"/>
              <w:bottom w:val="single" w:color="auto" w:sz="4" w:space="0"/>
              <w:right w:val="single" w:color="auto" w:sz="4" w:space="0"/>
            </w:tcBorders>
            <w:vAlign w:val="center"/>
          </w:tcPr>
          <w:p w14:paraId="2CDD90A8">
            <w:pPr>
              <w:widowControl/>
              <w:spacing w:line="240" w:lineRule="auto"/>
              <w:jc w:val="center"/>
              <w:rPr>
                <w:color w:val="auto"/>
                <w:kern w:val="0"/>
              </w:rPr>
            </w:pPr>
            <w:r>
              <w:rPr>
                <w:rFonts w:hint="eastAsia"/>
                <w:color w:val="auto"/>
                <w:kern w:val="0"/>
              </w:rPr>
              <w:t>水平</w:t>
            </w:r>
          </w:p>
        </w:tc>
        <w:tc>
          <w:tcPr>
            <w:tcW w:w="442" w:type="pct"/>
            <w:tcBorders>
              <w:top w:val="single" w:color="auto" w:sz="4" w:space="0"/>
              <w:left w:val="single" w:color="auto" w:sz="4" w:space="0"/>
              <w:bottom w:val="single" w:color="auto" w:sz="4" w:space="0"/>
              <w:right w:val="single" w:color="auto" w:sz="4" w:space="0"/>
            </w:tcBorders>
            <w:vAlign w:val="center"/>
          </w:tcPr>
          <w:p w14:paraId="4B03524D">
            <w:pPr>
              <w:widowControl/>
              <w:spacing w:line="240" w:lineRule="auto"/>
              <w:jc w:val="center"/>
              <w:rPr>
                <w:color w:val="auto"/>
                <w:kern w:val="0"/>
              </w:rPr>
            </w:pPr>
            <w:r>
              <w:rPr>
                <w:rFonts w:hint="eastAsia"/>
                <w:color w:val="auto"/>
                <w:kern w:val="0"/>
              </w:rPr>
              <w:t>高能质子实验大厅</w:t>
            </w:r>
          </w:p>
        </w:tc>
      </w:tr>
      <w:tr w14:paraId="226C3331">
        <w:tblPrEx>
          <w:tblCellMar>
            <w:top w:w="0" w:type="dxa"/>
            <w:left w:w="0" w:type="dxa"/>
            <w:bottom w:w="0" w:type="dxa"/>
            <w:right w:w="0" w:type="dxa"/>
          </w:tblCellMar>
        </w:tblPrEx>
        <w:trPr>
          <w:trHeight w:val="300" w:hRule="atLeast"/>
        </w:trPr>
        <w:tc>
          <w:tcPr>
            <w:tcW w:w="224" w:type="pct"/>
            <w:tcBorders>
              <w:top w:val="nil"/>
              <w:left w:val="single" w:color="auto" w:sz="4" w:space="0"/>
              <w:bottom w:val="single" w:color="auto" w:sz="4" w:space="0"/>
              <w:right w:val="single" w:color="auto" w:sz="4" w:space="0"/>
            </w:tcBorders>
            <w:vAlign w:val="center"/>
          </w:tcPr>
          <w:p w14:paraId="7005952D">
            <w:pPr>
              <w:widowControl/>
              <w:spacing w:line="240" w:lineRule="auto"/>
              <w:jc w:val="center"/>
              <w:rPr>
                <w:color w:val="auto"/>
                <w:kern w:val="0"/>
              </w:rPr>
            </w:pPr>
            <w:r>
              <w:rPr>
                <w:rFonts w:hint="eastAsia"/>
                <w:color w:val="auto"/>
                <w:kern w:val="0"/>
              </w:rPr>
              <w:t>8</w:t>
            </w:r>
          </w:p>
        </w:tc>
        <w:tc>
          <w:tcPr>
            <w:tcW w:w="552" w:type="pct"/>
            <w:tcBorders>
              <w:top w:val="nil"/>
              <w:left w:val="single" w:color="auto" w:sz="4" w:space="0"/>
              <w:bottom w:val="single" w:color="auto" w:sz="4" w:space="0"/>
              <w:right w:val="single" w:color="auto" w:sz="4" w:space="0"/>
            </w:tcBorders>
            <w:vAlign w:val="center"/>
          </w:tcPr>
          <w:p w14:paraId="2138C0DE">
            <w:pPr>
              <w:widowControl/>
              <w:spacing w:line="240" w:lineRule="auto"/>
              <w:jc w:val="center"/>
              <w:rPr>
                <w:color w:val="auto"/>
                <w:kern w:val="0"/>
              </w:rPr>
            </w:pPr>
            <w:r>
              <w:rPr>
                <w:rFonts w:hint="eastAsia"/>
                <w:color w:val="auto"/>
                <w:kern w:val="0"/>
              </w:rPr>
              <w:t>过滤器箱体</w:t>
            </w:r>
          </w:p>
        </w:tc>
        <w:tc>
          <w:tcPr>
            <w:tcW w:w="540" w:type="pct"/>
            <w:tcBorders>
              <w:top w:val="single" w:color="auto" w:sz="4" w:space="0"/>
              <w:left w:val="nil"/>
              <w:bottom w:val="single" w:color="auto" w:sz="4" w:space="0"/>
              <w:right w:val="single" w:color="auto" w:sz="4" w:space="0"/>
            </w:tcBorders>
            <w:vAlign w:val="center"/>
          </w:tcPr>
          <w:p w14:paraId="194BDAE5">
            <w:pPr>
              <w:widowControl/>
              <w:spacing w:line="240" w:lineRule="auto"/>
              <w:jc w:val="center"/>
              <w:rPr>
                <w:rFonts w:eastAsiaTheme="minorEastAsia"/>
                <w:color w:val="auto"/>
                <w:kern w:val="0"/>
              </w:rPr>
            </w:pPr>
            <w:r>
              <w:rPr>
                <w:rFonts w:eastAsiaTheme="minorEastAsia"/>
                <w:color w:val="auto"/>
              </w:rPr>
              <w:t>CA-Z-1</w:t>
            </w:r>
          </w:p>
        </w:tc>
        <w:tc>
          <w:tcPr>
            <w:tcW w:w="224" w:type="pct"/>
            <w:tcBorders>
              <w:top w:val="single" w:color="auto" w:sz="4" w:space="0"/>
              <w:left w:val="single" w:color="auto" w:sz="4" w:space="0"/>
              <w:bottom w:val="single" w:color="auto" w:sz="4" w:space="0"/>
              <w:right w:val="single" w:color="auto" w:sz="4" w:space="0"/>
            </w:tcBorders>
            <w:vAlign w:val="center"/>
          </w:tcPr>
          <w:p w14:paraId="0E19394B">
            <w:pPr>
              <w:widowControl/>
              <w:spacing w:line="240" w:lineRule="auto"/>
              <w:jc w:val="center"/>
              <w:rPr>
                <w:color w:val="auto"/>
                <w:kern w:val="0"/>
              </w:rPr>
            </w:pPr>
            <w:r>
              <w:rPr>
                <w:color w:val="auto"/>
                <w:kern w:val="0"/>
              </w:rPr>
              <w:t>1</w:t>
            </w:r>
            <w:r>
              <w:rPr>
                <w:rFonts w:hint="eastAsia"/>
                <w:color w:val="auto"/>
                <w:kern w:val="0"/>
              </w:rPr>
              <w:t>台</w:t>
            </w:r>
          </w:p>
        </w:tc>
        <w:tc>
          <w:tcPr>
            <w:tcW w:w="442" w:type="pct"/>
            <w:tcBorders>
              <w:top w:val="nil"/>
              <w:left w:val="nil"/>
              <w:bottom w:val="single" w:color="auto" w:sz="4" w:space="0"/>
              <w:right w:val="single" w:color="auto" w:sz="4" w:space="0"/>
            </w:tcBorders>
            <w:vAlign w:val="center"/>
          </w:tcPr>
          <w:p w14:paraId="78B7AB43">
            <w:pPr>
              <w:widowControl/>
              <w:spacing w:line="240" w:lineRule="auto"/>
              <w:jc w:val="center"/>
              <w:rPr>
                <w:color w:val="auto"/>
                <w:kern w:val="0"/>
              </w:rPr>
            </w:pPr>
            <w:r>
              <w:rPr>
                <w:color w:val="auto"/>
                <w:sz w:val="22"/>
                <w:szCs w:val="22"/>
              </w:rPr>
              <w:t>1000</w:t>
            </w:r>
          </w:p>
        </w:tc>
        <w:tc>
          <w:tcPr>
            <w:tcW w:w="442" w:type="pct"/>
            <w:tcBorders>
              <w:top w:val="nil"/>
              <w:left w:val="nil"/>
              <w:bottom w:val="single" w:color="auto" w:sz="4" w:space="0"/>
              <w:right w:val="single" w:color="auto" w:sz="4" w:space="0"/>
            </w:tcBorders>
            <w:vAlign w:val="center"/>
          </w:tcPr>
          <w:p w14:paraId="3932324F">
            <w:pPr>
              <w:widowControl/>
              <w:spacing w:line="240" w:lineRule="auto"/>
              <w:jc w:val="center"/>
              <w:rPr>
                <w:color w:val="auto"/>
                <w:kern w:val="0"/>
              </w:rPr>
            </w:pPr>
            <w:r>
              <w:rPr>
                <w:color w:val="auto"/>
                <w:kern w:val="0"/>
              </w:rPr>
              <w:t>1</w:t>
            </w:r>
          </w:p>
        </w:tc>
        <w:tc>
          <w:tcPr>
            <w:tcW w:w="291" w:type="pct"/>
            <w:tcBorders>
              <w:top w:val="nil"/>
              <w:left w:val="nil"/>
              <w:bottom w:val="single" w:color="auto" w:sz="4" w:space="0"/>
              <w:right w:val="single" w:color="auto" w:sz="4" w:space="0"/>
            </w:tcBorders>
            <w:vAlign w:val="center"/>
          </w:tcPr>
          <w:p w14:paraId="55C0DC09">
            <w:pPr>
              <w:widowControl/>
              <w:spacing w:line="240" w:lineRule="auto"/>
              <w:jc w:val="center"/>
              <w:rPr>
                <w:color w:val="auto"/>
                <w:kern w:val="0"/>
              </w:rPr>
            </w:pPr>
            <w:r>
              <w:rPr>
                <w:color w:val="auto"/>
                <w:kern w:val="0"/>
              </w:rPr>
              <w:t>1</w:t>
            </w:r>
          </w:p>
        </w:tc>
        <w:tc>
          <w:tcPr>
            <w:tcW w:w="291" w:type="pct"/>
            <w:tcBorders>
              <w:top w:val="nil"/>
              <w:left w:val="nil"/>
              <w:bottom w:val="single" w:color="auto" w:sz="4" w:space="0"/>
              <w:right w:val="single" w:color="auto" w:sz="4" w:space="0"/>
            </w:tcBorders>
            <w:vAlign w:val="center"/>
          </w:tcPr>
          <w:p w14:paraId="62C62F37">
            <w:pPr>
              <w:widowControl/>
              <w:spacing w:line="240" w:lineRule="auto"/>
              <w:jc w:val="center"/>
              <w:rPr>
                <w:color w:val="auto"/>
                <w:kern w:val="0"/>
              </w:rPr>
            </w:pPr>
            <w:r>
              <w:rPr>
                <w:color w:val="auto"/>
                <w:kern w:val="0"/>
              </w:rPr>
              <w:t>0</w:t>
            </w:r>
          </w:p>
        </w:tc>
        <w:tc>
          <w:tcPr>
            <w:tcW w:w="443" w:type="pct"/>
            <w:tcBorders>
              <w:top w:val="nil"/>
              <w:left w:val="nil"/>
              <w:bottom w:val="single" w:color="auto" w:sz="4" w:space="0"/>
              <w:right w:val="single" w:color="auto" w:sz="4" w:space="0"/>
            </w:tcBorders>
            <w:vAlign w:val="center"/>
          </w:tcPr>
          <w:p w14:paraId="680E4B09">
            <w:pPr>
              <w:widowControl/>
              <w:spacing w:line="240" w:lineRule="auto"/>
              <w:jc w:val="center"/>
              <w:rPr>
                <w:color w:val="auto"/>
                <w:kern w:val="0"/>
              </w:rPr>
            </w:pPr>
            <w:r>
              <w:rPr>
                <w:color w:val="auto"/>
                <w:kern w:val="0"/>
              </w:rPr>
              <w:t>3400</w:t>
            </w:r>
          </w:p>
        </w:tc>
        <w:tc>
          <w:tcPr>
            <w:tcW w:w="442" w:type="pct"/>
            <w:tcBorders>
              <w:top w:val="single" w:color="auto" w:sz="4" w:space="0"/>
              <w:left w:val="nil"/>
              <w:bottom w:val="single" w:color="auto" w:sz="4" w:space="0"/>
              <w:right w:val="single" w:color="auto" w:sz="4" w:space="0"/>
            </w:tcBorders>
            <w:vAlign w:val="center"/>
          </w:tcPr>
          <w:p w14:paraId="0761945B">
            <w:pPr>
              <w:widowControl/>
              <w:spacing w:line="240" w:lineRule="auto"/>
              <w:jc w:val="center"/>
              <w:rPr>
                <w:color w:val="auto"/>
                <w:kern w:val="0"/>
              </w:rPr>
            </w:pPr>
            <w:r>
              <w:rPr>
                <w:rFonts w:hint="eastAsia"/>
                <w:color w:val="auto"/>
                <w:kern w:val="0"/>
              </w:rPr>
              <w:t>±1</w:t>
            </w:r>
            <w:r>
              <w:rPr>
                <w:color w:val="auto"/>
                <w:kern w:val="0"/>
              </w:rPr>
              <w:t>5</w:t>
            </w:r>
          </w:p>
        </w:tc>
        <w:tc>
          <w:tcPr>
            <w:tcW w:w="224" w:type="pct"/>
            <w:tcBorders>
              <w:top w:val="single" w:color="auto" w:sz="4" w:space="0"/>
              <w:left w:val="single" w:color="auto" w:sz="4" w:space="0"/>
              <w:bottom w:val="single" w:color="auto" w:sz="4" w:space="0"/>
              <w:right w:val="single" w:color="auto" w:sz="4" w:space="0"/>
            </w:tcBorders>
            <w:vAlign w:val="center"/>
          </w:tcPr>
          <w:p w14:paraId="458512BE">
            <w:pPr>
              <w:widowControl/>
              <w:spacing w:line="240" w:lineRule="auto"/>
              <w:jc w:val="center"/>
              <w:rPr>
                <w:color w:val="auto"/>
                <w:kern w:val="0"/>
              </w:rPr>
            </w:pPr>
            <w:r>
              <w:rPr>
                <w:rFonts w:hint="eastAsia"/>
                <w:color w:val="auto"/>
                <w:kern w:val="0"/>
              </w:rPr>
              <w:t>≥3</w:t>
            </w:r>
          </w:p>
        </w:tc>
        <w:tc>
          <w:tcPr>
            <w:tcW w:w="442" w:type="pct"/>
            <w:tcBorders>
              <w:top w:val="single" w:color="auto" w:sz="4" w:space="0"/>
              <w:left w:val="single" w:color="auto" w:sz="4" w:space="0"/>
              <w:bottom w:val="single" w:color="auto" w:sz="4" w:space="0"/>
              <w:right w:val="single" w:color="auto" w:sz="4" w:space="0"/>
            </w:tcBorders>
            <w:vAlign w:val="center"/>
          </w:tcPr>
          <w:p w14:paraId="1D2CD8E5">
            <w:pPr>
              <w:widowControl/>
              <w:spacing w:line="240" w:lineRule="auto"/>
              <w:jc w:val="center"/>
              <w:rPr>
                <w:color w:val="auto"/>
                <w:kern w:val="0"/>
              </w:rPr>
            </w:pPr>
            <w:r>
              <w:rPr>
                <w:rFonts w:hint="eastAsia"/>
                <w:color w:val="auto"/>
                <w:kern w:val="0"/>
              </w:rPr>
              <w:t>竖直</w:t>
            </w:r>
          </w:p>
        </w:tc>
        <w:tc>
          <w:tcPr>
            <w:tcW w:w="442" w:type="pct"/>
            <w:tcBorders>
              <w:top w:val="single" w:color="auto" w:sz="4" w:space="0"/>
              <w:left w:val="single" w:color="auto" w:sz="4" w:space="0"/>
              <w:bottom w:val="single" w:color="auto" w:sz="4" w:space="0"/>
              <w:right w:val="single" w:color="auto" w:sz="4" w:space="0"/>
            </w:tcBorders>
            <w:vAlign w:val="center"/>
          </w:tcPr>
          <w:p w14:paraId="5C8982CF">
            <w:pPr>
              <w:widowControl/>
              <w:spacing w:line="240" w:lineRule="auto"/>
              <w:jc w:val="center"/>
              <w:rPr>
                <w:color w:val="auto"/>
                <w:kern w:val="0"/>
              </w:rPr>
            </w:pPr>
            <w:r>
              <w:rPr>
                <w:rFonts w:hint="eastAsia"/>
                <w:color w:val="auto"/>
                <w:kern w:val="0"/>
              </w:rPr>
              <w:t>直线设备楼（二期）</w:t>
            </w:r>
          </w:p>
        </w:tc>
      </w:tr>
    </w:tbl>
    <w:p w14:paraId="2BF4992C">
      <w:pPr>
        <w:spacing w:line="240" w:lineRule="atLeast"/>
        <w:rPr>
          <w:color w:val="auto"/>
        </w:rPr>
      </w:pPr>
    </w:p>
    <w:p w14:paraId="61A4F391">
      <w:pPr>
        <w:spacing w:line="240" w:lineRule="atLeast"/>
        <w:rPr>
          <w:color w:val="auto"/>
        </w:rPr>
      </w:pPr>
      <w:r>
        <w:rPr>
          <w:color w:val="auto"/>
        </w:rPr>
        <w:t>说明：</w:t>
      </w:r>
    </w:p>
    <w:p w14:paraId="1020DF90">
      <w:pPr>
        <w:pStyle w:val="59"/>
        <w:adjustRightInd w:val="0"/>
        <w:snapToGrid w:val="0"/>
        <w:spacing w:line="0" w:lineRule="atLeast"/>
        <w:ind w:left="420" w:firstLine="0" w:firstLineChars="0"/>
        <w:rPr>
          <w:color w:val="auto"/>
          <w:szCs w:val="21"/>
        </w:rPr>
      </w:pPr>
      <w:r>
        <w:rPr>
          <w:color w:val="auto"/>
          <w:szCs w:val="21"/>
          <w:lang w:bidi="ar"/>
        </w:rPr>
        <w:fldChar w:fldCharType="begin"/>
      </w:r>
      <w:r>
        <w:rPr>
          <w:color w:val="auto"/>
          <w:szCs w:val="21"/>
          <w:lang w:bidi="ar"/>
        </w:rPr>
        <w:instrText xml:space="preserve"> = 1 \* GB3 </w:instrText>
      </w:r>
      <w:r>
        <w:rPr>
          <w:color w:val="auto"/>
          <w:szCs w:val="21"/>
          <w:lang w:bidi="ar"/>
        </w:rPr>
        <w:fldChar w:fldCharType="separate"/>
      </w:r>
      <w:r>
        <w:rPr>
          <w:rFonts w:hint="eastAsia" w:cs="宋体"/>
          <w:color w:val="auto"/>
          <w:szCs w:val="21"/>
          <w:lang w:bidi="ar"/>
        </w:rPr>
        <w:t>①</w:t>
      </w:r>
      <w:r>
        <w:rPr>
          <w:color w:val="auto"/>
          <w:szCs w:val="21"/>
          <w:lang w:bidi="ar"/>
        </w:rPr>
        <w:fldChar w:fldCharType="end"/>
      </w:r>
      <w:r>
        <w:rPr>
          <w:color w:val="auto"/>
          <w:szCs w:val="21"/>
        </w:rPr>
        <w:t xml:space="preserve"> </w:t>
      </w:r>
      <w:r>
        <w:rPr>
          <w:rFonts w:hint="eastAsia" w:cs="宋体"/>
          <w:color w:val="auto"/>
          <w:lang w:bidi="ar"/>
        </w:rPr>
        <w:t>设备进出口方向以双方协商为准；</w:t>
      </w:r>
    </w:p>
    <w:p w14:paraId="5C44A692">
      <w:pPr>
        <w:pStyle w:val="59"/>
        <w:adjustRightInd w:val="0"/>
        <w:snapToGrid w:val="0"/>
        <w:spacing w:line="0" w:lineRule="atLeast"/>
        <w:ind w:left="420" w:firstLine="0" w:firstLineChars="0"/>
        <w:rPr>
          <w:color w:val="auto"/>
          <w:szCs w:val="21"/>
        </w:rPr>
      </w:pPr>
      <w:r>
        <w:rPr>
          <w:color w:val="auto"/>
          <w:szCs w:val="21"/>
          <w:lang w:bidi="ar"/>
        </w:rPr>
        <w:fldChar w:fldCharType="begin"/>
      </w:r>
      <w:r>
        <w:rPr>
          <w:color w:val="auto"/>
          <w:szCs w:val="21"/>
          <w:lang w:bidi="ar"/>
        </w:rPr>
        <w:instrText xml:space="preserve"> = 2 \* GB3 </w:instrText>
      </w:r>
      <w:r>
        <w:rPr>
          <w:color w:val="auto"/>
          <w:szCs w:val="21"/>
          <w:lang w:bidi="ar"/>
        </w:rPr>
        <w:fldChar w:fldCharType="separate"/>
      </w:r>
      <w:r>
        <w:rPr>
          <w:rFonts w:hint="eastAsia" w:cs="宋体"/>
          <w:color w:val="auto"/>
          <w:szCs w:val="21"/>
          <w:lang w:bidi="ar"/>
        </w:rPr>
        <w:t>②</w:t>
      </w:r>
      <w:r>
        <w:rPr>
          <w:color w:val="auto"/>
          <w:szCs w:val="21"/>
          <w:lang w:bidi="ar"/>
        </w:rPr>
        <w:fldChar w:fldCharType="end"/>
      </w:r>
      <w:r>
        <w:rPr>
          <w:color w:val="auto"/>
          <w:szCs w:val="21"/>
        </w:rPr>
        <w:t xml:space="preserve"> </w:t>
      </w:r>
      <w:r>
        <w:rPr>
          <w:rFonts w:hint="eastAsia"/>
          <w:color w:val="auto"/>
          <w:szCs w:val="21"/>
        </w:rPr>
        <w:t>★</w:t>
      </w:r>
      <w:r>
        <w:rPr>
          <w:rFonts w:cs="宋体"/>
          <w:color w:val="auto"/>
          <w:szCs w:val="21"/>
          <w:lang w:bidi="ar"/>
        </w:rPr>
        <w:t>本表中</w:t>
      </w:r>
      <w:r>
        <w:rPr>
          <w:rFonts w:hint="eastAsia" w:cs="宋体"/>
          <w:color w:val="auto"/>
          <w:szCs w:val="21"/>
          <w:lang w:bidi="ar"/>
        </w:rPr>
        <w:t>箱体</w:t>
      </w:r>
      <w:r>
        <w:rPr>
          <w:rFonts w:cs="宋体"/>
          <w:color w:val="auto"/>
          <w:szCs w:val="21"/>
          <w:lang w:bidi="ar"/>
        </w:rPr>
        <w:t>等壁厚为最低</w:t>
      </w:r>
      <w:r>
        <w:rPr>
          <w:rFonts w:hint="eastAsia" w:cs="宋体"/>
          <w:color w:val="auto"/>
          <w:szCs w:val="21"/>
          <w:lang w:bidi="ar"/>
        </w:rPr>
        <w:t>要求</w:t>
      </w:r>
      <w:r>
        <w:rPr>
          <w:rFonts w:cs="宋体"/>
          <w:color w:val="auto"/>
          <w:szCs w:val="21"/>
          <w:lang w:bidi="ar"/>
        </w:rPr>
        <w:t>值，</w:t>
      </w:r>
      <w:r>
        <w:rPr>
          <w:rFonts w:hint="eastAsia" w:cs="宋体"/>
          <w:color w:val="auto"/>
          <w:szCs w:val="21"/>
          <w:lang w:bidi="ar"/>
        </w:rPr>
        <w:t>投标人</w:t>
      </w:r>
      <w:r>
        <w:rPr>
          <w:rFonts w:cs="宋体"/>
          <w:color w:val="auto"/>
          <w:szCs w:val="21"/>
          <w:lang w:bidi="ar"/>
        </w:rPr>
        <w:t>配置不应低于此限值</w:t>
      </w:r>
      <w:r>
        <w:rPr>
          <w:rFonts w:hint="eastAsia" w:cs="宋体"/>
          <w:color w:val="auto"/>
          <w:szCs w:val="21"/>
          <w:lang w:bidi="ar"/>
        </w:rPr>
        <w:t>，并在“★格式</w:t>
      </w:r>
      <w:r>
        <w:rPr>
          <w:rFonts w:ascii="Times New Roman" w:hAnsi="Times New Roman"/>
          <w:color w:val="auto"/>
          <w:szCs w:val="21"/>
          <w:lang w:bidi="ar"/>
        </w:rPr>
        <w:t xml:space="preserve">11 </w:t>
      </w:r>
      <w:r>
        <w:rPr>
          <w:rFonts w:hint="eastAsia" w:cs="宋体"/>
          <w:color w:val="auto"/>
          <w:szCs w:val="21"/>
          <w:lang w:bidi="ar"/>
        </w:rPr>
        <w:t xml:space="preserve"> 主要技术要求响应表”中按要求进行填写</w:t>
      </w:r>
      <w:r>
        <w:rPr>
          <w:rFonts w:cs="宋体"/>
          <w:color w:val="auto"/>
          <w:szCs w:val="21"/>
          <w:lang w:bidi="ar"/>
        </w:rPr>
        <w:t>。</w:t>
      </w:r>
    </w:p>
    <w:p w14:paraId="6007B19C">
      <w:pPr>
        <w:adjustRightInd w:val="0"/>
        <w:snapToGrid w:val="0"/>
        <w:spacing w:before="62" w:beforeLines="20" w:after="62" w:afterLines="20"/>
        <w:ind w:firstLine="480" w:firstLineChars="200"/>
        <w:jc w:val="left"/>
        <w:rPr>
          <w:rFonts w:cs="宋体"/>
          <w:b/>
          <w:bCs/>
          <w:color w:val="auto"/>
          <w:sz w:val="24"/>
          <w:lang w:bidi="ar"/>
        </w:rPr>
      </w:pPr>
      <w:r>
        <w:rPr>
          <w:color w:val="auto"/>
          <w:sz w:val="24"/>
        </w:rPr>
        <w:br w:type="page"/>
      </w:r>
      <w:r>
        <w:rPr>
          <w:rFonts w:cs="宋体"/>
          <w:b/>
          <w:bCs/>
          <w:color w:val="auto"/>
          <w:sz w:val="24"/>
          <w:lang w:bidi="ar"/>
        </w:rPr>
        <w:t>2.4.2</w:t>
      </w:r>
      <w:r>
        <w:rPr>
          <w:rFonts w:hint="eastAsia" w:cs="宋体"/>
          <w:b/>
          <w:bCs/>
          <w:color w:val="auto"/>
          <w:sz w:val="24"/>
          <w:lang w:bidi="ar"/>
        </w:rPr>
        <w:t>不锈钢高效空气粒子过滤器尺寸及</w:t>
      </w:r>
      <w:r>
        <w:rPr>
          <w:rFonts w:cs="宋体"/>
          <w:b/>
          <w:bCs/>
          <w:color w:val="auto"/>
          <w:sz w:val="24"/>
          <w:lang w:bidi="ar"/>
        </w:rPr>
        <w:t>接口技术参数表</w:t>
      </w:r>
      <w:bookmarkEnd w:id="5"/>
    </w:p>
    <w:tbl>
      <w:tblPr>
        <w:tblStyle w:val="31"/>
        <w:tblW w:w="4578" w:type="pct"/>
        <w:tblInd w:w="0" w:type="dxa"/>
        <w:tblLayout w:type="autofit"/>
        <w:tblCellMar>
          <w:top w:w="0" w:type="dxa"/>
          <w:left w:w="0" w:type="dxa"/>
          <w:bottom w:w="0" w:type="dxa"/>
          <w:right w:w="0" w:type="dxa"/>
        </w:tblCellMar>
      </w:tblPr>
      <w:tblGrid>
        <w:gridCol w:w="1182"/>
        <w:gridCol w:w="2915"/>
        <w:gridCol w:w="2851"/>
        <w:gridCol w:w="2337"/>
        <w:gridCol w:w="1183"/>
        <w:gridCol w:w="1183"/>
        <w:gridCol w:w="1178"/>
      </w:tblGrid>
      <w:tr w14:paraId="3C68AB86">
        <w:tblPrEx>
          <w:tblCellMar>
            <w:top w:w="0" w:type="dxa"/>
            <w:left w:w="0" w:type="dxa"/>
            <w:bottom w:w="0" w:type="dxa"/>
            <w:right w:w="0" w:type="dxa"/>
          </w:tblCellMar>
        </w:tblPrEx>
        <w:trPr>
          <w:trHeight w:val="279" w:hRule="atLeast"/>
          <w:tblHeader/>
        </w:trPr>
        <w:tc>
          <w:tcPr>
            <w:tcW w:w="461" w:type="pct"/>
            <w:vMerge w:val="restart"/>
            <w:tcBorders>
              <w:top w:val="single" w:color="auto" w:sz="4" w:space="0"/>
              <w:left w:val="single" w:color="auto" w:sz="4" w:space="0"/>
              <w:right w:val="single" w:color="auto" w:sz="4" w:space="0"/>
            </w:tcBorders>
            <w:vAlign w:val="center"/>
          </w:tcPr>
          <w:p w14:paraId="22359021">
            <w:pPr>
              <w:widowControl/>
              <w:spacing w:line="240" w:lineRule="auto"/>
              <w:jc w:val="center"/>
              <w:rPr>
                <w:color w:val="auto"/>
                <w:kern w:val="0"/>
              </w:rPr>
            </w:pPr>
            <w:r>
              <w:rPr>
                <w:rFonts w:hint="eastAsia"/>
                <w:color w:val="auto"/>
                <w:kern w:val="0"/>
              </w:rPr>
              <w:t>序号</w:t>
            </w:r>
          </w:p>
        </w:tc>
        <w:tc>
          <w:tcPr>
            <w:tcW w:w="1136" w:type="pct"/>
            <w:vMerge w:val="restart"/>
            <w:tcBorders>
              <w:top w:val="single" w:color="auto" w:sz="4" w:space="0"/>
              <w:left w:val="single" w:color="auto" w:sz="4" w:space="0"/>
              <w:bottom w:val="single" w:color="000000" w:sz="4" w:space="0"/>
              <w:right w:val="single" w:color="auto" w:sz="4" w:space="0"/>
            </w:tcBorders>
            <w:vAlign w:val="center"/>
          </w:tcPr>
          <w:p w14:paraId="7BE70F63">
            <w:pPr>
              <w:widowControl/>
              <w:spacing w:line="240" w:lineRule="auto"/>
              <w:jc w:val="center"/>
              <w:rPr>
                <w:color w:val="auto"/>
                <w:kern w:val="0"/>
              </w:rPr>
            </w:pPr>
            <w:r>
              <w:rPr>
                <w:rFonts w:hint="eastAsia"/>
                <w:color w:val="auto"/>
                <w:kern w:val="0"/>
              </w:rPr>
              <w:t>设备名称</w:t>
            </w:r>
          </w:p>
        </w:tc>
        <w:tc>
          <w:tcPr>
            <w:tcW w:w="1111" w:type="pct"/>
            <w:vMerge w:val="restart"/>
            <w:tcBorders>
              <w:top w:val="single" w:color="auto" w:sz="4" w:space="0"/>
              <w:left w:val="single" w:color="auto" w:sz="4" w:space="0"/>
              <w:bottom w:val="single" w:color="auto" w:sz="4" w:space="0"/>
              <w:right w:val="single" w:color="auto" w:sz="4" w:space="0"/>
            </w:tcBorders>
            <w:vAlign w:val="center"/>
          </w:tcPr>
          <w:p w14:paraId="6A463B27">
            <w:pPr>
              <w:widowControl/>
              <w:spacing w:line="240" w:lineRule="auto"/>
              <w:jc w:val="center"/>
              <w:rPr>
                <w:color w:val="auto"/>
                <w:kern w:val="0"/>
              </w:rPr>
            </w:pPr>
            <w:r>
              <w:rPr>
                <w:color w:val="auto"/>
                <w:kern w:val="0"/>
              </w:rPr>
              <w:t>设备编号</w:t>
            </w:r>
          </w:p>
        </w:tc>
        <w:tc>
          <w:tcPr>
            <w:tcW w:w="911" w:type="pct"/>
            <w:vMerge w:val="restart"/>
            <w:tcBorders>
              <w:top w:val="single" w:color="auto" w:sz="4" w:space="0"/>
              <w:left w:val="single" w:color="auto" w:sz="4" w:space="0"/>
              <w:bottom w:val="single" w:color="auto" w:sz="4" w:space="0"/>
              <w:right w:val="single" w:color="auto" w:sz="4" w:space="0"/>
            </w:tcBorders>
            <w:vAlign w:val="center"/>
          </w:tcPr>
          <w:p w14:paraId="2358407B">
            <w:pPr>
              <w:widowControl/>
              <w:spacing w:line="240" w:lineRule="auto"/>
              <w:jc w:val="center"/>
              <w:rPr>
                <w:color w:val="auto"/>
                <w:kern w:val="0"/>
              </w:rPr>
            </w:pPr>
            <w:r>
              <w:rPr>
                <w:rFonts w:hint="eastAsia"/>
                <w:color w:val="auto"/>
                <w:kern w:val="0"/>
              </w:rPr>
              <w:t>接口尺寸</w:t>
            </w:r>
          </w:p>
        </w:tc>
        <w:tc>
          <w:tcPr>
            <w:tcW w:w="1381" w:type="pct"/>
            <w:gridSpan w:val="3"/>
            <w:tcBorders>
              <w:top w:val="single" w:color="auto" w:sz="4" w:space="0"/>
              <w:left w:val="single" w:color="auto" w:sz="4" w:space="0"/>
              <w:bottom w:val="single" w:color="auto" w:sz="4" w:space="0"/>
              <w:right w:val="single" w:color="auto" w:sz="4" w:space="0"/>
            </w:tcBorders>
            <w:vAlign w:val="center"/>
          </w:tcPr>
          <w:p w14:paraId="0BAE6516">
            <w:pPr>
              <w:widowControl/>
              <w:spacing w:line="240" w:lineRule="auto"/>
              <w:jc w:val="center"/>
              <w:rPr>
                <w:color w:val="auto"/>
                <w:kern w:val="0"/>
              </w:rPr>
            </w:pPr>
            <w:r>
              <w:rPr>
                <w:color w:val="auto"/>
                <w:kern w:val="0"/>
              </w:rPr>
              <w:t>限制尺寸</w:t>
            </w:r>
          </w:p>
        </w:tc>
      </w:tr>
      <w:tr w14:paraId="5A8EA11B">
        <w:tblPrEx>
          <w:tblCellMar>
            <w:top w:w="0" w:type="dxa"/>
            <w:left w:w="0" w:type="dxa"/>
            <w:bottom w:w="0" w:type="dxa"/>
            <w:right w:w="0" w:type="dxa"/>
          </w:tblCellMar>
        </w:tblPrEx>
        <w:trPr>
          <w:trHeight w:val="1080" w:hRule="atLeast"/>
          <w:tblHeader/>
        </w:trPr>
        <w:tc>
          <w:tcPr>
            <w:tcW w:w="461" w:type="pct"/>
            <w:vMerge w:val="continue"/>
            <w:tcBorders>
              <w:left w:val="single" w:color="auto" w:sz="4" w:space="0"/>
              <w:bottom w:val="single" w:color="000000" w:sz="4" w:space="0"/>
              <w:right w:val="single" w:color="auto" w:sz="4" w:space="0"/>
            </w:tcBorders>
          </w:tcPr>
          <w:p w14:paraId="168905CE">
            <w:pPr>
              <w:widowControl/>
              <w:spacing w:line="240" w:lineRule="auto"/>
              <w:jc w:val="center"/>
              <w:rPr>
                <w:color w:val="auto"/>
                <w:kern w:val="0"/>
              </w:rPr>
            </w:pPr>
          </w:p>
        </w:tc>
        <w:tc>
          <w:tcPr>
            <w:tcW w:w="1136" w:type="pct"/>
            <w:vMerge w:val="continue"/>
            <w:tcBorders>
              <w:top w:val="single" w:color="auto" w:sz="4" w:space="0"/>
              <w:left w:val="single" w:color="auto" w:sz="4" w:space="0"/>
              <w:bottom w:val="single" w:color="000000" w:sz="4" w:space="0"/>
              <w:right w:val="single" w:color="auto" w:sz="4" w:space="0"/>
            </w:tcBorders>
            <w:vAlign w:val="center"/>
          </w:tcPr>
          <w:p w14:paraId="21B06650">
            <w:pPr>
              <w:widowControl/>
              <w:spacing w:line="240" w:lineRule="auto"/>
              <w:jc w:val="center"/>
              <w:rPr>
                <w:color w:val="auto"/>
                <w:kern w:val="0"/>
              </w:rPr>
            </w:pPr>
          </w:p>
        </w:tc>
        <w:tc>
          <w:tcPr>
            <w:tcW w:w="1111" w:type="pct"/>
            <w:vMerge w:val="continue"/>
            <w:tcBorders>
              <w:top w:val="single" w:color="auto" w:sz="4" w:space="0"/>
              <w:left w:val="single" w:color="auto" w:sz="4" w:space="0"/>
              <w:bottom w:val="single" w:color="auto" w:sz="4" w:space="0"/>
              <w:right w:val="single" w:color="auto" w:sz="4" w:space="0"/>
            </w:tcBorders>
            <w:vAlign w:val="center"/>
          </w:tcPr>
          <w:p w14:paraId="0751C091">
            <w:pPr>
              <w:widowControl/>
              <w:spacing w:line="240" w:lineRule="auto"/>
              <w:jc w:val="center"/>
              <w:rPr>
                <w:color w:val="auto"/>
                <w:kern w:val="0"/>
              </w:rPr>
            </w:pPr>
          </w:p>
        </w:tc>
        <w:tc>
          <w:tcPr>
            <w:tcW w:w="911" w:type="pct"/>
            <w:vMerge w:val="continue"/>
            <w:tcBorders>
              <w:top w:val="single" w:color="auto" w:sz="4" w:space="0"/>
              <w:left w:val="single" w:color="auto" w:sz="4" w:space="0"/>
              <w:bottom w:val="single" w:color="auto" w:sz="4" w:space="0"/>
              <w:right w:val="single" w:color="auto" w:sz="4" w:space="0"/>
            </w:tcBorders>
          </w:tcPr>
          <w:p w14:paraId="66552250">
            <w:pPr>
              <w:widowControl/>
              <w:spacing w:line="240" w:lineRule="auto"/>
              <w:jc w:val="center"/>
              <w:rPr>
                <w:color w:val="auto"/>
                <w:kern w:val="0"/>
              </w:rPr>
            </w:pPr>
          </w:p>
        </w:tc>
        <w:tc>
          <w:tcPr>
            <w:tcW w:w="461" w:type="pct"/>
            <w:tcBorders>
              <w:top w:val="nil"/>
              <w:left w:val="single" w:color="auto" w:sz="4" w:space="0"/>
              <w:bottom w:val="single" w:color="auto" w:sz="4" w:space="0"/>
              <w:right w:val="single" w:color="auto" w:sz="4" w:space="0"/>
            </w:tcBorders>
            <w:vAlign w:val="center"/>
          </w:tcPr>
          <w:p w14:paraId="6B123445">
            <w:pPr>
              <w:widowControl/>
              <w:spacing w:line="240" w:lineRule="auto"/>
              <w:jc w:val="center"/>
              <w:rPr>
                <w:color w:val="auto"/>
                <w:kern w:val="0"/>
              </w:rPr>
            </w:pPr>
            <w:r>
              <w:rPr>
                <w:color w:val="auto"/>
                <w:kern w:val="0"/>
              </w:rPr>
              <w:t>长</w:t>
            </w:r>
            <w:r>
              <w:rPr>
                <w:color w:val="auto"/>
                <w:kern w:val="0"/>
              </w:rPr>
              <w:br w:type="textWrapping"/>
            </w:r>
            <w:r>
              <w:rPr>
                <w:color w:val="auto"/>
                <w:kern w:val="0"/>
              </w:rPr>
              <w:t>mm</w:t>
            </w:r>
          </w:p>
        </w:tc>
        <w:tc>
          <w:tcPr>
            <w:tcW w:w="461" w:type="pct"/>
            <w:tcBorders>
              <w:top w:val="nil"/>
              <w:left w:val="nil"/>
              <w:bottom w:val="single" w:color="auto" w:sz="4" w:space="0"/>
              <w:right w:val="single" w:color="auto" w:sz="4" w:space="0"/>
            </w:tcBorders>
            <w:vAlign w:val="center"/>
          </w:tcPr>
          <w:p w14:paraId="346C39C5">
            <w:pPr>
              <w:widowControl/>
              <w:spacing w:line="240" w:lineRule="auto"/>
              <w:jc w:val="center"/>
              <w:rPr>
                <w:color w:val="auto"/>
                <w:kern w:val="0"/>
              </w:rPr>
            </w:pPr>
            <w:r>
              <w:rPr>
                <w:color w:val="auto"/>
                <w:kern w:val="0"/>
              </w:rPr>
              <w:t>宽</w:t>
            </w:r>
            <w:r>
              <w:rPr>
                <w:color w:val="auto"/>
                <w:kern w:val="0"/>
              </w:rPr>
              <w:br w:type="textWrapping"/>
            </w:r>
            <w:r>
              <w:rPr>
                <w:color w:val="auto"/>
                <w:kern w:val="0"/>
              </w:rPr>
              <w:t>mm</w:t>
            </w:r>
          </w:p>
        </w:tc>
        <w:tc>
          <w:tcPr>
            <w:tcW w:w="459" w:type="pct"/>
            <w:tcBorders>
              <w:top w:val="nil"/>
              <w:left w:val="nil"/>
              <w:bottom w:val="single" w:color="auto" w:sz="4" w:space="0"/>
              <w:right w:val="single" w:color="auto" w:sz="4" w:space="0"/>
            </w:tcBorders>
            <w:vAlign w:val="center"/>
          </w:tcPr>
          <w:p w14:paraId="36F11A67">
            <w:pPr>
              <w:widowControl/>
              <w:spacing w:line="240" w:lineRule="auto"/>
              <w:jc w:val="center"/>
              <w:rPr>
                <w:color w:val="auto"/>
                <w:kern w:val="0"/>
              </w:rPr>
            </w:pPr>
            <w:r>
              <w:rPr>
                <w:color w:val="auto"/>
                <w:kern w:val="0"/>
              </w:rPr>
              <w:t>高</w:t>
            </w:r>
            <w:r>
              <w:rPr>
                <w:color w:val="auto"/>
                <w:kern w:val="0"/>
              </w:rPr>
              <w:br w:type="textWrapping"/>
            </w:r>
            <w:r>
              <w:rPr>
                <w:color w:val="auto"/>
                <w:kern w:val="0"/>
              </w:rPr>
              <w:t>mm</w:t>
            </w:r>
          </w:p>
        </w:tc>
      </w:tr>
      <w:tr w14:paraId="37BBC8DC">
        <w:tblPrEx>
          <w:tblCellMar>
            <w:top w:w="0" w:type="dxa"/>
            <w:left w:w="0" w:type="dxa"/>
            <w:bottom w:w="0" w:type="dxa"/>
            <w:right w:w="0" w:type="dxa"/>
          </w:tblCellMar>
        </w:tblPrEx>
        <w:trPr>
          <w:trHeight w:val="300" w:hRule="atLeast"/>
        </w:trPr>
        <w:tc>
          <w:tcPr>
            <w:tcW w:w="461" w:type="pct"/>
            <w:tcBorders>
              <w:top w:val="nil"/>
              <w:left w:val="single" w:color="auto" w:sz="4" w:space="0"/>
              <w:bottom w:val="single" w:color="auto" w:sz="4" w:space="0"/>
              <w:right w:val="single" w:color="auto" w:sz="4" w:space="0"/>
            </w:tcBorders>
          </w:tcPr>
          <w:p w14:paraId="2CC771C9">
            <w:pPr>
              <w:widowControl/>
              <w:spacing w:line="240" w:lineRule="auto"/>
              <w:jc w:val="center"/>
              <w:rPr>
                <w:color w:val="auto"/>
                <w:kern w:val="0"/>
              </w:rPr>
            </w:pPr>
            <w:r>
              <w:rPr>
                <w:rFonts w:hint="eastAsia"/>
                <w:color w:val="auto"/>
                <w:kern w:val="0"/>
              </w:rPr>
              <w:t>1</w:t>
            </w:r>
          </w:p>
        </w:tc>
        <w:tc>
          <w:tcPr>
            <w:tcW w:w="1136" w:type="pct"/>
            <w:tcBorders>
              <w:top w:val="nil"/>
              <w:left w:val="single" w:color="auto" w:sz="4" w:space="0"/>
              <w:bottom w:val="single" w:color="auto" w:sz="4" w:space="0"/>
              <w:right w:val="single" w:color="auto" w:sz="4" w:space="0"/>
            </w:tcBorders>
            <w:vAlign w:val="center"/>
          </w:tcPr>
          <w:p w14:paraId="7A64F1D9">
            <w:pPr>
              <w:widowControl/>
              <w:spacing w:line="240" w:lineRule="auto"/>
              <w:jc w:val="center"/>
              <w:rPr>
                <w:color w:val="auto"/>
                <w:kern w:val="0"/>
              </w:rPr>
            </w:pPr>
            <w:r>
              <w:rPr>
                <w:rFonts w:hint="eastAsia"/>
                <w:color w:val="auto"/>
                <w:kern w:val="0"/>
              </w:rPr>
              <w:t>过滤器箱体</w:t>
            </w:r>
          </w:p>
        </w:tc>
        <w:tc>
          <w:tcPr>
            <w:tcW w:w="1111" w:type="pct"/>
            <w:tcBorders>
              <w:top w:val="single" w:color="auto" w:sz="4" w:space="0"/>
              <w:left w:val="nil"/>
              <w:bottom w:val="single" w:color="auto" w:sz="4" w:space="0"/>
              <w:right w:val="single" w:color="auto" w:sz="4" w:space="0"/>
            </w:tcBorders>
            <w:vAlign w:val="center"/>
          </w:tcPr>
          <w:p w14:paraId="0D9F1D21">
            <w:pPr>
              <w:widowControl/>
              <w:spacing w:line="240" w:lineRule="auto"/>
              <w:jc w:val="center"/>
              <w:rPr>
                <w:rFonts w:eastAsiaTheme="minorEastAsia"/>
                <w:color w:val="auto"/>
                <w:kern w:val="0"/>
              </w:rPr>
            </w:pPr>
            <w:r>
              <w:rPr>
                <w:rFonts w:eastAsiaTheme="minorEastAsia"/>
                <w:color w:val="auto"/>
              </w:rPr>
              <w:t>PF-HP-2</w:t>
            </w:r>
          </w:p>
        </w:tc>
        <w:tc>
          <w:tcPr>
            <w:tcW w:w="911" w:type="pct"/>
            <w:tcBorders>
              <w:top w:val="single" w:color="auto" w:sz="4" w:space="0"/>
              <w:left w:val="single" w:color="auto" w:sz="4" w:space="0"/>
              <w:bottom w:val="single" w:color="auto" w:sz="4" w:space="0"/>
              <w:right w:val="single" w:color="auto" w:sz="4" w:space="0"/>
            </w:tcBorders>
          </w:tcPr>
          <w:p w14:paraId="2C2D21E1">
            <w:pPr>
              <w:widowControl/>
              <w:spacing w:line="240" w:lineRule="auto"/>
              <w:jc w:val="center"/>
              <w:rPr>
                <w:color w:val="auto"/>
                <w:kern w:val="0"/>
              </w:rPr>
            </w:pPr>
            <w:r>
              <w:rPr>
                <w:rFonts w:hint="eastAsia"/>
                <w:color w:val="auto"/>
                <w:kern w:val="0"/>
              </w:rPr>
              <w:t>DN</w:t>
            </w:r>
            <w:r>
              <w:rPr>
                <w:color w:val="auto"/>
                <w:kern w:val="0"/>
              </w:rPr>
              <w:t>200</w:t>
            </w:r>
          </w:p>
        </w:tc>
        <w:tc>
          <w:tcPr>
            <w:tcW w:w="461" w:type="pct"/>
            <w:tcBorders>
              <w:top w:val="nil"/>
              <w:left w:val="single" w:color="auto" w:sz="4" w:space="0"/>
              <w:bottom w:val="single" w:color="auto" w:sz="4" w:space="0"/>
              <w:right w:val="single" w:color="auto" w:sz="4" w:space="0"/>
            </w:tcBorders>
            <w:vAlign w:val="center"/>
          </w:tcPr>
          <w:p w14:paraId="5A7972A1">
            <w:pPr>
              <w:widowControl/>
              <w:spacing w:line="240" w:lineRule="auto"/>
              <w:jc w:val="center"/>
              <w:rPr>
                <w:color w:val="auto"/>
                <w:kern w:val="0"/>
              </w:rPr>
            </w:pPr>
            <w:r>
              <w:rPr>
                <w:color w:val="auto"/>
                <w:kern w:val="0"/>
              </w:rPr>
              <w:t>3900</w:t>
            </w:r>
          </w:p>
        </w:tc>
        <w:tc>
          <w:tcPr>
            <w:tcW w:w="461" w:type="pct"/>
            <w:tcBorders>
              <w:top w:val="nil"/>
              <w:left w:val="nil"/>
              <w:bottom w:val="single" w:color="auto" w:sz="4" w:space="0"/>
              <w:right w:val="single" w:color="auto" w:sz="4" w:space="0"/>
            </w:tcBorders>
            <w:vAlign w:val="center"/>
          </w:tcPr>
          <w:p w14:paraId="002F65AE">
            <w:pPr>
              <w:widowControl/>
              <w:spacing w:line="240" w:lineRule="auto"/>
              <w:jc w:val="center"/>
              <w:rPr>
                <w:color w:val="auto"/>
                <w:kern w:val="0"/>
              </w:rPr>
            </w:pPr>
            <w:r>
              <w:rPr>
                <w:rFonts w:hint="eastAsia"/>
                <w:color w:val="auto"/>
                <w:kern w:val="0"/>
              </w:rPr>
              <w:t>8</w:t>
            </w:r>
            <w:r>
              <w:rPr>
                <w:color w:val="auto"/>
                <w:kern w:val="0"/>
              </w:rPr>
              <w:t>00</w:t>
            </w:r>
          </w:p>
        </w:tc>
        <w:tc>
          <w:tcPr>
            <w:tcW w:w="459" w:type="pct"/>
            <w:tcBorders>
              <w:top w:val="nil"/>
              <w:left w:val="nil"/>
              <w:bottom w:val="single" w:color="auto" w:sz="4" w:space="0"/>
              <w:right w:val="single" w:color="auto" w:sz="4" w:space="0"/>
            </w:tcBorders>
            <w:vAlign w:val="center"/>
          </w:tcPr>
          <w:p w14:paraId="355C79DC">
            <w:pPr>
              <w:widowControl/>
              <w:spacing w:line="240" w:lineRule="auto"/>
              <w:jc w:val="center"/>
              <w:rPr>
                <w:color w:val="auto"/>
                <w:kern w:val="0"/>
              </w:rPr>
            </w:pPr>
            <w:r>
              <w:rPr>
                <w:color w:val="auto"/>
                <w:kern w:val="0"/>
              </w:rPr>
              <w:t>1800</w:t>
            </w:r>
          </w:p>
        </w:tc>
      </w:tr>
      <w:tr w14:paraId="178D20A4">
        <w:tblPrEx>
          <w:tblCellMar>
            <w:top w:w="0" w:type="dxa"/>
            <w:left w:w="0" w:type="dxa"/>
            <w:bottom w:w="0" w:type="dxa"/>
            <w:right w:w="0" w:type="dxa"/>
          </w:tblCellMar>
        </w:tblPrEx>
        <w:trPr>
          <w:trHeight w:val="300" w:hRule="atLeast"/>
        </w:trPr>
        <w:tc>
          <w:tcPr>
            <w:tcW w:w="461" w:type="pct"/>
            <w:tcBorders>
              <w:top w:val="nil"/>
              <w:left w:val="single" w:color="auto" w:sz="4" w:space="0"/>
              <w:bottom w:val="single" w:color="auto" w:sz="4" w:space="0"/>
              <w:right w:val="single" w:color="auto" w:sz="4" w:space="0"/>
            </w:tcBorders>
          </w:tcPr>
          <w:p w14:paraId="3A158347">
            <w:pPr>
              <w:widowControl/>
              <w:spacing w:line="240" w:lineRule="auto"/>
              <w:jc w:val="center"/>
              <w:rPr>
                <w:color w:val="auto"/>
                <w:kern w:val="0"/>
              </w:rPr>
            </w:pPr>
            <w:r>
              <w:rPr>
                <w:rFonts w:hint="eastAsia"/>
                <w:color w:val="auto"/>
                <w:kern w:val="0"/>
              </w:rPr>
              <w:t>2</w:t>
            </w:r>
          </w:p>
        </w:tc>
        <w:tc>
          <w:tcPr>
            <w:tcW w:w="1136" w:type="pct"/>
            <w:tcBorders>
              <w:top w:val="nil"/>
              <w:left w:val="single" w:color="auto" w:sz="4" w:space="0"/>
              <w:bottom w:val="single" w:color="auto" w:sz="4" w:space="0"/>
              <w:right w:val="single" w:color="auto" w:sz="4" w:space="0"/>
            </w:tcBorders>
            <w:vAlign w:val="center"/>
          </w:tcPr>
          <w:p w14:paraId="665A0F16">
            <w:pPr>
              <w:widowControl/>
              <w:spacing w:line="240" w:lineRule="auto"/>
              <w:jc w:val="center"/>
              <w:rPr>
                <w:color w:val="auto"/>
                <w:kern w:val="0"/>
              </w:rPr>
            </w:pPr>
            <w:r>
              <w:rPr>
                <w:rFonts w:hint="eastAsia"/>
                <w:color w:val="auto"/>
                <w:kern w:val="0"/>
              </w:rPr>
              <w:t>过滤器箱体</w:t>
            </w:r>
          </w:p>
        </w:tc>
        <w:tc>
          <w:tcPr>
            <w:tcW w:w="1111" w:type="pct"/>
            <w:tcBorders>
              <w:top w:val="single" w:color="auto" w:sz="4" w:space="0"/>
              <w:left w:val="nil"/>
              <w:bottom w:val="single" w:color="auto" w:sz="4" w:space="0"/>
              <w:right w:val="single" w:color="auto" w:sz="4" w:space="0"/>
            </w:tcBorders>
            <w:vAlign w:val="center"/>
          </w:tcPr>
          <w:p w14:paraId="2801A618">
            <w:pPr>
              <w:widowControl/>
              <w:spacing w:line="240" w:lineRule="auto"/>
              <w:jc w:val="center"/>
              <w:rPr>
                <w:rFonts w:eastAsiaTheme="minorEastAsia"/>
                <w:color w:val="auto"/>
                <w:kern w:val="0"/>
              </w:rPr>
            </w:pPr>
            <w:r>
              <w:rPr>
                <w:rFonts w:eastAsiaTheme="minorEastAsia"/>
                <w:color w:val="auto"/>
              </w:rPr>
              <w:t>PF-SCE-1/1</w:t>
            </w:r>
          </w:p>
        </w:tc>
        <w:tc>
          <w:tcPr>
            <w:tcW w:w="911" w:type="pct"/>
            <w:tcBorders>
              <w:top w:val="single" w:color="auto" w:sz="4" w:space="0"/>
              <w:left w:val="single" w:color="auto" w:sz="4" w:space="0"/>
              <w:bottom w:val="single" w:color="auto" w:sz="4" w:space="0"/>
              <w:right w:val="single" w:color="auto" w:sz="4" w:space="0"/>
            </w:tcBorders>
          </w:tcPr>
          <w:p w14:paraId="624DBE29">
            <w:pPr>
              <w:widowControl/>
              <w:spacing w:line="240" w:lineRule="auto"/>
              <w:jc w:val="center"/>
              <w:rPr>
                <w:color w:val="auto"/>
                <w:kern w:val="0"/>
              </w:rPr>
            </w:pPr>
            <w:r>
              <w:rPr>
                <w:rFonts w:hint="eastAsia"/>
                <w:color w:val="auto"/>
                <w:kern w:val="0"/>
              </w:rPr>
              <w:t>DN</w:t>
            </w:r>
            <w:r>
              <w:rPr>
                <w:color w:val="auto"/>
                <w:kern w:val="0"/>
              </w:rPr>
              <w:t>350</w:t>
            </w:r>
          </w:p>
        </w:tc>
        <w:tc>
          <w:tcPr>
            <w:tcW w:w="461" w:type="pct"/>
            <w:tcBorders>
              <w:top w:val="nil"/>
              <w:left w:val="single" w:color="auto" w:sz="4" w:space="0"/>
              <w:bottom w:val="single" w:color="auto" w:sz="4" w:space="0"/>
              <w:right w:val="single" w:color="auto" w:sz="4" w:space="0"/>
            </w:tcBorders>
            <w:vAlign w:val="center"/>
          </w:tcPr>
          <w:p w14:paraId="5B8503C2">
            <w:pPr>
              <w:widowControl/>
              <w:spacing w:line="240" w:lineRule="auto"/>
              <w:jc w:val="center"/>
              <w:rPr>
                <w:color w:val="auto"/>
                <w:kern w:val="0"/>
              </w:rPr>
            </w:pPr>
            <w:r>
              <w:rPr>
                <w:rFonts w:hint="eastAsia"/>
                <w:color w:val="auto"/>
                <w:kern w:val="0"/>
              </w:rPr>
              <w:t>2</w:t>
            </w:r>
            <w:r>
              <w:rPr>
                <w:color w:val="auto"/>
                <w:kern w:val="0"/>
              </w:rPr>
              <w:t>600</w:t>
            </w:r>
          </w:p>
        </w:tc>
        <w:tc>
          <w:tcPr>
            <w:tcW w:w="461" w:type="pct"/>
            <w:tcBorders>
              <w:top w:val="nil"/>
              <w:left w:val="nil"/>
              <w:bottom w:val="single" w:color="auto" w:sz="4" w:space="0"/>
              <w:right w:val="single" w:color="auto" w:sz="4" w:space="0"/>
            </w:tcBorders>
            <w:vAlign w:val="center"/>
          </w:tcPr>
          <w:p w14:paraId="18EE13A7">
            <w:pPr>
              <w:widowControl/>
              <w:spacing w:line="240" w:lineRule="auto"/>
              <w:jc w:val="center"/>
              <w:rPr>
                <w:color w:val="auto"/>
                <w:kern w:val="0"/>
              </w:rPr>
            </w:pPr>
            <w:r>
              <w:rPr>
                <w:rFonts w:hint="eastAsia"/>
                <w:color w:val="auto"/>
                <w:kern w:val="0"/>
              </w:rPr>
              <w:t>8</w:t>
            </w:r>
            <w:r>
              <w:rPr>
                <w:color w:val="auto"/>
                <w:kern w:val="0"/>
              </w:rPr>
              <w:t>00</w:t>
            </w:r>
          </w:p>
        </w:tc>
        <w:tc>
          <w:tcPr>
            <w:tcW w:w="459" w:type="pct"/>
            <w:tcBorders>
              <w:top w:val="nil"/>
              <w:left w:val="nil"/>
              <w:bottom w:val="single" w:color="auto" w:sz="4" w:space="0"/>
              <w:right w:val="single" w:color="auto" w:sz="4" w:space="0"/>
            </w:tcBorders>
            <w:vAlign w:val="center"/>
          </w:tcPr>
          <w:p w14:paraId="0074AFE9">
            <w:pPr>
              <w:widowControl/>
              <w:spacing w:line="240" w:lineRule="auto"/>
              <w:jc w:val="center"/>
              <w:rPr>
                <w:color w:val="auto"/>
                <w:kern w:val="0"/>
              </w:rPr>
            </w:pPr>
            <w:r>
              <w:rPr>
                <w:rFonts w:hint="eastAsia"/>
                <w:color w:val="auto"/>
                <w:kern w:val="0"/>
              </w:rPr>
              <w:t>2</w:t>
            </w:r>
            <w:r>
              <w:rPr>
                <w:color w:val="auto"/>
                <w:kern w:val="0"/>
              </w:rPr>
              <w:t>600</w:t>
            </w:r>
          </w:p>
        </w:tc>
      </w:tr>
      <w:tr w14:paraId="52D1B535">
        <w:tblPrEx>
          <w:tblCellMar>
            <w:top w:w="0" w:type="dxa"/>
            <w:left w:w="0" w:type="dxa"/>
            <w:bottom w:w="0" w:type="dxa"/>
            <w:right w:w="0" w:type="dxa"/>
          </w:tblCellMar>
        </w:tblPrEx>
        <w:trPr>
          <w:trHeight w:val="300" w:hRule="atLeast"/>
        </w:trPr>
        <w:tc>
          <w:tcPr>
            <w:tcW w:w="461" w:type="pct"/>
            <w:tcBorders>
              <w:top w:val="nil"/>
              <w:left w:val="single" w:color="auto" w:sz="4" w:space="0"/>
              <w:bottom w:val="single" w:color="auto" w:sz="4" w:space="0"/>
              <w:right w:val="single" w:color="auto" w:sz="4" w:space="0"/>
            </w:tcBorders>
          </w:tcPr>
          <w:p w14:paraId="1C29E064">
            <w:pPr>
              <w:widowControl/>
              <w:spacing w:line="240" w:lineRule="auto"/>
              <w:jc w:val="center"/>
              <w:rPr>
                <w:color w:val="auto"/>
                <w:kern w:val="0"/>
              </w:rPr>
            </w:pPr>
            <w:r>
              <w:rPr>
                <w:color w:val="auto"/>
                <w:kern w:val="0"/>
              </w:rPr>
              <w:t>3</w:t>
            </w:r>
          </w:p>
        </w:tc>
        <w:tc>
          <w:tcPr>
            <w:tcW w:w="1136" w:type="pct"/>
            <w:tcBorders>
              <w:top w:val="nil"/>
              <w:left w:val="single" w:color="auto" w:sz="4" w:space="0"/>
              <w:bottom w:val="single" w:color="auto" w:sz="4" w:space="0"/>
              <w:right w:val="single" w:color="auto" w:sz="4" w:space="0"/>
            </w:tcBorders>
            <w:vAlign w:val="center"/>
          </w:tcPr>
          <w:p w14:paraId="0D920CC6">
            <w:pPr>
              <w:widowControl/>
              <w:spacing w:line="240" w:lineRule="auto"/>
              <w:jc w:val="center"/>
              <w:rPr>
                <w:color w:val="auto"/>
                <w:kern w:val="0"/>
              </w:rPr>
            </w:pPr>
            <w:r>
              <w:rPr>
                <w:rFonts w:hint="eastAsia"/>
                <w:color w:val="auto"/>
                <w:kern w:val="0"/>
              </w:rPr>
              <w:t>过滤器箱体</w:t>
            </w:r>
          </w:p>
        </w:tc>
        <w:tc>
          <w:tcPr>
            <w:tcW w:w="1111" w:type="pct"/>
            <w:tcBorders>
              <w:top w:val="single" w:color="auto" w:sz="4" w:space="0"/>
              <w:left w:val="nil"/>
              <w:bottom w:val="single" w:color="auto" w:sz="4" w:space="0"/>
              <w:right w:val="single" w:color="auto" w:sz="4" w:space="0"/>
            </w:tcBorders>
            <w:vAlign w:val="center"/>
          </w:tcPr>
          <w:p w14:paraId="3700B8BF">
            <w:pPr>
              <w:widowControl/>
              <w:spacing w:line="240" w:lineRule="auto"/>
              <w:jc w:val="center"/>
              <w:rPr>
                <w:rFonts w:eastAsiaTheme="minorEastAsia"/>
                <w:color w:val="auto"/>
                <w:kern w:val="0"/>
              </w:rPr>
            </w:pPr>
            <w:r>
              <w:rPr>
                <w:rFonts w:eastAsiaTheme="minorEastAsia"/>
                <w:color w:val="auto"/>
              </w:rPr>
              <w:t>PF-SCE-1/2</w:t>
            </w:r>
          </w:p>
        </w:tc>
        <w:tc>
          <w:tcPr>
            <w:tcW w:w="911" w:type="pct"/>
            <w:tcBorders>
              <w:top w:val="single" w:color="auto" w:sz="4" w:space="0"/>
              <w:left w:val="single" w:color="auto" w:sz="4" w:space="0"/>
              <w:bottom w:val="single" w:color="auto" w:sz="4" w:space="0"/>
              <w:right w:val="single" w:color="auto" w:sz="4" w:space="0"/>
            </w:tcBorders>
          </w:tcPr>
          <w:p w14:paraId="31BC4B0C">
            <w:pPr>
              <w:widowControl/>
              <w:spacing w:line="240" w:lineRule="auto"/>
              <w:jc w:val="center"/>
              <w:rPr>
                <w:color w:val="auto"/>
                <w:kern w:val="0"/>
              </w:rPr>
            </w:pPr>
            <w:r>
              <w:rPr>
                <w:rFonts w:hint="eastAsia"/>
                <w:color w:val="auto"/>
                <w:kern w:val="0"/>
              </w:rPr>
              <w:t>DN</w:t>
            </w:r>
            <w:r>
              <w:rPr>
                <w:color w:val="auto"/>
                <w:kern w:val="0"/>
              </w:rPr>
              <w:t>350</w:t>
            </w:r>
          </w:p>
        </w:tc>
        <w:tc>
          <w:tcPr>
            <w:tcW w:w="461" w:type="pct"/>
            <w:tcBorders>
              <w:top w:val="nil"/>
              <w:left w:val="single" w:color="auto" w:sz="4" w:space="0"/>
              <w:bottom w:val="single" w:color="auto" w:sz="4" w:space="0"/>
              <w:right w:val="single" w:color="auto" w:sz="4" w:space="0"/>
            </w:tcBorders>
            <w:vAlign w:val="center"/>
          </w:tcPr>
          <w:p w14:paraId="1F97CA74">
            <w:pPr>
              <w:widowControl/>
              <w:spacing w:line="240" w:lineRule="auto"/>
              <w:jc w:val="center"/>
              <w:rPr>
                <w:color w:val="auto"/>
                <w:kern w:val="0"/>
              </w:rPr>
            </w:pPr>
            <w:r>
              <w:rPr>
                <w:rFonts w:hint="eastAsia"/>
                <w:color w:val="auto"/>
                <w:kern w:val="0"/>
              </w:rPr>
              <w:t>2</w:t>
            </w:r>
            <w:r>
              <w:rPr>
                <w:color w:val="auto"/>
                <w:kern w:val="0"/>
              </w:rPr>
              <w:t>600</w:t>
            </w:r>
          </w:p>
        </w:tc>
        <w:tc>
          <w:tcPr>
            <w:tcW w:w="461" w:type="pct"/>
            <w:tcBorders>
              <w:top w:val="nil"/>
              <w:left w:val="nil"/>
              <w:bottom w:val="single" w:color="auto" w:sz="4" w:space="0"/>
              <w:right w:val="single" w:color="auto" w:sz="4" w:space="0"/>
            </w:tcBorders>
            <w:vAlign w:val="center"/>
          </w:tcPr>
          <w:p w14:paraId="1D3E755F">
            <w:pPr>
              <w:widowControl/>
              <w:spacing w:line="240" w:lineRule="auto"/>
              <w:jc w:val="center"/>
              <w:rPr>
                <w:color w:val="auto"/>
                <w:kern w:val="0"/>
              </w:rPr>
            </w:pPr>
            <w:r>
              <w:rPr>
                <w:rFonts w:hint="eastAsia"/>
                <w:color w:val="auto"/>
                <w:kern w:val="0"/>
              </w:rPr>
              <w:t>8</w:t>
            </w:r>
            <w:r>
              <w:rPr>
                <w:color w:val="auto"/>
                <w:kern w:val="0"/>
              </w:rPr>
              <w:t>00</w:t>
            </w:r>
          </w:p>
        </w:tc>
        <w:tc>
          <w:tcPr>
            <w:tcW w:w="459" w:type="pct"/>
            <w:tcBorders>
              <w:top w:val="nil"/>
              <w:left w:val="nil"/>
              <w:bottom w:val="single" w:color="auto" w:sz="4" w:space="0"/>
              <w:right w:val="single" w:color="auto" w:sz="4" w:space="0"/>
            </w:tcBorders>
            <w:vAlign w:val="center"/>
          </w:tcPr>
          <w:p w14:paraId="00297DF4">
            <w:pPr>
              <w:widowControl/>
              <w:spacing w:line="240" w:lineRule="auto"/>
              <w:jc w:val="center"/>
              <w:rPr>
                <w:color w:val="auto"/>
                <w:kern w:val="0"/>
              </w:rPr>
            </w:pPr>
            <w:r>
              <w:rPr>
                <w:rFonts w:hint="eastAsia"/>
                <w:color w:val="auto"/>
                <w:kern w:val="0"/>
              </w:rPr>
              <w:t>2</w:t>
            </w:r>
            <w:r>
              <w:rPr>
                <w:color w:val="auto"/>
                <w:kern w:val="0"/>
              </w:rPr>
              <w:t>600</w:t>
            </w:r>
          </w:p>
        </w:tc>
      </w:tr>
      <w:tr w14:paraId="5629041D">
        <w:tblPrEx>
          <w:tblCellMar>
            <w:top w:w="0" w:type="dxa"/>
            <w:left w:w="0" w:type="dxa"/>
            <w:bottom w:w="0" w:type="dxa"/>
            <w:right w:w="0" w:type="dxa"/>
          </w:tblCellMar>
        </w:tblPrEx>
        <w:trPr>
          <w:trHeight w:val="300" w:hRule="atLeast"/>
        </w:trPr>
        <w:tc>
          <w:tcPr>
            <w:tcW w:w="461" w:type="pct"/>
            <w:tcBorders>
              <w:top w:val="nil"/>
              <w:left w:val="single" w:color="auto" w:sz="4" w:space="0"/>
              <w:bottom w:val="single" w:color="auto" w:sz="4" w:space="0"/>
              <w:right w:val="single" w:color="auto" w:sz="4" w:space="0"/>
            </w:tcBorders>
          </w:tcPr>
          <w:p w14:paraId="52219B9B">
            <w:pPr>
              <w:widowControl/>
              <w:spacing w:line="240" w:lineRule="auto"/>
              <w:jc w:val="center"/>
              <w:rPr>
                <w:color w:val="auto"/>
                <w:kern w:val="0"/>
              </w:rPr>
            </w:pPr>
            <w:r>
              <w:rPr>
                <w:color w:val="auto"/>
                <w:kern w:val="0"/>
              </w:rPr>
              <w:t>4</w:t>
            </w:r>
          </w:p>
        </w:tc>
        <w:tc>
          <w:tcPr>
            <w:tcW w:w="1136" w:type="pct"/>
            <w:tcBorders>
              <w:top w:val="nil"/>
              <w:left w:val="single" w:color="auto" w:sz="4" w:space="0"/>
              <w:bottom w:val="single" w:color="auto" w:sz="4" w:space="0"/>
              <w:right w:val="single" w:color="auto" w:sz="4" w:space="0"/>
            </w:tcBorders>
            <w:vAlign w:val="center"/>
          </w:tcPr>
          <w:p w14:paraId="6E5B5A01">
            <w:pPr>
              <w:widowControl/>
              <w:spacing w:line="240" w:lineRule="auto"/>
              <w:jc w:val="center"/>
              <w:rPr>
                <w:color w:val="auto"/>
                <w:kern w:val="0"/>
              </w:rPr>
            </w:pPr>
            <w:r>
              <w:rPr>
                <w:rFonts w:hint="eastAsia"/>
                <w:color w:val="auto"/>
                <w:kern w:val="0"/>
              </w:rPr>
              <w:t>过滤器箱体</w:t>
            </w:r>
          </w:p>
        </w:tc>
        <w:tc>
          <w:tcPr>
            <w:tcW w:w="1111" w:type="pct"/>
            <w:tcBorders>
              <w:top w:val="single" w:color="auto" w:sz="4" w:space="0"/>
              <w:left w:val="nil"/>
              <w:bottom w:val="single" w:color="auto" w:sz="4" w:space="0"/>
              <w:right w:val="single" w:color="auto" w:sz="4" w:space="0"/>
            </w:tcBorders>
            <w:vAlign w:val="center"/>
          </w:tcPr>
          <w:p w14:paraId="4198CA41">
            <w:pPr>
              <w:widowControl/>
              <w:spacing w:line="240" w:lineRule="auto"/>
              <w:jc w:val="center"/>
              <w:rPr>
                <w:rFonts w:eastAsiaTheme="minorEastAsia"/>
                <w:color w:val="auto"/>
                <w:kern w:val="0"/>
              </w:rPr>
            </w:pPr>
            <w:r>
              <w:rPr>
                <w:rFonts w:eastAsiaTheme="minorEastAsia"/>
                <w:color w:val="auto"/>
              </w:rPr>
              <w:t>PF-HP-3</w:t>
            </w:r>
          </w:p>
        </w:tc>
        <w:tc>
          <w:tcPr>
            <w:tcW w:w="911" w:type="pct"/>
            <w:tcBorders>
              <w:top w:val="single" w:color="auto" w:sz="4" w:space="0"/>
              <w:left w:val="single" w:color="auto" w:sz="4" w:space="0"/>
              <w:bottom w:val="single" w:color="auto" w:sz="4" w:space="0"/>
              <w:right w:val="single" w:color="auto" w:sz="4" w:space="0"/>
            </w:tcBorders>
          </w:tcPr>
          <w:p w14:paraId="1D93FD0D">
            <w:pPr>
              <w:widowControl/>
              <w:spacing w:line="240" w:lineRule="auto"/>
              <w:jc w:val="center"/>
              <w:rPr>
                <w:color w:val="auto"/>
                <w:kern w:val="0"/>
              </w:rPr>
            </w:pPr>
            <w:r>
              <w:rPr>
                <w:rFonts w:hint="eastAsia"/>
                <w:color w:val="auto"/>
                <w:kern w:val="0"/>
              </w:rPr>
              <w:t>DN</w:t>
            </w:r>
            <w:r>
              <w:rPr>
                <w:color w:val="auto"/>
                <w:kern w:val="0"/>
              </w:rPr>
              <w:t>350</w:t>
            </w:r>
          </w:p>
        </w:tc>
        <w:tc>
          <w:tcPr>
            <w:tcW w:w="461" w:type="pct"/>
            <w:tcBorders>
              <w:top w:val="nil"/>
              <w:left w:val="single" w:color="auto" w:sz="4" w:space="0"/>
              <w:bottom w:val="single" w:color="auto" w:sz="4" w:space="0"/>
              <w:right w:val="single" w:color="auto" w:sz="4" w:space="0"/>
            </w:tcBorders>
            <w:vAlign w:val="center"/>
          </w:tcPr>
          <w:p w14:paraId="515FA29B">
            <w:pPr>
              <w:widowControl/>
              <w:spacing w:line="240" w:lineRule="auto"/>
              <w:jc w:val="center"/>
              <w:rPr>
                <w:color w:val="auto"/>
                <w:kern w:val="0"/>
              </w:rPr>
            </w:pPr>
            <w:r>
              <w:rPr>
                <w:rFonts w:hint="eastAsia"/>
                <w:color w:val="auto"/>
                <w:kern w:val="0"/>
              </w:rPr>
              <w:t>2</w:t>
            </w:r>
            <w:r>
              <w:rPr>
                <w:color w:val="auto"/>
                <w:kern w:val="0"/>
              </w:rPr>
              <w:t>600</w:t>
            </w:r>
          </w:p>
        </w:tc>
        <w:tc>
          <w:tcPr>
            <w:tcW w:w="461" w:type="pct"/>
            <w:tcBorders>
              <w:top w:val="nil"/>
              <w:left w:val="nil"/>
              <w:bottom w:val="single" w:color="auto" w:sz="4" w:space="0"/>
              <w:right w:val="single" w:color="auto" w:sz="4" w:space="0"/>
            </w:tcBorders>
            <w:vAlign w:val="center"/>
          </w:tcPr>
          <w:p w14:paraId="5CEDE7B4">
            <w:pPr>
              <w:widowControl/>
              <w:spacing w:line="240" w:lineRule="auto"/>
              <w:jc w:val="center"/>
              <w:rPr>
                <w:color w:val="auto"/>
                <w:kern w:val="0"/>
              </w:rPr>
            </w:pPr>
            <w:r>
              <w:rPr>
                <w:rFonts w:hint="eastAsia"/>
                <w:color w:val="auto"/>
                <w:kern w:val="0"/>
              </w:rPr>
              <w:t>8</w:t>
            </w:r>
            <w:r>
              <w:rPr>
                <w:color w:val="auto"/>
                <w:kern w:val="0"/>
              </w:rPr>
              <w:t>00</w:t>
            </w:r>
          </w:p>
        </w:tc>
        <w:tc>
          <w:tcPr>
            <w:tcW w:w="459" w:type="pct"/>
            <w:tcBorders>
              <w:top w:val="nil"/>
              <w:left w:val="nil"/>
              <w:bottom w:val="single" w:color="auto" w:sz="4" w:space="0"/>
              <w:right w:val="single" w:color="auto" w:sz="4" w:space="0"/>
            </w:tcBorders>
            <w:vAlign w:val="center"/>
          </w:tcPr>
          <w:p w14:paraId="2DDEC49A">
            <w:pPr>
              <w:widowControl/>
              <w:spacing w:line="240" w:lineRule="auto"/>
              <w:jc w:val="center"/>
              <w:rPr>
                <w:color w:val="auto"/>
                <w:kern w:val="0"/>
              </w:rPr>
            </w:pPr>
            <w:r>
              <w:rPr>
                <w:color w:val="auto"/>
                <w:kern w:val="0"/>
              </w:rPr>
              <w:t>1800</w:t>
            </w:r>
          </w:p>
        </w:tc>
      </w:tr>
      <w:tr w14:paraId="00FE66CE">
        <w:tblPrEx>
          <w:tblCellMar>
            <w:top w:w="0" w:type="dxa"/>
            <w:left w:w="0" w:type="dxa"/>
            <w:bottom w:w="0" w:type="dxa"/>
            <w:right w:w="0" w:type="dxa"/>
          </w:tblCellMar>
        </w:tblPrEx>
        <w:trPr>
          <w:trHeight w:val="300" w:hRule="atLeast"/>
        </w:trPr>
        <w:tc>
          <w:tcPr>
            <w:tcW w:w="461" w:type="pct"/>
            <w:tcBorders>
              <w:top w:val="nil"/>
              <w:left w:val="single" w:color="auto" w:sz="4" w:space="0"/>
              <w:bottom w:val="single" w:color="auto" w:sz="4" w:space="0"/>
              <w:right w:val="single" w:color="auto" w:sz="4" w:space="0"/>
            </w:tcBorders>
          </w:tcPr>
          <w:p w14:paraId="7E8FA0E7">
            <w:pPr>
              <w:widowControl/>
              <w:spacing w:line="240" w:lineRule="auto"/>
              <w:jc w:val="center"/>
              <w:rPr>
                <w:color w:val="auto"/>
                <w:kern w:val="0"/>
              </w:rPr>
            </w:pPr>
            <w:r>
              <w:rPr>
                <w:color w:val="auto"/>
                <w:kern w:val="0"/>
              </w:rPr>
              <w:t>5</w:t>
            </w:r>
          </w:p>
        </w:tc>
        <w:tc>
          <w:tcPr>
            <w:tcW w:w="1136" w:type="pct"/>
            <w:tcBorders>
              <w:top w:val="nil"/>
              <w:left w:val="single" w:color="auto" w:sz="4" w:space="0"/>
              <w:bottom w:val="single" w:color="auto" w:sz="4" w:space="0"/>
              <w:right w:val="single" w:color="auto" w:sz="4" w:space="0"/>
            </w:tcBorders>
            <w:vAlign w:val="center"/>
          </w:tcPr>
          <w:p w14:paraId="671CABFC">
            <w:pPr>
              <w:widowControl/>
              <w:spacing w:line="240" w:lineRule="auto"/>
              <w:jc w:val="center"/>
              <w:rPr>
                <w:color w:val="auto"/>
                <w:kern w:val="0"/>
              </w:rPr>
            </w:pPr>
            <w:r>
              <w:rPr>
                <w:rFonts w:hint="eastAsia"/>
                <w:color w:val="auto"/>
                <w:kern w:val="0"/>
              </w:rPr>
              <w:t>过滤器箱体</w:t>
            </w:r>
          </w:p>
        </w:tc>
        <w:tc>
          <w:tcPr>
            <w:tcW w:w="1111" w:type="pct"/>
            <w:tcBorders>
              <w:top w:val="single" w:color="auto" w:sz="4" w:space="0"/>
              <w:left w:val="nil"/>
              <w:bottom w:val="single" w:color="auto" w:sz="4" w:space="0"/>
              <w:right w:val="single" w:color="auto" w:sz="4" w:space="0"/>
            </w:tcBorders>
            <w:vAlign w:val="center"/>
          </w:tcPr>
          <w:p w14:paraId="51FEDC4E">
            <w:pPr>
              <w:widowControl/>
              <w:spacing w:line="240" w:lineRule="auto"/>
              <w:jc w:val="center"/>
              <w:rPr>
                <w:rFonts w:eastAsiaTheme="minorEastAsia"/>
                <w:color w:val="auto"/>
                <w:kern w:val="0"/>
              </w:rPr>
            </w:pPr>
            <w:r>
              <w:rPr>
                <w:rFonts w:eastAsiaTheme="minorEastAsia"/>
                <w:color w:val="auto"/>
              </w:rPr>
              <w:t>PF-BL-1</w:t>
            </w:r>
          </w:p>
        </w:tc>
        <w:tc>
          <w:tcPr>
            <w:tcW w:w="911" w:type="pct"/>
            <w:tcBorders>
              <w:top w:val="single" w:color="auto" w:sz="4" w:space="0"/>
              <w:left w:val="single" w:color="auto" w:sz="4" w:space="0"/>
              <w:bottom w:val="single" w:color="auto" w:sz="4" w:space="0"/>
              <w:right w:val="single" w:color="auto" w:sz="4" w:space="0"/>
            </w:tcBorders>
          </w:tcPr>
          <w:p w14:paraId="39567C8B">
            <w:pPr>
              <w:widowControl/>
              <w:spacing w:line="240" w:lineRule="auto"/>
              <w:jc w:val="center"/>
              <w:rPr>
                <w:color w:val="auto"/>
                <w:kern w:val="0"/>
              </w:rPr>
            </w:pPr>
            <w:r>
              <w:rPr>
                <w:rFonts w:hint="eastAsia"/>
                <w:color w:val="auto"/>
                <w:kern w:val="0"/>
              </w:rPr>
              <w:t>DN</w:t>
            </w:r>
            <w:r>
              <w:rPr>
                <w:color w:val="auto"/>
                <w:kern w:val="0"/>
              </w:rPr>
              <w:t>350</w:t>
            </w:r>
          </w:p>
        </w:tc>
        <w:tc>
          <w:tcPr>
            <w:tcW w:w="461" w:type="pct"/>
            <w:tcBorders>
              <w:top w:val="nil"/>
              <w:left w:val="single" w:color="auto" w:sz="4" w:space="0"/>
              <w:bottom w:val="single" w:color="auto" w:sz="4" w:space="0"/>
              <w:right w:val="single" w:color="auto" w:sz="4" w:space="0"/>
            </w:tcBorders>
            <w:vAlign w:val="center"/>
          </w:tcPr>
          <w:p w14:paraId="45F4C307">
            <w:pPr>
              <w:widowControl/>
              <w:spacing w:line="240" w:lineRule="auto"/>
              <w:jc w:val="center"/>
              <w:rPr>
                <w:color w:val="auto"/>
                <w:kern w:val="0"/>
              </w:rPr>
            </w:pPr>
            <w:r>
              <w:rPr>
                <w:rFonts w:hint="eastAsia"/>
                <w:color w:val="auto"/>
                <w:kern w:val="0"/>
              </w:rPr>
              <w:t>2</w:t>
            </w:r>
            <w:r>
              <w:rPr>
                <w:color w:val="auto"/>
                <w:kern w:val="0"/>
              </w:rPr>
              <w:t>600</w:t>
            </w:r>
          </w:p>
        </w:tc>
        <w:tc>
          <w:tcPr>
            <w:tcW w:w="461" w:type="pct"/>
            <w:tcBorders>
              <w:top w:val="nil"/>
              <w:left w:val="nil"/>
              <w:bottom w:val="single" w:color="auto" w:sz="4" w:space="0"/>
              <w:right w:val="single" w:color="auto" w:sz="4" w:space="0"/>
            </w:tcBorders>
            <w:vAlign w:val="center"/>
          </w:tcPr>
          <w:p w14:paraId="59EAB7E9">
            <w:pPr>
              <w:widowControl/>
              <w:spacing w:line="240" w:lineRule="auto"/>
              <w:jc w:val="center"/>
              <w:rPr>
                <w:color w:val="auto"/>
                <w:kern w:val="0"/>
              </w:rPr>
            </w:pPr>
            <w:r>
              <w:rPr>
                <w:rFonts w:hint="eastAsia"/>
                <w:color w:val="auto"/>
                <w:kern w:val="0"/>
              </w:rPr>
              <w:t>8</w:t>
            </w:r>
            <w:r>
              <w:rPr>
                <w:color w:val="auto"/>
                <w:kern w:val="0"/>
              </w:rPr>
              <w:t>00</w:t>
            </w:r>
          </w:p>
        </w:tc>
        <w:tc>
          <w:tcPr>
            <w:tcW w:w="459" w:type="pct"/>
            <w:tcBorders>
              <w:top w:val="nil"/>
              <w:left w:val="nil"/>
              <w:bottom w:val="single" w:color="auto" w:sz="4" w:space="0"/>
              <w:right w:val="single" w:color="auto" w:sz="4" w:space="0"/>
            </w:tcBorders>
            <w:vAlign w:val="center"/>
          </w:tcPr>
          <w:p w14:paraId="1C9E53B7">
            <w:pPr>
              <w:widowControl/>
              <w:spacing w:line="240" w:lineRule="auto"/>
              <w:jc w:val="center"/>
              <w:rPr>
                <w:color w:val="auto"/>
                <w:kern w:val="0"/>
              </w:rPr>
            </w:pPr>
            <w:r>
              <w:rPr>
                <w:color w:val="auto"/>
                <w:kern w:val="0"/>
              </w:rPr>
              <w:t>3300</w:t>
            </w:r>
          </w:p>
        </w:tc>
      </w:tr>
      <w:tr w14:paraId="2AA4E979">
        <w:tblPrEx>
          <w:tblCellMar>
            <w:top w:w="0" w:type="dxa"/>
            <w:left w:w="0" w:type="dxa"/>
            <w:bottom w:w="0" w:type="dxa"/>
            <w:right w:w="0" w:type="dxa"/>
          </w:tblCellMar>
        </w:tblPrEx>
        <w:trPr>
          <w:trHeight w:val="300" w:hRule="atLeast"/>
        </w:trPr>
        <w:tc>
          <w:tcPr>
            <w:tcW w:w="461" w:type="pct"/>
            <w:tcBorders>
              <w:top w:val="nil"/>
              <w:left w:val="single" w:color="auto" w:sz="4" w:space="0"/>
              <w:bottom w:val="single" w:color="auto" w:sz="4" w:space="0"/>
              <w:right w:val="single" w:color="auto" w:sz="4" w:space="0"/>
            </w:tcBorders>
          </w:tcPr>
          <w:p w14:paraId="3ABA9FB7">
            <w:pPr>
              <w:widowControl/>
              <w:spacing w:line="240" w:lineRule="auto"/>
              <w:jc w:val="center"/>
              <w:rPr>
                <w:color w:val="auto"/>
                <w:kern w:val="0"/>
              </w:rPr>
            </w:pPr>
            <w:r>
              <w:rPr>
                <w:color w:val="auto"/>
                <w:kern w:val="0"/>
              </w:rPr>
              <w:t>6</w:t>
            </w:r>
          </w:p>
        </w:tc>
        <w:tc>
          <w:tcPr>
            <w:tcW w:w="1136" w:type="pct"/>
            <w:tcBorders>
              <w:top w:val="nil"/>
              <w:left w:val="single" w:color="auto" w:sz="4" w:space="0"/>
              <w:bottom w:val="single" w:color="auto" w:sz="4" w:space="0"/>
              <w:right w:val="single" w:color="auto" w:sz="4" w:space="0"/>
            </w:tcBorders>
            <w:vAlign w:val="center"/>
          </w:tcPr>
          <w:p w14:paraId="248DEFC6">
            <w:pPr>
              <w:widowControl/>
              <w:spacing w:line="240" w:lineRule="auto"/>
              <w:jc w:val="center"/>
              <w:rPr>
                <w:color w:val="auto"/>
                <w:kern w:val="0"/>
              </w:rPr>
            </w:pPr>
            <w:r>
              <w:rPr>
                <w:rFonts w:hint="eastAsia"/>
                <w:color w:val="auto"/>
                <w:kern w:val="0"/>
              </w:rPr>
              <w:t>过滤器箱体</w:t>
            </w:r>
          </w:p>
        </w:tc>
        <w:tc>
          <w:tcPr>
            <w:tcW w:w="1111" w:type="pct"/>
            <w:tcBorders>
              <w:top w:val="single" w:color="auto" w:sz="4" w:space="0"/>
              <w:left w:val="nil"/>
              <w:bottom w:val="single" w:color="auto" w:sz="4" w:space="0"/>
              <w:right w:val="single" w:color="auto" w:sz="4" w:space="0"/>
            </w:tcBorders>
            <w:vAlign w:val="center"/>
          </w:tcPr>
          <w:p w14:paraId="74343806">
            <w:pPr>
              <w:widowControl/>
              <w:spacing w:line="240" w:lineRule="auto"/>
              <w:jc w:val="center"/>
              <w:rPr>
                <w:rFonts w:eastAsiaTheme="minorEastAsia"/>
                <w:color w:val="auto"/>
                <w:kern w:val="0"/>
              </w:rPr>
            </w:pPr>
            <w:r>
              <w:rPr>
                <w:rFonts w:eastAsiaTheme="minorEastAsia"/>
                <w:color w:val="auto"/>
              </w:rPr>
              <w:t>PF-BL-2</w:t>
            </w:r>
          </w:p>
        </w:tc>
        <w:tc>
          <w:tcPr>
            <w:tcW w:w="911" w:type="pct"/>
            <w:tcBorders>
              <w:top w:val="single" w:color="auto" w:sz="4" w:space="0"/>
              <w:left w:val="single" w:color="auto" w:sz="4" w:space="0"/>
              <w:bottom w:val="single" w:color="auto" w:sz="4" w:space="0"/>
              <w:right w:val="single" w:color="auto" w:sz="4" w:space="0"/>
            </w:tcBorders>
          </w:tcPr>
          <w:p w14:paraId="125627C2">
            <w:pPr>
              <w:widowControl/>
              <w:spacing w:line="240" w:lineRule="auto"/>
              <w:jc w:val="center"/>
              <w:rPr>
                <w:color w:val="auto"/>
                <w:kern w:val="0"/>
              </w:rPr>
            </w:pPr>
            <w:r>
              <w:rPr>
                <w:rFonts w:hint="eastAsia"/>
                <w:color w:val="auto"/>
                <w:kern w:val="0"/>
              </w:rPr>
              <w:t>DN</w:t>
            </w:r>
            <w:r>
              <w:rPr>
                <w:color w:val="auto"/>
                <w:kern w:val="0"/>
              </w:rPr>
              <w:t>350</w:t>
            </w:r>
          </w:p>
        </w:tc>
        <w:tc>
          <w:tcPr>
            <w:tcW w:w="461" w:type="pct"/>
            <w:tcBorders>
              <w:top w:val="nil"/>
              <w:left w:val="single" w:color="auto" w:sz="4" w:space="0"/>
              <w:bottom w:val="single" w:color="auto" w:sz="4" w:space="0"/>
              <w:right w:val="single" w:color="auto" w:sz="4" w:space="0"/>
            </w:tcBorders>
            <w:vAlign w:val="center"/>
          </w:tcPr>
          <w:p w14:paraId="0E3FEE68">
            <w:pPr>
              <w:widowControl/>
              <w:spacing w:line="240" w:lineRule="auto"/>
              <w:jc w:val="center"/>
              <w:rPr>
                <w:color w:val="auto"/>
                <w:kern w:val="0"/>
              </w:rPr>
            </w:pPr>
            <w:r>
              <w:rPr>
                <w:rFonts w:hint="eastAsia"/>
                <w:color w:val="auto"/>
                <w:kern w:val="0"/>
              </w:rPr>
              <w:t>2</w:t>
            </w:r>
            <w:r>
              <w:rPr>
                <w:color w:val="auto"/>
                <w:kern w:val="0"/>
              </w:rPr>
              <w:t>600</w:t>
            </w:r>
          </w:p>
        </w:tc>
        <w:tc>
          <w:tcPr>
            <w:tcW w:w="461" w:type="pct"/>
            <w:tcBorders>
              <w:top w:val="nil"/>
              <w:left w:val="nil"/>
              <w:bottom w:val="single" w:color="auto" w:sz="4" w:space="0"/>
              <w:right w:val="single" w:color="auto" w:sz="4" w:space="0"/>
            </w:tcBorders>
            <w:vAlign w:val="center"/>
          </w:tcPr>
          <w:p w14:paraId="45A9D6B6">
            <w:pPr>
              <w:widowControl/>
              <w:spacing w:line="240" w:lineRule="auto"/>
              <w:jc w:val="center"/>
              <w:rPr>
                <w:color w:val="auto"/>
                <w:kern w:val="0"/>
              </w:rPr>
            </w:pPr>
            <w:r>
              <w:rPr>
                <w:rFonts w:hint="eastAsia"/>
                <w:color w:val="auto"/>
                <w:kern w:val="0"/>
              </w:rPr>
              <w:t>8</w:t>
            </w:r>
            <w:r>
              <w:rPr>
                <w:color w:val="auto"/>
                <w:kern w:val="0"/>
              </w:rPr>
              <w:t>00</w:t>
            </w:r>
          </w:p>
        </w:tc>
        <w:tc>
          <w:tcPr>
            <w:tcW w:w="459" w:type="pct"/>
            <w:tcBorders>
              <w:top w:val="nil"/>
              <w:left w:val="nil"/>
              <w:bottom w:val="single" w:color="auto" w:sz="4" w:space="0"/>
              <w:right w:val="single" w:color="auto" w:sz="4" w:space="0"/>
            </w:tcBorders>
            <w:vAlign w:val="center"/>
          </w:tcPr>
          <w:p w14:paraId="1F9ED02C">
            <w:pPr>
              <w:widowControl/>
              <w:spacing w:line="240" w:lineRule="auto"/>
              <w:jc w:val="center"/>
              <w:rPr>
                <w:color w:val="auto"/>
                <w:kern w:val="0"/>
              </w:rPr>
            </w:pPr>
            <w:r>
              <w:rPr>
                <w:color w:val="auto"/>
                <w:kern w:val="0"/>
              </w:rPr>
              <w:t>3300</w:t>
            </w:r>
          </w:p>
        </w:tc>
      </w:tr>
      <w:tr w14:paraId="3AC635D4">
        <w:tblPrEx>
          <w:tblCellMar>
            <w:top w:w="0" w:type="dxa"/>
            <w:left w:w="0" w:type="dxa"/>
            <w:bottom w:w="0" w:type="dxa"/>
            <w:right w:w="0" w:type="dxa"/>
          </w:tblCellMar>
        </w:tblPrEx>
        <w:trPr>
          <w:trHeight w:val="300" w:hRule="atLeast"/>
        </w:trPr>
        <w:tc>
          <w:tcPr>
            <w:tcW w:w="461" w:type="pct"/>
            <w:tcBorders>
              <w:top w:val="nil"/>
              <w:left w:val="single" w:color="auto" w:sz="4" w:space="0"/>
              <w:bottom w:val="single" w:color="auto" w:sz="4" w:space="0"/>
              <w:right w:val="single" w:color="auto" w:sz="4" w:space="0"/>
            </w:tcBorders>
          </w:tcPr>
          <w:p w14:paraId="139D975C">
            <w:pPr>
              <w:widowControl/>
              <w:spacing w:line="240" w:lineRule="auto"/>
              <w:jc w:val="center"/>
              <w:rPr>
                <w:color w:val="auto"/>
                <w:kern w:val="0"/>
              </w:rPr>
            </w:pPr>
            <w:r>
              <w:rPr>
                <w:color w:val="auto"/>
                <w:kern w:val="0"/>
              </w:rPr>
              <w:t>7</w:t>
            </w:r>
          </w:p>
        </w:tc>
        <w:tc>
          <w:tcPr>
            <w:tcW w:w="1136" w:type="pct"/>
            <w:tcBorders>
              <w:top w:val="nil"/>
              <w:left w:val="single" w:color="auto" w:sz="4" w:space="0"/>
              <w:bottom w:val="single" w:color="auto" w:sz="4" w:space="0"/>
              <w:right w:val="single" w:color="auto" w:sz="4" w:space="0"/>
            </w:tcBorders>
            <w:vAlign w:val="center"/>
          </w:tcPr>
          <w:p w14:paraId="1FC45414">
            <w:pPr>
              <w:widowControl/>
              <w:spacing w:line="240" w:lineRule="auto"/>
              <w:jc w:val="center"/>
              <w:rPr>
                <w:color w:val="auto"/>
                <w:kern w:val="0"/>
              </w:rPr>
            </w:pPr>
            <w:r>
              <w:rPr>
                <w:rFonts w:hint="eastAsia"/>
                <w:color w:val="auto"/>
                <w:kern w:val="0"/>
              </w:rPr>
              <w:t>过滤器箱体</w:t>
            </w:r>
          </w:p>
        </w:tc>
        <w:tc>
          <w:tcPr>
            <w:tcW w:w="1111" w:type="pct"/>
            <w:tcBorders>
              <w:top w:val="single" w:color="auto" w:sz="4" w:space="0"/>
              <w:left w:val="nil"/>
              <w:bottom w:val="single" w:color="auto" w:sz="4" w:space="0"/>
              <w:right w:val="single" w:color="auto" w:sz="4" w:space="0"/>
            </w:tcBorders>
            <w:vAlign w:val="center"/>
          </w:tcPr>
          <w:p w14:paraId="49DA4AD2">
            <w:pPr>
              <w:widowControl/>
              <w:spacing w:line="240" w:lineRule="auto"/>
              <w:jc w:val="center"/>
              <w:rPr>
                <w:rFonts w:eastAsiaTheme="minorEastAsia"/>
                <w:color w:val="auto"/>
                <w:kern w:val="0"/>
              </w:rPr>
            </w:pPr>
            <w:r>
              <w:rPr>
                <w:rFonts w:eastAsiaTheme="minorEastAsia"/>
                <w:color w:val="auto"/>
              </w:rPr>
              <w:t>PF-HP-1</w:t>
            </w:r>
          </w:p>
        </w:tc>
        <w:tc>
          <w:tcPr>
            <w:tcW w:w="911" w:type="pct"/>
            <w:tcBorders>
              <w:top w:val="single" w:color="auto" w:sz="4" w:space="0"/>
              <w:left w:val="single" w:color="auto" w:sz="4" w:space="0"/>
              <w:bottom w:val="single" w:color="auto" w:sz="4" w:space="0"/>
              <w:right w:val="single" w:color="auto" w:sz="4" w:space="0"/>
            </w:tcBorders>
          </w:tcPr>
          <w:p w14:paraId="56754609">
            <w:pPr>
              <w:widowControl/>
              <w:spacing w:line="240" w:lineRule="auto"/>
              <w:jc w:val="center"/>
              <w:rPr>
                <w:color w:val="auto"/>
                <w:kern w:val="0"/>
              </w:rPr>
            </w:pPr>
            <w:r>
              <w:rPr>
                <w:rFonts w:hint="eastAsia"/>
                <w:color w:val="auto"/>
                <w:kern w:val="0"/>
              </w:rPr>
              <w:t>DN</w:t>
            </w:r>
            <w:r>
              <w:rPr>
                <w:color w:val="auto"/>
                <w:kern w:val="0"/>
              </w:rPr>
              <w:t>350</w:t>
            </w:r>
          </w:p>
        </w:tc>
        <w:tc>
          <w:tcPr>
            <w:tcW w:w="461" w:type="pct"/>
            <w:tcBorders>
              <w:top w:val="nil"/>
              <w:left w:val="single" w:color="auto" w:sz="4" w:space="0"/>
              <w:bottom w:val="single" w:color="auto" w:sz="4" w:space="0"/>
              <w:right w:val="single" w:color="auto" w:sz="4" w:space="0"/>
            </w:tcBorders>
            <w:vAlign w:val="center"/>
          </w:tcPr>
          <w:p w14:paraId="6C0CA8C0">
            <w:pPr>
              <w:widowControl/>
              <w:spacing w:line="240" w:lineRule="auto"/>
              <w:jc w:val="center"/>
              <w:rPr>
                <w:color w:val="auto"/>
                <w:kern w:val="0"/>
              </w:rPr>
            </w:pPr>
            <w:r>
              <w:rPr>
                <w:rFonts w:hint="eastAsia"/>
                <w:color w:val="auto"/>
                <w:kern w:val="0"/>
              </w:rPr>
              <w:t>2</w:t>
            </w:r>
            <w:r>
              <w:rPr>
                <w:color w:val="auto"/>
                <w:kern w:val="0"/>
              </w:rPr>
              <w:t>600</w:t>
            </w:r>
          </w:p>
        </w:tc>
        <w:tc>
          <w:tcPr>
            <w:tcW w:w="461" w:type="pct"/>
            <w:tcBorders>
              <w:top w:val="nil"/>
              <w:left w:val="nil"/>
              <w:bottom w:val="single" w:color="auto" w:sz="4" w:space="0"/>
              <w:right w:val="single" w:color="auto" w:sz="4" w:space="0"/>
            </w:tcBorders>
            <w:vAlign w:val="center"/>
          </w:tcPr>
          <w:p w14:paraId="3CB2B3A7">
            <w:pPr>
              <w:widowControl/>
              <w:spacing w:line="240" w:lineRule="auto"/>
              <w:jc w:val="center"/>
              <w:rPr>
                <w:color w:val="auto"/>
                <w:kern w:val="0"/>
              </w:rPr>
            </w:pPr>
            <w:r>
              <w:rPr>
                <w:rFonts w:hint="eastAsia"/>
                <w:color w:val="auto"/>
                <w:kern w:val="0"/>
              </w:rPr>
              <w:t>8</w:t>
            </w:r>
            <w:r>
              <w:rPr>
                <w:color w:val="auto"/>
                <w:kern w:val="0"/>
              </w:rPr>
              <w:t>00</w:t>
            </w:r>
          </w:p>
        </w:tc>
        <w:tc>
          <w:tcPr>
            <w:tcW w:w="459" w:type="pct"/>
            <w:tcBorders>
              <w:top w:val="nil"/>
              <w:left w:val="nil"/>
              <w:bottom w:val="single" w:color="auto" w:sz="4" w:space="0"/>
              <w:right w:val="single" w:color="auto" w:sz="4" w:space="0"/>
            </w:tcBorders>
            <w:vAlign w:val="center"/>
          </w:tcPr>
          <w:p w14:paraId="2EA2E8B5">
            <w:pPr>
              <w:widowControl/>
              <w:spacing w:line="240" w:lineRule="auto"/>
              <w:jc w:val="center"/>
              <w:rPr>
                <w:color w:val="auto"/>
                <w:kern w:val="0"/>
              </w:rPr>
            </w:pPr>
            <w:r>
              <w:rPr>
                <w:color w:val="auto"/>
                <w:kern w:val="0"/>
              </w:rPr>
              <w:t>3200</w:t>
            </w:r>
          </w:p>
        </w:tc>
      </w:tr>
      <w:tr w14:paraId="5CAFA0BB">
        <w:tblPrEx>
          <w:tblCellMar>
            <w:top w:w="0" w:type="dxa"/>
            <w:left w:w="0" w:type="dxa"/>
            <w:bottom w:w="0" w:type="dxa"/>
            <w:right w:w="0" w:type="dxa"/>
          </w:tblCellMar>
        </w:tblPrEx>
        <w:trPr>
          <w:trHeight w:val="300" w:hRule="atLeast"/>
        </w:trPr>
        <w:tc>
          <w:tcPr>
            <w:tcW w:w="461" w:type="pct"/>
            <w:tcBorders>
              <w:top w:val="nil"/>
              <w:left w:val="single" w:color="auto" w:sz="4" w:space="0"/>
              <w:bottom w:val="single" w:color="auto" w:sz="4" w:space="0"/>
              <w:right w:val="single" w:color="auto" w:sz="4" w:space="0"/>
            </w:tcBorders>
          </w:tcPr>
          <w:p w14:paraId="759A3567">
            <w:pPr>
              <w:widowControl/>
              <w:spacing w:line="240" w:lineRule="auto"/>
              <w:jc w:val="center"/>
              <w:rPr>
                <w:color w:val="auto"/>
                <w:kern w:val="0"/>
              </w:rPr>
            </w:pPr>
            <w:r>
              <w:rPr>
                <w:rFonts w:hint="eastAsia"/>
                <w:color w:val="auto"/>
                <w:kern w:val="0"/>
              </w:rPr>
              <w:t>8</w:t>
            </w:r>
          </w:p>
        </w:tc>
        <w:tc>
          <w:tcPr>
            <w:tcW w:w="1136" w:type="pct"/>
            <w:tcBorders>
              <w:top w:val="nil"/>
              <w:left w:val="single" w:color="auto" w:sz="4" w:space="0"/>
              <w:bottom w:val="single" w:color="auto" w:sz="4" w:space="0"/>
              <w:right w:val="single" w:color="auto" w:sz="4" w:space="0"/>
            </w:tcBorders>
            <w:vAlign w:val="center"/>
          </w:tcPr>
          <w:p w14:paraId="37FFA408">
            <w:pPr>
              <w:widowControl/>
              <w:spacing w:line="240" w:lineRule="auto"/>
              <w:jc w:val="center"/>
              <w:rPr>
                <w:color w:val="auto"/>
                <w:kern w:val="0"/>
              </w:rPr>
            </w:pPr>
            <w:r>
              <w:rPr>
                <w:rFonts w:hint="eastAsia"/>
                <w:color w:val="auto"/>
                <w:kern w:val="0"/>
              </w:rPr>
              <w:t>过滤器箱体</w:t>
            </w:r>
          </w:p>
        </w:tc>
        <w:tc>
          <w:tcPr>
            <w:tcW w:w="1111" w:type="pct"/>
            <w:tcBorders>
              <w:top w:val="single" w:color="auto" w:sz="4" w:space="0"/>
              <w:left w:val="nil"/>
              <w:bottom w:val="single" w:color="auto" w:sz="4" w:space="0"/>
              <w:right w:val="single" w:color="auto" w:sz="4" w:space="0"/>
            </w:tcBorders>
            <w:vAlign w:val="bottom"/>
          </w:tcPr>
          <w:p w14:paraId="6544AB3C">
            <w:pPr>
              <w:widowControl/>
              <w:spacing w:line="240" w:lineRule="auto"/>
              <w:jc w:val="center"/>
              <w:rPr>
                <w:rFonts w:eastAsiaTheme="minorEastAsia"/>
                <w:color w:val="auto"/>
                <w:kern w:val="0"/>
              </w:rPr>
            </w:pPr>
            <w:r>
              <w:rPr>
                <w:rFonts w:eastAsiaTheme="minorEastAsia"/>
                <w:color w:val="auto"/>
              </w:rPr>
              <w:t>CA-Z-1</w:t>
            </w:r>
          </w:p>
        </w:tc>
        <w:tc>
          <w:tcPr>
            <w:tcW w:w="911" w:type="pct"/>
            <w:tcBorders>
              <w:top w:val="single" w:color="auto" w:sz="4" w:space="0"/>
              <w:left w:val="single" w:color="auto" w:sz="4" w:space="0"/>
              <w:bottom w:val="single" w:color="auto" w:sz="4" w:space="0"/>
              <w:right w:val="single" w:color="auto" w:sz="4" w:space="0"/>
            </w:tcBorders>
          </w:tcPr>
          <w:p w14:paraId="1669FEF5">
            <w:pPr>
              <w:widowControl/>
              <w:spacing w:line="240" w:lineRule="auto"/>
              <w:jc w:val="center"/>
              <w:rPr>
                <w:color w:val="auto"/>
                <w:kern w:val="0"/>
              </w:rPr>
            </w:pPr>
            <w:r>
              <w:rPr>
                <w:rFonts w:hint="eastAsia"/>
                <w:color w:val="auto"/>
                <w:kern w:val="0"/>
              </w:rPr>
              <w:t>DN</w:t>
            </w:r>
            <w:r>
              <w:rPr>
                <w:color w:val="auto"/>
                <w:kern w:val="0"/>
              </w:rPr>
              <w:t>200</w:t>
            </w:r>
          </w:p>
        </w:tc>
        <w:tc>
          <w:tcPr>
            <w:tcW w:w="461" w:type="pct"/>
            <w:tcBorders>
              <w:top w:val="nil"/>
              <w:left w:val="single" w:color="auto" w:sz="4" w:space="0"/>
              <w:bottom w:val="single" w:color="auto" w:sz="4" w:space="0"/>
              <w:right w:val="single" w:color="auto" w:sz="4" w:space="0"/>
            </w:tcBorders>
            <w:vAlign w:val="center"/>
          </w:tcPr>
          <w:p w14:paraId="7B66AE87">
            <w:pPr>
              <w:widowControl/>
              <w:spacing w:line="240" w:lineRule="auto"/>
              <w:jc w:val="center"/>
              <w:rPr>
                <w:color w:val="auto"/>
                <w:kern w:val="0"/>
              </w:rPr>
            </w:pPr>
            <w:r>
              <w:rPr>
                <w:color w:val="auto"/>
                <w:kern w:val="0"/>
              </w:rPr>
              <w:t>1000</w:t>
            </w:r>
          </w:p>
        </w:tc>
        <w:tc>
          <w:tcPr>
            <w:tcW w:w="461" w:type="pct"/>
            <w:tcBorders>
              <w:top w:val="nil"/>
              <w:left w:val="nil"/>
              <w:bottom w:val="single" w:color="auto" w:sz="4" w:space="0"/>
              <w:right w:val="single" w:color="auto" w:sz="4" w:space="0"/>
            </w:tcBorders>
            <w:vAlign w:val="center"/>
          </w:tcPr>
          <w:p w14:paraId="2D4273B8">
            <w:pPr>
              <w:widowControl/>
              <w:spacing w:line="240" w:lineRule="auto"/>
              <w:jc w:val="center"/>
              <w:rPr>
                <w:color w:val="auto"/>
                <w:kern w:val="0"/>
              </w:rPr>
            </w:pPr>
            <w:r>
              <w:rPr>
                <w:color w:val="auto"/>
                <w:kern w:val="0"/>
              </w:rPr>
              <w:t>1000</w:t>
            </w:r>
          </w:p>
        </w:tc>
        <w:tc>
          <w:tcPr>
            <w:tcW w:w="459" w:type="pct"/>
            <w:tcBorders>
              <w:top w:val="nil"/>
              <w:left w:val="nil"/>
              <w:bottom w:val="single" w:color="auto" w:sz="4" w:space="0"/>
              <w:right w:val="single" w:color="auto" w:sz="4" w:space="0"/>
            </w:tcBorders>
            <w:vAlign w:val="center"/>
          </w:tcPr>
          <w:p w14:paraId="695E2B4A">
            <w:pPr>
              <w:widowControl/>
              <w:spacing w:line="240" w:lineRule="auto"/>
              <w:jc w:val="center"/>
              <w:rPr>
                <w:color w:val="auto"/>
                <w:kern w:val="0"/>
              </w:rPr>
            </w:pPr>
            <w:r>
              <w:rPr>
                <w:color w:val="auto"/>
                <w:kern w:val="0"/>
              </w:rPr>
              <w:t>2500</w:t>
            </w:r>
          </w:p>
        </w:tc>
      </w:tr>
    </w:tbl>
    <w:p w14:paraId="58B60085">
      <w:pPr>
        <w:adjustRightInd w:val="0"/>
        <w:snapToGrid w:val="0"/>
        <w:spacing w:line="240" w:lineRule="atLeast"/>
        <w:ind w:left="420"/>
        <w:rPr>
          <w:color w:val="auto"/>
          <w:sz w:val="24"/>
        </w:rPr>
      </w:pPr>
    </w:p>
    <w:p w14:paraId="593EDF4F">
      <w:pPr>
        <w:spacing w:line="240" w:lineRule="atLeast"/>
        <w:rPr>
          <w:color w:val="auto"/>
        </w:rPr>
      </w:pPr>
      <w:r>
        <w:rPr>
          <w:color w:val="auto"/>
        </w:rPr>
        <w:t>说明：</w:t>
      </w:r>
    </w:p>
    <w:p w14:paraId="5C09B03D">
      <w:pPr>
        <w:numPr>
          <w:ilvl w:val="0"/>
          <w:numId w:val="1"/>
        </w:numPr>
        <w:spacing w:line="240" w:lineRule="atLeast"/>
        <w:rPr>
          <w:color w:val="auto"/>
          <w:kern w:val="0"/>
        </w:rPr>
      </w:pPr>
      <w:r>
        <w:rPr>
          <w:color w:val="auto"/>
        </w:rPr>
        <w:t>除风口特殊说明外，本表中设备</w:t>
      </w:r>
      <w:r>
        <w:rPr>
          <w:color w:val="auto"/>
          <w:kern w:val="0"/>
        </w:rPr>
        <w:t>均为</w:t>
      </w:r>
      <w:r>
        <w:rPr>
          <w:rFonts w:hint="eastAsia"/>
          <w:color w:val="auto"/>
          <w:kern w:val="0"/>
        </w:rPr>
        <w:t>法兰</w:t>
      </w:r>
      <w:r>
        <w:rPr>
          <w:color w:val="auto"/>
          <w:kern w:val="0"/>
        </w:rPr>
        <w:t>接口</w:t>
      </w:r>
      <w:r>
        <w:rPr>
          <w:rFonts w:hint="eastAsia"/>
          <w:color w:val="auto"/>
          <w:kern w:val="0"/>
        </w:rPr>
        <w:t>，法兰应满足标准</w:t>
      </w:r>
      <w:r>
        <w:rPr>
          <w:color w:val="auto"/>
          <w:kern w:val="0"/>
        </w:rPr>
        <w:t>GB/T9124.1-2019</w:t>
      </w:r>
      <w:r>
        <w:rPr>
          <w:rFonts w:hint="eastAsia"/>
          <w:color w:val="auto"/>
          <w:kern w:val="0"/>
        </w:rPr>
        <w:t>中的平面（F</w:t>
      </w:r>
      <w:r>
        <w:rPr>
          <w:color w:val="auto"/>
          <w:kern w:val="0"/>
        </w:rPr>
        <w:t>F</w:t>
      </w:r>
      <w:r>
        <w:rPr>
          <w:rFonts w:hint="eastAsia"/>
          <w:color w:val="auto"/>
          <w:kern w:val="0"/>
        </w:rPr>
        <w:t>）板式平焊法兰，公称压力为</w:t>
      </w:r>
      <w:r>
        <w:rPr>
          <w:color w:val="auto"/>
          <w:kern w:val="0"/>
        </w:rPr>
        <w:t>PN2.5</w:t>
      </w:r>
      <w:r>
        <w:rPr>
          <w:rFonts w:hint="eastAsia"/>
          <w:color w:val="auto"/>
          <w:kern w:val="0"/>
        </w:rPr>
        <w:t>（</w:t>
      </w:r>
      <w:r>
        <w:rPr>
          <w:color w:val="auto"/>
          <w:kern w:val="0"/>
        </w:rPr>
        <w:t>0.25MPa</w:t>
      </w:r>
      <w:r>
        <w:rPr>
          <w:rFonts w:hint="eastAsia"/>
          <w:color w:val="auto"/>
          <w:kern w:val="0"/>
        </w:rPr>
        <w:t>），系列Ⅱ，法兰应满足Ⅱ级锻件</w:t>
      </w:r>
      <w:r>
        <w:rPr>
          <w:color w:val="auto"/>
          <w:kern w:val="0"/>
        </w:rPr>
        <w:t>。</w:t>
      </w:r>
    </w:p>
    <w:p w14:paraId="7ABB0C7E">
      <w:pPr>
        <w:numPr>
          <w:ilvl w:val="0"/>
          <w:numId w:val="1"/>
        </w:numPr>
        <w:spacing w:line="240" w:lineRule="atLeast"/>
        <w:rPr>
          <w:color w:val="auto"/>
        </w:rPr>
      </w:pPr>
      <w:r>
        <w:rPr>
          <w:rFonts w:hint="eastAsia"/>
          <w:color w:val="auto"/>
        </w:rPr>
        <w:t>本表中风口尺寸为采购人要求配置，投标人若需要调整，应取得采购人同意后方可调整。</w:t>
      </w:r>
    </w:p>
    <w:p w14:paraId="74DB3309">
      <w:pPr>
        <w:numPr>
          <w:ilvl w:val="0"/>
          <w:numId w:val="1"/>
        </w:numPr>
        <w:spacing w:line="240" w:lineRule="atLeast"/>
        <w:rPr>
          <w:color w:val="auto"/>
        </w:rPr>
      </w:pPr>
      <w:r>
        <w:rPr>
          <w:rFonts w:hint="eastAsia"/>
          <w:color w:val="auto"/>
        </w:rPr>
        <w:t>设备尺寸不能超出上表限值。</w:t>
      </w:r>
    </w:p>
    <w:bookmarkEnd w:id="12"/>
    <w:p w14:paraId="1841C474">
      <w:pPr>
        <w:pStyle w:val="30"/>
        <w:ind w:left="0" w:leftChars="0" w:firstLine="0" w:firstLineChars="0"/>
        <w:rPr>
          <w:color w:val="auto"/>
        </w:rPr>
      </w:pPr>
    </w:p>
    <w:p w14:paraId="2E1A4413">
      <w:pPr>
        <w:spacing w:line="240" w:lineRule="atLeast"/>
        <w:rPr>
          <w:color w:val="auto"/>
          <w:sz w:val="24"/>
          <w:szCs w:val="20"/>
        </w:rPr>
        <w:sectPr>
          <w:pgSz w:w="16838" w:h="11906" w:orient="landscape"/>
          <w:pgMar w:top="1588" w:right="1418" w:bottom="1588" w:left="1418" w:header="851" w:footer="992" w:gutter="0"/>
          <w:pgBorders w:offsetFrom="page">
            <w:top w:val="single" w:color="FFFFFF" w:sz="4" w:space="24"/>
            <w:left w:val="single" w:color="FFFFFF" w:sz="4" w:space="24"/>
            <w:right w:val="single" w:color="FFFFFF" w:sz="4" w:space="24"/>
          </w:pgBorders>
          <w:cols w:space="720" w:num="1"/>
          <w:docGrid w:type="lines" w:linePitch="312" w:charSpace="0"/>
        </w:sectPr>
      </w:pPr>
    </w:p>
    <w:p w14:paraId="40B24DA4">
      <w:pPr>
        <w:adjustRightInd w:val="0"/>
        <w:snapToGrid w:val="0"/>
        <w:spacing w:before="62" w:beforeLines="20" w:after="62" w:afterLines="20"/>
        <w:ind w:firstLine="482" w:firstLineChars="200"/>
        <w:jc w:val="left"/>
        <w:outlineLvl w:val="2"/>
        <w:rPr>
          <w:rFonts w:cs="宋体"/>
          <w:b/>
          <w:bCs/>
          <w:color w:val="auto"/>
          <w:sz w:val="24"/>
          <w:lang w:bidi="ar"/>
        </w:rPr>
      </w:pPr>
      <w:bookmarkStart w:id="13" w:name="_Hlk204784178"/>
      <w:bookmarkStart w:id="14" w:name="_Toc9419"/>
      <w:bookmarkStart w:id="15" w:name="_Toc17883"/>
      <w:r>
        <w:rPr>
          <w:rFonts w:cs="宋体"/>
          <w:b/>
          <w:bCs/>
          <w:color w:val="auto"/>
          <w:sz w:val="24"/>
          <w:lang w:bidi="ar"/>
        </w:rPr>
        <w:t>2.5</w:t>
      </w:r>
      <w:r>
        <w:rPr>
          <w:rFonts w:hint="eastAsia" w:cs="宋体"/>
          <w:b/>
          <w:bCs/>
          <w:color w:val="auto"/>
          <w:sz w:val="24"/>
          <w:lang w:bidi="ar"/>
        </w:rPr>
        <w:t>主要技术要求</w:t>
      </w:r>
    </w:p>
    <w:p w14:paraId="13596406">
      <w:pPr>
        <w:adjustRightInd w:val="0"/>
        <w:snapToGrid w:val="0"/>
        <w:spacing w:before="62" w:beforeLines="20" w:after="62" w:afterLines="20"/>
        <w:ind w:firstLine="482" w:firstLineChars="200"/>
        <w:jc w:val="left"/>
        <w:rPr>
          <w:b/>
          <w:bCs/>
          <w:color w:val="auto"/>
          <w:sz w:val="24"/>
        </w:rPr>
      </w:pPr>
      <w:r>
        <w:rPr>
          <w:rFonts w:cs="宋体"/>
          <w:b/>
          <w:bCs/>
          <w:color w:val="auto"/>
          <w:sz w:val="24"/>
          <w:lang w:bidi="ar"/>
        </w:rPr>
        <w:t>2.5.1</w:t>
      </w:r>
      <w:r>
        <w:rPr>
          <w:rFonts w:hint="eastAsia" w:cs="宋体"/>
          <w:b/>
          <w:bCs/>
          <w:color w:val="auto"/>
          <w:sz w:val="24"/>
          <w:lang w:bidi="ar"/>
        </w:rPr>
        <w:t>过滤器箱体主要技术要求</w:t>
      </w:r>
    </w:p>
    <w:p w14:paraId="675EECAE">
      <w:pPr>
        <w:ind w:firstLine="480" w:firstLineChars="200"/>
        <w:rPr>
          <w:rFonts w:cs="宋体"/>
          <w:bCs/>
          <w:color w:val="auto"/>
          <w:sz w:val="24"/>
          <w:lang w:bidi="ar"/>
        </w:rPr>
      </w:pPr>
      <w:r>
        <w:rPr>
          <w:rFonts w:hint="eastAsia" w:cs="宋体"/>
          <w:bCs/>
          <w:color w:val="auto"/>
          <w:sz w:val="24"/>
          <w:lang w:bidi="ar"/>
        </w:rPr>
        <w:t>（1）箱体及接口法兰均由不锈钢材料制成，材质为</w:t>
      </w:r>
      <w:r>
        <w:rPr>
          <w:rFonts w:cs="宋体"/>
          <w:bCs/>
          <w:color w:val="auto"/>
          <w:sz w:val="24"/>
          <w:lang w:bidi="ar"/>
        </w:rPr>
        <w:t>06Cr19Ni10</w:t>
      </w:r>
      <w:r>
        <w:rPr>
          <w:rFonts w:hint="eastAsia" w:cs="宋体"/>
          <w:bCs/>
          <w:color w:val="auto"/>
          <w:sz w:val="24"/>
          <w:lang w:bidi="ar"/>
        </w:rPr>
        <w:t>（</w:t>
      </w:r>
      <w:r>
        <w:rPr>
          <w:rFonts w:cs="宋体"/>
          <w:bCs/>
          <w:color w:val="auto"/>
          <w:sz w:val="24"/>
          <w:lang w:bidi="ar"/>
        </w:rPr>
        <w:t>S30408</w:t>
      </w:r>
      <w:r>
        <w:rPr>
          <w:rFonts w:hint="eastAsia" w:cs="宋体"/>
          <w:bCs/>
          <w:color w:val="auto"/>
          <w:sz w:val="24"/>
          <w:lang w:bidi="ar"/>
        </w:rPr>
        <w:t>）</w:t>
      </w:r>
      <w:r>
        <w:rPr>
          <w:rFonts w:cs="宋体"/>
          <w:bCs/>
          <w:color w:val="auto"/>
          <w:sz w:val="24"/>
          <w:lang w:bidi="ar"/>
        </w:rPr>
        <w:t>，符合标准GB/T 20878-2024</w:t>
      </w:r>
      <w:r>
        <w:rPr>
          <w:rFonts w:hint="eastAsia" w:cs="宋体"/>
          <w:bCs/>
          <w:color w:val="auto"/>
          <w:sz w:val="24"/>
          <w:lang w:bidi="ar"/>
        </w:rPr>
        <w:t>。加固构件应采用间歇性焊接。箱体无任何毛刺、焊渣和尖锐边缘。</w:t>
      </w:r>
    </w:p>
    <w:p w14:paraId="3FAAB962">
      <w:pPr>
        <w:ind w:firstLine="480" w:firstLineChars="200"/>
        <w:rPr>
          <w:rFonts w:cs="宋体"/>
          <w:bCs/>
          <w:color w:val="auto"/>
          <w:sz w:val="24"/>
          <w:lang w:bidi="ar"/>
        </w:rPr>
      </w:pPr>
      <w:r>
        <w:rPr>
          <w:rFonts w:hint="eastAsia" w:cs="宋体"/>
          <w:bCs/>
          <w:color w:val="auto"/>
          <w:sz w:val="24"/>
          <w:lang w:bidi="ar"/>
        </w:rPr>
        <w:t>（2）箱体能承受±5kPa或±15kPa（具体对应技术参数表中箱体承压要求）的正压或负压而不发生泄漏和永久变形。投标人须提交每台过滤器箱体的壁厚及偏差。</w:t>
      </w:r>
    </w:p>
    <w:p w14:paraId="1396CD34">
      <w:pPr>
        <w:ind w:firstLine="480" w:firstLineChars="200"/>
        <w:rPr>
          <w:rFonts w:cs="宋体"/>
          <w:bCs/>
          <w:color w:val="auto"/>
          <w:sz w:val="24"/>
          <w:lang w:bidi="ar"/>
        </w:rPr>
      </w:pPr>
      <w:r>
        <w:rPr>
          <w:rFonts w:hint="eastAsia" w:cs="宋体"/>
          <w:bCs/>
          <w:color w:val="auto"/>
          <w:sz w:val="24"/>
          <w:lang w:bidi="ar"/>
        </w:rPr>
        <w:t>（3）箱体为侧进式袋进/袋出结构，压紧式垫片密封设计。压紧装置通过连续平整的安装面和过滤器垫片互相压紧实现密封。作用力均匀，垫片压缩量小。</w:t>
      </w:r>
    </w:p>
    <w:p w14:paraId="1B4B0D3F">
      <w:pPr>
        <w:ind w:firstLine="480" w:firstLineChars="200"/>
        <w:rPr>
          <w:rFonts w:cs="宋体"/>
          <w:bCs/>
          <w:color w:val="auto"/>
          <w:sz w:val="24"/>
          <w:lang w:bidi="ar"/>
        </w:rPr>
      </w:pPr>
      <w:r>
        <w:rPr>
          <w:rFonts w:hint="eastAsia" w:cs="宋体"/>
          <w:bCs/>
          <w:color w:val="auto"/>
          <w:sz w:val="24"/>
          <w:lang w:bidi="ar"/>
        </w:rPr>
        <w:t>（</w:t>
      </w:r>
      <w:r>
        <w:rPr>
          <w:rFonts w:cs="宋体"/>
          <w:bCs/>
          <w:color w:val="auto"/>
          <w:sz w:val="24"/>
          <w:lang w:bidi="ar"/>
        </w:rPr>
        <w:t>4</w:t>
      </w:r>
      <w:r>
        <w:rPr>
          <w:rFonts w:hint="eastAsia" w:cs="宋体"/>
          <w:bCs/>
          <w:color w:val="auto"/>
          <w:sz w:val="24"/>
          <w:lang w:bidi="ar"/>
        </w:rPr>
        <w:t>）箱体内并联的流道之间应完全隔开，不得有任何缝隙或漏气。</w:t>
      </w:r>
    </w:p>
    <w:p w14:paraId="2947FD0F">
      <w:pPr>
        <w:ind w:firstLine="480" w:firstLineChars="200"/>
        <w:rPr>
          <w:rFonts w:cs="宋体"/>
          <w:bCs/>
          <w:color w:val="auto"/>
          <w:sz w:val="24"/>
          <w:lang w:bidi="ar"/>
        </w:rPr>
      </w:pPr>
      <w:r>
        <w:rPr>
          <w:rFonts w:hint="eastAsia" w:cs="宋体"/>
          <w:bCs/>
          <w:color w:val="auto"/>
          <w:sz w:val="24"/>
          <w:lang w:bidi="ar"/>
        </w:rPr>
        <w:t>（</w:t>
      </w:r>
      <w:r>
        <w:rPr>
          <w:rFonts w:cs="宋体"/>
          <w:bCs/>
          <w:color w:val="auto"/>
          <w:sz w:val="24"/>
          <w:lang w:bidi="ar"/>
        </w:rPr>
        <w:t>5</w:t>
      </w:r>
      <w:r>
        <w:rPr>
          <w:rFonts w:hint="eastAsia" w:cs="宋体"/>
          <w:bCs/>
          <w:color w:val="auto"/>
          <w:sz w:val="24"/>
          <w:lang w:bidi="ar"/>
        </w:rPr>
        <w:t>）箱体设计和过滤器排列必须能使得空气进出箱体时不改变风向。</w:t>
      </w:r>
    </w:p>
    <w:p w14:paraId="49C3F3C0">
      <w:pPr>
        <w:ind w:firstLine="480" w:firstLineChars="200"/>
        <w:rPr>
          <w:rFonts w:cs="宋体"/>
          <w:bCs/>
          <w:color w:val="auto"/>
          <w:sz w:val="24"/>
          <w:lang w:bidi="ar"/>
        </w:rPr>
      </w:pPr>
      <w:r>
        <w:rPr>
          <w:rFonts w:hint="eastAsia" w:cs="宋体"/>
          <w:bCs/>
          <w:color w:val="auto"/>
          <w:sz w:val="24"/>
          <w:lang w:bidi="ar"/>
        </w:rPr>
        <w:t>（</w:t>
      </w:r>
      <w:r>
        <w:rPr>
          <w:rFonts w:cs="宋体"/>
          <w:bCs/>
          <w:color w:val="auto"/>
          <w:sz w:val="24"/>
          <w:lang w:bidi="ar"/>
        </w:rPr>
        <w:t>6</w:t>
      </w:r>
      <w:r>
        <w:rPr>
          <w:rFonts w:hint="eastAsia" w:cs="宋体"/>
          <w:bCs/>
          <w:color w:val="auto"/>
          <w:sz w:val="24"/>
          <w:lang w:bidi="ar"/>
        </w:rPr>
        <w:t>）箱内内部空气气流分布均匀性应满足相关要求。</w:t>
      </w:r>
    </w:p>
    <w:p w14:paraId="7D6AFBA4">
      <w:pPr>
        <w:ind w:firstLine="480" w:firstLineChars="200"/>
        <w:rPr>
          <w:rFonts w:cs="宋体"/>
          <w:bCs/>
          <w:color w:val="auto"/>
          <w:sz w:val="24"/>
          <w:lang w:bidi="ar"/>
        </w:rPr>
      </w:pPr>
      <w:r>
        <w:rPr>
          <w:rFonts w:hint="eastAsia" w:cs="宋体"/>
          <w:bCs/>
          <w:color w:val="auto"/>
          <w:sz w:val="24"/>
          <w:lang w:bidi="ar"/>
        </w:rPr>
        <w:t>（</w:t>
      </w:r>
      <w:r>
        <w:rPr>
          <w:rFonts w:cs="宋体"/>
          <w:bCs/>
          <w:color w:val="auto"/>
          <w:sz w:val="24"/>
          <w:lang w:bidi="ar"/>
        </w:rPr>
        <w:t>7</w:t>
      </w:r>
      <w:r>
        <w:rPr>
          <w:rFonts w:hint="eastAsia" w:cs="宋体"/>
          <w:bCs/>
          <w:color w:val="auto"/>
          <w:sz w:val="24"/>
          <w:lang w:bidi="ar"/>
        </w:rPr>
        <w:t>）箱体必须能容纳符合</w:t>
      </w:r>
      <w:r>
        <w:rPr>
          <w:bCs/>
          <w:color w:val="auto"/>
          <w:sz w:val="24"/>
          <w:szCs w:val="24"/>
        </w:rPr>
        <w:t>GB/T 13554</w:t>
      </w:r>
      <w:r>
        <w:rPr>
          <w:rFonts w:hint="eastAsia" w:cs="宋体"/>
          <w:bCs/>
          <w:color w:val="auto"/>
          <w:sz w:val="24"/>
          <w:lang w:bidi="ar"/>
        </w:rPr>
        <w:t>或GB/T 17939制造标准的过滤器且不需要任何附件或辅助工具就能实现在箱体中正常工作。</w:t>
      </w:r>
    </w:p>
    <w:p w14:paraId="0C44BC31">
      <w:pPr>
        <w:ind w:firstLine="480" w:firstLineChars="200"/>
        <w:rPr>
          <w:rFonts w:cs="宋体"/>
          <w:bCs/>
          <w:color w:val="auto"/>
          <w:sz w:val="24"/>
          <w:lang w:bidi="ar"/>
        </w:rPr>
      </w:pPr>
      <w:r>
        <w:rPr>
          <w:rFonts w:hint="eastAsia" w:cs="宋体"/>
          <w:bCs/>
          <w:color w:val="auto"/>
          <w:sz w:val="24"/>
          <w:lang w:bidi="ar"/>
        </w:rPr>
        <w:t>（</w:t>
      </w:r>
      <w:r>
        <w:rPr>
          <w:rFonts w:cs="宋体"/>
          <w:bCs/>
          <w:color w:val="auto"/>
          <w:sz w:val="24"/>
          <w:lang w:bidi="ar"/>
        </w:rPr>
        <w:t>8</w:t>
      </w:r>
      <w:r>
        <w:rPr>
          <w:rFonts w:hint="eastAsia" w:cs="宋体"/>
          <w:bCs/>
          <w:color w:val="auto"/>
          <w:sz w:val="24"/>
          <w:lang w:bidi="ar"/>
        </w:rPr>
        <w:t>）每个过滤器单元必须安装在独立的安装框架上，且在更换过滤器时不能影响临近过滤器单元的安装及其过滤器的可靠性。</w:t>
      </w:r>
    </w:p>
    <w:p w14:paraId="43F44FC9">
      <w:pPr>
        <w:ind w:firstLine="480" w:firstLineChars="200"/>
        <w:rPr>
          <w:rFonts w:cs="宋体"/>
          <w:bCs/>
          <w:color w:val="auto"/>
          <w:sz w:val="24"/>
          <w:lang w:bidi="ar"/>
        </w:rPr>
      </w:pPr>
      <w:r>
        <w:rPr>
          <w:rFonts w:hint="eastAsia" w:cs="宋体"/>
          <w:bCs/>
          <w:color w:val="auto"/>
          <w:sz w:val="24"/>
          <w:lang w:bidi="ar"/>
        </w:rPr>
        <w:t>（</w:t>
      </w:r>
      <w:r>
        <w:rPr>
          <w:rFonts w:cs="宋体"/>
          <w:bCs/>
          <w:color w:val="auto"/>
          <w:sz w:val="24"/>
          <w:lang w:bidi="ar"/>
        </w:rPr>
        <w:t>9</w:t>
      </w:r>
      <w:r>
        <w:rPr>
          <w:rFonts w:hint="eastAsia" w:cs="宋体"/>
          <w:bCs/>
          <w:color w:val="auto"/>
          <w:sz w:val="24"/>
          <w:lang w:bidi="ar"/>
        </w:rPr>
        <w:t>）箱体内的每台预过滤器和每台高效空气粒子过滤器均设置差压式变送器，量程不超过±1</w:t>
      </w:r>
      <w:r>
        <w:rPr>
          <w:rFonts w:cs="宋体"/>
          <w:bCs/>
          <w:color w:val="auto"/>
          <w:sz w:val="24"/>
          <w:lang w:bidi="ar"/>
        </w:rPr>
        <w:t>000</w:t>
      </w:r>
      <w:r>
        <w:rPr>
          <w:rFonts w:hint="eastAsia" w:cs="宋体"/>
          <w:bCs/>
          <w:color w:val="auto"/>
          <w:sz w:val="24"/>
          <w:lang w:bidi="ar"/>
        </w:rPr>
        <w:t>Pa。要求具有本地显示和远传功能，且可以实时输出差压模拟量信号，信号类型为4</w:t>
      </w:r>
      <w:r>
        <w:rPr>
          <w:rFonts w:cs="宋体"/>
          <w:bCs/>
          <w:color w:val="auto"/>
          <w:sz w:val="24"/>
          <w:lang w:bidi="ar"/>
        </w:rPr>
        <w:t>~20</w:t>
      </w:r>
      <w:r>
        <w:rPr>
          <w:rFonts w:hint="eastAsia" w:cs="宋体"/>
          <w:bCs/>
          <w:color w:val="auto"/>
          <w:sz w:val="24"/>
          <w:lang w:bidi="ar"/>
        </w:rPr>
        <w:t>mA，电源为DC</w:t>
      </w:r>
      <w:r>
        <w:rPr>
          <w:rFonts w:cs="宋体"/>
          <w:bCs/>
          <w:color w:val="auto"/>
          <w:sz w:val="24"/>
          <w:lang w:bidi="ar"/>
        </w:rPr>
        <w:t>24</w:t>
      </w:r>
      <w:r>
        <w:rPr>
          <w:rFonts w:hint="eastAsia" w:cs="宋体"/>
          <w:bCs/>
          <w:color w:val="auto"/>
          <w:sz w:val="24"/>
          <w:lang w:bidi="ar"/>
        </w:rPr>
        <w:t>V。差压变送器防护等级不低于IP</w:t>
      </w:r>
      <w:r>
        <w:rPr>
          <w:rFonts w:cs="宋体"/>
          <w:bCs/>
          <w:color w:val="auto"/>
          <w:sz w:val="24"/>
          <w:lang w:bidi="ar"/>
        </w:rPr>
        <w:t>65</w:t>
      </w:r>
      <w:r>
        <w:rPr>
          <w:rFonts w:hint="eastAsia" w:cs="宋体"/>
          <w:bCs/>
          <w:color w:val="auto"/>
          <w:sz w:val="24"/>
          <w:lang w:bidi="ar"/>
        </w:rPr>
        <w:t>。</w:t>
      </w:r>
    </w:p>
    <w:p w14:paraId="44EAE25C">
      <w:pPr>
        <w:ind w:firstLine="480" w:firstLineChars="200"/>
        <w:rPr>
          <w:rFonts w:cs="宋体"/>
          <w:bCs/>
          <w:color w:val="auto"/>
          <w:sz w:val="24"/>
          <w:lang w:bidi="ar"/>
        </w:rPr>
      </w:pPr>
      <w:r>
        <w:rPr>
          <w:rFonts w:hint="eastAsia" w:cs="宋体"/>
          <w:bCs/>
          <w:color w:val="auto"/>
          <w:sz w:val="24"/>
          <w:lang w:bidi="ar"/>
        </w:rPr>
        <w:t>（10）箱体超过3层应考虑分层设计与运输，每个单元不超过2层，现场进行整体拼装，由投标人负责设备及管路连接。</w:t>
      </w:r>
    </w:p>
    <w:p w14:paraId="0EA59D67">
      <w:pPr>
        <w:ind w:firstLine="480" w:firstLineChars="200"/>
        <w:rPr>
          <w:rFonts w:cs="宋体"/>
          <w:bCs/>
          <w:color w:val="auto"/>
          <w:sz w:val="24"/>
          <w:lang w:bidi="ar"/>
        </w:rPr>
      </w:pPr>
      <w:r>
        <w:rPr>
          <w:rFonts w:hint="eastAsia" w:cs="宋体"/>
          <w:bCs/>
          <w:color w:val="auto"/>
          <w:sz w:val="24"/>
          <w:lang w:bidi="ar"/>
        </w:rPr>
        <w:t>（11）“袋进袋出”相关技术要求</w:t>
      </w:r>
    </w:p>
    <w:p w14:paraId="0294218F">
      <w:pPr>
        <w:ind w:firstLine="480" w:firstLineChars="200"/>
        <w:rPr>
          <w:rFonts w:cs="宋体"/>
          <w:bCs/>
          <w:color w:val="auto"/>
          <w:sz w:val="24"/>
          <w:lang w:bidi="ar"/>
        </w:rPr>
      </w:pPr>
      <w:r>
        <w:rPr>
          <w:rFonts w:hint="eastAsia" w:cs="宋体"/>
          <w:bCs/>
          <w:color w:val="auto"/>
          <w:sz w:val="24"/>
          <w:lang w:bidi="ar"/>
        </w:rPr>
        <w:t>（a）用于更换空气过滤器的检修口应伸出箱体外，外部边缘光滑无毛刺，避免划破更换袋子。检修口设有肋槽用于放置更换过滤器袋子的扎紧带。</w:t>
      </w:r>
    </w:p>
    <w:p w14:paraId="07D813B7">
      <w:pPr>
        <w:ind w:firstLine="480" w:firstLineChars="200"/>
        <w:rPr>
          <w:rFonts w:cs="宋体"/>
          <w:bCs/>
          <w:color w:val="auto"/>
          <w:sz w:val="24"/>
          <w:lang w:bidi="ar"/>
        </w:rPr>
      </w:pPr>
      <w:r>
        <w:rPr>
          <w:rFonts w:hint="eastAsia" w:cs="宋体"/>
          <w:bCs/>
          <w:color w:val="auto"/>
          <w:sz w:val="24"/>
          <w:lang w:bidi="ar"/>
        </w:rPr>
        <w:t>（b）每个检修口外应配备检修门，检修门应带有密封垫片将检修口完全密封，同时，不能压住更换过滤器用袋子。</w:t>
      </w:r>
    </w:p>
    <w:p w14:paraId="0778FFC5">
      <w:pPr>
        <w:ind w:firstLine="480" w:firstLineChars="200"/>
        <w:rPr>
          <w:rFonts w:cs="宋体"/>
          <w:bCs/>
          <w:color w:val="auto"/>
          <w:sz w:val="24"/>
          <w:lang w:bidi="ar"/>
        </w:rPr>
      </w:pPr>
      <w:r>
        <w:rPr>
          <w:rFonts w:hint="eastAsia" w:cs="宋体"/>
          <w:bCs/>
          <w:color w:val="auto"/>
          <w:sz w:val="24"/>
          <w:lang w:bidi="ar"/>
        </w:rPr>
        <w:t>（c）每个过滤器检修口需预装一个可更换的袋子。袋子的设计应使更换过滤器的全部操作均确保操作人员与过滤器之间有袋子作为屏障；袋子具有良好的可视性，对滤芯标签能清楚识别。</w:t>
      </w:r>
    </w:p>
    <w:p w14:paraId="47F8DA16">
      <w:pPr>
        <w:ind w:firstLine="480" w:firstLineChars="200"/>
        <w:rPr>
          <w:rFonts w:cs="宋体"/>
          <w:bCs/>
          <w:color w:val="auto"/>
          <w:sz w:val="24"/>
          <w:lang w:bidi="ar"/>
        </w:rPr>
      </w:pPr>
      <w:r>
        <w:rPr>
          <w:rFonts w:hint="eastAsia" w:cs="宋体"/>
          <w:bCs/>
          <w:color w:val="auto"/>
          <w:sz w:val="24"/>
          <w:lang w:bidi="ar"/>
        </w:rPr>
        <w:t>（d）采用有效隔离措施（热熔或扎紧带等）确保更换下来的过滤器单元及袋子与外界环境完全隔开，同时使过滤器箱体内空气与外界环境完全隔开。</w:t>
      </w:r>
    </w:p>
    <w:p w14:paraId="30D34B0C">
      <w:pPr>
        <w:ind w:firstLine="480" w:firstLineChars="200"/>
        <w:rPr>
          <w:rFonts w:cs="宋体"/>
          <w:bCs/>
          <w:color w:val="auto"/>
          <w:sz w:val="24"/>
          <w:lang w:bidi="ar"/>
        </w:rPr>
      </w:pPr>
      <w:r>
        <w:rPr>
          <w:rFonts w:hint="eastAsia" w:cs="宋体"/>
          <w:bCs/>
          <w:color w:val="auto"/>
          <w:sz w:val="24"/>
          <w:lang w:bidi="ar"/>
        </w:rPr>
        <w:t>（e）更换袋子应采用PVC（聚氯乙烯）材质，壁厚应不低于0</w:t>
      </w:r>
      <w:r>
        <w:rPr>
          <w:rFonts w:cs="宋体"/>
          <w:bCs/>
          <w:color w:val="auto"/>
          <w:sz w:val="24"/>
          <w:lang w:bidi="ar"/>
        </w:rPr>
        <w:t>.</w:t>
      </w:r>
      <w:r>
        <w:rPr>
          <w:rFonts w:hint="eastAsia" w:cs="宋体"/>
          <w:bCs/>
          <w:color w:val="auto"/>
          <w:sz w:val="24"/>
          <w:lang w:bidi="ar"/>
        </w:rPr>
        <w:t>15mm，袋子应有足够强度确保滤芯在任何情况下都不划破袋子。</w:t>
      </w:r>
    </w:p>
    <w:p w14:paraId="34F2E221">
      <w:pPr>
        <w:ind w:firstLine="480" w:firstLineChars="200"/>
        <w:rPr>
          <w:rFonts w:hint="eastAsia" w:cs="宋体"/>
          <w:bCs/>
          <w:color w:val="auto"/>
          <w:sz w:val="24"/>
          <w:lang w:bidi="ar"/>
        </w:rPr>
      </w:pPr>
      <w:r>
        <w:rPr>
          <w:rFonts w:hint="eastAsia" w:cs="宋体"/>
          <w:bCs/>
          <w:color w:val="auto"/>
          <w:sz w:val="24"/>
          <w:lang w:bidi="ar"/>
        </w:rPr>
        <w:t>（f）袋子应配置方便更换操作的手套，更换袋与过滤器箱体结合紧密，应确保过滤器更换过程箱体内与外界完全隔离，所有更换废料能安全完整收集。</w:t>
      </w:r>
    </w:p>
    <w:p w14:paraId="64D9CC80">
      <w:pPr>
        <w:ind w:firstLine="480" w:firstLineChars="200"/>
        <w:rPr>
          <w:rFonts w:hint="eastAsia" w:cs="宋体"/>
          <w:bCs/>
          <w:color w:val="auto"/>
          <w:sz w:val="24"/>
          <w:lang w:bidi="ar"/>
        </w:rPr>
      </w:pPr>
      <w:r>
        <w:rPr>
          <w:rFonts w:hint="eastAsia" w:cs="宋体"/>
          <w:bCs/>
          <w:color w:val="auto"/>
          <w:sz w:val="24"/>
          <w:lang w:bidi="ar"/>
        </w:rPr>
        <w:t>★（g）每个过滤器滤芯均要配置“袋进袋出”更换接口，应在投标文件提供方案图中且明确接口位置及功能。</w:t>
      </w:r>
    </w:p>
    <w:p w14:paraId="45E664BA">
      <w:pPr>
        <w:ind w:firstLine="480" w:firstLineChars="200"/>
        <w:rPr>
          <w:rFonts w:cs="宋体"/>
          <w:bCs/>
          <w:color w:val="auto"/>
          <w:sz w:val="24"/>
          <w:lang w:bidi="ar"/>
        </w:rPr>
      </w:pPr>
      <w:r>
        <w:rPr>
          <w:rFonts w:hint="eastAsia" w:cs="宋体"/>
          <w:bCs/>
          <w:color w:val="auto"/>
          <w:sz w:val="24"/>
          <w:lang w:bidi="ar"/>
        </w:rPr>
        <w:t>（h）更换袋子应采用一体式，并配置侧边废物收集袋，以确保更换废物无直接接触收集。</w:t>
      </w:r>
    </w:p>
    <w:p w14:paraId="12873367">
      <w:pPr>
        <w:ind w:firstLine="480" w:firstLineChars="200"/>
        <w:rPr>
          <w:rFonts w:cs="宋体"/>
          <w:bCs/>
          <w:color w:val="auto"/>
          <w:sz w:val="24"/>
          <w:lang w:bidi="ar"/>
        </w:rPr>
      </w:pPr>
      <w:r>
        <w:rPr>
          <w:rFonts w:hint="eastAsia" w:cs="宋体"/>
          <w:bCs/>
          <w:color w:val="auto"/>
          <w:sz w:val="24"/>
          <w:lang w:bidi="ar"/>
        </w:rPr>
        <w:t>（12）过滤器箱体过滤效率测试技术要求</w:t>
      </w:r>
    </w:p>
    <w:p w14:paraId="67CBB548">
      <w:pPr>
        <w:ind w:firstLine="480" w:firstLineChars="200"/>
        <w:rPr>
          <w:rFonts w:cs="宋体"/>
          <w:bCs/>
          <w:color w:val="auto"/>
          <w:sz w:val="24"/>
          <w:lang w:bidi="ar"/>
        </w:rPr>
      </w:pPr>
      <w:r>
        <w:rPr>
          <w:rFonts w:hint="eastAsia" w:cs="宋体"/>
          <w:bCs/>
          <w:color w:val="auto"/>
          <w:sz w:val="24"/>
          <w:lang w:bidi="ar"/>
        </w:rPr>
        <w:t>箱体在每一级高效空气粒子过滤器前后应具备如下配置：</w:t>
      </w:r>
    </w:p>
    <w:p w14:paraId="3572B393">
      <w:pPr>
        <w:ind w:firstLine="480" w:firstLineChars="200"/>
        <w:rPr>
          <w:rFonts w:cs="宋体"/>
          <w:bCs/>
          <w:color w:val="auto"/>
          <w:sz w:val="24"/>
          <w:lang w:bidi="ar"/>
        </w:rPr>
      </w:pPr>
      <w:r>
        <w:rPr>
          <w:rFonts w:hint="eastAsia" w:cs="宋体"/>
          <w:bCs/>
          <w:color w:val="auto"/>
          <w:sz w:val="24"/>
          <w:lang w:bidi="ar"/>
        </w:rPr>
        <w:t>（a）HEPA滤芯上游设置气溶胶注入装置。</w:t>
      </w:r>
    </w:p>
    <w:p w14:paraId="5ED0AF50">
      <w:pPr>
        <w:ind w:firstLine="480" w:firstLineChars="200"/>
        <w:rPr>
          <w:rFonts w:cs="宋体"/>
          <w:bCs/>
          <w:color w:val="auto"/>
          <w:sz w:val="24"/>
          <w:lang w:bidi="ar"/>
        </w:rPr>
      </w:pPr>
      <w:r>
        <w:rPr>
          <w:rFonts w:hint="eastAsia" w:cs="宋体"/>
          <w:bCs/>
          <w:color w:val="auto"/>
          <w:sz w:val="24"/>
          <w:lang w:bidi="ar"/>
        </w:rPr>
        <w:t>（b）HEPA滤芯的上游和下游均设置气溶胶均流装置，使气溶胶混流均匀，确保下游9点取样时每个点取值不超过9点平均值的±20%，参考标准</w:t>
      </w:r>
      <w:r>
        <w:rPr>
          <w:rFonts w:cs="宋体"/>
          <w:bCs/>
          <w:color w:val="auto"/>
          <w:sz w:val="24"/>
          <w:lang w:bidi="ar"/>
        </w:rPr>
        <w:t>JG/T 497-2016</w:t>
      </w:r>
      <w:r>
        <w:rPr>
          <w:rFonts w:hint="eastAsia" w:cs="宋体"/>
          <w:bCs/>
          <w:color w:val="auto"/>
          <w:sz w:val="24"/>
          <w:lang w:bidi="ar"/>
        </w:rPr>
        <w:t>的附录C要求。</w:t>
      </w:r>
    </w:p>
    <w:p w14:paraId="0CF67436">
      <w:pPr>
        <w:ind w:firstLine="480" w:firstLineChars="200"/>
        <w:rPr>
          <w:rFonts w:cs="宋体"/>
          <w:bCs/>
          <w:color w:val="auto"/>
          <w:sz w:val="24"/>
          <w:lang w:bidi="ar"/>
        </w:rPr>
      </w:pPr>
      <w:r>
        <w:rPr>
          <w:rFonts w:hint="eastAsia" w:cs="宋体"/>
          <w:bCs/>
          <w:color w:val="auto"/>
          <w:sz w:val="24"/>
          <w:lang w:bidi="ar"/>
        </w:rPr>
        <w:t>（c）HEPA滤芯的上游和下游均设置气溶胶检测引出装置。HEPA滤芯上游引出装置与HEPA滤芯进风侧之间应无其他功能段；HEPA滤芯下游引出装置与HEPA滤芯出风侧之间仅设置均匀段，不得设置其他功能段。</w:t>
      </w:r>
    </w:p>
    <w:p w14:paraId="32F113E5">
      <w:pPr>
        <w:ind w:firstLine="480" w:firstLineChars="200"/>
        <w:rPr>
          <w:rFonts w:cs="宋体"/>
          <w:bCs/>
          <w:color w:val="auto"/>
          <w:sz w:val="24"/>
          <w:lang w:bidi="ar"/>
        </w:rPr>
      </w:pPr>
      <w:r>
        <w:rPr>
          <w:rFonts w:hint="eastAsia" w:cs="宋体"/>
          <w:bCs/>
          <w:color w:val="auto"/>
          <w:sz w:val="24"/>
          <w:lang w:bidi="ar"/>
        </w:rPr>
        <w:t>（d）HEPA滤芯的上游和下游均应有手动检测装置。检测装置的设计应使操作人员无需打开箱体盖板，即可完成过滤器的效率检测的全部工作。检测箱体的所有检测接口必须位于检修门的同一侧。</w:t>
      </w:r>
    </w:p>
    <w:p w14:paraId="659505BD">
      <w:pPr>
        <w:ind w:firstLine="480" w:firstLineChars="200"/>
        <w:rPr>
          <w:rFonts w:cs="宋体"/>
          <w:bCs/>
          <w:color w:val="auto"/>
          <w:sz w:val="24"/>
          <w:lang w:bidi="ar"/>
        </w:rPr>
      </w:pPr>
      <w:r>
        <w:rPr>
          <w:rFonts w:hint="eastAsia" w:cs="宋体"/>
          <w:bCs/>
          <w:color w:val="auto"/>
          <w:sz w:val="24"/>
          <w:lang w:bidi="ar"/>
        </w:rPr>
        <w:t>（13）接口</w:t>
      </w:r>
    </w:p>
    <w:p w14:paraId="210A23CA">
      <w:pPr>
        <w:ind w:firstLine="480" w:firstLineChars="200"/>
        <w:rPr>
          <w:rFonts w:cs="宋体"/>
          <w:bCs/>
          <w:color w:val="auto"/>
          <w:sz w:val="24"/>
          <w:lang w:bidi="ar"/>
        </w:rPr>
      </w:pPr>
      <w:r>
        <w:rPr>
          <w:rFonts w:hint="eastAsia" w:cs="宋体"/>
          <w:bCs/>
          <w:color w:val="auto"/>
          <w:sz w:val="24"/>
          <w:lang w:bidi="ar"/>
        </w:rPr>
        <w:t>（a）投标人提供风管接口</w:t>
      </w:r>
      <w:r>
        <w:rPr>
          <w:rFonts w:hint="eastAsia" w:cs="宋体"/>
          <w:b/>
          <w:color w:val="auto"/>
          <w:sz w:val="24"/>
          <w:lang w:bidi="ar"/>
        </w:rPr>
        <w:t>配对法兰</w:t>
      </w:r>
      <w:r>
        <w:rPr>
          <w:rFonts w:hint="eastAsia" w:cs="宋体"/>
          <w:bCs/>
          <w:color w:val="auto"/>
          <w:sz w:val="24"/>
          <w:lang w:bidi="ar"/>
        </w:rPr>
        <w:t>、</w:t>
      </w:r>
      <w:r>
        <w:rPr>
          <w:rFonts w:hint="eastAsia" w:cs="宋体"/>
          <w:b/>
          <w:color w:val="auto"/>
          <w:sz w:val="24"/>
          <w:lang w:bidi="ar"/>
        </w:rPr>
        <w:t>紧固螺栓</w:t>
      </w:r>
      <w:r>
        <w:rPr>
          <w:rFonts w:hint="eastAsia" w:cs="宋体"/>
          <w:bCs/>
          <w:color w:val="auto"/>
          <w:sz w:val="24"/>
          <w:lang w:bidi="ar"/>
        </w:rPr>
        <w:t>、</w:t>
      </w:r>
      <w:r>
        <w:rPr>
          <w:rFonts w:hint="eastAsia" w:cs="宋体"/>
          <w:b/>
          <w:color w:val="auto"/>
          <w:sz w:val="24"/>
          <w:lang w:bidi="ar"/>
        </w:rPr>
        <w:t>法兰垫片</w:t>
      </w:r>
      <w:r>
        <w:rPr>
          <w:rFonts w:hint="eastAsia" w:cs="宋体"/>
          <w:bCs/>
          <w:color w:val="auto"/>
          <w:sz w:val="24"/>
          <w:lang w:bidi="ar"/>
        </w:rPr>
        <w:t>。法兰规格执行标准</w:t>
      </w:r>
      <w:r>
        <w:rPr>
          <w:rFonts w:cs="宋体"/>
          <w:bCs/>
          <w:color w:val="auto"/>
          <w:sz w:val="24"/>
          <w:lang w:bidi="ar"/>
        </w:rPr>
        <w:t>GB/T 9124.1-2019</w:t>
      </w:r>
      <w:r>
        <w:rPr>
          <w:rFonts w:hint="eastAsia" w:cs="宋体"/>
          <w:bCs/>
          <w:color w:val="auto"/>
          <w:sz w:val="24"/>
          <w:lang w:bidi="ar"/>
        </w:rPr>
        <w:t>《</w:t>
      </w:r>
      <w:r>
        <w:rPr>
          <w:rFonts w:cs="宋体"/>
          <w:bCs/>
          <w:color w:val="auto"/>
          <w:sz w:val="24"/>
          <w:lang w:bidi="ar"/>
        </w:rPr>
        <w:t>钢制管法兰 第1部分：PN 系列</w:t>
      </w:r>
      <w:r>
        <w:rPr>
          <w:rFonts w:hint="eastAsia" w:cs="宋体"/>
          <w:bCs/>
          <w:color w:val="auto"/>
          <w:sz w:val="24"/>
          <w:lang w:bidi="ar"/>
        </w:rPr>
        <w:t>》</w:t>
      </w:r>
      <w:r>
        <w:rPr>
          <w:rFonts w:cs="宋体"/>
          <w:bCs/>
          <w:color w:val="auto"/>
          <w:sz w:val="24"/>
          <w:lang w:bidi="ar"/>
        </w:rPr>
        <w:t>，</w:t>
      </w:r>
      <w:r>
        <w:rPr>
          <w:rFonts w:hint="eastAsia" w:cs="宋体"/>
          <w:bCs/>
          <w:color w:val="auto"/>
          <w:sz w:val="24"/>
          <w:lang w:bidi="ar"/>
        </w:rPr>
        <w:t>法兰</w:t>
      </w:r>
      <w:r>
        <w:rPr>
          <w:rFonts w:cs="宋体"/>
          <w:bCs/>
          <w:color w:val="auto"/>
          <w:sz w:val="24"/>
          <w:lang w:bidi="ar"/>
        </w:rPr>
        <w:t>公称压力PN2.5（0.25MPa），</w:t>
      </w:r>
      <w:r>
        <w:rPr>
          <w:rFonts w:hint="eastAsia" w:cs="宋体"/>
          <w:bCs/>
          <w:color w:val="auto"/>
          <w:sz w:val="24"/>
          <w:lang w:bidi="ar"/>
        </w:rPr>
        <w:t>平</w:t>
      </w:r>
      <w:r>
        <w:rPr>
          <w:rFonts w:cs="宋体"/>
          <w:bCs/>
          <w:color w:val="auto"/>
          <w:sz w:val="24"/>
          <w:lang w:bidi="ar"/>
        </w:rPr>
        <w:t>面</w:t>
      </w:r>
      <w:r>
        <w:rPr>
          <w:rFonts w:hint="eastAsia" w:cs="宋体"/>
          <w:bCs/>
          <w:color w:val="auto"/>
          <w:sz w:val="24"/>
          <w:lang w:bidi="ar"/>
        </w:rPr>
        <w:t>（</w:t>
      </w:r>
      <w:r>
        <w:rPr>
          <w:rFonts w:cs="宋体"/>
          <w:bCs/>
          <w:color w:val="auto"/>
          <w:sz w:val="24"/>
          <w:lang w:bidi="ar"/>
        </w:rPr>
        <w:t>FF</w:t>
      </w:r>
      <w:r>
        <w:rPr>
          <w:rFonts w:hint="eastAsia" w:cs="宋体"/>
          <w:bCs/>
          <w:color w:val="auto"/>
          <w:sz w:val="24"/>
          <w:lang w:bidi="ar"/>
        </w:rPr>
        <w:t>）</w:t>
      </w:r>
      <w:r>
        <w:rPr>
          <w:rFonts w:cs="宋体"/>
          <w:bCs/>
          <w:color w:val="auto"/>
          <w:sz w:val="24"/>
          <w:lang w:bidi="ar"/>
        </w:rPr>
        <w:t>板式</w:t>
      </w:r>
      <w:r>
        <w:rPr>
          <w:rFonts w:hint="eastAsia" w:cs="宋体"/>
          <w:bCs/>
          <w:color w:val="auto"/>
          <w:sz w:val="24"/>
          <w:lang w:bidi="ar"/>
        </w:rPr>
        <w:t>平焊法兰</w:t>
      </w:r>
      <w:r>
        <w:rPr>
          <w:rFonts w:cs="宋体"/>
          <w:bCs/>
          <w:color w:val="auto"/>
          <w:sz w:val="24"/>
          <w:lang w:bidi="ar"/>
        </w:rPr>
        <w:t>（PL）</w:t>
      </w:r>
      <w:r>
        <w:rPr>
          <w:rFonts w:hint="eastAsia" w:cs="宋体"/>
          <w:bCs/>
          <w:color w:val="auto"/>
          <w:sz w:val="24"/>
          <w:lang w:bidi="ar"/>
        </w:rPr>
        <w:t>，配对法兰钢管外径符合系列</w:t>
      </w:r>
      <w:r>
        <w:rPr>
          <w:rFonts w:cs="宋体"/>
          <w:bCs/>
          <w:color w:val="auto"/>
          <w:sz w:val="24"/>
          <w:lang w:bidi="ar"/>
        </w:rPr>
        <w:t>II</w:t>
      </w:r>
      <w:r>
        <w:rPr>
          <w:rFonts w:hint="eastAsia" w:cs="宋体"/>
          <w:bCs/>
          <w:color w:val="auto"/>
          <w:sz w:val="24"/>
          <w:lang w:bidi="ar"/>
        </w:rPr>
        <w:t>。法兰应采用</w:t>
      </w:r>
      <w:r>
        <w:rPr>
          <w:rFonts w:hint="eastAsia" w:cs="宋体"/>
          <w:b/>
          <w:color w:val="auto"/>
          <w:sz w:val="24"/>
          <w:lang w:bidi="ar"/>
        </w:rPr>
        <w:t>Ⅱ级锻件</w:t>
      </w:r>
      <w:r>
        <w:rPr>
          <w:rFonts w:hint="eastAsia" w:cs="宋体"/>
          <w:bCs/>
          <w:color w:val="auto"/>
          <w:sz w:val="24"/>
          <w:lang w:bidi="ar"/>
        </w:rPr>
        <w:t>制成。</w:t>
      </w:r>
      <w:bookmarkStart w:id="16" w:name="_Hlk205990662"/>
      <w:r>
        <w:rPr>
          <w:rFonts w:hint="eastAsia" w:cs="宋体"/>
          <w:bCs/>
          <w:color w:val="auto"/>
          <w:sz w:val="24"/>
          <w:lang w:bidi="ar"/>
        </w:rPr>
        <w:t>法兰垫片按标准</w:t>
      </w:r>
      <w:r>
        <w:rPr>
          <w:rFonts w:cs="宋体"/>
          <w:bCs/>
          <w:color w:val="auto"/>
          <w:sz w:val="24"/>
          <w:lang w:bidi="ar"/>
        </w:rPr>
        <w:t>GB/T 19675.1-2023</w:t>
      </w:r>
      <w:r>
        <w:rPr>
          <w:rFonts w:hint="eastAsia" w:cs="宋体"/>
          <w:bCs/>
          <w:color w:val="auto"/>
          <w:sz w:val="24"/>
          <w:lang w:bidi="ar"/>
        </w:rPr>
        <w:t>提供，石墨复合垫片的金属板及包边材质均为不锈钢（S</w:t>
      </w:r>
      <w:r>
        <w:rPr>
          <w:rFonts w:cs="宋体"/>
          <w:bCs/>
          <w:color w:val="auto"/>
          <w:sz w:val="24"/>
          <w:lang w:bidi="ar"/>
        </w:rPr>
        <w:t>30408</w:t>
      </w:r>
      <w:r>
        <w:rPr>
          <w:rFonts w:hint="eastAsia" w:cs="宋体"/>
          <w:bCs/>
          <w:color w:val="auto"/>
          <w:sz w:val="24"/>
          <w:lang w:bidi="ar"/>
        </w:rPr>
        <w:t>）。</w:t>
      </w:r>
      <w:bookmarkEnd w:id="16"/>
    </w:p>
    <w:p w14:paraId="1D0BC717">
      <w:pPr>
        <w:ind w:firstLine="480" w:firstLineChars="200"/>
        <w:rPr>
          <w:rFonts w:cs="宋体"/>
          <w:bCs/>
          <w:color w:val="auto"/>
          <w:sz w:val="24"/>
          <w:lang w:bidi="ar"/>
        </w:rPr>
      </w:pPr>
      <w:r>
        <w:rPr>
          <w:rFonts w:hint="eastAsia" w:cs="宋体"/>
          <w:bCs/>
          <w:color w:val="auto"/>
          <w:sz w:val="24"/>
          <w:lang w:bidi="ar"/>
        </w:rPr>
        <w:t>（b）差压测压管阀门、气溶胶注入及引出管阀门均由投标人配供，具体连接形式由采购人指定。</w:t>
      </w:r>
    </w:p>
    <w:p w14:paraId="67E17480">
      <w:pPr>
        <w:ind w:firstLine="480" w:firstLineChars="200"/>
        <w:rPr>
          <w:rFonts w:cs="宋体"/>
          <w:bCs/>
          <w:color w:val="auto"/>
          <w:sz w:val="24"/>
          <w:lang w:bidi="ar"/>
        </w:rPr>
      </w:pPr>
      <w:r>
        <w:rPr>
          <w:rFonts w:hint="eastAsia" w:cs="宋体"/>
          <w:bCs/>
          <w:color w:val="auto"/>
          <w:sz w:val="24"/>
          <w:lang w:bidi="ar"/>
        </w:rPr>
        <w:t>（c）压差传感器连接管路上配备仪表管路用HEPA过滤器均由投标人配供。</w:t>
      </w:r>
    </w:p>
    <w:p w14:paraId="4F3F46B7">
      <w:pPr>
        <w:ind w:firstLine="480" w:firstLineChars="200"/>
        <w:rPr>
          <w:rFonts w:cs="宋体"/>
          <w:bCs/>
          <w:color w:val="auto"/>
          <w:sz w:val="24"/>
          <w:lang w:bidi="ar"/>
        </w:rPr>
      </w:pPr>
    </w:p>
    <w:p w14:paraId="4988A9C1">
      <w:pPr>
        <w:adjustRightInd w:val="0"/>
        <w:snapToGrid w:val="0"/>
        <w:spacing w:before="62" w:beforeLines="20" w:after="62" w:afterLines="20" w:line="360" w:lineRule="atLeast"/>
        <w:ind w:firstLine="482" w:firstLineChars="200"/>
        <w:jc w:val="left"/>
        <w:rPr>
          <w:b/>
          <w:bCs/>
          <w:color w:val="auto"/>
          <w:sz w:val="24"/>
        </w:rPr>
      </w:pPr>
      <w:r>
        <w:rPr>
          <w:rFonts w:cs="宋体"/>
          <w:b/>
          <w:bCs/>
          <w:color w:val="auto"/>
          <w:sz w:val="24"/>
          <w:lang w:bidi="ar"/>
        </w:rPr>
        <w:t>2.5.2</w:t>
      </w:r>
      <w:r>
        <w:rPr>
          <w:rFonts w:hint="eastAsia" w:cs="宋体"/>
          <w:b/>
          <w:bCs/>
          <w:color w:val="auto"/>
          <w:sz w:val="24"/>
          <w:lang w:bidi="ar"/>
        </w:rPr>
        <w:t>空气过滤器技术要求</w:t>
      </w:r>
    </w:p>
    <w:p w14:paraId="1AE531B3">
      <w:pPr>
        <w:ind w:firstLine="480" w:firstLineChars="200"/>
        <w:rPr>
          <w:rFonts w:cs="宋体"/>
          <w:bCs/>
          <w:color w:val="auto"/>
          <w:sz w:val="24"/>
          <w:lang w:bidi="ar"/>
        </w:rPr>
      </w:pPr>
      <w:r>
        <w:rPr>
          <w:rFonts w:cs="宋体"/>
          <w:bCs/>
          <w:color w:val="auto"/>
          <w:sz w:val="24"/>
          <w:lang w:bidi="ar"/>
        </w:rPr>
        <w:t>（1）</w:t>
      </w:r>
      <w:r>
        <w:rPr>
          <w:rFonts w:hint="eastAsia" w:cs="宋体"/>
          <w:bCs/>
          <w:color w:val="auto"/>
          <w:sz w:val="24"/>
          <w:lang w:bidi="ar"/>
        </w:rPr>
        <w:t>高效空气粒子过滤器</w:t>
      </w:r>
    </w:p>
    <w:p w14:paraId="65B058AC">
      <w:pPr>
        <w:ind w:firstLine="480" w:firstLineChars="200"/>
        <w:rPr>
          <w:rFonts w:cs="宋体"/>
          <w:bCs/>
          <w:color w:val="auto"/>
          <w:sz w:val="24"/>
          <w:lang w:bidi="ar"/>
        </w:rPr>
      </w:pPr>
      <w:r>
        <w:rPr>
          <w:rFonts w:cs="宋体"/>
          <w:bCs/>
          <w:color w:val="auto"/>
          <w:sz w:val="24"/>
          <w:lang w:bidi="ar"/>
        </w:rPr>
        <w:t>（</w:t>
      </w:r>
      <w:r>
        <w:rPr>
          <w:rFonts w:hint="eastAsia" w:cs="宋体"/>
          <w:bCs/>
          <w:color w:val="auto"/>
          <w:sz w:val="24"/>
          <w:lang w:bidi="ar"/>
        </w:rPr>
        <w:t>a</w:t>
      </w:r>
      <w:r>
        <w:rPr>
          <w:rFonts w:cs="宋体"/>
          <w:bCs/>
          <w:color w:val="auto"/>
          <w:sz w:val="24"/>
          <w:lang w:bidi="ar"/>
        </w:rPr>
        <w:t>）</w:t>
      </w:r>
      <w:r>
        <w:rPr>
          <w:rFonts w:hint="eastAsia" w:cs="宋体"/>
          <w:bCs/>
          <w:color w:val="auto"/>
          <w:sz w:val="24"/>
          <w:lang w:bidi="ar"/>
        </w:rPr>
        <w:t>高效空气粒子过滤器各项指标应符合</w:t>
      </w:r>
      <w:r>
        <w:rPr>
          <w:rFonts w:cs="宋体"/>
          <w:bCs/>
          <w:color w:val="auto"/>
          <w:sz w:val="24"/>
          <w:lang w:bidi="ar"/>
        </w:rPr>
        <w:t>GB/T 13554-2020</w:t>
      </w:r>
      <w:r>
        <w:rPr>
          <w:rFonts w:hint="eastAsia" w:cs="宋体"/>
          <w:bCs/>
          <w:color w:val="auto"/>
          <w:sz w:val="24"/>
          <w:lang w:bidi="ar"/>
        </w:rPr>
        <w:t xml:space="preserve"> 或GB/T 17939-2008的相关要求。</w:t>
      </w:r>
    </w:p>
    <w:p w14:paraId="3946A49D">
      <w:pPr>
        <w:ind w:firstLine="420" w:firstLineChars="200"/>
        <w:rPr>
          <w:rFonts w:cs="宋体"/>
          <w:bCs/>
          <w:color w:val="auto"/>
          <w:sz w:val="24"/>
          <w:lang w:bidi="ar"/>
        </w:rPr>
      </w:pPr>
      <w:r>
        <w:rPr>
          <w:rFonts w:ascii="Segoe UI Symbol" w:hAnsi="Segoe UI Symbol" w:cs="Segoe UI Symbol"/>
          <w:color w:val="auto"/>
          <w:kern w:val="0"/>
        </w:rPr>
        <w:t>★</w:t>
      </w:r>
      <w:r>
        <w:rPr>
          <w:rFonts w:cs="宋体"/>
          <w:bCs/>
          <w:color w:val="auto"/>
          <w:sz w:val="24"/>
          <w:lang w:bidi="ar"/>
        </w:rPr>
        <w:t>（</w:t>
      </w:r>
      <w:r>
        <w:rPr>
          <w:rFonts w:hint="eastAsia" w:cs="宋体"/>
          <w:bCs/>
          <w:color w:val="auto"/>
          <w:sz w:val="24"/>
          <w:lang w:bidi="ar"/>
        </w:rPr>
        <w:t>b</w:t>
      </w:r>
      <w:r>
        <w:rPr>
          <w:rFonts w:cs="宋体"/>
          <w:bCs/>
          <w:color w:val="auto"/>
          <w:sz w:val="24"/>
          <w:lang w:bidi="ar"/>
        </w:rPr>
        <w:t>）</w:t>
      </w:r>
      <w:r>
        <w:rPr>
          <w:rFonts w:hint="eastAsia" w:cs="宋体"/>
          <w:bCs/>
          <w:color w:val="auto"/>
          <w:sz w:val="24"/>
          <w:lang w:bidi="ar"/>
        </w:rPr>
        <w:t>高效空气粒子过滤器过滤效率≥99.97%（钠焰法、荧光素纳法或计数法）。现场安装后首次仅提供计数法检测，并需要符合以上要求。</w:t>
      </w:r>
    </w:p>
    <w:p w14:paraId="6625E49D">
      <w:pPr>
        <w:ind w:firstLine="480" w:firstLineChars="200"/>
        <w:rPr>
          <w:rFonts w:cs="宋体"/>
          <w:bCs/>
          <w:color w:val="auto"/>
          <w:sz w:val="24"/>
          <w:lang w:bidi="ar"/>
        </w:rPr>
      </w:pPr>
      <w:r>
        <w:rPr>
          <w:rFonts w:cs="宋体"/>
          <w:bCs/>
          <w:color w:val="auto"/>
          <w:sz w:val="24"/>
          <w:lang w:bidi="ar"/>
        </w:rPr>
        <w:t>（</w:t>
      </w:r>
      <w:r>
        <w:rPr>
          <w:rFonts w:hint="eastAsia" w:cs="宋体"/>
          <w:bCs/>
          <w:color w:val="auto"/>
          <w:sz w:val="24"/>
          <w:lang w:bidi="ar"/>
        </w:rPr>
        <w:t>c</w:t>
      </w:r>
      <w:r>
        <w:rPr>
          <w:rFonts w:cs="宋体"/>
          <w:bCs/>
          <w:color w:val="auto"/>
          <w:sz w:val="24"/>
          <w:lang w:bidi="ar"/>
        </w:rPr>
        <w:t>）</w:t>
      </w:r>
      <w:r>
        <w:rPr>
          <w:rFonts w:hint="eastAsia" w:cs="宋体"/>
          <w:bCs/>
          <w:color w:val="auto"/>
          <w:sz w:val="24"/>
          <w:lang w:bidi="ar"/>
        </w:rPr>
        <w:t>高效空气粒子过滤器尺寸：610mm×610mm×292mm，符合标准GB/T</w:t>
      </w:r>
      <w:r>
        <w:rPr>
          <w:rFonts w:cs="宋体"/>
          <w:bCs/>
          <w:color w:val="auto"/>
          <w:sz w:val="24"/>
          <w:lang w:bidi="ar"/>
        </w:rPr>
        <w:t>13554-2020</w:t>
      </w:r>
      <w:r>
        <w:rPr>
          <w:rFonts w:hint="eastAsia" w:cs="宋体"/>
          <w:bCs/>
          <w:color w:val="auto"/>
          <w:sz w:val="24"/>
          <w:lang w:bidi="ar"/>
        </w:rPr>
        <w:t>或相关要求。</w:t>
      </w:r>
    </w:p>
    <w:p w14:paraId="56C0431C">
      <w:pPr>
        <w:ind w:firstLine="480" w:firstLineChars="200"/>
        <w:rPr>
          <w:rFonts w:cs="宋体"/>
          <w:bCs/>
          <w:color w:val="auto"/>
          <w:sz w:val="24"/>
          <w:lang w:bidi="ar"/>
        </w:rPr>
      </w:pPr>
      <w:r>
        <w:rPr>
          <w:rFonts w:cs="宋体"/>
          <w:bCs/>
          <w:color w:val="auto"/>
          <w:sz w:val="24"/>
          <w:lang w:bidi="ar"/>
        </w:rPr>
        <w:t>（</w:t>
      </w:r>
      <w:r>
        <w:rPr>
          <w:rFonts w:hint="eastAsia" w:cs="宋体"/>
          <w:bCs/>
          <w:color w:val="auto"/>
          <w:sz w:val="24"/>
          <w:lang w:bidi="ar"/>
        </w:rPr>
        <w:t>d</w:t>
      </w:r>
      <w:r>
        <w:rPr>
          <w:rFonts w:cs="宋体"/>
          <w:bCs/>
          <w:color w:val="auto"/>
          <w:sz w:val="24"/>
          <w:lang w:bidi="ar"/>
        </w:rPr>
        <w:t>）</w:t>
      </w:r>
      <w:r>
        <w:rPr>
          <w:rFonts w:hint="eastAsia" w:cs="宋体"/>
          <w:bCs/>
          <w:color w:val="auto"/>
          <w:sz w:val="24"/>
          <w:lang w:bidi="ar"/>
        </w:rPr>
        <w:t>高效空气粒子过滤器密封形式为压紧式垫片密封，密封面出厂应提供密封垫，采用</w:t>
      </w:r>
      <w:r>
        <w:rPr>
          <w:rFonts w:cs="宋体"/>
          <w:b/>
          <w:color w:val="auto"/>
          <w:sz w:val="24"/>
          <w:lang w:bidi="ar"/>
        </w:rPr>
        <w:t>进风侧密封</w:t>
      </w:r>
      <w:r>
        <w:rPr>
          <w:rFonts w:hint="eastAsia" w:cs="宋体"/>
          <w:bCs/>
          <w:color w:val="auto"/>
          <w:sz w:val="24"/>
          <w:lang w:bidi="ar"/>
        </w:rPr>
        <w:t>。过滤器边框应为304不锈钢材料，滤料完全密封进边框里。</w:t>
      </w:r>
    </w:p>
    <w:p w14:paraId="28DB6E7A">
      <w:pPr>
        <w:ind w:firstLine="480" w:firstLineChars="200"/>
        <w:rPr>
          <w:rFonts w:cs="宋体"/>
          <w:bCs/>
          <w:color w:val="auto"/>
          <w:sz w:val="24"/>
          <w:lang w:bidi="ar"/>
        </w:rPr>
      </w:pPr>
      <w:r>
        <w:rPr>
          <w:rFonts w:cs="宋体"/>
          <w:bCs/>
          <w:color w:val="auto"/>
          <w:sz w:val="24"/>
          <w:lang w:bidi="ar"/>
        </w:rPr>
        <w:t>（</w:t>
      </w:r>
      <w:r>
        <w:rPr>
          <w:rFonts w:hint="eastAsia" w:cs="宋体"/>
          <w:bCs/>
          <w:color w:val="auto"/>
          <w:sz w:val="24"/>
          <w:lang w:bidi="ar"/>
        </w:rPr>
        <w:t>e</w:t>
      </w:r>
      <w:r>
        <w:rPr>
          <w:rFonts w:cs="宋体"/>
          <w:bCs/>
          <w:color w:val="auto"/>
          <w:sz w:val="24"/>
          <w:lang w:bidi="ar"/>
        </w:rPr>
        <w:t>）</w:t>
      </w:r>
      <w:r>
        <w:rPr>
          <w:rFonts w:hint="eastAsia" w:cs="宋体"/>
          <w:bCs/>
          <w:color w:val="auto"/>
          <w:sz w:val="24"/>
          <w:lang w:bidi="ar"/>
        </w:rPr>
        <w:t>采用V型或W型箱式高效空气粒子过滤器，每台高效空气粒子过滤器单元滤料必须为一片连续的</w:t>
      </w:r>
      <w:r>
        <w:rPr>
          <w:rFonts w:hint="eastAsia" w:cs="宋体"/>
          <w:b/>
          <w:color w:val="auto"/>
          <w:sz w:val="24"/>
          <w:lang w:bidi="ar"/>
        </w:rPr>
        <w:t>玻璃纤维</w:t>
      </w:r>
      <w:r>
        <w:rPr>
          <w:rFonts w:hint="eastAsia" w:cs="宋体"/>
          <w:bCs/>
          <w:color w:val="auto"/>
          <w:sz w:val="24"/>
          <w:lang w:bidi="ar"/>
        </w:rPr>
        <w:t>折叠而成，不允许有任何拼接。</w:t>
      </w:r>
    </w:p>
    <w:p w14:paraId="052A07FB">
      <w:pPr>
        <w:ind w:firstLine="480" w:firstLineChars="200"/>
        <w:rPr>
          <w:rFonts w:cs="宋体"/>
          <w:bCs/>
          <w:color w:val="auto"/>
          <w:sz w:val="24"/>
          <w:lang w:bidi="ar"/>
        </w:rPr>
      </w:pPr>
      <w:r>
        <w:rPr>
          <w:rFonts w:cs="宋体"/>
          <w:bCs/>
          <w:color w:val="auto"/>
          <w:sz w:val="24"/>
          <w:lang w:bidi="ar"/>
        </w:rPr>
        <w:t>（</w:t>
      </w:r>
      <w:r>
        <w:rPr>
          <w:rFonts w:hint="eastAsia" w:cs="宋体"/>
          <w:bCs/>
          <w:color w:val="auto"/>
          <w:sz w:val="24"/>
          <w:lang w:bidi="ar"/>
        </w:rPr>
        <w:t>f</w:t>
      </w:r>
      <w:r>
        <w:rPr>
          <w:rFonts w:cs="宋体"/>
          <w:bCs/>
          <w:color w:val="auto"/>
          <w:sz w:val="24"/>
          <w:lang w:bidi="ar"/>
        </w:rPr>
        <w:t>）</w:t>
      </w:r>
      <w:r>
        <w:rPr>
          <w:rFonts w:hint="eastAsia" w:cs="宋体"/>
          <w:bCs/>
          <w:color w:val="auto"/>
          <w:sz w:val="24"/>
          <w:lang w:bidi="ar"/>
        </w:rPr>
        <w:t>高效空气粒子过滤器进、出风侧均配不锈钢（S</w:t>
      </w:r>
      <w:r>
        <w:rPr>
          <w:rFonts w:cs="宋体"/>
          <w:bCs/>
          <w:color w:val="auto"/>
          <w:sz w:val="24"/>
          <w:lang w:bidi="ar"/>
        </w:rPr>
        <w:t>30408</w:t>
      </w:r>
      <w:r>
        <w:rPr>
          <w:rFonts w:hint="eastAsia" w:cs="宋体"/>
          <w:bCs/>
          <w:color w:val="auto"/>
          <w:sz w:val="24"/>
          <w:lang w:bidi="ar"/>
        </w:rPr>
        <w:t>）护网。</w:t>
      </w:r>
    </w:p>
    <w:p w14:paraId="3880CA80">
      <w:pPr>
        <w:ind w:firstLine="420" w:firstLineChars="200"/>
        <w:rPr>
          <w:rFonts w:cs="宋体"/>
          <w:bCs/>
          <w:color w:val="auto"/>
          <w:sz w:val="24"/>
          <w:lang w:bidi="ar"/>
        </w:rPr>
      </w:pPr>
      <w:r>
        <w:rPr>
          <w:rFonts w:ascii="Segoe UI Symbol" w:hAnsi="Segoe UI Symbol" w:cs="Segoe UI Symbol"/>
          <w:color w:val="auto"/>
          <w:kern w:val="0"/>
        </w:rPr>
        <w:t>★</w:t>
      </w:r>
      <w:r>
        <w:rPr>
          <w:rFonts w:cs="宋体"/>
          <w:bCs/>
          <w:color w:val="auto"/>
          <w:sz w:val="24"/>
          <w:lang w:bidi="ar"/>
        </w:rPr>
        <w:t>（</w:t>
      </w:r>
      <w:r>
        <w:rPr>
          <w:rFonts w:hint="eastAsia" w:cs="宋体"/>
          <w:bCs/>
          <w:color w:val="auto"/>
          <w:sz w:val="24"/>
          <w:lang w:bidi="ar"/>
        </w:rPr>
        <w:t>g</w:t>
      </w:r>
      <w:r>
        <w:rPr>
          <w:rFonts w:cs="宋体"/>
          <w:bCs/>
          <w:color w:val="auto"/>
          <w:sz w:val="24"/>
          <w:lang w:bidi="ar"/>
        </w:rPr>
        <w:t>）</w:t>
      </w:r>
      <w:r>
        <w:rPr>
          <w:rFonts w:hint="eastAsia" w:cs="宋体"/>
          <w:bCs/>
          <w:color w:val="auto"/>
          <w:sz w:val="24"/>
          <w:lang w:bidi="ar"/>
        </w:rPr>
        <w:t>在额定风量下，高效空气粒子过滤器初阻力≤350Pa。</w:t>
      </w:r>
    </w:p>
    <w:p w14:paraId="3FE571AF">
      <w:pPr>
        <w:ind w:firstLine="480" w:firstLineChars="200"/>
        <w:rPr>
          <w:rFonts w:cs="宋体"/>
          <w:bCs/>
          <w:color w:val="auto"/>
          <w:sz w:val="24"/>
          <w:lang w:bidi="ar"/>
        </w:rPr>
      </w:pPr>
      <w:r>
        <w:rPr>
          <w:rFonts w:cs="宋体"/>
          <w:bCs/>
          <w:color w:val="auto"/>
          <w:sz w:val="24"/>
          <w:lang w:bidi="ar"/>
        </w:rPr>
        <w:t>（</w:t>
      </w:r>
      <w:r>
        <w:rPr>
          <w:rFonts w:hint="eastAsia" w:cs="宋体"/>
          <w:bCs/>
          <w:color w:val="auto"/>
          <w:sz w:val="24"/>
          <w:lang w:bidi="ar"/>
        </w:rPr>
        <w:t>h</w:t>
      </w:r>
      <w:r>
        <w:rPr>
          <w:rFonts w:cs="宋体"/>
          <w:bCs/>
          <w:color w:val="auto"/>
          <w:sz w:val="24"/>
          <w:lang w:bidi="ar"/>
        </w:rPr>
        <w:t>）</w:t>
      </w:r>
      <w:r>
        <w:rPr>
          <w:rFonts w:hint="eastAsia" w:cs="宋体"/>
          <w:bCs/>
          <w:color w:val="auto"/>
          <w:sz w:val="24"/>
          <w:lang w:bidi="ar"/>
        </w:rPr>
        <w:t>全部型号的高效空气粒子过滤器均应承受10倍额定风量或2500Pa压差的超压情况1小时后，目视检查无破损出现，且能满足在20％额定风量下的实验用气溶胶透过率的要求。</w:t>
      </w:r>
    </w:p>
    <w:p w14:paraId="640A4141">
      <w:pPr>
        <w:ind w:firstLine="480" w:firstLineChars="200"/>
        <w:rPr>
          <w:rFonts w:cs="宋体"/>
          <w:bCs/>
          <w:color w:val="auto"/>
          <w:sz w:val="24"/>
          <w:lang w:bidi="ar"/>
        </w:rPr>
      </w:pPr>
      <w:r>
        <w:rPr>
          <w:rFonts w:hint="eastAsia" w:cs="宋体"/>
          <w:bCs/>
          <w:color w:val="auto"/>
          <w:sz w:val="24"/>
          <w:lang w:bidi="ar"/>
        </w:rPr>
        <w:t>（i）</w:t>
      </w:r>
      <w:r>
        <w:rPr>
          <w:rFonts w:hint="eastAsia" w:cs="宋体"/>
          <w:b/>
          <w:color w:val="auto"/>
          <w:sz w:val="24"/>
          <w:lang w:bidi="ar"/>
        </w:rPr>
        <w:t>高效滤器应用采用防刮伤设计措施，确保过滤器更换时不会损伤保护袋</w:t>
      </w:r>
      <w:r>
        <w:rPr>
          <w:rFonts w:hint="eastAsia" w:cs="宋体"/>
          <w:bCs/>
          <w:color w:val="auto"/>
          <w:sz w:val="24"/>
          <w:lang w:bidi="ar"/>
        </w:rPr>
        <w:t>。</w:t>
      </w:r>
    </w:p>
    <w:p w14:paraId="6047109A">
      <w:pPr>
        <w:ind w:firstLine="480" w:firstLineChars="200"/>
        <w:rPr>
          <w:rFonts w:cs="宋体"/>
          <w:bCs/>
          <w:color w:val="auto"/>
          <w:sz w:val="24"/>
          <w:lang w:bidi="ar"/>
        </w:rPr>
      </w:pPr>
      <w:r>
        <w:rPr>
          <w:rFonts w:cs="宋体"/>
          <w:bCs/>
          <w:color w:val="auto"/>
          <w:sz w:val="24"/>
          <w:lang w:bidi="ar"/>
        </w:rPr>
        <w:t>（2）</w:t>
      </w:r>
      <w:r>
        <w:rPr>
          <w:rFonts w:hint="eastAsia" w:cs="宋体"/>
          <w:bCs/>
          <w:color w:val="auto"/>
          <w:sz w:val="24"/>
          <w:lang w:bidi="ar"/>
        </w:rPr>
        <w:t>空气预过滤器</w:t>
      </w:r>
    </w:p>
    <w:p w14:paraId="2154CF78">
      <w:pPr>
        <w:ind w:firstLine="480" w:firstLineChars="200"/>
        <w:rPr>
          <w:rFonts w:cs="宋体"/>
          <w:bCs/>
          <w:color w:val="auto"/>
          <w:sz w:val="24"/>
          <w:lang w:bidi="ar"/>
        </w:rPr>
      </w:pPr>
      <w:r>
        <w:rPr>
          <w:rFonts w:cs="宋体"/>
          <w:bCs/>
          <w:color w:val="auto"/>
          <w:sz w:val="24"/>
          <w:lang w:bidi="ar"/>
        </w:rPr>
        <w:t>（</w:t>
      </w:r>
      <w:r>
        <w:rPr>
          <w:rFonts w:hint="eastAsia" w:cs="宋体"/>
          <w:bCs/>
          <w:color w:val="auto"/>
          <w:sz w:val="24"/>
          <w:lang w:bidi="ar"/>
        </w:rPr>
        <w:t>a</w:t>
      </w:r>
      <w:r>
        <w:rPr>
          <w:rFonts w:cs="宋体"/>
          <w:bCs/>
          <w:color w:val="auto"/>
          <w:sz w:val="24"/>
          <w:lang w:bidi="ar"/>
        </w:rPr>
        <w:t>）</w:t>
      </w:r>
      <w:r>
        <w:rPr>
          <w:rFonts w:hint="eastAsia" w:cs="宋体"/>
          <w:bCs/>
          <w:color w:val="auto"/>
          <w:sz w:val="24"/>
          <w:lang w:bidi="ar"/>
        </w:rPr>
        <w:t>投标人应选择合适的预过滤器，以延长高效粒子空气过滤器的工作寿命。</w:t>
      </w:r>
    </w:p>
    <w:p w14:paraId="4DA7FB2C">
      <w:pPr>
        <w:ind w:firstLine="420" w:firstLineChars="200"/>
        <w:rPr>
          <w:rFonts w:cs="宋体"/>
          <w:bCs/>
          <w:color w:val="auto"/>
          <w:sz w:val="24"/>
          <w:lang w:bidi="ar"/>
        </w:rPr>
      </w:pPr>
      <w:r>
        <w:rPr>
          <w:rFonts w:ascii="Segoe UI Symbol" w:hAnsi="Segoe UI Symbol" w:cs="Segoe UI Symbol"/>
          <w:color w:val="auto"/>
          <w:kern w:val="0"/>
        </w:rPr>
        <w:t>★</w:t>
      </w:r>
      <w:r>
        <w:rPr>
          <w:rFonts w:cs="宋体"/>
          <w:bCs/>
          <w:color w:val="auto"/>
          <w:sz w:val="24"/>
          <w:lang w:bidi="ar"/>
        </w:rPr>
        <w:t>（</w:t>
      </w:r>
      <w:r>
        <w:rPr>
          <w:rFonts w:hint="eastAsia" w:cs="宋体"/>
          <w:bCs/>
          <w:color w:val="auto"/>
          <w:sz w:val="24"/>
          <w:lang w:bidi="ar"/>
        </w:rPr>
        <w:t>b</w:t>
      </w:r>
      <w:r>
        <w:rPr>
          <w:rFonts w:cs="宋体"/>
          <w:bCs/>
          <w:color w:val="auto"/>
          <w:sz w:val="24"/>
          <w:lang w:bidi="ar"/>
        </w:rPr>
        <w:t>）</w:t>
      </w:r>
      <w:r>
        <w:rPr>
          <w:rFonts w:hint="eastAsia" w:cs="宋体"/>
          <w:bCs/>
          <w:color w:val="auto"/>
          <w:sz w:val="24"/>
          <w:lang w:bidi="ar"/>
        </w:rPr>
        <w:t>预过滤器过滤效率≥85%（计重法）。</w:t>
      </w:r>
    </w:p>
    <w:p w14:paraId="405B92E3">
      <w:pPr>
        <w:ind w:firstLine="480" w:firstLineChars="200"/>
        <w:rPr>
          <w:rFonts w:cs="宋体"/>
          <w:bCs/>
          <w:color w:val="auto"/>
          <w:sz w:val="24"/>
          <w:lang w:bidi="ar"/>
        </w:rPr>
      </w:pPr>
      <w:r>
        <w:rPr>
          <w:rFonts w:cs="宋体"/>
          <w:bCs/>
          <w:color w:val="auto"/>
          <w:sz w:val="24"/>
          <w:lang w:bidi="ar"/>
        </w:rPr>
        <w:t>（</w:t>
      </w:r>
      <w:r>
        <w:rPr>
          <w:rFonts w:hint="eastAsia" w:cs="宋体"/>
          <w:bCs/>
          <w:color w:val="auto"/>
          <w:sz w:val="24"/>
          <w:lang w:bidi="ar"/>
        </w:rPr>
        <w:t>c</w:t>
      </w:r>
      <w:r>
        <w:rPr>
          <w:rFonts w:cs="宋体"/>
          <w:bCs/>
          <w:color w:val="auto"/>
          <w:sz w:val="24"/>
          <w:lang w:bidi="ar"/>
        </w:rPr>
        <w:t>）</w:t>
      </w:r>
      <w:r>
        <w:rPr>
          <w:rFonts w:hint="eastAsia" w:cs="宋体"/>
          <w:bCs/>
          <w:color w:val="auto"/>
          <w:sz w:val="24"/>
          <w:lang w:bidi="ar"/>
        </w:rPr>
        <w:t>空气预过滤器密封形式为压紧式垫片密封，密封面出厂应提供密封垫。过滤器进、出风面均有防护网。</w:t>
      </w:r>
    </w:p>
    <w:p w14:paraId="141EE862">
      <w:pPr>
        <w:ind w:firstLine="480" w:firstLineChars="200"/>
        <w:rPr>
          <w:rFonts w:cs="宋体"/>
          <w:bCs/>
          <w:color w:val="auto"/>
          <w:sz w:val="24"/>
          <w:lang w:bidi="ar"/>
        </w:rPr>
      </w:pPr>
      <w:r>
        <w:rPr>
          <w:rFonts w:hint="eastAsia" w:cs="宋体"/>
          <w:bCs/>
          <w:color w:val="auto"/>
          <w:sz w:val="24"/>
          <w:lang w:bidi="ar"/>
        </w:rPr>
        <w:t>（d）预过滤器边框应为304不锈钢材料，滤料完全密封进边框里。</w:t>
      </w:r>
    </w:p>
    <w:p w14:paraId="00C5A9E2">
      <w:pPr>
        <w:ind w:firstLine="480" w:firstLineChars="200"/>
        <w:rPr>
          <w:rFonts w:cs="宋体"/>
          <w:bCs/>
          <w:color w:val="auto"/>
          <w:sz w:val="24"/>
          <w:lang w:bidi="ar"/>
        </w:rPr>
      </w:pPr>
      <w:r>
        <w:rPr>
          <w:rFonts w:cs="宋体"/>
          <w:bCs/>
          <w:color w:val="auto"/>
          <w:sz w:val="24"/>
          <w:lang w:bidi="ar"/>
        </w:rPr>
        <w:t>（</w:t>
      </w:r>
      <w:r>
        <w:rPr>
          <w:rFonts w:hint="eastAsia" w:cs="宋体"/>
          <w:bCs/>
          <w:color w:val="auto"/>
          <w:sz w:val="24"/>
          <w:lang w:bidi="ar"/>
        </w:rPr>
        <w:t>e</w:t>
      </w:r>
      <w:r>
        <w:rPr>
          <w:rFonts w:cs="宋体"/>
          <w:bCs/>
          <w:color w:val="auto"/>
          <w:sz w:val="24"/>
          <w:lang w:bidi="ar"/>
        </w:rPr>
        <w:t>）</w:t>
      </w:r>
      <w:r>
        <w:rPr>
          <w:rFonts w:hint="eastAsia" w:cs="宋体"/>
          <w:bCs/>
          <w:color w:val="auto"/>
          <w:sz w:val="24"/>
          <w:lang w:bidi="ar"/>
        </w:rPr>
        <w:t>空气预过滤器过流截面尺寸应与高效空气粒子过滤器截面匹配，1个高效空气粒子过滤器上游仅配置1个预过滤器。</w:t>
      </w:r>
    </w:p>
    <w:p w14:paraId="38EFE423">
      <w:pPr>
        <w:ind w:firstLine="480" w:firstLineChars="200"/>
        <w:rPr>
          <w:rFonts w:cs="宋体"/>
          <w:bCs/>
          <w:color w:val="auto"/>
          <w:sz w:val="24"/>
          <w:lang w:bidi="ar"/>
        </w:rPr>
      </w:pPr>
      <w:r>
        <w:rPr>
          <w:rFonts w:hint="eastAsia" w:cs="宋体"/>
          <w:bCs/>
          <w:color w:val="auto"/>
          <w:sz w:val="24"/>
          <w:lang w:bidi="ar"/>
        </w:rPr>
        <w:t>（f）</w:t>
      </w:r>
      <w:r>
        <w:rPr>
          <w:rFonts w:hint="eastAsia" w:cs="宋体"/>
          <w:b/>
          <w:color w:val="auto"/>
          <w:sz w:val="24"/>
          <w:lang w:bidi="ar"/>
        </w:rPr>
        <w:t>预过滤器应用采用防刮伤设计措施，确保过滤器更换时不会损伤保护袋</w:t>
      </w:r>
      <w:r>
        <w:rPr>
          <w:rFonts w:hint="eastAsia" w:cs="宋体"/>
          <w:bCs/>
          <w:color w:val="auto"/>
          <w:sz w:val="24"/>
          <w:lang w:bidi="ar"/>
        </w:rPr>
        <w:t>。</w:t>
      </w:r>
    </w:p>
    <w:p w14:paraId="3A12F202">
      <w:pPr>
        <w:adjustRightInd w:val="0"/>
        <w:snapToGrid w:val="0"/>
        <w:spacing w:before="62" w:beforeLines="20" w:after="62" w:afterLines="20" w:line="360" w:lineRule="atLeast"/>
        <w:ind w:firstLine="482" w:firstLineChars="200"/>
        <w:jc w:val="left"/>
        <w:rPr>
          <w:b/>
          <w:bCs/>
          <w:color w:val="auto"/>
          <w:sz w:val="24"/>
        </w:rPr>
      </w:pPr>
      <w:r>
        <w:rPr>
          <w:rFonts w:cs="宋体"/>
          <w:b/>
          <w:bCs/>
          <w:color w:val="auto"/>
          <w:sz w:val="24"/>
          <w:lang w:bidi="ar"/>
        </w:rPr>
        <w:t>2.5.3</w:t>
      </w:r>
      <w:r>
        <w:rPr>
          <w:rFonts w:hint="eastAsia" w:cs="宋体"/>
          <w:b/>
          <w:bCs/>
          <w:color w:val="auto"/>
          <w:sz w:val="24"/>
          <w:lang w:bidi="ar"/>
        </w:rPr>
        <w:t>焊接要求</w:t>
      </w:r>
    </w:p>
    <w:p w14:paraId="03DB0555">
      <w:pPr>
        <w:ind w:firstLine="480" w:firstLineChars="200"/>
        <w:rPr>
          <w:rFonts w:cs="宋体"/>
          <w:bCs/>
          <w:color w:val="auto"/>
          <w:sz w:val="24"/>
          <w:lang w:bidi="ar"/>
        </w:rPr>
      </w:pPr>
      <w:r>
        <w:rPr>
          <w:rFonts w:cs="宋体"/>
          <w:bCs/>
          <w:color w:val="auto"/>
          <w:sz w:val="24"/>
          <w:lang w:bidi="ar"/>
        </w:rPr>
        <w:t>（1）</w:t>
      </w:r>
      <w:r>
        <w:rPr>
          <w:rFonts w:hint="eastAsia" w:cs="宋体"/>
          <w:bCs/>
          <w:color w:val="auto"/>
          <w:sz w:val="24"/>
          <w:lang w:bidi="ar"/>
        </w:rPr>
        <w:t>配备设备焊接程序说明书，焊接工艺评定和操作方法应可靠、合理。</w:t>
      </w:r>
    </w:p>
    <w:p w14:paraId="04683B37">
      <w:pPr>
        <w:ind w:firstLine="480" w:firstLineChars="200"/>
        <w:rPr>
          <w:rFonts w:cs="宋体"/>
          <w:bCs/>
          <w:color w:val="auto"/>
          <w:sz w:val="24"/>
          <w:lang w:bidi="ar"/>
        </w:rPr>
      </w:pPr>
      <w:r>
        <w:rPr>
          <w:rFonts w:cs="宋体"/>
          <w:bCs/>
          <w:color w:val="auto"/>
          <w:sz w:val="24"/>
          <w:lang w:bidi="ar"/>
        </w:rPr>
        <w:t>（2）</w:t>
      </w:r>
      <w:r>
        <w:rPr>
          <w:rFonts w:hint="eastAsia" w:cs="宋体"/>
          <w:bCs/>
          <w:color w:val="auto"/>
          <w:sz w:val="24"/>
          <w:lang w:bidi="ar"/>
        </w:rPr>
        <w:t>焊接材料（包括焊条、焊丝、焊剂、保护气体等）的选用应符合国家相关标准和规范，焊缝金属的抗拉强度和耐冲击值应不低于母材的规定下限值。</w:t>
      </w:r>
    </w:p>
    <w:p w14:paraId="2DB45C56">
      <w:pPr>
        <w:ind w:firstLine="480" w:firstLineChars="200"/>
        <w:rPr>
          <w:rFonts w:cs="宋体"/>
          <w:bCs/>
          <w:color w:val="auto"/>
          <w:sz w:val="24"/>
          <w:lang w:bidi="ar"/>
        </w:rPr>
      </w:pPr>
      <w:r>
        <w:rPr>
          <w:rFonts w:cs="宋体"/>
          <w:bCs/>
          <w:color w:val="auto"/>
          <w:sz w:val="24"/>
          <w:lang w:bidi="ar"/>
        </w:rPr>
        <w:t>（3）</w:t>
      </w:r>
      <w:r>
        <w:rPr>
          <w:rFonts w:hint="eastAsia" w:cs="宋体"/>
          <w:bCs/>
          <w:color w:val="auto"/>
          <w:sz w:val="24"/>
          <w:lang w:bidi="ar"/>
        </w:rPr>
        <w:t>所有焊缝应打磨光滑，所有焊缝质量必须符合国家相关规范要求。GB 50683-2011</w:t>
      </w:r>
      <w:r>
        <w:rPr>
          <w:rFonts w:cs="宋体"/>
          <w:bCs/>
          <w:color w:val="auto"/>
          <w:sz w:val="24"/>
          <w:lang w:bidi="ar"/>
        </w:rPr>
        <w:t>，JB/T 10213-2014</w:t>
      </w:r>
      <w:r>
        <w:rPr>
          <w:rFonts w:hint="eastAsia" w:cs="宋体"/>
          <w:bCs/>
          <w:color w:val="auto"/>
          <w:sz w:val="24"/>
          <w:lang w:bidi="ar"/>
        </w:rPr>
        <w:t>。</w:t>
      </w:r>
    </w:p>
    <w:p w14:paraId="7B472149">
      <w:pPr>
        <w:ind w:firstLine="480" w:firstLineChars="200"/>
        <w:rPr>
          <w:rFonts w:cs="宋体"/>
          <w:bCs/>
          <w:color w:val="auto"/>
          <w:sz w:val="24"/>
          <w:lang w:bidi="ar"/>
        </w:rPr>
      </w:pPr>
      <w:r>
        <w:rPr>
          <w:rFonts w:cs="宋体"/>
          <w:bCs/>
          <w:color w:val="auto"/>
          <w:sz w:val="24"/>
          <w:lang w:bidi="ar"/>
        </w:rPr>
        <w:t>（4）</w:t>
      </w:r>
      <w:r>
        <w:rPr>
          <w:rFonts w:hint="eastAsia" w:cs="宋体"/>
          <w:bCs/>
          <w:color w:val="auto"/>
          <w:sz w:val="24"/>
          <w:lang w:bidi="ar"/>
        </w:rPr>
        <w:t>施工时确保不损伤不锈钢保护膜，要求采取有效措施控制表面划伤及焊渣飞溅。</w:t>
      </w:r>
    </w:p>
    <w:p w14:paraId="72D4E9BF">
      <w:pPr>
        <w:ind w:firstLine="480" w:firstLineChars="200"/>
        <w:rPr>
          <w:rFonts w:cs="宋体"/>
          <w:bCs/>
          <w:color w:val="auto"/>
          <w:sz w:val="24"/>
          <w:lang w:bidi="ar"/>
        </w:rPr>
      </w:pPr>
      <w:r>
        <w:rPr>
          <w:rFonts w:cs="宋体"/>
          <w:bCs/>
          <w:color w:val="auto"/>
          <w:sz w:val="24"/>
          <w:lang w:bidi="ar"/>
        </w:rPr>
        <w:t>（5）</w:t>
      </w:r>
      <w:r>
        <w:rPr>
          <w:rFonts w:hint="eastAsia" w:cs="宋体"/>
          <w:bCs/>
          <w:color w:val="auto"/>
          <w:sz w:val="24"/>
          <w:lang w:bidi="ar"/>
        </w:rPr>
        <w:t>不锈钢采用氩弧焊，焊接完成检验合格后，应清除污垢、除油，进行酸洗钝化和清洗。</w:t>
      </w:r>
    </w:p>
    <w:p w14:paraId="6D184AE1">
      <w:pPr>
        <w:ind w:firstLine="480" w:firstLineChars="200"/>
        <w:rPr>
          <w:rFonts w:cs="宋体"/>
          <w:bCs/>
          <w:color w:val="auto"/>
          <w:sz w:val="24"/>
          <w:lang w:bidi="ar"/>
        </w:rPr>
      </w:pPr>
    </w:p>
    <w:p w14:paraId="57FD9BBD">
      <w:pPr>
        <w:adjustRightInd w:val="0"/>
        <w:snapToGrid w:val="0"/>
        <w:spacing w:before="62" w:beforeLines="20" w:after="62" w:afterLines="20" w:line="360" w:lineRule="atLeast"/>
        <w:jc w:val="center"/>
        <w:outlineLvl w:val="1"/>
        <w:rPr>
          <w:rFonts w:cs="宋体"/>
          <w:b/>
          <w:bCs/>
          <w:color w:val="auto"/>
          <w:sz w:val="24"/>
          <w:lang w:bidi="ar"/>
        </w:rPr>
      </w:pPr>
      <w:r>
        <w:rPr>
          <w:rFonts w:cs="宋体"/>
          <w:b/>
          <w:bCs/>
          <w:color w:val="auto"/>
          <w:sz w:val="24"/>
          <w:lang w:bidi="ar"/>
        </w:rPr>
        <w:t>3</w:t>
      </w:r>
      <w:r>
        <w:rPr>
          <w:rFonts w:hint="eastAsia" w:cs="宋体"/>
          <w:b/>
          <w:bCs/>
          <w:color w:val="auto"/>
          <w:sz w:val="24"/>
          <w:lang w:bidi="ar"/>
        </w:rPr>
        <w:t>、验收</w:t>
      </w:r>
    </w:p>
    <w:p w14:paraId="374C8132">
      <w:pPr>
        <w:ind w:firstLine="480" w:firstLineChars="200"/>
        <w:rPr>
          <w:rFonts w:cs="宋体"/>
          <w:bCs/>
          <w:color w:val="auto"/>
          <w:sz w:val="24"/>
          <w:lang w:bidi="ar"/>
        </w:rPr>
      </w:pPr>
      <w:r>
        <w:rPr>
          <w:rFonts w:hint="eastAsia" w:cs="宋体"/>
          <w:bCs/>
          <w:color w:val="auto"/>
          <w:sz w:val="24"/>
          <w:lang w:bidi="ar"/>
        </w:rPr>
        <w:t>验收标准按国家和行业现行标准、规范及本技术文件有关要求。</w:t>
      </w:r>
    </w:p>
    <w:p w14:paraId="0D052559">
      <w:pPr>
        <w:ind w:firstLine="480" w:firstLineChars="200"/>
        <w:rPr>
          <w:rFonts w:cs="宋体"/>
          <w:bCs/>
          <w:color w:val="auto"/>
          <w:sz w:val="24"/>
          <w:lang w:bidi="ar"/>
        </w:rPr>
      </w:pPr>
      <w:r>
        <w:rPr>
          <w:rFonts w:hint="eastAsia" w:cs="宋体"/>
          <w:bCs/>
          <w:color w:val="auto"/>
          <w:sz w:val="24"/>
          <w:lang w:bidi="ar"/>
        </w:rPr>
        <w:t>验收按“进度计划表”所约定的批次分批进行，每批按出厂验收、现场验收和最终验收三阶段进行。</w:t>
      </w:r>
    </w:p>
    <w:p w14:paraId="19767411">
      <w:pPr>
        <w:ind w:firstLine="480" w:firstLineChars="200"/>
        <w:rPr>
          <w:rFonts w:cs="宋体"/>
          <w:bCs/>
          <w:color w:val="auto"/>
          <w:sz w:val="24"/>
          <w:lang w:bidi="ar"/>
        </w:rPr>
      </w:pPr>
      <w:r>
        <w:rPr>
          <w:rFonts w:cs="宋体"/>
          <w:bCs/>
          <w:color w:val="auto"/>
          <w:sz w:val="24"/>
          <w:lang w:bidi="ar"/>
        </w:rPr>
        <w:t>3.1</w:t>
      </w:r>
      <w:r>
        <w:rPr>
          <w:rFonts w:hint="eastAsia" w:cs="宋体"/>
          <w:bCs/>
          <w:color w:val="auto"/>
          <w:sz w:val="24"/>
          <w:lang w:bidi="ar"/>
        </w:rPr>
        <w:t xml:space="preserve"> 出厂验收</w:t>
      </w:r>
    </w:p>
    <w:p w14:paraId="704F7482">
      <w:pPr>
        <w:ind w:firstLine="480" w:firstLineChars="200"/>
        <w:rPr>
          <w:rFonts w:cs="宋体"/>
          <w:bCs/>
          <w:color w:val="auto"/>
          <w:sz w:val="24"/>
          <w:lang w:bidi="ar"/>
        </w:rPr>
      </w:pPr>
      <w:r>
        <w:rPr>
          <w:rFonts w:cs="宋体"/>
          <w:bCs/>
          <w:color w:val="auto"/>
          <w:sz w:val="24"/>
          <w:lang w:bidi="ar"/>
        </w:rPr>
        <w:t>3.1.1</w:t>
      </w:r>
      <w:r>
        <w:rPr>
          <w:rFonts w:hint="eastAsia" w:cs="宋体"/>
          <w:bCs/>
          <w:color w:val="auto"/>
          <w:sz w:val="24"/>
          <w:lang w:bidi="ar"/>
        </w:rPr>
        <w:t>设备出厂前，投标人组织进行设备出厂检验，提出检验报告，并对报告的正确性和完整性负责。招标人有权参加部分或全部过程，但招标人的验收并不减轻投标人应负的任何责任。检测内容应至少包括但不限于：</w:t>
      </w:r>
    </w:p>
    <w:p w14:paraId="3335923E">
      <w:pPr>
        <w:ind w:firstLine="480" w:firstLineChars="200"/>
        <w:rPr>
          <w:rFonts w:cs="宋体"/>
          <w:bCs/>
          <w:color w:val="auto"/>
          <w:sz w:val="24"/>
          <w:lang w:bidi="ar"/>
        </w:rPr>
      </w:pPr>
      <w:r>
        <w:rPr>
          <w:rFonts w:hint="eastAsia" w:cs="宋体"/>
          <w:bCs/>
          <w:color w:val="auto"/>
          <w:sz w:val="24"/>
          <w:lang w:bidi="ar"/>
        </w:rPr>
        <w:t>（1）每台高效空气粒子</w:t>
      </w:r>
      <w:r>
        <w:rPr>
          <w:rFonts w:hint="eastAsia" w:cs="宋体"/>
          <w:b/>
          <w:color w:val="auto"/>
          <w:sz w:val="24"/>
          <w:lang w:bidi="ar"/>
        </w:rPr>
        <w:t>过滤器</w:t>
      </w:r>
      <w:r>
        <w:rPr>
          <w:rFonts w:hint="eastAsia" w:cs="宋体"/>
          <w:bCs/>
          <w:color w:val="auto"/>
          <w:sz w:val="24"/>
          <w:lang w:bidi="ar"/>
        </w:rPr>
        <w:t>都应测试100%及20%额定风量气溶胶透过率和气流阻力。</w:t>
      </w:r>
    </w:p>
    <w:p w14:paraId="29382779">
      <w:pPr>
        <w:ind w:firstLine="480" w:firstLineChars="200"/>
        <w:rPr>
          <w:rFonts w:cs="宋体"/>
          <w:bCs/>
          <w:color w:val="auto"/>
          <w:sz w:val="24"/>
          <w:lang w:bidi="ar"/>
        </w:rPr>
      </w:pPr>
      <w:r>
        <w:rPr>
          <w:rFonts w:hint="eastAsia" w:cs="宋体"/>
          <w:bCs/>
          <w:color w:val="auto"/>
          <w:sz w:val="24"/>
          <w:lang w:bidi="ar"/>
        </w:rPr>
        <w:t>（2）每台过滤器</w:t>
      </w:r>
      <w:r>
        <w:rPr>
          <w:rFonts w:hint="eastAsia" w:cs="宋体"/>
          <w:b/>
          <w:color w:val="auto"/>
          <w:sz w:val="24"/>
          <w:lang w:bidi="ar"/>
        </w:rPr>
        <w:t>箱体</w:t>
      </w:r>
      <w:r>
        <w:rPr>
          <w:rFonts w:hint="eastAsia" w:cs="宋体"/>
          <w:bCs/>
          <w:color w:val="auto"/>
          <w:sz w:val="24"/>
          <w:lang w:bidi="ar"/>
        </w:rPr>
        <w:t>都应进行耐压试验，在规定承压压力条件下，分别进行1</w:t>
      </w:r>
      <w:r>
        <w:rPr>
          <w:rFonts w:cs="宋体"/>
          <w:bCs/>
          <w:color w:val="auto"/>
          <w:sz w:val="24"/>
          <w:lang w:bidi="ar"/>
        </w:rPr>
        <w:t>5</w:t>
      </w:r>
      <w:r>
        <w:rPr>
          <w:rFonts w:hint="eastAsia" w:cs="宋体"/>
          <w:bCs/>
          <w:color w:val="auto"/>
          <w:sz w:val="24"/>
          <w:lang w:bidi="ar"/>
        </w:rPr>
        <w:t>分钟正、负压耐压试验，试验后箱体应无永久变形。正压时应采用泡沫法对可能泄漏的部位（如焊缝、检修门、接口等）进行边界检漏，应无可见气泡产生。</w:t>
      </w:r>
    </w:p>
    <w:p w14:paraId="6A4F035A">
      <w:pPr>
        <w:ind w:firstLine="480" w:firstLineChars="200"/>
        <w:rPr>
          <w:rFonts w:cs="宋体"/>
          <w:bCs/>
          <w:color w:val="auto"/>
          <w:sz w:val="24"/>
          <w:lang w:bidi="ar"/>
        </w:rPr>
      </w:pPr>
      <w:r>
        <w:rPr>
          <w:rFonts w:hint="eastAsia" w:cs="宋体"/>
          <w:bCs/>
          <w:color w:val="auto"/>
          <w:sz w:val="24"/>
          <w:lang w:bidi="ar"/>
        </w:rPr>
        <w:t>（</w:t>
      </w:r>
      <w:r>
        <w:rPr>
          <w:rFonts w:cs="宋体"/>
          <w:bCs/>
          <w:color w:val="auto"/>
          <w:sz w:val="24"/>
          <w:lang w:bidi="ar"/>
        </w:rPr>
        <w:t>3</w:t>
      </w:r>
      <w:r>
        <w:rPr>
          <w:rFonts w:hint="eastAsia" w:cs="宋体"/>
          <w:bCs/>
          <w:color w:val="auto"/>
          <w:sz w:val="24"/>
          <w:lang w:bidi="ar"/>
        </w:rPr>
        <w:t>）每台过滤器</w:t>
      </w:r>
      <w:r>
        <w:rPr>
          <w:rFonts w:hint="eastAsia"/>
          <w:bCs/>
          <w:color w:val="auto"/>
          <w:sz w:val="24"/>
          <w:lang w:bidi="ar"/>
        </w:rPr>
        <w:t>按</w:t>
      </w:r>
      <w:r>
        <w:rPr>
          <w:bCs/>
          <w:color w:val="auto"/>
          <w:sz w:val="24"/>
          <w:lang w:bidi="ar"/>
        </w:rPr>
        <w:t>±3750Pa</w:t>
      </w:r>
      <w:r>
        <w:rPr>
          <w:rFonts w:hint="eastAsia"/>
          <w:bCs/>
          <w:color w:val="auto"/>
          <w:sz w:val="24"/>
          <w:lang w:bidi="ar"/>
        </w:rPr>
        <w:t>压力试验，若小时泄漏率应小于箱体容积的</w:t>
      </w:r>
      <w:r>
        <w:rPr>
          <w:bCs/>
          <w:color w:val="auto"/>
          <w:sz w:val="24"/>
          <w:lang w:bidi="ar"/>
        </w:rPr>
        <w:t>0.25%</w:t>
      </w:r>
      <w:r>
        <w:rPr>
          <w:rFonts w:hint="eastAsia"/>
          <w:bCs/>
          <w:color w:val="auto"/>
          <w:sz w:val="24"/>
          <w:lang w:bidi="ar"/>
        </w:rPr>
        <w:t>，视为试验合格。此试验在整机耐压试验合格后进行。</w:t>
      </w:r>
    </w:p>
    <w:p w14:paraId="74408EF3">
      <w:pPr>
        <w:ind w:firstLine="480" w:firstLineChars="200"/>
        <w:rPr>
          <w:rFonts w:cs="宋体"/>
          <w:bCs/>
          <w:color w:val="auto"/>
          <w:sz w:val="24"/>
          <w:lang w:bidi="ar"/>
        </w:rPr>
      </w:pPr>
      <w:r>
        <w:rPr>
          <w:rFonts w:cs="宋体"/>
          <w:bCs/>
          <w:color w:val="auto"/>
          <w:sz w:val="24"/>
          <w:lang w:bidi="ar"/>
        </w:rPr>
        <w:t>3</w:t>
      </w:r>
      <w:r>
        <w:rPr>
          <w:rFonts w:hint="eastAsia" w:cs="宋体"/>
          <w:bCs/>
          <w:color w:val="auto"/>
          <w:sz w:val="24"/>
          <w:lang w:bidi="ar"/>
        </w:rPr>
        <w:t>.1.2按国家标准需要抽样检验的，招标人有权随机抽样选定受检产品，投标人负责现场检测。</w:t>
      </w:r>
    </w:p>
    <w:p w14:paraId="6BB8F8C2">
      <w:pPr>
        <w:ind w:firstLine="480" w:firstLineChars="200"/>
        <w:rPr>
          <w:rFonts w:cs="宋体"/>
          <w:bCs/>
          <w:color w:val="auto"/>
          <w:sz w:val="24"/>
          <w:lang w:bidi="ar"/>
        </w:rPr>
      </w:pPr>
      <w:r>
        <w:rPr>
          <w:rFonts w:cs="宋体"/>
          <w:bCs/>
          <w:color w:val="auto"/>
          <w:sz w:val="24"/>
          <w:lang w:bidi="ar"/>
        </w:rPr>
        <w:t>3</w:t>
      </w:r>
      <w:r>
        <w:rPr>
          <w:rFonts w:hint="eastAsia" w:cs="宋体"/>
          <w:bCs/>
          <w:color w:val="auto"/>
          <w:sz w:val="24"/>
          <w:lang w:bidi="ar"/>
        </w:rPr>
        <w:t>.1.3所有部件符合规定的要求，各项性能指标以及出厂验收测试结果均达到设计要求，视为设备出厂验收合格。</w:t>
      </w:r>
    </w:p>
    <w:p w14:paraId="322C2DAD">
      <w:pPr>
        <w:ind w:firstLine="480" w:firstLineChars="200"/>
        <w:rPr>
          <w:rFonts w:cs="宋体"/>
          <w:bCs/>
          <w:color w:val="auto"/>
          <w:sz w:val="24"/>
          <w:lang w:bidi="ar"/>
        </w:rPr>
      </w:pPr>
      <w:r>
        <w:rPr>
          <w:rFonts w:cs="宋体"/>
          <w:bCs/>
          <w:color w:val="auto"/>
          <w:sz w:val="24"/>
          <w:lang w:bidi="ar"/>
        </w:rPr>
        <w:t>3</w:t>
      </w:r>
      <w:r>
        <w:rPr>
          <w:rFonts w:hint="eastAsia" w:cs="宋体"/>
          <w:bCs/>
          <w:color w:val="auto"/>
          <w:sz w:val="24"/>
          <w:lang w:bidi="ar"/>
        </w:rPr>
        <w:t xml:space="preserve">.1.4验收过程中，如发现设备品牌不符、质量不合格或性能指标不满足设计要求，招标人有权要求投标人修改或更换，直至满足规定要求为止。期间发生的所有费用和工期拖延由投标人负责。 </w:t>
      </w:r>
    </w:p>
    <w:p w14:paraId="63E121C8">
      <w:pPr>
        <w:ind w:firstLine="480" w:firstLineChars="200"/>
        <w:rPr>
          <w:rFonts w:cs="宋体"/>
          <w:bCs/>
          <w:color w:val="auto"/>
          <w:sz w:val="24"/>
          <w:lang w:bidi="ar"/>
        </w:rPr>
      </w:pPr>
      <w:r>
        <w:rPr>
          <w:rFonts w:cs="宋体"/>
          <w:bCs/>
          <w:color w:val="auto"/>
          <w:sz w:val="24"/>
          <w:lang w:bidi="ar"/>
        </w:rPr>
        <w:t>3</w:t>
      </w:r>
      <w:r>
        <w:rPr>
          <w:rFonts w:hint="eastAsia" w:cs="宋体"/>
          <w:bCs/>
          <w:color w:val="auto"/>
          <w:sz w:val="24"/>
          <w:lang w:bidi="ar"/>
        </w:rPr>
        <w:t>.2现场验收</w:t>
      </w:r>
    </w:p>
    <w:p w14:paraId="4ED9F0FD">
      <w:pPr>
        <w:ind w:firstLine="480" w:firstLineChars="200"/>
        <w:rPr>
          <w:rFonts w:cs="宋体"/>
          <w:bCs/>
          <w:color w:val="auto"/>
          <w:sz w:val="24"/>
          <w:lang w:bidi="ar"/>
        </w:rPr>
      </w:pPr>
      <w:r>
        <w:rPr>
          <w:rFonts w:cs="宋体"/>
          <w:bCs/>
          <w:color w:val="auto"/>
          <w:sz w:val="24"/>
          <w:lang w:bidi="ar"/>
        </w:rPr>
        <w:t>3</w:t>
      </w:r>
      <w:r>
        <w:rPr>
          <w:rFonts w:hint="eastAsia" w:cs="宋体"/>
          <w:bCs/>
          <w:color w:val="auto"/>
          <w:sz w:val="24"/>
          <w:lang w:bidi="ar"/>
        </w:rPr>
        <w:t>.2.1设备到达施工现场，由招标人组织现场验收。投标人须于招标人验收前至少提供如下技术文件：</w:t>
      </w:r>
    </w:p>
    <w:p w14:paraId="19FEF301">
      <w:pPr>
        <w:ind w:firstLine="480" w:firstLineChars="200"/>
        <w:rPr>
          <w:rFonts w:cs="宋体"/>
          <w:bCs/>
          <w:color w:val="auto"/>
          <w:sz w:val="24"/>
          <w:lang w:bidi="ar"/>
        </w:rPr>
      </w:pPr>
      <w:r>
        <w:rPr>
          <w:rFonts w:hint="eastAsia" w:cs="宋体"/>
          <w:bCs/>
          <w:color w:val="auto"/>
          <w:sz w:val="24"/>
          <w:lang w:bidi="ar"/>
        </w:rPr>
        <w:t>（1）包含产品合格证。</w:t>
      </w:r>
    </w:p>
    <w:p w14:paraId="64BD1FB7">
      <w:pPr>
        <w:ind w:firstLine="480" w:firstLineChars="200"/>
        <w:rPr>
          <w:rFonts w:cs="宋体"/>
          <w:bCs/>
          <w:color w:val="auto"/>
          <w:sz w:val="24"/>
          <w:lang w:bidi="ar"/>
        </w:rPr>
      </w:pPr>
      <w:r>
        <w:rPr>
          <w:rFonts w:hint="eastAsia" w:cs="宋体"/>
          <w:bCs/>
          <w:color w:val="auto"/>
          <w:sz w:val="24"/>
          <w:lang w:bidi="ar"/>
        </w:rPr>
        <w:t>（2）产品安装、使用说明书，运行维护手册等。</w:t>
      </w:r>
    </w:p>
    <w:p w14:paraId="46768BB8">
      <w:pPr>
        <w:ind w:firstLine="480" w:firstLineChars="200"/>
        <w:rPr>
          <w:rFonts w:cs="宋体"/>
          <w:bCs/>
          <w:color w:val="auto"/>
          <w:sz w:val="24"/>
          <w:lang w:bidi="ar"/>
        </w:rPr>
      </w:pPr>
      <w:r>
        <w:rPr>
          <w:rFonts w:hint="eastAsia" w:cs="宋体"/>
          <w:bCs/>
          <w:color w:val="auto"/>
          <w:sz w:val="24"/>
          <w:lang w:bidi="ar"/>
        </w:rPr>
        <w:t>（3）</w:t>
      </w:r>
      <w:bookmarkStart w:id="17" w:name="_Hlk205989280"/>
      <w:r>
        <w:rPr>
          <w:rFonts w:hint="eastAsia" w:cs="宋体"/>
          <w:bCs/>
          <w:color w:val="auto"/>
          <w:sz w:val="24"/>
          <w:lang w:bidi="ar"/>
        </w:rPr>
        <w:t>必要的检测报告</w:t>
      </w:r>
      <w:bookmarkEnd w:id="17"/>
      <w:r>
        <w:rPr>
          <w:rFonts w:hint="eastAsia" w:cs="宋体"/>
          <w:bCs/>
          <w:color w:val="auto"/>
          <w:sz w:val="24"/>
          <w:lang w:bidi="ar"/>
        </w:rPr>
        <w:t>。</w:t>
      </w:r>
    </w:p>
    <w:p w14:paraId="4CDADC52">
      <w:pPr>
        <w:ind w:firstLine="480" w:firstLineChars="200"/>
        <w:rPr>
          <w:rFonts w:cs="宋体"/>
          <w:bCs/>
          <w:color w:val="auto"/>
          <w:sz w:val="24"/>
          <w:lang w:bidi="ar"/>
        </w:rPr>
      </w:pPr>
      <w:r>
        <w:rPr>
          <w:rFonts w:hint="eastAsia" w:cs="宋体"/>
          <w:bCs/>
          <w:color w:val="auto"/>
          <w:sz w:val="24"/>
          <w:lang w:bidi="ar"/>
        </w:rPr>
        <w:t>（4）生产图纸。</w:t>
      </w:r>
    </w:p>
    <w:p w14:paraId="034324C3">
      <w:pPr>
        <w:ind w:firstLine="480" w:firstLineChars="200"/>
        <w:rPr>
          <w:rFonts w:cs="宋体"/>
          <w:bCs/>
          <w:color w:val="auto"/>
          <w:sz w:val="24"/>
          <w:lang w:bidi="ar"/>
        </w:rPr>
      </w:pPr>
      <w:r>
        <w:rPr>
          <w:rFonts w:hint="eastAsia" w:cs="宋体"/>
          <w:bCs/>
          <w:color w:val="auto"/>
          <w:sz w:val="24"/>
          <w:lang w:bidi="ar"/>
        </w:rPr>
        <w:t>上述各类文件应提供纸质版以及与纸质版完全一致的电子版。招标人逐项进行核对，发现不符的由投标人负责改正，直至符合招标人要求。否则招标人有权拒绝验收，由此而造成的任何损失将由投标人承担。</w:t>
      </w:r>
    </w:p>
    <w:p w14:paraId="41E600B1">
      <w:pPr>
        <w:ind w:firstLine="480" w:firstLineChars="200"/>
        <w:rPr>
          <w:rFonts w:cs="宋体"/>
          <w:bCs/>
          <w:color w:val="auto"/>
          <w:sz w:val="24"/>
          <w:lang w:bidi="ar"/>
        </w:rPr>
      </w:pPr>
      <w:r>
        <w:rPr>
          <w:rFonts w:cs="宋体"/>
          <w:bCs/>
          <w:color w:val="auto"/>
          <w:sz w:val="24"/>
          <w:lang w:bidi="ar"/>
        </w:rPr>
        <w:t>3</w:t>
      </w:r>
      <w:r>
        <w:rPr>
          <w:rFonts w:hint="eastAsia" w:cs="宋体"/>
          <w:bCs/>
          <w:color w:val="auto"/>
          <w:sz w:val="24"/>
          <w:lang w:bidi="ar"/>
        </w:rPr>
        <w:t>.2.2 根据设备装箱单检查设备、材料及附件，其型号、规格和数量经招标人核验均满足本合同技术要求和随机文件要求。设备所有外露接口，均已密封完好，并确认无外来杂质进入设备内部为现场验收合格。如发现由于包装或防护措施不当而引起货物锈蚀、损坏和丢失等任何损失的责任或费用由投标人承担。</w:t>
      </w:r>
    </w:p>
    <w:p w14:paraId="2FB55474">
      <w:pPr>
        <w:ind w:firstLine="480" w:firstLineChars="200"/>
        <w:rPr>
          <w:rFonts w:cs="宋体"/>
          <w:bCs/>
          <w:color w:val="auto"/>
          <w:sz w:val="24"/>
          <w:lang w:bidi="ar"/>
        </w:rPr>
      </w:pPr>
      <w:r>
        <w:rPr>
          <w:rFonts w:cs="宋体"/>
          <w:bCs/>
          <w:color w:val="auto"/>
          <w:sz w:val="24"/>
          <w:lang w:bidi="ar"/>
        </w:rPr>
        <w:t>3</w:t>
      </w:r>
      <w:r>
        <w:rPr>
          <w:rFonts w:hint="eastAsia" w:cs="宋体"/>
          <w:bCs/>
          <w:color w:val="auto"/>
          <w:sz w:val="24"/>
          <w:lang w:bidi="ar"/>
        </w:rPr>
        <w:t>.3 最终验收</w:t>
      </w:r>
    </w:p>
    <w:p w14:paraId="5A75C1ED">
      <w:pPr>
        <w:ind w:firstLine="480" w:firstLineChars="200"/>
        <w:rPr>
          <w:rFonts w:hint="eastAsia" w:cs="宋体"/>
          <w:bCs/>
          <w:color w:val="auto"/>
          <w:sz w:val="24"/>
          <w:lang w:bidi="ar"/>
        </w:rPr>
      </w:pPr>
      <w:r>
        <w:rPr>
          <w:rFonts w:cs="宋体"/>
          <w:bCs/>
          <w:color w:val="auto"/>
          <w:sz w:val="24"/>
          <w:lang w:bidi="ar"/>
        </w:rPr>
        <w:t>3</w:t>
      </w:r>
      <w:r>
        <w:rPr>
          <w:rFonts w:hint="eastAsia" w:cs="宋体"/>
          <w:bCs/>
          <w:color w:val="auto"/>
          <w:sz w:val="24"/>
          <w:lang w:bidi="ar"/>
        </w:rPr>
        <w:t>.3.1 现场验收合格，过滤器箱体就位并与通风管道连接完毕后，投标人负责将预过滤器、高效空气粒子过滤器安装到过滤器箱体内，并对每台高效空气粒子过滤器进行首次过滤效率检测，每台滤芯在线过滤效率应不低于99.97%（采用计数法检测），直至设备正常运转。</w:t>
      </w:r>
    </w:p>
    <w:p w14:paraId="729D8E7D">
      <w:pPr>
        <w:ind w:firstLine="480" w:firstLineChars="200"/>
        <w:rPr>
          <w:rFonts w:cs="宋体"/>
          <w:bCs/>
          <w:color w:val="auto"/>
          <w:sz w:val="24"/>
          <w:lang w:bidi="ar"/>
        </w:rPr>
      </w:pPr>
      <w:r>
        <w:rPr>
          <w:rFonts w:hint="eastAsia" w:cs="宋体"/>
          <w:bCs/>
          <w:color w:val="auto"/>
          <w:sz w:val="24"/>
          <w:lang w:bidi="ar"/>
        </w:rPr>
        <w:t>3.3.2 检测及验收过程中，如发现设备存在任何质量问题，或性能不能满足工艺设计要求，投标人须尽快修改、调整或更换，直至满足规定要求为止。期间发生的所有费用和工期拖延由投标人负责。</w:t>
      </w:r>
    </w:p>
    <w:p w14:paraId="2170591C">
      <w:pPr>
        <w:ind w:firstLine="480" w:firstLineChars="200"/>
        <w:rPr>
          <w:rFonts w:cs="宋体"/>
          <w:bCs/>
          <w:color w:val="auto"/>
          <w:sz w:val="24"/>
          <w:lang w:bidi="ar"/>
        </w:rPr>
      </w:pPr>
      <w:r>
        <w:rPr>
          <w:rFonts w:cs="宋体"/>
          <w:bCs/>
          <w:color w:val="auto"/>
          <w:sz w:val="24"/>
          <w:lang w:bidi="ar"/>
        </w:rPr>
        <w:t>3</w:t>
      </w:r>
      <w:r>
        <w:rPr>
          <w:rFonts w:hint="eastAsia" w:cs="宋体"/>
          <w:bCs/>
          <w:color w:val="auto"/>
          <w:sz w:val="24"/>
          <w:lang w:bidi="ar"/>
        </w:rPr>
        <w:t>.3.3 所有设备质量和性能满足规定要求；系统性能指标符合设计要求、运转正常；文件资料完整齐全视为安装调试验收合格。</w:t>
      </w:r>
    </w:p>
    <w:p w14:paraId="6E1738D9">
      <w:pPr>
        <w:ind w:firstLine="480" w:firstLineChars="200"/>
        <w:rPr>
          <w:rFonts w:cs="宋体"/>
          <w:bCs/>
          <w:color w:val="auto"/>
          <w:sz w:val="24"/>
          <w:lang w:bidi="ar"/>
        </w:rPr>
      </w:pPr>
      <w:r>
        <w:rPr>
          <w:rFonts w:cs="宋体"/>
          <w:bCs/>
          <w:color w:val="auto"/>
          <w:sz w:val="24"/>
          <w:lang w:bidi="ar"/>
        </w:rPr>
        <w:t>3</w:t>
      </w:r>
      <w:r>
        <w:rPr>
          <w:rFonts w:hint="eastAsia" w:cs="宋体"/>
          <w:bCs/>
          <w:color w:val="auto"/>
          <w:sz w:val="24"/>
          <w:lang w:bidi="ar"/>
        </w:rPr>
        <w:t>.3.4 安装调试验收合格后，无故障运行3个月，视为最终验收合格。</w:t>
      </w:r>
    </w:p>
    <w:p w14:paraId="0BECC715">
      <w:pPr>
        <w:adjustRightInd w:val="0"/>
        <w:snapToGrid w:val="0"/>
        <w:spacing w:before="62" w:beforeLines="20" w:after="62" w:afterLines="20" w:line="360" w:lineRule="atLeast"/>
        <w:jc w:val="center"/>
        <w:outlineLvl w:val="1"/>
        <w:rPr>
          <w:rFonts w:cs="宋体"/>
          <w:b/>
          <w:bCs/>
          <w:color w:val="auto"/>
          <w:sz w:val="24"/>
          <w:lang w:bidi="ar"/>
        </w:rPr>
      </w:pPr>
      <w:r>
        <w:rPr>
          <w:rFonts w:cs="宋体"/>
          <w:b/>
          <w:bCs/>
          <w:color w:val="auto"/>
          <w:sz w:val="24"/>
          <w:lang w:bidi="ar"/>
        </w:rPr>
        <w:t>4</w:t>
      </w:r>
      <w:r>
        <w:rPr>
          <w:rFonts w:hint="eastAsia" w:cs="宋体"/>
          <w:b/>
          <w:bCs/>
          <w:color w:val="auto"/>
          <w:sz w:val="24"/>
          <w:lang w:bidi="ar"/>
        </w:rPr>
        <w:t>、服务</w:t>
      </w:r>
    </w:p>
    <w:p w14:paraId="159E39FD">
      <w:pPr>
        <w:ind w:firstLine="480" w:firstLineChars="200"/>
        <w:rPr>
          <w:rFonts w:cs="宋体"/>
          <w:bCs/>
          <w:color w:val="auto"/>
          <w:sz w:val="24"/>
          <w:lang w:bidi="ar"/>
        </w:rPr>
      </w:pPr>
      <w:r>
        <w:rPr>
          <w:rFonts w:cs="宋体"/>
          <w:bCs/>
          <w:color w:val="auto"/>
          <w:sz w:val="24"/>
          <w:lang w:bidi="ar"/>
        </w:rPr>
        <w:t xml:space="preserve">4.1 </w:t>
      </w:r>
      <w:r>
        <w:rPr>
          <w:rFonts w:hint="eastAsia" w:cs="宋体"/>
          <w:bCs/>
          <w:color w:val="auto"/>
          <w:sz w:val="24"/>
          <w:lang w:bidi="ar"/>
        </w:rPr>
        <w:t>投标人应设有维修机构，处理所有维修服务，并配有专职的、具有三年以上设备运行服务经验的技术工程师。</w:t>
      </w:r>
    </w:p>
    <w:p w14:paraId="72234BB7">
      <w:pPr>
        <w:ind w:firstLine="480" w:firstLineChars="200"/>
        <w:rPr>
          <w:rFonts w:cs="宋体"/>
          <w:bCs/>
          <w:color w:val="auto"/>
          <w:sz w:val="24"/>
          <w:lang w:bidi="ar"/>
        </w:rPr>
      </w:pPr>
      <w:r>
        <w:rPr>
          <w:rFonts w:cs="宋体"/>
          <w:bCs/>
          <w:color w:val="auto"/>
          <w:sz w:val="24"/>
          <w:lang w:bidi="ar"/>
        </w:rPr>
        <w:t xml:space="preserve">4.2 </w:t>
      </w:r>
      <w:r>
        <w:rPr>
          <w:rFonts w:hint="eastAsia" w:cs="宋体"/>
          <w:bCs/>
          <w:color w:val="auto"/>
          <w:sz w:val="24"/>
          <w:lang w:bidi="ar"/>
        </w:rPr>
        <w:t>投标人应安排优秀的培训人员，对采购人指定的运行维修人员进行良好的运行维护培训。培训地点为</w:t>
      </w:r>
      <w:r>
        <w:rPr>
          <w:rFonts w:cs="宋体"/>
          <w:bCs/>
          <w:color w:val="auto"/>
          <w:sz w:val="24"/>
          <w:lang w:bidi="ar"/>
        </w:rPr>
        <w:t>CSNS</w:t>
      </w:r>
      <w:r>
        <w:rPr>
          <w:rFonts w:hint="eastAsia" w:cs="宋体"/>
          <w:bCs/>
          <w:color w:val="auto"/>
          <w:sz w:val="24"/>
          <w:lang w:bidi="ar"/>
        </w:rPr>
        <w:t>项目现场采购人安排地点。</w:t>
      </w:r>
    </w:p>
    <w:p w14:paraId="4F1C9D25">
      <w:pPr>
        <w:ind w:firstLine="480" w:firstLineChars="200"/>
        <w:rPr>
          <w:rFonts w:cs="宋体"/>
          <w:bCs/>
          <w:color w:val="auto"/>
          <w:sz w:val="24"/>
          <w:lang w:bidi="ar"/>
        </w:rPr>
      </w:pPr>
      <w:r>
        <w:rPr>
          <w:rFonts w:cs="宋体"/>
          <w:bCs/>
          <w:color w:val="auto"/>
          <w:sz w:val="24"/>
          <w:lang w:bidi="ar"/>
        </w:rPr>
        <w:t>4.3</w:t>
      </w:r>
      <w:r>
        <w:rPr>
          <w:rFonts w:hint="eastAsia" w:cs="宋体"/>
          <w:bCs/>
          <w:color w:val="auto"/>
          <w:sz w:val="24"/>
          <w:lang w:bidi="ar"/>
        </w:rPr>
        <w:t>从采购人最终验收合格之日起，保修期或质量保证期至少为12个月。在保修期内投标人免费提供设备正常使用情况下的维修及保养服务。设备本身质量出现问题或由于设备本身质量原因造成的任何损伤或损坏，投标人应及时给予免费维修或免费更换。</w:t>
      </w:r>
    </w:p>
    <w:p w14:paraId="17C5836A">
      <w:pPr>
        <w:ind w:firstLine="480" w:firstLineChars="200"/>
        <w:rPr>
          <w:rFonts w:cs="宋体"/>
          <w:bCs/>
          <w:color w:val="auto"/>
          <w:sz w:val="24"/>
          <w:lang w:bidi="ar"/>
        </w:rPr>
      </w:pPr>
      <w:r>
        <w:rPr>
          <w:rFonts w:cs="宋体"/>
          <w:bCs/>
          <w:color w:val="auto"/>
          <w:sz w:val="24"/>
          <w:lang w:bidi="ar"/>
        </w:rPr>
        <w:t xml:space="preserve">4.4 </w:t>
      </w:r>
      <w:r>
        <w:rPr>
          <w:rFonts w:hint="eastAsia" w:cs="宋体"/>
          <w:bCs/>
          <w:color w:val="auto"/>
          <w:sz w:val="24"/>
          <w:lang w:bidi="ar"/>
        </w:rPr>
        <w:t>在所有设备保修期结束前夕，须由投标人工程师和采购人代表进行一次全面检查，任何缺陷必须由投标人负责修理，修理完毕，投标人应将缺陷原因、修理内容、完成修理及恢复正常的时间和日期等报告给采购人。</w:t>
      </w:r>
    </w:p>
    <w:p w14:paraId="0F4F2D5D">
      <w:pPr>
        <w:adjustRightInd w:val="0"/>
        <w:snapToGrid w:val="0"/>
        <w:spacing w:before="62" w:beforeLines="20" w:after="62" w:afterLines="20" w:line="360" w:lineRule="atLeast"/>
        <w:jc w:val="center"/>
        <w:outlineLvl w:val="1"/>
        <w:rPr>
          <w:rFonts w:cs="宋体"/>
          <w:b/>
          <w:bCs/>
          <w:color w:val="auto"/>
          <w:sz w:val="24"/>
          <w:lang w:bidi="ar"/>
        </w:rPr>
      </w:pPr>
      <w:r>
        <w:rPr>
          <w:rFonts w:cs="宋体"/>
          <w:b/>
          <w:bCs/>
          <w:color w:val="auto"/>
          <w:sz w:val="24"/>
          <w:lang w:bidi="ar"/>
        </w:rPr>
        <w:t>5</w:t>
      </w:r>
      <w:r>
        <w:rPr>
          <w:rFonts w:hint="eastAsia" w:cs="宋体"/>
          <w:b/>
          <w:bCs/>
          <w:color w:val="auto"/>
          <w:sz w:val="24"/>
          <w:lang w:bidi="ar"/>
        </w:rPr>
        <w:t>、其他约定</w:t>
      </w:r>
    </w:p>
    <w:p w14:paraId="6B8BF092">
      <w:pPr>
        <w:ind w:firstLine="480" w:firstLineChars="200"/>
        <w:rPr>
          <w:rFonts w:cs="宋体"/>
          <w:bCs/>
          <w:color w:val="auto"/>
          <w:sz w:val="24"/>
          <w:lang w:bidi="ar"/>
        </w:rPr>
      </w:pPr>
      <w:r>
        <w:rPr>
          <w:rFonts w:cs="宋体"/>
          <w:bCs/>
          <w:color w:val="auto"/>
          <w:sz w:val="24"/>
          <w:lang w:bidi="ar"/>
        </w:rPr>
        <w:t xml:space="preserve">5.1 </w:t>
      </w:r>
      <w:r>
        <w:rPr>
          <w:rFonts w:hint="eastAsia" w:cs="宋体"/>
          <w:bCs/>
          <w:color w:val="auto"/>
          <w:sz w:val="24"/>
          <w:lang w:bidi="ar"/>
        </w:rPr>
        <w:t>本技术要求是基于本项目设计文件提出的最低限度技术要求，并未对一切细节作出规定，也未充分引述全部有关标准和规范的条文，投标人提供的所有货物（包括制造、测试和安装等）都应符合招标时已颁布的现行中国国家或其他公认的行业标准和国际标准化组织以及等效或更优的其他国家的权威性标准和规范的有关条文。</w:t>
      </w:r>
    </w:p>
    <w:p w14:paraId="7298FC2F">
      <w:pPr>
        <w:ind w:firstLine="480" w:firstLineChars="200"/>
        <w:rPr>
          <w:rFonts w:cs="宋体"/>
          <w:bCs/>
          <w:color w:val="auto"/>
          <w:sz w:val="24"/>
          <w:lang w:bidi="ar"/>
        </w:rPr>
      </w:pPr>
      <w:r>
        <w:rPr>
          <w:rFonts w:cs="宋体"/>
          <w:bCs/>
          <w:color w:val="auto"/>
          <w:sz w:val="24"/>
          <w:lang w:bidi="ar"/>
        </w:rPr>
        <w:t xml:space="preserve">5.2 </w:t>
      </w:r>
      <w:r>
        <w:rPr>
          <w:rFonts w:hint="eastAsia" w:cs="宋体"/>
          <w:bCs/>
          <w:color w:val="auto"/>
          <w:sz w:val="24"/>
          <w:lang w:bidi="ar"/>
        </w:rPr>
        <w:t>本项目实施阶段中标人应当与本工程设备安装单位等密切配合，避免造成返工或其他损失。</w:t>
      </w:r>
    </w:p>
    <w:p w14:paraId="31C77EDD">
      <w:pPr>
        <w:ind w:firstLine="480" w:firstLineChars="200"/>
        <w:rPr>
          <w:rFonts w:cs="宋体"/>
          <w:bCs/>
          <w:color w:val="auto"/>
          <w:sz w:val="24"/>
          <w:lang w:bidi="ar"/>
        </w:rPr>
      </w:pPr>
      <w:r>
        <w:rPr>
          <w:rFonts w:cs="宋体"/>
          <w:bCs/>
          <w:color w:val="auto"/>
          <w:sz w:val="24"/>
          <w:lang w:bidi="ar"/>
        </w:rPr>
        <w:t>5.3</w:t>
      </w:r>
      <w:r>
        <w:rPr>
          <w:rFonts w:hint="eastAsia" w:cs="宋体"/>
          <w:bCs/>
          <w:color w:val="auto"/>
          <w:sz w:val="24"/>
          <w:lang w:bidi="ar"/>
        </w:rPr>
        <w:t>招标设备的接口有所调整的，投标人应予以充分配合，并不因调整而增加任何费用。</w:t>
      </w:r>
      <w:r>
        <w:rPr>
          <w:rFonts w:cs="宋体"/>
          <w:bCs/>
          <w:color w:val="auto"/>
          <w:sz w:val="24"/>
          <w:lang w:bidi="ar"/>
        </w:rPr>
        <w:t xml:space="preserve"> </w:t>
      </w:r>
      <w:bookmarkEnd w:id="6"/>
      <w:bookmarkEnd w:id="13"/>
      <w:bookmarkEnd w:id="14"/>
      <w:bookmarkEnd w:id="15"/>
      <w:bookmarkStart w:id="18" w:name="_GoBack"/>
      <w:bookmarkEnd w:id="18"/>
    </w:p>
    <w:sectPr>
      <w:headerReference r:id="rId7" w:type="default"/>
      <w:footerReference r:id="rId8" w:type="default"/>
      <w:pgSz w:w="11906" w:h="16838"/>
      <w:pgMar w:top="1418" w:right="1588" w:bottom="1418" w:left="1588" w:header="851" w:footer="992" w:gutter="0"/>
      <w:pgBorders w:offsetFrom="page">
        <w:top w:val="single" w:color="FFFFFF" w:sz="4" w:space="24"/>
        <w:left w:val="single" w:color="FFFFFF" w:sz="4" w:space="24"/>
        <w:right w:val="single" w:color="FFFFFF" w:sz="4" w:space="24"/>
      </w:pgBorders>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Malgun Gothic Semilight"/>
    <w:panose1 w:val="020B0604020202020204"/>
    <w:charset w:val="86"/>
    <w:family w:val="swiss"/>
    <w:pitch w:val="default"/>
    <w:sig w:usb0="00000000" w:usb1="00000000" w:usb2="0000007F" w:usb3="00000000" w:csb0="003F01FF" w:csb1="00000000"/>
  </w:font>
  <w:font w:name="Malgun Gothic Semilight">
    <w:panose1 w:val="020B0502040204020203"/>
    <w:charset w:val="86"/>
    <w:family w:val="auto"/>
    <w:pitch w:val="default"/>
    <w:sig w:usb0="900002AF" w:usb1="01D77CFB" w:usb2="00000012" w:usb3="00000000" w:csb0="203E01BD" w:csb1="D7FF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28861">
    <w:pPr>
      <w:pStyle w:val="19"/>
      <w:ind w:right="2"/>
    </w:pPr>
    <w:r>
      <mc:AlternateContent>
        <mc:Choice Requires="wps">
          <w:drawing>
            <wp:anchor distT="0" distB="0" distL="114300" distR="114300" simplePos="0" relativeHeight="251661312" behindDoc="0" locked="0" layoutInCell="1" allowOverlap="1">
              <wp:simplePos x="0" y="0"/>
              <wp:positionH relativeFrom="margin">
                <wp:posOffset>2741930</wp:posOffset>
              </wp:positionH>
              <wp:positionV relativeFrom="paragraph">
                <wp:posOffset>-1270</wp:posOffset>
              </wp:positionV>
              <wp:extent cx="194945" cy="152400"/>
              <wp:effectExtent l="0" t="0" r="15240" b="0"/>
              <wp:wrapNone/>
              <wp:docPr id="4" name="文本框 4"/>
              <wp:cNvGraphicFramePr/>
              <a:graphic xmlns:a="http://schemas.openxmlformats.org/drawingml/2006/main">
                <a:graphicData uri="http://schemas.microsoft.com/office/word/2010/wordprocessingShape">
                  <wps:wsp>
                    <wps:cNvSpPr txBox="1"/>
                    <wps:spPr>
                      <a:xfrm>
                        <a:off x="0" y="0"/>
                        <a:ext cx="194734" cy="152400"/>
                      </a:xfrm>
                      <a:prstGeom prst="rect">
                        <a:avLst/>
                      </a:prstGeom>
                      <a:noFill/>
                      <a:ln>
                        <a:noFill/>
                      </a:ln>
                    </wps:spPr>
                    <wps:txbx>
                      <w:txbxContent>
                        <w:p w14:paraId="66BD520F">
                          <w:pPr>
                            <w:pStyle w:val="19"/>
                          </w:pPr>
                          <w:r>
                            <w:fldChar w:fldCharType="begin"/>
                          </w:r>
                          <w:r>
                            <w:instrText xml:space="preserve"> PAGE  \* MERGEFORMAT </w:instrText>
                          </w:r>
                          <w:r>
                            <w:fldChar w:fldCharType="separate"/>
                          </w:r>
                          <w:r>
                            <w:t>41</w:t>
                          </w:r>
                          <w:r>
                            <w:fldChar w:fldCharType="end"/>
                          </w:r>
                        </w:p>
                      </w:txbxContent>
                    </wps:txbx>
                    <wps:bodyPr wrap="square" lIns="0" tIns="0" rIns="0" bIns="0">
                      <a:noAutofit/>
                    </wps:bodyPr>
                  </wps:wsp>
                </a:graphicData>
              </a:graphic>
            </wp:anchor>
          </w:drawing>
        </mc:Choice>
        <mc:Fallback>
          <w:pict>
            <v:shape id="_x0000_s1026" o:spid="_x0000_s1026" o:spt="202" type="#_x0000_t202" style="position:absolute;left:0pt;margin-left:215.9pt;margin-top:-0.1pt;height:12pt;width:15.35pt;mso-position-horizontal-relative:margin;z-index:251661312;mso-width-relative:page;mso-height-relative:page;" filled="f" stroked="f" coordsize="21600,21600" o:gfxdata="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f6+u52AAAAAgBAAAPAAAAAAAAAAEAIAAAACIAAABkcnMvZG93&#10;bnJldi54bWxQSwECFAAUAAAACACHTuJAiOo4B8cBAACNAwAADgAAAAAAAAABACAAAAAnAQAAZHJz&#10;L2Uyb0RvYy54bWxQSwUGAAAAAAYABgBZAQAAYAUAAAAA&#10;">
              <v:fill on="f" focussize="0,0"/>
              <v:stroke on="f"/>
              <v:imagedata o:title=""/>
              <o:lock v:ext="edit" aspectratio="f"/>
              <v:textbox inset="0mm,0mm,0mm,0mm">
                <w:txbxContent>
                  <w:p w14:paraId="66BD520F">
                    <w:pPr>
                      <w:pStyle w:val="19"/>
                    </w:pPr>
                    <w:r>
                      <w:fldChar w:fldCharType="begin"/>
                    </w:r>
                    <w:r>
                      <w:instrText xml:space="preserve"> PAGE  \* MERGEFORMAT </w:instrText>
                    </w:r>
                    <w:r>
                      <w:fldChar w:fldCharType="separate"/>
                    </w:r>
                    <w:r>
                      <w:t>41</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427355"/>
              <wp:effectExtent l="0" t="0" r="0" b="0"/>
              <wp:wrapNone/>
              <wp:docPr id="1" name="文本框 2"/>
              <wp:cNvGraphicFramePr/>
              <a:graphic xmlns:a="http://schemas.openxmlformats.org/drawingml/2006/main">
                <a:graphicData uri="http://schemas.microsoft.com/office/word/2010/wordprocessingShape">
                  <wps:wsp>
                    <wps:cNvSpPr txBox="1"/>
                    <wps:spPr>
                      <a:xfrm>
                        <a:off x="0" y="0"/>
                        <a:ext cx="116205" cy="427355"/>
                      </a:xfrm>
                      <a:prstGeom prst="rect">
                        <a:avLst/>
                      </a:prstGeom>
                      <a:noFill/>
                      <a:ln>
                        <a:noFill/>
                      </a:ln>
                    </wps:spPr>
                    <wps:txbx>
                      <w:txbxContent>
                        <w:p w14:paraId="4FF44BF4">
                          <w:pPr>
                            <w:pStyle w:val="19"/>
                            <w:ind w:right="2"/>
                          </w:pPr>
                        </w:p>
                        <w:p w14:paraId="6A12AE59"/>
                      </w:txbxContent>
                    </wps:txbx>
                    <wps:bodyPr wrap="none" lIns="0" tIns="0" rIns="0" bIns="0">
                      <a:spAutoFit/>
                    </wps:bodyPr>
                  </wps:wsp>
                </a:graphicData>
              </a:graphic>
            </wp:anchor>
          </w:drawing>
        </mc:Choice>
        <mc:Fallback>
          <w:pict>
            <v:shape id="文本框 2" o:spid="_x0000_s1026" o:spt="202" type="#_x0000_t202" style="position:absolute;left:0pt;margin-top:0pt;height:33.65pt;width:9.15pt;mso-position-horizontal:center;mso-position-horizontal-relative:margin;mso-wrap-style:none;z-index:251659264;mso-width-relative:page;mso-height-relative:page;" filled="f" stroked="f" coordsize="21600,21600" o:gfxdata="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C3yzjtEAAAADAQAADwAAAAAAAAABACAAAAAiAAAAZHJzL2Rvd25yZXYueG1s&#10;UEsBAhQAFAAAAAgAh07iQPZa/GvGAQAAiwMAAA4AAAAAAAAAAQAgAAAAIAEAAGRycy9lMm9Eb2Mu&#10;eG1sUEsFBgAAAAAGAAYAWQEAAFgFAAAAAA==&#10;">
              <v:fill on="f" focussize="0,0"/>
              <v:stroke on="f"/>
              <v:imagedata o:title=""/>
              <o:lock v:ext="edit" aspectratio="f"/>
              <v:textbox inset="0mm,0mm,0mm,0mm" style="mso-fit-shape-to-text:t;">
                <w:txbxContent>
                  <w:p w14:paraId="4FF44BF4">
                    <w:pPr>
                      <w:pStyle w:val="19"/>
                      <w:ind w:right="2"/>
                    </w:pPr>
                  </w:p>
                  <w:p w14:paraId="6A12AE59"/>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75BC8">
    <w:pPr>
      <w:pStyle w:val="19"/>
      <w:ind w:right="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9685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14935" cy="196850"/>
                      </a:xfrm>
                      <a:prstGeom prst="rect">
                        <a:avLst/>
                      </a:prstGeom>
                      <a:noFill/>
                      <a:ln>
                        <a:noFill/>
                      </a:ln>
                    </wps:spPr>
                    <wps:txbx>
                      <w:txbxContent>
                        <w:p w14:paraId="3F415057">
                          <w:pPr>
                            <w:pStyle w:val="19"/>
                          </w:pPr>
                          <w:r>
                            <w:fldChar w:fldCharType="begin"/>
                          </w:r>
                          <w:r>
                            <w:instrText xml:space="preserve"> PAGE  \* MERGEFORMAT </w:instrText>
                          </w:r>
                          <w:r>
                            <w:fldChar w:fldCharType="separate"/>
                          </w:r>
                          <w:r>
                            <w:t>79</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5.5pt;width:9.05pt;mso-position-horizontal:center;mso-position-horizontal-relative:margin;mso-wrap-style:none;z-index:251662336;mso-width-relative:page;mso-height-relative:page;" filled="f" stroked="f" coordsize="21600,21600" o:gfxdata="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NDW/fnQAAAAAwEAAA8AAAAAAAAAAQAgAAAAIgAAAGRycy9kb3ducmV2Lnht&#10;bFBLAQIUABQAAAAIAIdO4kBCruojyAEAAIsDAAAOAAAAAAAAAAEAIAAAAB8BAABkcnMvZTJvRG9j&#10;LnhtbFBLBQYAAAAABgAGAFkBAABZBQAAAAA=&#10;">
              <v:fill on="f" focussize="0,0"/>
              <v:stroke on="f"/>
              <v:imagedata o:title=""/>
              <o:lock v:ext="edit" aspectratio="f"/>
              <v:textbox inset="0mm,0mm,0mm,0mm" style="mso-fit-shape-to-text:t;">
                <w:txbxContent>
                  <w:p w14:paraId="3F415057">
                    <w:pPr>
                      <w:pStyle w:val="19"/>
                    </w:pPr>
                    <w:r>
                      <w:fldChar w:fldCharType="begin"/>
                    </w:r>
                    <w:r>
                      <w:instrText xml:space="preserve"> PAGE  \* MERGEFORMAT </w:instrText>
                    </w:r>
                    <w:r>
                      <w:fldChar w:fldCharType="separate"/>
                    </w:r>
                    <w:r>
                      <w:t>79</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427355"/>
              <wp:effectExtent l="0" t="0" r="0" b="0"/>
              <wp:wrapNone/>
              <wp:docPr id="3" name="文本框 6"/>
              <wp:cNvGraphicFramePr/>
              <a:graphic xmlns:a="http://schemas.openxmlformats.org/drawingml/2006/main">
                <a:graphicData uri="http://schemas.microsoft.com/office/word/2010/wordprocessingShape">
                  <wps:wsp>
                    <wps:cNvSpPr txBox="1"/>
                    <wps:spPr>
                      <a:xfrm>
                        <a:off x="0" y="0"/>
                        <a:ext cx="116205" cy="427355"/>
                      </a:xfrm>
                      <a:prstGeom prst="rect">
                        <a:avLst/>
                      </a:prstGeom>
                      <a:noFill/>
                      <a:ln>
                        <a:noFill/>
                      </a:ln>
                    </wps:spPr>
                    <wps:txbx>
                      <w:txbxContent>
                        <w:p w14:paraId="5F77D819">
                          <w:pPr>
                            <w:pStyle w:val="19"/>
                            <w:ind w:right="2"/>
                          </w:pPr>
                        </w:p>
                        <w:p w14:paraId="13AA2CCC"/>
                      </w:txbxContent>
                    </wps:txbx>
                    <wps:bodyPr wrap="none" lIns="0" tIns="0" rIns="0" bIns="0">
                      <a:spAutoFit/>
                    </wps:bodyPr>
                  </wps:wsp>
                </a:graphicData>
              </a:graphic>
            </wp:anchor>
          </w:drawing>
        </mc:Choice>
        <mc:Fallback>
          <w:pict>
            <v:shape id="文本框 6" o:spid="_x0000_s1026" o:spt="202" type="#_x0000_t202" style="position:absolute;left:0pt;margin-top:0pt;height:33.65pt;width:9.15pt;mso-position-horizontal:center;mso-position-horizontal-relative:margin;mso-wrap-style:none;z-index:251660288;mso-width-relative:page;mso-height-relative:page;" filled="f" stroked="f" coordsize="21600,21600" o:gfxdata="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At8s47RAAAAAwEAAA8AAAAAAAAAAQAgAAAAIgAAAGRycy9kb3ducmV2Lnht&#10;bFBLAQIUABQAAAAIAIdO4kBNkwMsxwEAAIsDAAAOAAAAAAAAAAEAIAAAACABAABkcnMvZTJvRG9j&#10;LnhtbFBLBQYAAAAABgAGAFkBAABZBQAAAAA=&#10;">
              <v:fill on="f" focussize="0,0"/>
              <v:stroke on="f"/>
              <v:imagedata o:title=""/>
              <o:lock v:ext="edit" aspectratio="f"/>
              <v:textbox inset="0mm,0mm,0mm,0mm" style="mso-fit-shape-to-text:t;">
                <w:txbxContent>
                  <w:p w14:paraId="5F77D819">
                    <w:pPr>
                      <w:pStyle w:val="19"/>
                      <w:ind w:right="2"/>
                    </w:pPr>
                  </w:p>
                  <w:p w14:paraId="13AA2CCC"/>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72E79">
    <w:pPr>
      <w:pStyle w:val="20"/>
      <w:wordWrap w:val="0"/>
      <w:jc w:val="right"/>
      <w:rPr>
        <w:rFonts w:eastAsia="楷体_GB2312"/>
        <w:bCs/>
      </w:rPr>
    </w:pPr>
    <w:r>
      <w:rPr>
        <w:rFonts w:hint="eastAsia" w:eastAsia="楷体_GB2312"/>
        <w:bC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271C4">
    <w:pPr>
      <w:pStyle w:val="20"/>
      <w:jc w:val="right"/>
      <w:rPr>
        <w:rFonts w:eastAsia="楷体_GB2312"/>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2669F7"/>
    <w:multiLevelType w:val="multilevel"/>
    <w:tmpl w:val="762669F7"/>
    <w:lvl w:ilvl="0" w:tentative="0">
      <w:start w:val="1"/>
      <w:numFmt w:val="decimal"/>
      <w:lvlText w:val="%1．"/>
      <w:lvlJc w:val="left"/>
      <w:pPr>
        <w:ind w:left="420" w:hanging="42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M4ZTVlNDQ0ZTJkZDgyNjI4MWZjMzk3MWYzMTlkZTEifQ=="/>
  </w:docVars>
  <w:rsids>
    <w:rsidRoot w:val="00F25871"/>
    <w:rsid w:val="000001F2"/>
    <w:rsid w:val="00000E23"/>
    <w:rsid w:val="0000143B"/>
    <w:rsid w:val="0000188A"/>
    <w:rsid w:val="0000214D"/>
    <w:rsid w:val="00002A07"/>
    <w:rsid w:val="00003448"/>
    <w:rsid w:val="00003648"/>
    <w:rsid w:val="00004839"/>
    <w:rsid w:val="000049D2"/>
    <w:rsid w:val="00004A81"/>
    <w:rsid w:val="00005649"/>
    <w:rsid w:val="000056B4"/>
    <w:rsid w:val="00005961"/>
    <w:rsid w:val="00005C46"/>
    <w:rsid w:val="00005DBB"/>
    <w:rsid w:val="000066D9"/>
    <w:rsid w:val="000067A4"/>
    <w:rsid w:val="00006FD0"/>
    <w:rsid w:val="000079D2"/>
    <w:rsid w:val="0001033B"/>
    <w:rsid w:val="00010E3D"/>
    <w:rsid w:val="000110A6"/>
    <w:rsid w:val="00011563"/>
    <w:rsid w:val="000118A1"/>
    <w:rsid w:val="00011B8D"/>
    <w:rsid w:val="000123C9"/>
    <w:rsid w:val="000135AB"/>
    <w:rsid w:val="00013C98"/>
    <w:rsid w:val="0001482F"/>
    <w:rsid w:val="0001486B"/>
    <w:rsid w:val="000157AB"/>
    <w:rsid w:val="00015D87"/>
    <w:rsid w:val="0001616D"/>
    <w:rsid w:val="00016221"/>
    <w:rsid w:val="000164CC"/>
    <w:rsid w:val="000167DA"/>
    <w:rsid w:val="00016822"/>
    <w:rsid w:val="00016B46"/>
    <w:rsid w:val="00016CCE"/>
    <w:rsid w:val="000178FD"/>
    <w:rsid w:val="0002026E"/>
    <w:rsid w:val="000202BA"/>
    <w:rsid w:val="000205A1"/>
    <w:rsid w:val="00020B25"/>
    <w:rsid w:val="0002117C"/>
    <w:rsid w:val="000216F4"/>
    <w:rsid w:val="00021A1B"/>
    <w:rsid w:val="0002236D"/>
    <w:rsid w:val="00022746"/>
    <w:rsid w:val="00022FD4"/>
    <w:rsid w:val="00023B63"/>
    <w:rsid w:val="00024B11"/>
    <w:rsid w:val="00024DBE"/>
    <w:rsid w:val="00024EB4"/>
    <w:rsid w:val="0002506B"/>
    <w:rsid w:val="00025117"/>
    <w:rsid w:val="000254B7"/>
    <w:rsid w:val="00025BD6"/>
    <w:rsid w:val="00025E88"/>
    <w:rsid w:val="00026054"/>
    <w:rsid w:val="000264AC"/>
    <w:rsid w:val="000266BD"/>
    <w:rsid w:val="00027000"/>
    <w:rsid w:val="000278AF"/>
    <w:rsid w:val="00027A2C"/>
    <w:rsid w:val="0003100F"/>
    <w:rsid w:val="000310AC"/>
    <w:rsid w:val="00031441"/>
    <w:rsid w:val="00031C9E"/>
    <w:rsid w:val="00031DD6"/>
    <w:rsid w:val="000323D8"/>
    <w:rsid w:val="00032BED"/>
    <w:rsid w:val="00033044"/>
    <w:rsid w:val="00033444"/>
    <w:rsid w:val="000335DC"/>
    <w:rsid w:val="00034074"/>
    <w:rsid w:val="00034206"/>
    <w:rsid w:val="00034475"/>
    <w:rsid w:val="00034BB7"/>
    <w:rsid w:val="00035190"/>
    <w:rsid w:val="00035CEC"/>
    <w:rsid w:val="00036980"/>
    <w:rsid w:val="00036F7E"/>
    <w:rsid w:val="0003700E"/>
    <w:rsid w:val="00040088"/>
    <w:rsid w:val="00040539"/>
    <w:rsid w:val="00040D15"/>
    <w:rsid w:val="00041354"/>
    <w:rsid w:val="000414B5"/>
    <w:rsid w:val="000415A9"/>
    <w:rsid w:val="000415B3"/>
    <w:rsid w:val="00042181"/>
    <w:rsid w:val="000424E7"/>
    <w:rsid w:val="00042B02"/>
    <w:rsid w:val="00042D49"/>
    <w:rsid w:val="0004381A"/>
    <w:rsid w:val="00044EC2"/>
    <w:rsid w:val="00045CE2"/>
    <w:rsid w:val="0004726F"/>
    <w:rsid w:val="00047554"/>
    <w:rsid w:val="000476A0"/>
    <w:rsid w:val="0004791B"/>
    <w:rsid w:val="00047C2D"/>
    <w:rsid w:val="00047DD3"/>
    <w:rsid w:val="00047F64"/>
    <w:rsid w:val="000501F7"/>
    <w:rsid w:val="00050BED"/>
    <w:rsid w:val="00051086"/>
    <w:rsid w:val="00051279"/>
    <w:rsid w:val="000515FE"/>
    <w:rsid w:val="00051AFB"/>
    <w:rsid w:val="00051E3C"/>
    <w:rsid w:val="0005218F"/>
    <w:rsid w:val="0005294B"/>
    <w:rsid w:val="00053916"/>
    <w:rsid w:val="00053E3D"/>
    <w:rsid w:val="0005433C"/>
    <w:rsid w:val="000548C7"/>
    <w:rsid w:val="00054A2D"/>
    <w:rsid w:val="00055182"/>
    <w:rsid w:val="0005591D"/>
    <w:rsid w:val="00055D81"/>
    <w:rsid w:val="00056118"/>
    <w:rsid w:val="00057029"/>
    <w:rsid w:val="00057636"/>
    <w:rsid w:val="000606B1"/>
    <w:rsid w:val="00061894"/>
    <w:rsid w:val="00061B90"/>
    <w:rsid w:val="000627F0"/>
    <w:rsid w:val="00062B88"/>
    <w:rsid w:val="00062C37"/>
    <w:rsid w:val="000631ED"/>
    <w:rsid w:val="000632A1"/>
    <w:rsid w:val="00063994"/>
    <w:rsid w:val="000639E3"/>
    <w:rsid w:val="0006411F"/>
    <w:rsid w:val="00064913"/>
    <w:rsid w:val="00064DFA"/>
    <w:rsid w:val="00064F88"/>
    <w:rsid w:val="00065856"/>
    <w:rsid w:val="000659FC"/>
    <w:rsid w:val="00065FF0"/>
    <w:rsid w:val="0006638C"/>
    <w:rsid w:val="0006656B"/>
    <w:rsid w:val="00066C88"/>
    <w:rsid w:val="00066D88"/>
    <w:rsid w:val="00066EE2"/>
    <w:rsid w:val="00067637"/>
    <w:rsid w:val="000678CD"/>
    <w:rsid w:val="0007101F"/>
    <w:rsid w:val="00071297"/>
    <w:rsid w:val="0007147D"/>
    <w:rsid w:val="00072789"/>
    <w:rsid w:val="00072864"/>
    <w:rsid w:val="000728F4"/>
    <w:rsid w:val="00072D2F"/>
    <w:rsid w:val="00073634"/>
    <w:rsid w:val="00074088"/>
    <w:rsid w:val="000742CB"/>
    <w:rsid w:val="00074369"/>
    <w:rsid w:val="0007441B"/>
    <w:rsid w:val="00074A11"/>
    <w:rsid w:val="00075750"/>
    <w:rsid w:val="00075C71"/>
    <w:rsid w:val="00075E6D"/>
    <w:rsid w:val="00075F2D"/>
    <w:rsid w:val="000760E7"/>
    <w:rsid w:val="00076483"/>
    <w:rsid w:val="0007651F"/>
    <w:rsid w:val="00077084"/>
    <w:rsid w:val="00077382"/>
    <w:rsid w:val="000775A9"/>
    <w:rsid w:val="000779B8"/>
    <w:rsid w:val="00077B16"/>
    <w:rsid w:val="00077FAA"/>
    <w:rsid w:val="000807F2"/>
    <w:rsid w:val="00081189"/>
    <w:rsid w:val="00082935"/>
    <w:rsid w:val="00083072"/>
    <w:rsid w:val="000838CB"/>
    <w:rsid w:val="0008395A"/>
    <w:rsid w:val="00083E11"/>
    <w:rsid w:val="000842C3"/>
    <w:rsid w:val="000842E4"/>
    <w:rsid w:val="00084508"/>
    <w:rsid w:val="00086753"/>
    <w:rsid w:val="00086B5F"/>
    <w:rsid w:val="00086C43"/>
    <w:rsid w:val="00087165"/>
    <w:rsid w:val="000879A7"/>
    <w:rsid w:val="000909EF"/>
    <w:rsid w:val="00091C8C"/>
    <w:rsid w:val="000920F9"/>
    <w:rsid w:val="000922C8"/>
    <w:rsid w:val="000927F4"/>
    <w:rsid w:val="00092D12"/>
    <w:rsid w:val="0009400E"/>
    <w:rsid w:val="00094114"/>
    <w:rsid w:val="000947A0"/>
    <w:rsid w:val="00094C5E"/>
    <w:rsid w:val="00095326"/>
    <w:rsid w:val="0009579D"/>
    <w:rsid w:val="00095B39"/>
    <w:rsid w:val="000969D4"/>
    <w:rsid w:val="00096D93"/>
    <w:rsid w:val="00097257"/>
    <w:rsid w:val="00097E15"/>
    <w:rsid w:val="000A035F"/>
    <w:rsid w:val="000A06A2"/>
    <w:rsid w:val="000A08C5"/>
    <w:rsid w:val="000A09B3"/>
    <w:rsid w:val="000A0C15"/>
    <w:rsid w:val="000A0C53"/>
    <w:rsid w:val="000A0D6A"/>
    <w:rsid w:val="000A2E28"/>
    <w:rsid w:val="000A2E32"/>
    <w:rsid w:val="000A3124"/>
    <w:rsid w:val="000A3FF1"/>
    <w:rsid w:val="000A4578"/>
    <w:rsid w:val="000A45F4"/>
    <w:rsid w:val="000A4672"/>
    <w:rsid w:val="000A46D1"/>
    <w:rsid w:val="000A47C7"/>
    <w:rsid w:val="000A49D2"/>
    <w:rsid w:val="000A4AD7"/>
    <w:rsid w:val="000A559E"/>
    <w:rsid w:val="000A5C6F"/>
    <w:rsid w:val="000A69F6"/>
    <w:rsid w:val="000A7693"/>
    <w:rsid w:val="000A7F4D"/>
    <w:rsid w:val="000B098F"/>
    <w:rsid w:val="000B0D98"/>
    <w:rsid w:val="000B0FA7"/>
    <w:rsid w:val="000B10ED"/>
    <w:rsid w:val="000B1158"/>
    <w:rsid w:val="000B13EE"/>
    <w:rsid w:val="000B142E"/>
    <w:rsid w:val="000B203C"/>
    <w:rsid w:val="000B270B"/>
    <w:rsid w:val="000B2CA2"/>
    <w:rsid w:val="000B2E54"/>
    <w:rsid w:val="000B33D2"/>
    <w:rsid w:val="000B3A27"/>
    <w:rsid w:val="000B3F85"/>
    <w:rsid w:val="000B4405"/>
    <w:rsid w:val="000B468C"/>
    <w:rsid w:val="000B4740"/>
    <w:rsid w:val="000B5271"/>
    <w:rsid w:val="000B52F0"/>
    <w:rsid w:val="000B53EE"/>
    <w:rsid w:val="000B556B"/>
    <w:rsid w:val="000B648E"/>
    <w:rsid w:val="000B68FE"/>
    <w:rsid w:val="000B6FA5"/>
    <w:rsid w:val="000B7769"/>
    <w:rsid w:val="000C01E2"/>
    <w:rsid w:val="000C1F1C"/>
    <w:rsid w:val="000C21CE"/>
    <w:rsid w:val="000C22D7"/>
    <w:rsid w:val="000C297D"/>
    <w:rsid w:val="000C2CC4"/>
    <w:rsid w:val="000C4D32"/>
    <w:rsid w:val="000C5203"/>
    <w:rsid w:val="000C548D"/>
    <w:rsid w:val="000C557F"/>
    <w:rsid w:val="000C58C8"/>
    <w:rsid w:val="000C5B86"/>
    <w:rsid w:val="000C6161"/>
    <w:rsid w:val="000C63C5"/>
    <w:rsid w:val="000C6442"/>
    <w:rsid w:val="000C7342"/>
    <w:rsid w:val="000D0B57"/>
    <w:rsid w:val="000D0BB7"/>
    <w:rsid w:val="000D1FB3"/>
    <w:rsid w:val="000D2396"/>
    <w:rsid w:val="000D2FC2"/>
    <w:rsid w:val="000D3484"/>
    <w:rsid w:val="000D3BA2"/>
    <w:rsid w:val="000D4D07"/>
    <w:rsid w:val="000D5337"/>
    <w:rsid w:val="000D588D"/>
    <w:rsid w:val="000D650D"/>
    <w:rsid w:val="000D694C"/>
    <w:rsid w:val="000D6A7D"/>
    <w:rsid w:val="000D6BDF"/>
    <w:rsid w:val="000D78B1"/>
    <w:rsid w:val="000D7EEB"/>
    <w:rsid w:val="000E0058"/>
    <w:rsid w:val="000E107E"/>
    <w:rsid w:val="000E1520"/>
    <w:rsid w:val="000E188A"/>
    <w:rsid w:val="000E1D4B"/>
    <w:rsid w:val="000E209B"/>
    <w:rsid w:val="000E2193"/>
    <w:rsid w:val="000E2241"/>
    <w:rsid w:val="000E2669"/>
    <w:rsid w:val="000E2970"/>
    <w:rsid w:val="000E2F5D"/>
    <w:rsid w:val="000E3DB9"/>
    <w:rsid w:val="000E4264"/>
    <w:rsid w:val="000E4535"/>
    <w:rsid w:val="000E461F"/>
    <w:rsid w:val="000E4739"/>
    <w:rsid w:val="000E4ACB"/>
    <w:rsid w:val="000E4B94"/>
    <w:rsid w:val="000E4E17"/>
    <w:rsid w:val="000E4EAB"/>
    <w:rsid w:val="000E5023"/>
    <w:rsid w:val="000E58F1"/>
    <w:rsid w:val="000E5CD0"/>
    <w:rsid w:val="000E6663"/>
    <w:rsid w:val="000E694E"/>
    <w:rsid w:val="000E770F"/>
    <w:rsid w:val="000F012D"/>
    <w:rsid w:val="000F0AB4"/>
    <w:rsid w:val="000F1264"/>
    <w:rsid w:val="000F1F71"/>
    <w:rsid w:val="000F2878"/>
    <w:rsid w:val="000F2FB4"/>
    <w:rsid w:val="000F32C8"/>
    <w:rsid w:val="000F364B"/>
    <w:rsid w:val="000F4F51"/>
    <w:rsid w:val="000F5039"/>
    <w:rsid w:val="000F52D6"/>
    <w:rsid w:val="000F5D04"/>
    <w:rsid w:val="000F5D6E"/>
    <w:rsid w:val="000F641F"/>
    <w:rsid w:val="000F64A0"/>
    <w:rsid w:val="000F68AB"/>
    <w:rsid w:val="000F6B39"/>
    <w:rsid w:val="000F798A"/>
    <w:rsid w:val="000F7BDB"/>
    <w:rsid w:val="00100414"/>
    <w:rsid w:val="001004AB"/>
    <w:rsid w:val="00100857"/>
    <w:rsid w:val="00100EC8"/>
    <w:rsid w:val="0010142B"/>
    <w:rsid w:val="00102343"/>
    <w:rsid w:val="001025A0"/>
    <w:rsid w:val="001027B0"/>
    <w:rsid w:val="00102BD9"/>
    <w:rsid w:val="00102C40"/>
    <w:rsid w:val="00102FC9"/>
    <w:rsid w:val="0010383C"/>
    <w:rsid w:val="00104F65"/>
    <w:rsid w:val="0010537D"/>
    <w:rsid w:val="0010565F"/>
    <w:rsid w:val="00105800"/>
    <w:rsid w:val="00105BA2"/>
    <w:rsid w:val="00105D49"/>
    <w:rsid w:val="00106377"/>
    <w:rsid w:val="00106763"/>
    <w:rsid w:val="00106C57"/>
    <w:rsid w:val="00106FD5"/>
    <w:rsid w:val="00107831"/>
    <w:rsid w:val="00107871"/>
    <w:rsid w:val="00107F8A"/>
    <w:rsid w:val="0011066B"/>
    <w:rsid w:val="0011068F"/>
    <w:rsid w:val="00110BFA"/>
    <w:rsid w:val="00110E43"/>
    <w:rsid w:val="0011100D"/>
    <w:rsid w:val="001115EC"/>
    <w:rsid w:val="00111724"/>
    <w:rsid w:val="001118D3"/>
    <w:rsid w:val="00111A57"/>
    <w:rsid w:val="0011266E"/>
    <w:rsid w:val="00112CD6"/>
    <w:rsid w:val="0011300E"/>
    <w:rsid w:val="0011319F"/>
    <w:rsid w:val="00113747"/>
    <w:rsid w:val="00113AF5"/>
    <w:rsid w:val="001146E6"/>
    <w:rsid w:val="00114A2F"/>
    <w:rsid w:val="00114B48"/>
    <w:rsid w:val="00114E9C"/>
    <w:rsid w:val="00115304"/>
    <w:rsid w:val="001158FD"/>
    <w:rsid w:val="00115E48"/>
    <w:rsid w:val="0011757D"/>
    <w:rsid w:val="0011766A"/>
    <w:rsid w:val="00117FD3"/>
    <w:rsid w:val="001202FA"/>
    <w:rsid w:val="001205F7"/>
    <w:rsid w:val="00121018"/>
    <w:rsid w:val="00121133"/>
    <w:rsid w:val="00121726"/>
    <w:rsid w:val="00121952"/>
    <w:rsid w:val="00121AE9"/>
    <w:rsid w:val="0012213C"/>
    <w:rsid w:val="0012306B"/>
    <w:rsid w:val="001232A9"/>
    <w:rsid w:val="001234E0"/>
    <w:rsid w:val="00124247"/>
    <w:rsid w:val="001242DC"/>
    <w:rsid w:val="001252C3"/>
    <w:rsid w:val="0012548E"/>
    <w:rsid w:val="001258E3"/>
    <w:rsid w:val="00125962"/>
    <w:rsid w:val="001259FD"/>
    <w:rsid w:val="00125AAD"/>
    <w:rsid w:val="00125C43"/>
    <w:rsid w:val="0012649D"/>
    <w:rsid w:val="0012654B"/>
    <w:rsid w:val="0012685A"/>
    <w:rsid w:val="00127021"/>
    <w:rsid w:val="001271DC"/>
    <w:rsid w:val="00127369"/>
    <w:rsid w:val="001274F4"/>
    <w:rsid w:val="00127A90"/>
    <w:rsid w:val="00130131"/>
    <w:rsid w:val="00130EA5"/>
    <w:rsid w:val="00131B8D"/>
    <w:rsid w:val="00131E25"/>
    <w:rsid w:val="00132D43"/>
    <w:rsid w:val="00132F1F"/>
    <w:rsid w:val="001332E6"/>
    <w:rsid w:val="00133393"/>
    <w:rsid w:val="00134235"/>
    <w:rsid w:val="00134D89"/>
    <w:rsid w:val="00134EE7"/>
    <w:rsid w:val="0013522B"/>
    <w:rsid w:val="00136832"/>
    <w:rsid w:val="00137CDA"/>
    <w:rsid w:val="001400EB"/>
    <w:rsid w:val="00140CF8"/>
    <w:rsid w:val="00140D68"/>
    <w:rsid w:val="00141A9C"/>
    <w:rsid w:val="00142577"/>
    <w:rsid w:val="00142AC5"/>
    <w:rsid w:val="00143ED6"/>
    <w:rsid w:val="00143F86"/>
    <w:rsid w:val="001444AA"/>
    <w:rsid w:val="00144E45"/>
    <w:rsid w:val="00145051"/>
    <w:rsid w:val="0014521D"/>
    <w:rsid w:val="0014551D"/>
    <w:rsid w:val="0014798B"/>
    <w:rsid w:val="00147F12"/>
    <w:rsid w:val="0015002E"/>
    <w:rsid w:val="001501F9"/>
    <w:rsid w:val="001506D1"/>
    <w:rsid w:val="00150A7F"/>
    <w:rsid w:val="00151E09"/>
    <w:rsid w:val="001524A3"/>
    <w:rsid w:val="00152618"/>
    <w:rsid w:val="00152DF3"/>
    <w:rsid w:val="001533E3"/>
    <w:rsid w:val="00153507"/>
    <w:rsid w:val="0015399E"/>
    <w:rsid w:val="00153A1E"/>
    <w:rsid w:val="00153A3D"/>
    <w:rsid w:val="00153DD3"/>
    <w:rsid w:val="0015445C"/>
    <w:rsid w:val="0015466A"/>
    <w:rsid w:val="001546D5"/>
    <w:rsid w:val="00154A0A"/>
    <w:rsid w:val="00154B60"/>
    <w:rsid w:val="00154D75"/>
    <w:rsid w:val="0015575D"/>
    <w:rsid w:val="00155A8F"/>
    <w:rsid w:val="00155D02"/>
    <w:rsid w:val="00155F38"/>
    <w:rsid w:val="00157368"/>
    <w:rsid w:val="00157396"/>
    <w:rsid w:val="00157523"/>
    <w:rsid w:val="00157F02"/>
    <w:rsid w:val="001605BE"/>
    <w:rsid w:val="001607B0"/>
    <w:rsid w:val="00160B5A"/>
    <w:rsid w:val="00160DFF"/>
    <w:rsid w:val="00161150"/>
    <w:rsid w:val="00161549"/>
    <w:rsid w:val="00161691"/>
    <w:rsid w:val="00161788"/>
    <w:rsid w:val="00161E56"/>
    <w:rsid w:val="001627EB"/>
    <w:rsid w:val="00162912"/>
    <w:rsid w:val="0016295F"/>
    <w:rsid w:val="00162B1D"/>
    <w:rsid w:val="001632B3"/>
    <w:rsid w:val="00163408"/>
    <w:rsid w:val="00164066"/>
    <w:rsid w:val="00164762"/>
    <w:rsid w:val="00164AC2"/>
    <w:rsid w:val="00164B84"/>
    <w:rsid w:val="00164E2D"/>
    <w:rsid w:val="001650D1"/>
    <w:rsid w:val="001654D4"/>
    <w:rsid w:val="00165734"/>
    <w:rsid w:val="001663D2"/>
    <w:rsid w:val="0016654F"/>
    <w:rsid w:val="00166728"/>
    <w:rsid w:val="00166991"/>
    <w:rsid w:val="00166B39"/>
    <w:rsid w:val="001700EC"/>
    <w:rsid w:val="001702E3"/>
    <w:rsid w:val="0017039E"/>
    <w:rsid w:val="00171818"/>
    <w:rsid w:val="00171B4D"/>
    <w:rsid w:val="00171C56"/>
    <w:rsid w:val="00172087"/>
    <w:rsid w:val="00172F68"/>
    <w:rsid w:val="001736C2"/>
    <w:rsid w:val="001737B9"/>
    <w:rsid w:val="00173AFB"/>
    <w:rsid w:val="0017404D"/>
    <w:rsid w:val="00174064"/>
    <w:rsid w:val="001748FF"/>
    <w:rsid w:val="00174A07"/>
    <w:rsid w:val="0017543C"/>
    <w:rsid w:val="0017567C"/>
    <w:rsid w:val="0017686B"/>
    <w:rsid w:val="0017701A"/>
    <w:rsid w:val="00177030"/>
    <w:rsid w:val="001771E7"/>
    <w:rsid w:val="001771EA"/>
    <w:rsid w:val="00177F10"/>
    <w:rsid w:val="00180D8D"/>
    <w:rsid w:val="00181237"/>
    <w:rsid w:val="00181852"/>
    <w:rsid w:val="001824E5"/>
    <w:rsid w:val="00182A07"/>
    <w:rsid w:val="00182D4A"/>
    <w:rsid w:val="0018348C"/>
    <w:rsid w:val="0018385D"/>
    <w:rsid w:val="00183AF6"/>
    <w:rsid w:val="00183C46"/>
    <w:rsid w:val="00183D44"/>
    <w:rsid w:val="00184836"/>
    <w:rsid w:val="0018483F"/>
    <w:rsid w:val="00185106"/>
    <w:rsid w:val="00185C37"/>
    <w:rsid w:val="00185C74"/>
    <w:rsid w:val="001866E4"/>
    <w:rsid w:val="00187196"/>
    <w:rsid w:val="0018777A"/>
    <w:rsid w:val="00187C7D"/>
    <w:rsid w:val="00187F29"/>
    <w:rsid w:val="00190118"/>
    <w:rsid w:val="001901DB"/>
    <w:rsid w:val="00190D3F"/>
    <w:rsid w:val="00192207"/>
    <w:rsid w:val="0019256A"/>
    <w:rsid w:val="00192AD4"/>
    <w:rsid w:val="001933B1"/>
    <w:rsid w:val="00193F93"/>
    <w:rsid w:val="0019438B"/>
    <w:rsid w:val="00194533"/>
    <w:rsid w:val="0019477C"/>
    <w:rsid w:val="0019507A"/>
    <w:rsid w:val="00195CAB"/>
    <w:rsid w:val="00196B4C"/>
    <w:rsid w:val="00196FB4"/>
    <w:rsid w:val="00196FFE"/>
    <w:rsid w:val="00197364"/>
    <w:rsid w:val="001975F5"/>
    <w:rsid w:val="0019773D"/>
    <w:rsid w:val="00197752"/>
    <w:rsid w:val="00197781"/>
    <w:rsid w:val="001A02ED"/>
    <w:rsid w:val="001A037F"/>
    <w:rsid w:val="001A06F9"/>
    <w:rsid w:val="001A09D2"/>
    <w:rsid w:val="001A0B79"/>
    <w:rsid w:val="001A1498"/>
    <w:rsid w:val="001A1AD6"/>
    <w:rsid w:val="001A1B7F"/>
    <w:rsid w:val="001A216E"/>
    <w:rsid w:val="001A25DA"/>
    <w:rsid w:val="001A37E8"/>
    <w:rsid w:val="001A3B24"/>
    <w:rsid w:val="001A3DA3"/>
    <w:rsid w:val="001A423F"/>
    <w:rsid w:val="001A49CB"/>
    <w:rsid w:val="001A4B18"/>
    <w:rsid w:val="001A5FDB"/>
    <w:rsid w:val="001A64FB"/>
    <w:rsid w:val="001A761B"/>
    <w:rsid w:val="001A7A92"/>
    <w:rsid w:val="001A7ABF"/>
    <w:rsid w:val="001A7BB3"/>
    <w:rsid w:val="001B035D"/>
    <w:rsid w:val="001B04D0"/>
    <w:rsid w:val="001B0A25"/>
    <w:rsid w:val="001B0CCF"/>
    <w:rsid w:val="001B10F6"/>
    <w:rsid w:val="001B112F"/>
    <w:rsid w:val="001B11AB"/>
    <w:rsid w:val="001B124D"/>
    <w:rsid w:val="001B1304"/>
    <w:rsid w:val="001B145F"/>
    <w:rsid w:val="001B20AD"/>
    <w:rsid w:val="001B36D5"/>
    <w:rsid w:val="001B39B5"/>
    <w:rsid w:val="001B4BC4"/>
    <w:rsid w:val="001B520C"/>
    <w:rsid w:val="001B5B73"/>
    <w:rsid w:val="001B5B92"/>
    <w:rsid w:val="001B5C84"/>
    <w:rsid w:val="001B6B1F"/>
    <w:rsid w:val="001B6D2C"/>
    <w:rsid w:val="001B6DB8"/>
    <w:rsid w:val="001B71D6"/>
    <w:rsid w:val="001B7243"/>
    <w:rsid w:val="001B766B"/>
    <w:rsid w:val="001B7A4B"/>
    <w:rsid w:val="001C015B"/>
    <w:rsid w:val="001C0C13"/>
    <w:rsid w:val="001C159E"/>
    <w:rsid w:val="001C20E6"/>
    <w:rsid w:val="001C21AB"/>
    <w:rsid w:val="001C2855"/>
    <w:rsid w:val="001C2D6A"/>
    <w:rsid w:val="001C2FDE"/>
    <w:rsid w:val="001C30FB"/>
    <w:rsid w:val="001C3522"/>
    <w:rsid w:val="001C3BD8"/>
    <w:rsid w:val="001C40F4"/>
    <w:rsid w:val="001C42E9"/>
    <w:rsid w:val="001C4715"/>
    <w:rsid w:val="001C4886"/>
    <w:rsid w:val="001C51D4"/>
    <w:rsid w:val="001C5A17"/>
    <w:rsid w:val="001C5CE5"/>
    <w:rsid w:val="001C6C8C"/>
    <w:rsid w:val="001C6F92"/>
    <w:rsid w:val="001C7A59"/>
    <w:rsid w:val="001D07E2"/>
    <w:rsid w:val="001D123C"/>
    <w:rsid w:val="001D1283"/>
    <w:rsid w:val="001D198D"/>
    <w:rsid w:val="001D1F3F"/>
    <w:rsid w:val="001D235F"/>
    <w:rsid w:val="001D292D"/>
    <w:rsid w:val="001D316B"/>
    <w:rsid w:val="001D360F"/>
    <w:rsid w:val="001D3AB6"/>
    <w:rsid w:val="001D4A42"/>
    <w:rsid w:val="001D4D75"/>
    <w:rsid w:val="001D4E14"/>
    <w:rsid w:val="001D51A7"/>
    <w:rsid w:val="001D5759"/>
    <w:rsid w:val="001D5ABC"/>
    <w:rsid w:val="001D5ADB"/>
    <w:rsid w:val="001D5E5B"/>
    <w:rsid w:val="001D67EC"/>
    <w:rsid w:val="001D6E20"/>
    <w:rsid w:val="001D6ED3"/>
    <w:rsid w:val="001D7A7D"/>
    <w:rsid w:val="001E001B"/>
    <w:rsid w:val="001E00BE"/>
    <w:rsid w:val="001E0EEA"/>
    <w:rsid w:val="001E11C6"/>
    <w:rsid w:val="001E1263"/>
    <w:rsid w:val="001E156E"/>
    <w:rsid w:val="001E15E9"/>
    <w:rsid w:val="001E2208"/>
    <w:rsid w:val="001E2953"/>
    <w:rsid w:val="001E2EB9"/>
    <w:rsid w:val="001E3000"/>
    <w:rsid w:val="001E370E"/>
    <w:rsid w:val="001E3988"/>
    <w:rsid w:val="001E3C7D"/>
    <w:rsid w:val="001E44F1"/>
    <w:rsid w:val="001E4B5A"/>
    <w:rsid w:val="001E4BEA"/>
    <w:rsid w:val="001E50CB"/>
    <w:rsid w:val="001E54DA"/>
    <w:rsid w:val="001E5DE1"/>
    <w:rsid w:val="001E63FC"/>
    <w:rsid w:val="001E666D"/>
    <w:rsid w:val="001E6B54"/>
    <w:rsid w:val="001E6DC1"/>
    <w:rsid w:val="001E6FE3"/>
    <w:rsid w:val="001E7BF4"/>
    <w:rsid w:val="001E7D4B"/>
    <w:rsid w:val="001E7FA7"/>
    <w:rsid w:val="001F0B5D"/>
    <w:rsid w:val="001F10FD"/>
    <w:rsid w:val="001F134D"/>
    <w:rsid w:val="001F13B7"/>
    <w:rsid w:val="001F1FCE"/>
    <w:rsid w:val="001F2338"/>
    <w:rsid w:val="001F2631"/>
    <w:rsid w:val="001F27C4"/>
    <w:rsid w:val="001F2C66"/>
    <w:rsid w:val="001F3291"/>
    <w:rsid w:val="001F329B"/>
    <w:rsid w:val="001F36F1"/>
    <w:rsid w:val="001F3BB1"/>
    <w:rsid w:val="001F42E3"/>
    <w:rsid w:val="001F4347"/>
    <w:rsid w:val="001F4959"/>
    <w:rsid w:val="001F584D"/>
    <w:rsid w:val="001F5ABA"/>
    <w:rsid w:val="001F6945"/>
    <w:rsid w:val="001F6CD7"/>
    <w:rsid w:val="001F6F87"/>
    <w:rsid w:val="001F7F3F"/>
    <w:rsid w:val="001F7FA1"/>
    <w:rsid w:val="001F7FE0"/>
    <w:rsid w:val="00200173"/>
    <w:rsid w:val="002001E4"/>
    <w:rsid w:val="002003E7"/>
    <w:rsid w:val="002008F0"/>
    <w:rsid w:val="00200991"/>
    <w:rsid w:val="00200EBA"/>
    <w:rsid w:val="002013A7"/>
    <w:rsid w:val="002015E8"/>
    <w:rsid w:val="0020330C"/>
    <w:rsid w:val="002033E0"/>
    <w:rsid w:val="00203A41"/>
    <w:rsid w:val="00203A49"/>
    <w:rsid w:val="00203AE5"/>
    <w:rsid w:val="00203C2B"/>
    <w:rsid w:val="0020518E"/>
    <w:rsid w:val="00205307"/>
    <w:rsid w:val="00205810"/>
    <w:rsid w:val="0020622E"/>
    <w:rsid w:val="0020665C"/>
    <w:rsid w:val="0020686F"/>
    <w:rsid w:val="0021010C"/>
    <w:rsid w:val="002107E4"/>
    <w:rsid w:val="00210882"/>
    <w:rsid w:val="0021090D"/>
    <w:rsid w:val="00210C54"/>
    <w:rsid w:val="002114EE"/>
    <w:rsid w:val="0021189B"/>
    <w:rsid w:val="002119AE"/>
    <w:rsid w:val="00211F53"/>
    <w:rsid w:val="00213176"/>
    <w:rsid w:val="00213B95"/>
    <w:rsid w:val="00214C88"/>
    <w:rsid w:val="0021542A"/>
    <w:rsid w:val="0021582E"/>
    <w:rsid w:val="00215872"/>
    <w:rsid w:val="00215886"/>
    <w:rsid w:val="00215B5F"/>
    <w:rsid w:val="00216454"/>
    <w:rsid w:val="0021683E"/>
    <w:rsid w:val="00216E0D"/>
    <w:rsid w:val="00217352"/>
    <w:rsid w:val="00217B4A"/>
    <w:rsid w:val="002201A1"/>
    <w:rsid w:val="002201E9"/>
    <w:rsid w:val="00220495"/>
    <w:rsid w:val="0022052B"/>
    <w:rsid w:val="002205ED"/>
    <w:rsid w:val="00220AA6"/>
    <w:rsid w:val="00220AC5"/>
    <w:rsid w:val="00220D6A"/>
    <w:rsid w:val="0022151A"/>
    <w:rsid w:val="00221A1A"/>
    <w:rsid w:val="00221D61"/>
    <w:rsid w:val="00221E31"/>
    <w:rsid w:val="0022234D"/>
    <w:rsid w:val="00222EEC"/>
    <w:rsid w:val="002235DB"/>
    <w:rsid w:val="00223657"/>
    <w:rsid w:val="002238B7"/>
    <w:rsid w:val="00223AAD"/>
    <w:rsid w:val="002245FC"/>
    <w:rsid w:val="00224655"/>
    <w:rsid w:val="00225101"/>
    <w:rsid w:val="00225519"/>
    <w:rsid w:val="0022581D"/>
    <w:rsid w:val="002258A2"/>
    <w:rsid w:val="00226A45"/>
    <w:rsid w:val="00226CF8"/>
    <w:rsid w:val="00226F68"/>
    <w:rsid w:val="002273E6"/>
    <w:rsid w:val="0022773A"/>
    <w:rsid w:val="002278B3"/>
    <w:rsid w:val="00231245"/>
    <w:rsid w:val="00231DE8"/>
    <w:rsid w:val="00232040"/>
    <w:rsid w:val="00232123"/>
    <w:rsid w:val="002328AC"/>
    <w:rsid w:val="00232916"/>
    <w:rsid w:val="00233402"/>
    <w:rsid w:val="002334EE"/>
    <w:rsid w:val="002335F1"/>
    <w:rsid w:val="002340B1"/>
    <w:rsid w:val="00234D34"/>
    <w:rsid w:val="00236673"/>
    <w:rsid w:val="00236DC3"/>
    <w:rsid w:val="002373F1"/>
    <w:rsid w:val="00237633"/>
    <w:rsid w:val="002379EF"/>
    <w:rsid w:val="00237F30"/>
    <w:rsid w:val="00240A91"/>
    <w:rsid w:val="002412E5"/>
    <w:rsid w:val="00241538"/>
    <w:rsid w:val="0024164F"/>
    <w:rsid w:val="00241945"/>
    <w:rsid w:val="00241D5D"/>
    <w:rsid w:val="00241FE5"/>
    <w:rsid w:val="002420A0"/>
    <w:rsid w:val="002422E6"/>
    <w:rsid w:val="00242A34"/>
    <w:rsid w:val="00242A72"/>
    <w:rsid w:val="00242BF2"/>
    <w:rsid w:val="00242C3E"/>
    <w:rsid w:val="00242E46"/>
    <w:rsid w:val="002449D7"/>
    <w:rsid w:val="00244C9F"/>
    <w:rsid w:val="00244FB0"/>
    <w:rsid w:val="002458EE"/>
    <w:rsid w:val="00245C0A"/>
    <w:rsid w:val="0024612F"/>
    <w:rsid w:val="0024621E"/>
    <w:rsid w:val="00246B1A"/>
    <w:rsid w:val="00246B96"/>
    <w:rsid w:val="00246DD5"/>
    <w:rsid w:val="00246EAD"/>
    <w:rsid w:val="00247126"/>
    <w:rsid w:val="00247643"/>
    <w:rsid w:val="00247DE9"/>
    <w:rsid w:val="002500E9"/>
    <w:rsid w:val="00250176"/>
    <w:rsid w:val="0025082A"/>
    <w:rsid w:val="00250C8A"/>
    <w:rsid w:val="00250D6D"/>
    <w:rsid w:val="00250FFD"/>
    <w:rsid w:val="002511DC"/>
    <w:rsid w:val="002514C7"/>
    <w:rsid w:val="00252035"/>
    <w:rsid w:val="002520E4"/>
    <w:rsid w:val="00252535"/>
    <w:rsid w:val="00252F6E"/>
    <w:rsid w:val="00253063"/>
    <w:rsid w:val="002535D1"/>
    <w:rsid w:val="00253C27"/>
    <w:rsid w:val="0025422D"/>
    <w:rsid w:val="002546D8"/>
    <w:rsid w:val="0025484F"/>
    <w:rsid w:val="00254896"/>
    <w:rsid w:val="002548A5"/>
    <w:rsid w:val="002552EC"/>
    <w:rsid w:val="00255769"/>
    <w:rsid w:val="00255893"/>
    <w:rsid w:val="002558F2"/>
    <w:rsid w:val="00256781"/>
    <w:rsid w:val="002572B6"/>
    <w:rsid w:val="0025735B"/>
    <w:rsid w:val="002603F0"/>
    <w:rsid w:val="002615CB"/>
    <w:rsid w:val="0026200E"/>
    <w:rsid w:val="00262DCD"/>
    <w:rsid w:val="0026465B"/>
    <w:rsid w:val="00264AC2"/>
    <w:rsid w:val="00264F1F"/>
    <w:rsid w:val="00265CFB"/>
    <w:rsid w:val="00266675"/>
    <w:rsid w:val="00266A29"/>
    <w:rsid w:val="00266C16"/>
    <w:rsid w:val="00266CA4"/>
    <w:rsid w:val="002670C2"/>
    <w:rsid w:val="00267E36"/>
    <w:rsid w:val="0027027B"/>
    <w:rsid w:val="002708F3"/>
    <w:rsid w:val="00270D20"/>
    <w:rsid w:val="00271134"/>
    <w:rsid w:val="002711FE"/>
    <w:rsid w:val="00271562"/>
    <w:rsid w:val="00271D50"/>
    <w:rsid w:val="00271DCE"/>
    <w:rsid w:val="00271E5A"/>
    <w:rsid w:val="00271FA2"/>
    <w:rsid w:val="002724B8"/>
    <w:rsid w:val="00272C25"/>
    <w:rsid w:val="00272C58"/>
    <w:rsid w:val="00273308"/>
    <w:rsid w:val="00273957"/>
    <w:rsid w:val="00274A65"/>
    <w:rsid w:val="00274EAF"/>
    <w:rsid w:val="0027537C"/>
    <w:rsid w:val="00275BE5"/>
    <w:rsid w:val="00276332"/>
    <w:rsid w:val="002763C9"/>
    <w:rsid w:val="00276506"/>
    <w:rsid w:val="002769E6"/>
    <w:rsid w:val="00276A60"/>
    <w:rsid w:val="00276A9D"/>
    <w:rsid w:val="00276E5F"/>
    <w:rsid w:val="002778FA"/>
    <w:rsid w:val="00277E75"/>
    <w:rsid w:val="0028058A"/>
    <w:rsid w:val="00280A6E"/>
    <w:rsid w:val="00280B6D"/>
    <w:rsid w:val="002810E0"/>
    <w:rsid w:val="0028114A"/>
    <w:rsid w:val="00281279"/>
    <w:rsid w:val="002822CE"/>
    <w:rsid w:val="0028306E"/>
    <w:rsid w:val="002832A0"/>
    <w:rsid w:val="00283C76"/>
    <w:rsid w:val="00283DEA"/>
    <w:rsid w:val="00284159"/>
    <w:rsid w:val="002841FA"/>
    <w:rsid w:val="0028484F"/>
    <w:rsid w:val="00284C34"/>
    <w:rsid w:val="00285EB5"/>
    <w:rsid w:val="00285F5E"/>
    <w:rsid w:val="0028603A"/>
    <w:rsid w:val="00286236"/>
    <w:rsid w:val="00286430"/>
    <w:rsid w:val="00286863"/>
    <w:rsid w:val="00286DCB"/>
    <w:rsid w:val="00287226"/>
    <w:rsid w:val="00287379"/>
    <w:rsid w:val="00287652"/>
    <w:rsid w:val="00287E10"/>
    <w:rsid w:val="00290074"/>
    <w:rsid w:val="00290211"/>
    <w:rsid w:val="002903D0"/>
    <w:rsid w:val="00290597"/>
    <w:rsid w:val="002905BB"/>
    <w:rsid w:val="00290613"/>
    <w:rsid w:val="00290BF5"/>
    <w:rsid w:val="00290DD3"/>
    <w:rsid w:val="002918A3"/>
    <w:rsid w:val="00291C2A"/>
    <w:rsid w:val="0029288E"/>
    <w:rsid w:val="00292921"/>
    <w:rsid w:val="00293CE5"/>
    <w:rsid w:val="002947CA"/>
    <w:rsid w:val="0029495F"/>
    <w:rsid w:val="00294CD4"/>
    <w:rsid w:val="0029515C"/>
    <w:rsid w:val="00295345"/>
    <w:rsid w:val="002954B8"/>
    <w:rsid w:val="002957D3"/>
    <w:rsid w:val="00297073"/>
    <w:rsid w:val="00297249"/>
    <w:rsid w:val="00297BA1"/>
    <w:rsid w:val="00297DAE"/>
    <w:rsid w:val="00297F57"/>
    <w:rsid w:val="002A0331"/>
    <w:rsid w:val="002A0823"/>
    <w:rsid w:val="002A0A09"/>
    <w:rsid w:val="002A1405"/>
    <w:rsid w:val="002A18AE"/>
    <w:rsid w:val="002A20AE"/>
    <w:rsid w:val="002A2423"/>
    <w:rsid w:val="002A24BF"/>
    <w:rsid w:val="002A2D50"/>
    <w:rsid w:val="002A2E26"/>
    <w:rsid w:val="002A2E47"/>
    <w:rsid w:val="002A326C"/>
    <w:rsid w:val="002A401D"/>
    <w:rsid w:val="002A4E6B"/>
    <w:rsid w:val="002A625F"/>
    <w:rsid w:val="002A6812"/>
    <w:rsid w:val="002A6DAE"/>
    <w:rsid w:val="002A7B2A"/>
    <w:rsid w:val="002B05C3"/>
    <w:rsid w:val="002B086A"/>
    <w:rsid w:val="002B1165"/>
    <w:rsid w:val="002B182E"/>
    <w:rsid w:val="002B18DA"/>
    <w:rsid w:val="002B1B28"/>
    <w:rsid w:val="002B212D"/>
    <w:rsid w:val="002B2299"/>
    <w:rsid w:val="002B2F29"/>
    <w:rsid w:val="002B30C2"/>
    <w:rsid w:val="002B30E9"/>
    <w:rsid w:val="002B31FE"/>
    <w:rsid w:val="002B45DA"/>
    <w:rsid w:val="002B49C0"/>
    <w:rsid w:val="002B4C0E"/>
    <w:rsid w:val="002B4F6E"/>
    <w:rsid w:val="002B5290"/>
    <w:rsid w:val="002B5900"/>
    <w:rsid w:val="002B5F3E"/>
    <w:rsid w:val="002B5F7D"/>
    <w:rsid w:val="002B5FA1"/>
    <w:rsid w:val="002B6890"/>
    <w:rsid w:val="002B6FA5"/>
    <w:rsid w:val="002B7DAD"/>
    <w:rsid w:val="002C0564"/>
    <w:rsid w:val="002C0CD8"/>
    <w:rsid w:val="002C0EDA"/>
    <w:rsid w:val="002C0F0D"/>
    <w:rsid w:val="002C1281"/>
    <w:rsid w:val="002C1508"/>
    <w:rsid w:val="002C1B5E"/>
    <w:rsid w:val="002C262B"/>
    <w:rsid w:val="002C35C8"/>
    <w:rsid w:val="002C3AC8"/>
    <w:rsid w:val="002C405C"/>
    <w:rsid w:val="002C4672"/>
    <w:rsid w:val="002C565B"/>
    <w:rsid w:val="002C589A"/>
    <w:rsid w:val="002C5DE0"/>
    <w:rsid w:val="002C5FEB"/>
    <w:rsid w:val="002C65C0"/>
    <w:rsid w:val="002C6AC8"/>
    <w:rsid w:val="002C73B0"/>
    <w:rsid w:val="002C7D3A"/>
    <w:rsid w:val="002C7D9F"/>
    <w:rsid w:val="002C7DF2"/>
    <w:rsid w:val="002D03E5"/>
    <w:rsid w:val="002D0570"/>
    <w:rsid w:val="002D07F9"/>
    <w:rsid w:val="002D0F97"/>
    <w:rsid w:val="002D13AE"/>
    <w:rsid w:val="002D1D6C"/>
    <w:rsid w:val="002D2377"/>
    <w:rsid w:val="002D254E"/>
    <w:rsid w:val="002D2722"/>
    <w:rsid w:val="002D29E6"/>
    <w:rsid w:val="002D3B5E"/>
    <w:rsid w:val="002D3CA0"/>
    <w:rsid w:val="002D4369"/>
    <w:rsid w:val="002D4B1A"/>
    <w:rsid w:val="002D502C"/>
    <w:rsid w:val="002D5DA1"/>
    <w:rsid w:val="002D6CF7"/>
    <w:rsid w:val="002E01BB"/>
    <w:rsid w:val="002E1476"/>
    <w:rsid w:val="002E2206"/>
    <w:rsid w:val="002E2C54"/>
    <w:rsid w:val="002E2E7D"/>
    <w:rsid w:val="002E3228"/>
    <w:rsid w:val="002E3599"/>
    <w:rsid w:val="002E3764"/>
    <w:rsid w:val="002E5096"/>
    <w:rsid w:val="002E50FC"/>
    <w:rsid w:val="002E5215"/>
    <w:rsid w:val="002E5B95"/>
    <w:rsid w:val="002E5FE1"/>
    <w:rsid w:val="002E60DD"/>
    <w:rsid w:val="002E663F"/>
    <w:rsid w:val="002E6FDB"/>
    <w:rsid w:val="002E79E4"/>
    <w:rsid w:val="002E79E7"/>
    <w:rsid w:val="002F01F1"/>
    <w:rsid w:val="002F034F"/>
    <w:rsid w:val="002F03E4"/>
    <w:rsid w:val="002F0687"/>
    <w:rsid w:val="002F0B92"/>
    <w:rsid w:val="002F0E9F"/>
    <w:rsid w:val="002F0EA3"/>
    <w:rsid w:val="002F0FE0"/>
    <w:rsid w:val="002F12E9"/>
    <w:rsid w:val="002F1E90"/>
    <w:rsid w:val="002F26FC"/>
    <w:rsid w:val="002F2718"/>
    <w:rsid w:val="002F2CF8"/>
    <w:rsid w:val="002F43CC"/>
    <w:rsid w:val="002F4848"/>
    <w:rsid w:val="002F49E6"/>
    <w:rsid w:val="002F4CE8"/>
    <w:rsid w:val="002F4F35"/>
    <w:rsid w:val="002F577A"/>
    <w:rsid w:val="002F66C7"/>
    <w:rsid w:val="002F6726"/>
    <w:rsid w:val="002F6D3F"/>
    <w:rsid w:val="002F6DB2"/>
    <w:rsid w:val="002F6F9A"/>
    <w:rsid w:val="002F6FF7"/>
    <w:rsid w:val="002F719A"/>
    <w:rsid w:val="002F71D0"/>
    <w:rsid w:val="002F74DB"/>
    <w:rsid w:val="002F789C"/>
    <w:rsid w:val="002F7961"/>
    <w:rsid w:val="002F7A46"/>
    <w:rsid w:val="002F7DF8"/>
    <w:rsid w:val="0030091B"/>
    <w:rsid w:val="003011C0"/>
    <w:rsid w:val="003014F6"/>
    <w:rsid w:val="00302489"/>
    <w:rsid w:val="00302571"/>
    <w:rsid w:val="003026F7"/>
    <w:rsid w:val="00302993"/>
    <w:rsid w:val="003032EA"/>
    <w:rsid w:val="003037CD"/>
    <w:rsid w:val="003038C8"/>
    <w:rsid w:val="00303F4C"/>
    <w:rsid w:val="0030404E"/>
    <w:rsid w:val="003041FC"/>
    <w:rsid w:val="003044F2"/>
    <w:rsid w:val="00304729"/>
    <w:rsid w:val="00304954"/>
    <w:rsid w:val="00304B73"/>
    <w:rsid w:val="00304C28"/>
    <w:rsid w:val="00304F16"/>
    <w:rsid w:val="0030543D"/>
    <w:rsid w:val="0030548E"/>
    <w:rsid w:val="003054FE"/>
    <w:rsid w:val="00305886"/>
    <w:rsid w:val="00305D6A"/>
    <w:rsid w:val="003071C3"/>
    <w:rsid w:val="00307249"/>
    <w:rsid w:val="00307C72"/>
    <w:rsid w:val="0031056D"/>
    <w:rsid w:val="003105D1"/>
    <w:rsid w:val="003105FA"/>
    <w:rsid w:val="00310711"/>
    <w:rsid w:val="00310C94"/>
    <w:rsid w:val="00310EF1"/>
    <w:rsid w:val="0031158A"/>
    <w:rsid w:val="0031168F"/>
    <w:rsid w:val="003118A9"/>
    <w:rsid w:val="00311957"/>
    <w:rsid w:val="00311BCF"/>
    <w:rsid w:val="00311EC8"/>
    <w:rsid w:val="003122E6"/>
    <w:rsid w:val="003125FF"/>
    <w:rsid w:val="00312724"/>
    <w:rsid w:val="00312837"/>
    <w:rsid w:val="00313493"/>
    <w:rsid w:val="003134E4"/>
    <w:rsid w:val="00313638"/>
    <w:rsid w:val="00313639"/>
    <w:rsid w:val="00314360"/>
    <w:rsid w:val="00314744"/>
    <w:rsid w:val="00314D6E"/>
    <w:rsid w:val="003152D0"/>
    <w:rsid w:val="00315AEB"/>
    <w:rsid w:val="003178F5"/>
    <w:rsid w:val="00317986"/>
    <w:rsid w:val="00320099"/>
    <w:rsid w:val="003200A9"/>
    <w:rsid w:val="00320F52"/>
    <w:rsid w:val="00321A84"/>
    <w:rsid w:val="00321AEE"/>
    <w:rsid w:val="00322060"/>
    <w:rsid w:val="00322B30"/>
    <w:rsid w:val="00322DE8"/>
    <w:rsid w:val="00323012"/>
    <w:rsid w:val="0032334F"/>
    <w:rsid w:val="00324468"/>
    <w:rsid w:val="00324489"/>
    <w:rsid w:val="003255C6"/>
    <w:rsid w:val="003257B0"/>
    <w:rsid w:val="0032635C"/>
    <w:rsid w:val="0032646A"/>
    <w:rsid w:val="003264D5"/>
    <w:rsid w:val="003279C7"/>
    <w:rsid w:val="00327C69"/>
    <w:rsid w:val="00327FB9"/>
    <w:rsid w:val="003305AE"/>
    <w:rsid w:val="003309A3"/>
    <w:rsid w:val="00330AC5"/>
    <w:rsid w:val="00330CB3"/>
    <w:rsid w:val="00331119"/>
    <w:rsid w:val="00331E96"/>
    <w:rsid w:val="00332132"/>
    <w:rsid w:val="003322A5"/>
    <w:rsid w:val="003329A4"/>
    <w:rsid w:val="00332DA4"/>
    <w:rsid w:val="0033351F"/>
    <w:rsid w:val="003335E0"/>
    <w:rsid w:val="00333C8D"/>
    <w:rsid w:val="0033407B"/>
    <w:rsid w:val="003343BC"/>
    <w:rsid w:val="00334779"/>
    <w:rsid w:val="00334E65"/>
    <w:rsid w:val="00334F73"/>
    <w:rsid w:val="0033503F"/>
    <w:rsid w:val="00335575"/>
    <w:rsid w:val="00335AE5"/>
    <w:rsid w:val="00335CB7"/>
    <w:rsid w:val="00336CEB"/>
    <w:rsid w:val="00336F98"/>
    <w:rsid w:val="00337D03"/>
    <w:rsid w:val="0034030A"/>
    <w:rsid w:val="003405F6"/>
    <w:rsid w:val="00341115"/>
    <w:rsid w:val="00341388"/>
    <w:rsid w:val="003430F7"/>
    <w:rsid w:val="00343B5E"/>
    <w:rsid w:val="00343EFF"/>
    <w:rsid w:val="00344906"/>
    <w:rsid w:val="00344BD8"/>
    <w:rsid w:val="00345C92"/>
    <w:rsid w:val="00345C9D"/>
    <w:rsid w:val="00345D34"/>
    <w:rsid w:val="00346435"/>
    <w:rsid w:val="00347150"/>
    <w:rsid w:val="003477EB"/>
    <w:rsid w:val="00347C7D"/>
    <w:rsid w:val="00350657"/>
    <w:rsid w:val="00350FDC"/>
    <w:rsid w:val="00351383"/>
    <w:rsid w:val="00351460"/>
    <w:rsid w:val="00352070"/>
    <w:rsid w:val="00352DEE"/>
    <w:rsid w:val="003536A4"/>
    <w:rsid w:val="00353B06"/>
    <w:rsid w:val="00354513"/>
    <w:rsid w:val="00354A6C"/>
    <w:rsid w:val="00354E0B"/>
    <w:rsid w:val="003551ED"/>
    <w:rsid w:val="0035576D"/>
    <w:rsid w:val="00355CBE"/>
    <w:rsid w:val="0035683F"/>
    <w:rsid w:val="00356A84"/>
    <w:rsid w:val="00357011"/>
    <w:rsid w:val="003571FC"/>
    <w:rsid w:val="00357B66"/>
    <w:rsid w:val="00357CE8"/>
    <w:rsid w:val="00357DCC"/>
    <w:rsid w:val="0036020B"/>
    <w:rsid w:val="00360B94"/>
    <w:rsid w:val="00361040"/>
    <w:rsid w:val="00361B2F"/>
    <w:rsid w:val="00361E13"/>
    <w:rsid w:val="00362004"/>
    <w:rsid w:val="003623E3"/>
    <w:rsid w:val="003624AD"/>
    <w:rsid w:val="00362A13"/>
    <w:rsid w:val="00362FF3"/>
    <w:rsid w:val="00363242"/>
    <w:rsid w:val="00363686"/>
    <w:rsid w:val="00363CFA"/>
    <w:rsid w:val="00363F2B"/>
    <w:rsid w:val="00364020"/>
    <w:rsid w:val="003646EC"/>
    <w:rsid w:val="00364FC7"/>
    <w:rsid w:val="00365124"/>
    <w:rsid w:val="00365879"/>
    <w:rsid w:val="003660E4"/>
    <w:rsid w:val="003662AE"/>
    <w:rsid w:val="003664EE"/>
    <w:rsid w:val="00366535"/>
    <w:rsid w:val="003665D8"/>
    <w:rsid w:val="003669C4"/>
    <w:rsid w:val="00366D2D"/>
    <w:rsid w:val="0036754E"/>
    <w:rsid w:val="003676D2"/>
    <w:rsid w:val="00370E4E"/>
    <w:rsid w:val="00370F5E"/>
    <w:rsid w:val="00371375"/>
    <w:rsid w:val="0037149E"/>
    <w:rsid w:val="00371586"/>
    <w:rsid w:val="00371E15"/>
    <w:rsid w:val="00371F2D"/>
    <w:rsid w:val="00372213"/>
    <w:rsid w:val="003730B0"/>
    <w:rsid w:val="003731E8"/>
    <w:rsid w:val="0037378F"/>
    <w:rsid w:val="00373961"/>
    <w:rsid w:val="00374302"/>
    <w:rsid w:val="00374D0F"/>
    <w:rsid w:val="00374D63"/>
    <w:rsid w:val="00374EF1"/>
    <w:rsid w:val="00374F37"/>
    <w:rsid w:val="0037536A"/>
    <w:rsid w:val="0037538D"/>
    <w:rsid w:val="003759D9"/>
    <w:rsid w:val="0037645B"/>
    <w:rsid w:val="003766D2"/>
    <w:rsid w:val="00376ABB"/>
    <w:rsid w:val="00376DA8"/>
    <w:rsid w:val="0038014B"/>
    <w:rsid w:val="0038054E"/>
    <w:rsid w:val="003806CC"/>
    <w:rsid w:val="00380AB9"/>
    <w:rsid w:val="00380E53"/>
    <w:rsid w:val="0038129B"/>
    <w:rsid w:val="0038160A"/>
    <w:rsid w:val="003824CF"/>
    <w:rsid w:val="00382D3F"/>
    <w:rsid w:val="00384291"/>
    <w:rsid w:val="0038461B"/>
    <w:rsid w:val="0038504C"/>
    <w:rsid w:val="0038504F"/>
    <w:rsid w:val="00385CA6"/>
    <w:rsid w:val="00386202"/>
    <w:rsid w:val="00386425"/>
    <w:rsid w:val="003875A5"/>
    <w:rsid w:val="00387C10"/>
    <w:rsid w:val="00387FB7"/>
    <w:rsid w:val="003906A4"/>
    <w:rsid w:val="003909AD"/>
    <w:rsid w:val="00390E3F"/>
    <w:rsid w:val="00391609"/>
    <w:rsid w:val="003917A5"/>
    <w:rsid w:val="003917B8"/>
    <w:rsid w:val="00391CC7"/>
    <w:rsid w:val="0039241C"/>
    <w:rsid w:val="00392BD2"/>
    <w:rsid w:val="003931FB"/>
    <w:rsid w:val="003938CF"/>
    <w:rsid w:val="00393C5E"/>
    <w:rsid w:val="00393DED"/>
    <w:rsid w:val="003944F2"/>
    <w:rsid w:val="003949F0"/>
    <w:rsid w:val="00394AFF"/>
    <w:rsid w:val="00394F31"/>
    <w:rsid w:val="00394F89"/>
    <w:rsid w:val="00395562"/>
    <w:rsid w:val="00395A4A"/>
    <w:rsid w:val="00395EFF"/>
    <w:rsid w:val="003961B2"/>
    <w:rsid w:val="003962CF"/>
    <w:rsid w:val="00396334"/>
    <w:rsid w:val="003964D4"/>
    <w:rsid w:val="00396817"/>
    <w:rsid w:val="00396ADD"/>
    <w:rsid w:val="00396E1A"/>
    <w:rsid w:val="00396F8D"/>
    <w:rsid w:val="00397711"/>
    <w:rsid w:val="00397A40"/>
    <w:rsid w:val="00397C92"/>
    <w:rsid w:val="003A0963"/>
    <w:rsid w:val="003A0B2D"/>
    <w:rsid w:val="003A0C93"/>
    <w:rsid w:val="003A0E0B"/>
    <w:rsid w:val="003A0F9D"/>
    <w:rsid w:val="003A0FDE"/>
    <w:rsid w:val="003A296F"/>
    <w:rsid w:val="003A2C6A"/>
    <w:rsid w:val="003A304A"/>
    <w:rsid w:val="003A358A"/>
    <w:rsid w:val="003A3BD2"/>
    <w:rsid w:val="003A45BC"/>
    <w:rsid w:val="003A4623"/>
    <w:rsid w:val="003A4648"/>
    <w:rsid w:val="003A4D98"/>
    <w:rsid w:val="003A527E"/>
    <w:rsid w:val="003A55A4"/>
    <w:rsid w:val="003A5F1B"/>
    <w:rsid w:val="003A5F93"/>
    <w:rsid w:val="003A62FA"/>
    <w:rsid w:val="003A777D"/>
    <w:rsid w:val="003A79A5"/>
    <w:rsid w:val="003A7B30"/>
    <w:rsid w:val="003A7F5A"/>
    <w:rsid w:val="003B0258"/>
    <w:rsid w:val="003B1329"/>
    <w:rsid w:val="003B19B6"/>
    <w:rsid w:val="003B1B4D"/>
    <w:rsid w:val="003B1D01"/>
    <w:rsid w:val="003B1FDE"/>
    <w:rsid w:val="003B2F73"/>
    <w:rsid w:val="003B3215"/>
    <w:rsid w:val="003B32E0"/>
    <w:rsid w:val="003B35F5"/>
    <w:rsid w:val="003B36E7"/>
    <w:rsid w:val="003B3D2F"/>
    <w:rsid w:val="003B3FF7"/>
    <w:rsid w:val="003B429A"/>
    <w:rsid w:val="003B49E1"/>
    <w:rsid w:val="003B4DA6"/>
    <w:rsid w:val="003B4F03"/>
    <w:rsid w:val="003B5072"/>
    <w:rsid w:val="003B58D6"/>
    <w:rsid w:val="003B5E5D"/>
    <w:rsid w:val="003B5FD7"/>
    <w:rsid w:val="003B6BCA"/>
    <w:rsid w:val="003B7207"/>
    <w:rsid w:val="003B7360"/>
    <w:rsid w:val="003B765A"/>
    <w:rsid w:val="003B779D"/>
    <w:rsid w:val="003B7FC9"/>
    <w:rsid w:val="003C0102"/>
    <w:rsid w:val="003C0249"/>
    <w:rsid w:val="003C1117"/>
    <w:rsid w:val="003C1782"/>
    <w:rsid w:val="003C1E17"/>
    <w:rsid w:val="003C2419"/>
    <w:rsid w:val="003C27E3"/>
    <w:rsid w:val="003C282D"/>
    <w:rsid w:val="003C2EFA"/>
    <w:rsid w:val="003C3443"/>
    <w:rsid w:val="003C3D31"/>
    <w:rsid w:val="003C4316"/>
    <w:rsid w:val="003C4801"/>
    <w:rsid w:val="003C4955"/>
    <w:rsid w:val="003C5019"/>
    <w:rsid w:val="003C5294"/>
    <w:rsid w:val="003C548C"/>
    <w:rsid w:val="003C563A"/>
    <w:rsid w:val="003C5822"/>
    <w:rsid w:val="003C5ADC"/>
    <w:rsid w:val="003C5CD9"/>
    <w:rsid w:val="003C5F4E"/>
    <w:rsid w:val="003C6582"/>
    <w:rsid w:val="003C6603"/>
    <w:rsid w:val="003C6C7A"/>
    <w:rsid w:val="003C6D5A"/>
    <w:rsid w:val="003C6FF6"/>
    <w:rsid w:val="003C735E"/>
    <w:rsid w:val="003C7B0A"/>
    <w:rsid w:val="003C7D3E"/>
    <w:rsid w:val="003D0205"/>
    <w:rsid w:val="003D03A8"/>
    <w:rsid w:val="003D03B7"/>
    <w:rsid w:val="003D0461"/>
    <w:rsid w:val="003D058F"/>
    <w:rsid w:val="003D1068"/>
    <w:rsid w:val="003D10D3"/>
    <w:rsid w:val="003D16CE"/>
    <w:rsid w:val="003D1736"/>
    <w:rsid w:val="003D1742"/>
    <w:rsid w:val="003D1B7C"/>
    <w:rsid w:val="003D251E"/>
    <w:rsid w:val="003D29F7"/>
    <w:rsid w:val="003D2FE3"/>
    <w:rsid w:val="003D3152"/>
    <w:rsid w:val="003D345E"/>
    <w:rsid w:val="003D412C"/>
    <w:rsid w:val="003D4772"/>
    <w:rsid w:val="003D4D45"/>
    <w:rsid w:val="003D501C"/>
    <w:rsid w:val="003D570A"/>
    <w:rsid w:val="003D5C9B"/>
    <w:rsid w:val="003D6398"/>
    <w:rsid w:val="003D764B"/>
    <w:rsid w:val="003D7DDB"/>
    <w:rsid w:val="003E0586"/>
    <w:rsid w:val="003E081D"/>
    <w:rsid w:val="003E0A8B"/>
    <w:rsid w:val="003E1096"/>
    <w:rsid w:val="003E168F"/>
    <w:rsid w:val="003E177B"/>
    <w:rsid w:val="003E17DC"/>
    <w:rsid w:val="003E1A87"/>
    <w:rsid w:val="003E2D3C"/>
    <w:rsid w:val="003E2E50"/>
    <w:rsid w:val="003E2FEE"/>
    <w:rsid w:val="003E32E5"/>
    <w:rsid w:val="003E3579"/>
    <w:rsid w:val="003E3B18"/>
    <w:rsid w:val="003E3EBE"/>
    <w:rsid w:val="003E482B"/>
    <w:rsid w:val="003E4F5E"/>
    <w:rsid w:val="003E52AC"/>
    <w:rsid w:val="003E53CE"/>
    <w:rsid w:val="003E5717"/>
    <w:rsid w:val="003E5BCE"/>
    <w:rsid w:val="003E61EC"/>
    <w:rsid w:val="003E6430"/>
    <w:rsid w:val="003E6683"/>
    <w:rsid w:val="003E68F9"/>
    <w:rsid w:val="003E77C9"/>
    <w:rsid w:val="003E7E4C"/>
    <w:rsid w:val="003F01A3"/>
    <w:rsid w:val="003F0561"/>
    <w:rsid w:val="003F0AAC"/>
    <w:rsid w:val="003F18C1"/>
    <w:rsid w:val="003F192F"/>
    <w:rsid w:val="003F19DD"/>
    <w:rsid w:val="003F19FF"/>
    <w:rsid w:val="003F2282"/>
    <w:rsid w:val="003F2450"/>
    <w:rsid w:val="003F2E5D"/>
    <w:rsid w:val="003F31D8"/>
    <w:rsid w:val="003F32EB"/>
    <w:rsid w:val="003F3584"/>
    <w:rsid w:val="003F38B4"/>
    <w:rsid w:val="003F3B85"/>
    <w:rsid w:val="003F44E1"/>
    <w:rsid w:val="003F481B"/>
    <w:rsid w:val="003F5440"/>
    <w:rsid w:val="003F55F4"/>
    <w:rsid w:val="003F5862"/>
    <w:rsid w:val="003F5AF2"/>
    <w:rsid w:val="003F5BBC"/>
    <w:rsid w:val="003F5CD5"/>
    <w:rsid w:val="003F7528"/>
    <w:rsid w:val="003F76D2"/>
    <w:rsid w:val="003F76EB"/>
    <w:rsid w:val="003F7D06"/>
    <w:rsid w:val="003F7FBF"/>
    <w:rsid w:val="00400569"/>
    <w:rsid w:val="00400BA1"/>
    <w:rsid w:val="00400BAA"/>
    <w:rsid w:val="00401D23"/>
    <w:rsid w:val="00402E37"/>
    <w:rsid w:val="00403144"/>
    <w:rsid w:val="0040322C"/>
    <w:rsid w:val="0040329C"/>
    <w:rsid w:val="004037DE"/>
    <w:rsid w:val="0040384D"/>
    <w:rsid w:val="00403B27"/>
    <w:rsid w:val="00403BBD"/>
    <w:rsid w:val="00404127"/>
    <w:rsid w:val="004047B7"/>
    <w:rsid w:val="00405030"/>
    <w:rsid w:val="004050A3"/>
    <w:rsid w:val="004050B0"/>
    <w:rsid w:val="00405EBF"/>
    <w:rsid w:val="00406803"/>
    <w:rsid w:val="004069AE"/>
    <w:rsid w:val="00406ADB"/>
    <w:rsid w:val="00406CAD"/>
    <w:rsid w:val="00406CF1"/>
    <w:rsid w:val="00406DF5"/>
    <w:rsid w:val="00410401"/>
    <w:rsid w:val="00410BC5"/>
    <w:rsid w:val="00411642"/>
    <w:rsid w:val="00411928"/>
    <w:rsid w:val="00411C94"/>
    <w:rsid w:val="00412067"/>
    <w:rsid w:val="0041267B"/>
    <w:rsid w:val="00412877"/>
    <w:rsid w:val="00413913"/>
    <w:rsid w:val="00414629"/>
    <w:rsid w:val="00414684"/>
    <w:rsid w:val="00414EAC"/>
    <w:rsid w:val="00414ED6"/>
    <w:rsid w:val="00414F3E"/>
    <w:rsid w:val="004153E0"/>
    <w:rsid w:val="00415A42"/>
    <w:rsid w:val="00415C4E"/>
    <w:rsid w:val="00415C64"/>
    <w:rsid w:val="004160F0"/>
    <w:rsid w:val="00416AB8"/>
    <w:rsid w:val="0041717F"/>
    <w:rsid w:val="004179B6"/>
    <w:rsid w:val="00417A12"/>
    <w:rsid w:val="00417A4B"/>
    <w:rsid w:val="00417DA5"/>
    <w:rsid w:val="0042034D"/>
    <w:rsid w:val="00420761"/>
    <w:rsid w:val="00420D1B"/>
    <w:rsid w:val="00422374"/>
    <w:rsid w:val="0042243D"/>
    <w:rsid w:val="00422F8D"/>
    <w:rsid w:val="00423031"/>
    <w:rsid w:val="00423108"/>
    <w:rsid w:val="0042355C"/>
    <w:rsid w:val="00424A8E"/>
    <w:rsid w:val="00424BEF"/>
    <w:rsid w:val="00424C34"/>
    <w:rsid w:val="0042508C"/>
    <w:rsid w:val="00425D2E"/>
    <w:rsid w:val="00425FC3"/>
    <w:rsid w:val="0042609E"/>
    <w:rsid w:val="00426D64"/>
    <w:rsid w:val="00427433"/>
    <w:rsid w:val="00427614"/>
    <w:rsid w:val="00427BCD"/>
    <w:rsid w:val="00427DB1"/>
    <w:rsid w:val="00430331"/>
    <w:rsid w:val="00430A79"/>
    <w:rsid w:val="004315FF"/>
    <w:rsid w:val="004316EE"/>
    <w:rsid w:val="00431A3A"/>
    <w:rsid w:val="00431E2F"/>
    <w:rsid w:val="00432432"/>
    <w:rsid w:val="00432592"/>
    <w:rsid w:val="004327F2"/>
    <w:rsid w:val="00432F76"/>
    <w:rsid w:val="004334A5"/>
    <w:rsid w:val="004339DD"/>
    <w:rsid w:val="00433B49"/>
    <w:rsid w:val="004340FF"/>
    <w:rsid w:val="00434137"/>
    <w:rsid w:val="0043453E"/>
    <w:rsid w:val="004352E3"/>
    <w:rsid w:val="00435A1A"/>
    <w:rsid w:val="00435FDF"/>
    <w:rsid w:val="00436A1A"/>
    <w:rsid w:val="00436EB5"/>
    <w:rsid w:val="004370F9"/>
    <w:rsid w:val="00437169"/>
    <w:rsid w:val="004371D5"/>
    <w:rsid w:val="00441BC6"/>
    <w:rsid w:val="00441EBB"/>
    <w:rsid w:val="00441FB7"/>
    <w:rsid w:val="00442087"/>
    <w:rsid w:val="004423B9"/>
    <w:rsid w:val="00443663"/>
    <w:rsid w:val="004446C4"/>
    <w:rsid w:val="00444B04"/>
    <w:rsid w:val="00444B49"/>
    <w:rsid w:val="00444CA5"/>
    <w:rsid w:val="0044507E"/>
    <w:rsid w:val="00445148"/>
    <w:rsid w:val="0044548D"/>
    <w:rsid w:val="00445A76"/>
    <w:rsid w:val="00445C87"/>
    <w:rsid w:val="00445CA7"/>
    <w:rsid w:val="004466D8"/>
    <w:rsid w:val="004474C1"/>
    <w:rsid w:val="00447AB5"/>
    <w:rsid w:val="00450433"/>
    <w:rsid w:val="00450D46"/>
    <w:rsid w:val="00450ED1"/>
    <w:rsid w:val="004513E4"/>
    <w:rsid w:val="0045146A"/>
    <w:rsid w:val="00451961"/>
    <w:rsid w:val="00453346"/>
    <w:rsid w:val="00453A14"/>
    <w:rsid w:val="00454633"/>
    <w:rsid w:val="0045489F"/>
    <w:rsid w:val="0045497E"/>
    <w:rsid w:val="00454A01"/>
    <w:rsid w:val="00454A23"/>
    <w:rsid w:val="00454EF0"/>
    <w:rsid w:val="004551FA"/>
    <w:rsid w:val="0045538C"/>
    <w:rsid w:val="00455D58"/>
    <w:rsid w:val="00455D9A"/>
    <w:rsid w:val="004560A9"/>
    <w:rsid w:val="00456621"/>
    <w:rsid w:val="00456662"/>
    <w:rsid w:val="004572E5"/>
    <w:rsid w:val="00457576"/>
    <w:rsid w:val="004575B9"/>
    <w:rsid w:val="004579A9"/>
    <w:rsid w:val="00457A13"/>
    <w:rsid w:val="00457DBB"/>
    <w:rsid w:val="00460A75"/>
    <w:rsid w:val="00462866"/>
    <w:rsid w:val="0046294A"/>
    <w:rsid w:val="00462B5D"/>
    <w:rsid w:val="00465029"/>
    <w:rsid w:val="00465630"/>
    <w:rsid w:val="004657DF"/>
    <w:rsid w:val="00465DEA"/>
    <w:rsid w:val="0046621E"/>
    <w:rsid w:val="0046690A"/>
    <w:rsid w:val="00466CDC"/>
    <w:rsid w:val="00466D80"/>
    <w:rsid w:val="00467096"/>
    <w:rsid w:val="004670DF"/>
    <w:rsid w:val="0046726C"/>
    <w:rsid w:val="00467381"/>
    <w:rsid w:val="004673D5"/>
    <w:rsid w:val="0046748B"/>
    <w:rsid w:val="00467785"/>
    <w:rsid w:val="00467DA3"/>
    <w:rsid w:val="00467DD3"/>
    <w:rsid w:val="0047059F"/>
    <w:rsid w:val="00470984"/>
    <w:rsid w:val="00470BC0"/>
    <w:rsid w:val="00470E2B"/>
    <w:rsid w:val="004716C0"/>
    <w:rsid w:val="00471EFC"/>
    <w:rsid w:val="00472368"/>
    <w:rsid w:val="004726E5"/>
    <w:rsid w:val="00472AB7"/>
    <w:rsid w:val="00473183"/>
    <w:rsid w:val="0047321E"/>
    <w:rsid w:val="0047386B"/>
    <w:rsid w:val="00474170"/>
    <w:rsid w:val="00474364"/>
    <w:rsid w:val="00475185"/>
    <w:rsid w:val="00475330"/>
    <w:rsid w:val="00475901"/>
    <w:rsid w:val="00475B3F"/>
    <w:rsid w:val="00476054"/>
    <w:rsid w:val="004763B9"/>
    <w:rsid w:val="00476CB9"/>
    <w:rsid w:val="00477206"/>
    <w:rsid w:val="0047723D"/>
    <w:rsid w:val="0048025D"/>
    <w:rsid w:val="00480260"/>
    <w:rsid w:val="00480292"/>
    <w:rsid w:val="00480425"/>
    <w:rsid w:val="00480CEF"/>
    <w:rsid w:val="004815A8"/>
    <w:rsid w:val="00482369"/>
    <w:rsid w:val="0048269A"/>
    <w:rsid w:val="00482A3C"/>
    <w:rsid w:val="004831F3"/>
    <w:rsid w:val="00483300"/>
    <w:rsid w:val="00484A8C"/>
    <w:rsid w:val="00484B84"/>
    <w:rsid w:val="00484EEF"/>
    <w:rsid w:val="004854A0"/>
    <w:rsid w:val="004857BA"/>
    <w:rsid w:val="00485C2A"/>
    <w:rsid w:val="00485D20"/>
    <w:rsid w:val="00485E49"/>
    <w:rsid w:val="004863C4"/>
    <w:rsid w:val="0048650B"/>
    <w:rsid w:val="004867B5"/>
    <w:rsid w:val="00487746"/>
    <w:rsid w:val="0048781B"/>
    <w:rsid w:val="00487EF6"/>
    <w:rsid w:val="00490004"/>
    <w:rsid w:val="00490FCD"/>
    <w:rsid w:val="0049150F"/>
    <w:rsid w:val="00491E97"/>
    <w:rsid w:val="00492088"/>
    <w:rsid w:val="0049233E"/>
    <w:rsid w:val="004932D7"/>
    <w:rsid w:val="00493636"/>
    <w:rsid w:val="0049386B"/>
    <w:rsid w:val="00494845"/>
    <w:rsid w:val="00494919"/>
    <w:rsid w:val="004958FC"/>
    <w:rsid w:val="00495D34"/>
    <w:rsid w:val="004964A6"/>
    <w:rsid w:val="0049692B"/>
    <w:rsid w:val="00496953"/>
    <w:rsid w:val="00496BEF"/>
    <w:rsid w:val="00496CAF"/>
    <w:rsid w:val="00497013"/>
    <w:rsid w:val="00497485"/>
    <w:rsid w:val="004976A8"/>
    <w:rsid w:val="00497B28"/>
    <w:rsid w:val="004A08CC"/>
    <w:rsid w:val="004A108B"/>
    <w:rsid w:val="004A1BB1"/>
    <w:rsid w:val="004A2DEA"/>
    <w:rsid w:val="004A3252"/>
    <w:rsid w:val="004A427E"/>
    <w:rsid w:val="004A462A"/>
    <w:rsid w:val="004A49E3"/>
    <w:rsid w:val="004A4BD4"/>
    <w:rsid w:val="004A53B7"/>
    <w:rsid w:val="004A55B7"/>
    <w:rsid w:val="004A597B"/>
    <w:rsid w:val="004A5E5D"/>
    <w:rsid w:val="004A5EDA"/>
    <w:rsid w:val="004A6F3F"/>
    <w:rsid w:val="004A6FCC"/>
    <w:rsid w:val="004A7431"/>
    <w:rsid w:val="004A760E"/>
    <w:rsid w:val="004A78A6"/>
    <w:rsid w:val="004A7C87"/>
    <w:rsid w:val="004B0056"/>
    <w:rsid w:val="004B00E9"/>
    <w:rsid w:val="004B0454"/>
    <w:rsid w:val="004B06C2"/>
    <w:rsid w:val="004B0AB3"/>
    <w:rsid w:val="004B0B73"/>
    <w:rsid w:val="004B0D06"/>
    <w:rsid w:val="004B10E1"/>
    <w:rsid w:val="004B1484"/>
    <w:rsid w:val="004B14E3"/>
    <w:rsid w:val="004B19D2"/>
    <w:rsid w:val="004B301B"/>
    <w:rsid w:val="004B3247"/>
    <w:rsid w:val="004B3378"/>
    <w:rsid w:val="004B3E30"/>
    <w:rsid w:val="004B3FF8"/>
    <w:rsid w:val="004B401A"/>
    <w:rsid w:val="004B42DC"/>
    <w:rsid w:val="004B445D"/>
    <w:rsid w:val="004B491A"/>
    <w:rsid w:val="004B4BD0"/>
    <w:rsid w:val="004B4F09"/>
    <w:rsid w:val="004B5091"/>
    <w:rsid w:val="004B593E"/>
    <w:rsid w:val="004B6C6D"/>
    <w:rsid w:val="004B6E72"/>
    <w:rsid w:val="004B71AA"/>
    <w:rsid w:val="004B74D3"/>
    <w:rsid w:val="004B755B"/>
    <w:rsid w:val="004B7D9C"/>
    <w:rsid w:val="004C0863"/>
    <w:rsid w:val="004C0AC7"/>
    <w:rsid w:val="004C0FD8"/>
    <w:rsid w:val="004C25C4"/>
    <w:rsid w:val="004C3593"/>
    <w:rsid w:val="004C407B"/>
    <w:rsid w:val="004C40C1"/>
    <w:rsid w:val="004C4149"/>
    <w:rsid w:val="004C44AE"/>
    <w:rsid w:val="004C465B"/>
    <w:rsid w:val="004C4732"/>
    <w:rsid w:val="004C4AF1"/>
    <w:rsid w:val="004C4B2C"/>
    <w:rsid w:val="004C532C"/>
    <w:rsid w:val="004C5F42"/>
    <w:rsid w:val="004C65AB"/>
    <w:rsid w:val="004C6D19"/>
    <w:rsid w:val="004C6F9B"/>
    <w:rsid w:val="004C769C"/>
    <w:rsid w:val="004D0711"/>
    <w:rsid w:val="004D0741"/>
    <w:rsid w:val="004D0753"/>
    <w:rsid w:val="004D0758"/>
    <w:rsid w:val="004D0D63"/>
    <w:rsid w:val="004D19EB"/>
    <w:rsid w:val="004D1AE2"/>
    <w:rsid w:val="004D1B7E"/>
    <w:rsid w:val="004D231B"/>
    <w:rsid w:val="004D4383"/>
    <w:rsid w:val="004D43E1"/>
    <w:rsid w:val="004D4501"/>
    <w:rsid w:val="004D45C5"/>
    <w:rsid w:val="004D4A2C"/>
    <w:rsid w:val="004D4C44"/>
    <w:rsid w:val="004D5194"/>
    <w:rsid w:val="004D5306"/>
    <w:rsid w:val="004D5774"/>
    <w:rsid w:val="004D5AA5"/>
    <w:rsid w:val="004D5ADA"/>
    <w:rsid w:val="004D5B1B"/>
    <w:rsid w:val="004D681C"/>
    <w:rsid w:val="004D6D50"/>
    <w:rsid w:val="004D6EBB"/>
    <w:rsid w:val="004E00A7"/>
    <w:rsid w:val="004E03D8"/>
    <w:rsid w:val="004E05EE"/>
    <w:rsid w:val="004E05F8"/>
    <w:rsid w:val="004E0A1D"/>
    <w:rsid w:val="004E0EE9"/>
    <w:rsid w:val="004E12A0"/>
    <w:rsid w:val="004E2510"/>
    <w:rsid w:val="004E2C26"/>
    <w:rsid w:val="004E2F9B"/>
    <w:rsid w:val="004E2FB7"/>
    <w:rsid w:val="004E30D2"/>
    <w:rsid w:val="004E3ED4"/>
    <w:rsid w:val="004E433A"/>
    <w:rsid w:val="004E46C7"/>
    <w:rsid w:val="004E54BB"/>
    <w:rsid w:val="004E564C"/>
    <w:rsid w:val="004E56AE"/>
    <w:rsid w:val="004E59F6"/>
    <w:rsid w:val="004E5E9F"/>
    <w:rsid w:val="004E6317"/>
    <w:rsid w:val="004E6A39"/>
    <w:rsid w:val="004E6B7C"/>
    <w:rsid w:val="004E70E4"/>
    <w:rsid w:val="004E71FE"/>
    <w:rsid w:val="004E7C68"/>
    <w:rsid w:val="004F00E9"/>
    <w:rsid w:val="004F0B53"/>
    <w:rsid w:val="004F0E6E"/>
    <w:rsid w:val="004F19FD"/>
    <w:rsid w:val="004F1AEF"/>
    <w:rsid w:val="004F1C91"/>
    <w:rsid w:val="004F1E7F"/>
    <w:rsid w:val="004F21F9"/>
    <w:rsid w:val="004F3923"/>
    <w:rsid w:val="004F3C40"/>
    <w:rsid w:val="004F4117"/>
    <w:rsid w:val="004F518A"/>
    <w:rsid w:val="004F61DF"/>
    <w:rsid w:val="004F6A78"/>
    <w:rsid w:val="004F71B3"/>
    <w:rsid w:val="004F7848"/>
    <w:rsid w:val="004F7AEC"/>
    <w:rsid w:val="00500F1F"/>
    <w:rsid w:val="005021DF"/>
    <w:rsid w:val="005026FD"/>
    <w:rsid w:val="005029ED"/>
    <w:rsid w:val="00502AD3"/>
    <w:rsid w:val="00502F7D"/>
    <w:rsid w:val="0050405F"/>
    <w:rsid w:val="0050422E"/>
    <w:rsid w:val="005048C9"/>
    <w:rsid w:val="00504A10"/>
    <w:rsid w:val="0050595E"/>
    <w:rsid w:val="00505A3F"/>
    <w:rsid w:val="0050751C"/>
    <w:rsid w:val="0050757E"/>
    <w:rsid w:val="0050796C"/>
    <w:rsid w:val="00507C9A"/>
    <w:rsid w:val="005105A6"/>
    <w:rsid w:val="00510E68"/>
    <w:rsid w:val="00511442"/>
    <w:rsid w:val="0051171B"/>
    <w:rsid w:val="00511DD1"/>
    <w:rsid w:val="00512A6B"/>
    <w:rsid w:val="0051331B"/>
    <w:rsid w:val="0051340E"/>
    <w:rsid w:val="00513751"/>
    <w:rsid w:val="00513954"/>
    <w:rsid w:val="00513A56"/>
    <w:rsid w:val="00513DCA"/>
    <w:rsid w:val="005142E3"/>
    <w:rsid w:val="00515006"/>
    <w:rsid w:val="0051558F"/>
    <w:rsid w:val="00515E4E"/>
    <w:rsid w:val="00515EA2"/>
    <w:rsid w:val="00515FDD"/>
    <w:rsid w:val="00516749"/>
    <w:rsid w:val="0051679D"/>
    <w:rsid w:val="00517655"/>
    <w:rsid w:val="00517657"/>
    <w:rsid w:val="0051799B"/>
    <w:rsid w:val="005201C6"/>
    <w:rsid w:val="005205D3"/>
    <w:rsid w:val="00520FC2"/>
    <w:rsid w:val="00521FF8"/>
    <w:rsid w:val="005223A5"/>
    <w:rsid w:val="00522707"/>
    <w:rsid w:val="00522E19"/>
    <w:rsid w:val="0052362D"/>
    <w:rsid w:val="00523E62"/>
    <w:rsid w:val="00523E97"/>
    <w:rsid w:val="0052400A"/>
    <w:rsid w:val="0052408B"/>
    <w:rsid w:val="005241D7"/>
    <w:rsid w:val="0052484E"/>
    <w:rsid w:val="00524AF7"/>
    <w:rsid w:val="00524EFC"/>
    <w:rsid w:val="00525161"/>
    <w:rsid w:val="0052542B"/>
    <w:rsid w:val="00525A05"/>
    <w:rsid w:val="005262CC"/>
    <w:rsid w:val="0052724A"/>
    <w:rsid w:val="00527980"/>
    <w:rsid w:val="00527D18"/>
    <w:rsid w:val="005300B0"/>
    <w:rsid w:val="00530DD2"/>
    <w:rsid w:val="00531503"/>
    <w:rsid w:val="00531727"/>
    <w:rsid w:val="00531E28"/>
    <w:rsid w:val="00532245"/>
    <w:rsid w:val="00532A89"/>
    <w:rsid w:val="00532C9A"/>
    <w:rsid w:val="00532F92"/>
    <w:rsid w:val="005337FC"/>
    <w:rsid w:val="0053507B"/>
    <w:rsid w:val="005355E4"/>
    <w:rsid w:val="00535D59"/>
    <w:rsid w:val="005367CB"/>
    <w:rsid w:val="00536B60"/>
    <w:rsid w:val="00536D49"/>
    <w:rsid w:val="005371E5"/>
    <w:rsid w:val="0053727C"/>
    <w:rsid w:val="00537305"/>
    <w:rsid w:val="005378B2"/>
    <w:rsid w:val="00537974"/>
    <w:rsid w:val="00540C31"/>
    <w:rsid w:val="00541100"/>
    <w:rsid w:val="0054123F"/>
    <w:rsid w:val="005419EE"/>
    <w:rsid w:val="00542270"/>
    <w:rsid w:val="00542890"/>
    <w:rsid w:val="00543520"/>
    <w:rsid w:val="005436BC"/>
    <w:rsid w:val="0054378E"/>
    <w:rsid w:val="00544C0D"/>
    <w:rsid w:val="005452E9"/>
    <w:rsid w:val="00545399"/>
    <w:rsid w:val="005453BE"/>
    <w:rsid w:val="00545525"/>
    <w:rsid w:val="005456E6"/>
    <w:rsid w:val="00546415"/>
    <w:rsid w:val="005464E9"/>
    <w:rsid w:val="00546527"/>
    <w:rsid w:val="00547200"/>
    <w:rsid w:val="00547490"/>
    <w:rsid w:val="00547DE0"/>
    <w:rsid w:val="0055011F"/>
    <w:rsid w:val="00550153"/>
    <w:rsid w:val="0055067F"/>
    <w:rsid w:val="005507C1"/>
    <w:rsid w:val="00550812"/>
    <w:rsid w:val="00550C27"/>
    <w:rsid w:val="0055183D"/>
    <w:rsid w:val="0055201B"/>
    <w:rsid w:val="00553DA5"/>
    <w:rsid w:val="00553DB8"/>
    <w:rsid w:val="00554164"/>
    <w:rsid w:val="005545F0"/>
    <w:rsid w:val="00554BD5"/>
    <w:rsid w:val="00554D1E"/>
    <w:rsid w:val="0055521C"/>
    <w:rsid w:val="005553F3"/>
    <w:rsid w:val="0055617C"/>
    <w:rsid w:val="00556691"/>
    <w:rsid w:val="00556D63"/>
    <w:rsid w:val="00556D85"/>
    <w:rsid w:val="00556EC0"/>
    <w:rsid w:val="005571E7"/>
    <w:rsid w:val="00557A1C"/>
    <w:rsid w:val="00557A44"/>
    <w:rsid w:val="00557D21"/>
    <w:rsid w:val="00560203"/>
    <w:rsid w:val="0056090E"/>
    <w:rsid w:val="00560FF2"/>
    <w:rsid w:val="00561F44"/>
    <w:rsid w:val="0056209E"/>
    <w:rsid w:val="005626FF"/>
    <w:rsid w:val="0056309A"/>
    <w:rsid w:val="005634C9"/>
    <w:rsid w:val="00563BA4"/>
    <w:rsid w:val="00563E9B"/>
    <w:rsid w:val="00564E02"/>
    <w:rsid w:val="00564F9B"/>
    <w:rsid w:val="00564FF1"/>
    <w:rsid w:val="0056504F"/>
    <w:rsid w:val="00565288"/>
    <w:rsid w:val="00565342"/>
    <w:rsid w:val="00565650"/>
    <w:rsid w:val="00565D04"/>
    <w:rsid w:val="00566265"/>
    <w:rsid w:val="00567146"/>
    <w:rsid w:val="0056716A"/>
    <w:rsid w:val="005673BA"/>
    <w:rsid w:val="00567998"/>
    <w:rsid w:val="0057079B"/>
    <w:rsid w:val="00571055"/>
    <w:rsid w:val="005717CC"/>
    <w:rsid w:val="00572428"/>
    <w:rsid w:val="005730B3"/>
    <w:rsid w:val="005739E5"/>
    <w:rsid w:val="00573AD6"/>
    <w:rsid w:val="00573C42"/>
    <w:rsid w:val="00573EA8"/>
    <w:rsid w:val="00573EF1"/>
    <w:rsid w:val="00574028"/>
    <w:rsid w:val="0057416B"/>
    <w:rsid w:val="00574181"/>
    <w:rsid w:val="00574646"/>
    <w:rsid w:val="00574C73"/>
    <w:rsid w:val="00575160"/>
    <w:rsid w:val="00575A4D"/>
    <w:rsid w:val="005768BB"/>
    <w:rsid w:val="00576A1A"/>
    <w:rsid w:val="00577411"/>
    <w:rsid w:val="0058001D"/>
    <w:rsid w:val="005805F9"/>
    <w:rsid w:val="00580DDA"/>
    <w:rsid w:val="00581D82"/>
    <w:rsid w:val="005827DE"/>
    <w:rsid w:val="00582BC8"/>
    <w:rsid w:val="00582C16"/>
    <w:rsid w:val="00583AC5"/>
    <w:rsid w:val="00583C9B"/>
    <w:rsid w:val="0058574F"/>
    <w:rsid w:val="005857E4"/>
    <w:rsid w:val="00585870"/>
    <w:rsid w:val="00585FA9"/>
    <w:rsid w:val="005869CD"/>
    <w:rsid w:val="00586E66"/>
    <w:rsid w:val="0058741E"/>
    <w:rsid w:val="00587569"/>
    <w:rsid w:val="00587AB5"/>
    <w:rsid w:val="00590248"/>
    <w:rsid w:val="00590321"/>
    <w:rsid w:val="005903E3"/>
    <w:rsid w:val="0059041A"/>
    <w:rsid w:val="0059084F"/>
    <w:rsid w:val="00590AF4"/>
    <w:rsid w:val="00590D39"/>
    <w:rsid w:val="00590EFD"/>
    <w:rsid w:val="00591501"/>
    <w:rsid w:val="00591E36"/>
    <w:rsid w:val="00592BD9"/>
    <w:rsid w:val="00592D45"/>
    <w:rsid w:val="00592D67"/>
    <w:rsid w:val="00592E99"/>
    <w:rsid w:val="00592F78"/>
    <w:rsid w:val="00593303"/>
    <w:rsid w:val="0059350E"/>
    <w:rsid w:val="005936D2"/>
    <w:rsid w:val="00593734"/>
    <w:rsid w:val="005938F3"/>
    <w:rsid w:val="005950C2"/>
    <w:rsid w:val="005951A5"/>
    <w:rsid w:val="00595613"/>
    <w:rsid w:val="00595A7B"/>
    <w:rsid w:val="005963DA"/>
    <w:rsid w:val="00596C69"/>
    <w:rsid w:val="005970C4"/>
    <w:rsid w:val="005977AD"/>
    <w:rsid w:val="0059782B"/>
    <w:rsid w:val="005978DB"/>
    <w:rsid w:val="00597B50"/>
    <w:rsid w:val="00597C7F"/>
    <w:rsid w:val="00597E66"/>
    <w:rsid w:val="00597F9E"/>
    <w:rsid w:val="005A0697"/>
    <w:rsid w:val="005A0F60"/>
    <w:rsid w:val="005A1342"/>
    <w:rsid w:val="005A1E20"/>
    <w:rsid w:val="005A1F4C"/>
    <w:rsid w:val="005A20C7"/>
    <w:rsid w:val="005A2BA4"/>
    <w:rsid w:val="005A2EFC"/>
    <w:rsid w:val="005A3216"/>
    <w:rsid w:val="005A37CD"/>
    <w:rsid w:val="005A461A"/>
    <w:rsid w:val="005A4A30"/>
    <w:rsid w:val="005A4B84"/>
    <w:rsid w:val="005A52EF"/>
    <w:rsid w:val="005A55F1"/>
    <w:rsid w:val="005A5EF2"/>
    <w:rsid w:val="005A601E"/>
    <w:rsid w:val="005A6243"/>
    <w:rsid w:val="005A6D22"/>
    <w:rsid w:val="005A7942"/>
    <w:rsid w:val="005B0687"/>
    <w:rsid w:val="005B1A5E"/>
    <w:rsid w:val="005B1AEA"/>
    <w:rsid w:val="005B22B6"/>
    <w:rsid w:val="005B26E0"/>
    <w:rsid w:val="005B26E6"/>
    <w:rsid w:val="005B27CC"/>
    <w:rsid w:val="005B2FF7"/>
    <w:rsid w:val="005B472D"/>
    <w:rsid w:val="005B5DA8"/>
    <w:rsid w:val="005B6234"/>
    <w:rsid w:val="005B750E"/>
    <w:rsid w:val="005B79C0"/>
    <w:rsid w:val="005C040A"/>
    <w:rsid w:val="005C0922"/>
    <w:rsid w:val="005C093A"/>
    <w:rsid w:val="005C15DF"/>
    <w:rsid w:val="005C20BC"/>
    <w:rsid w:val="005C2D32"/>
    <w:rsid w:val="005C37EE"/>
    <w:rsid w:val="005C398E"/>
    <w:rsid w:val="005C4529"/>
    <w:rsid w:val="005C4728"/>
    <w:rsid w:val="005C4803"/>
    <w:rsid w:val="005C487F"/>
    <w:rsid w:val="005C5041"/>
    <w:rsid w:val="005C524C"/>
    <w:rsid w:val="005C6218"/>
    <w:rsid w:val="005C6398"/>
    <w:rsid w:val="005C6CBC"/>
    <w:rsid w:val="005D008E"/>
    <w:rsid w:val="005D0D14"/>
    <w:rsid w:val="005D107A"/>
    <w:rsid w:val="005D1626"/>
    <w:rsid w:val="005D1E4F"/>
    <w:rsid w:val="005D2B2D"/>
    <w:rsid w:val="005D3C62"/>
    <w:rsid w:val="005D3C9E"/>
    <w:rsid w:val="005D4083"/>
    <w:rsid w:val="005D4228"/>
    <w:rsid w:val="005D431B"/>
    <w:rsid w:val="005D448C"/>
    <w:rsid w:val="005D46BD"/>
    <w:rsid w:val="005D474A"/>
    <w:rsid w:val="005D4AB7"/>
    <w:rsid w:val="005D5324"/>
    <w:rsid w:val="005D5CAB"/>
    <w:rsid w:val="005D5ECE"/>
    <w:rsid w:val="005D603B"/>
    <w:rsid w:val="005D7A23"/>
    <w:rsid w:val="005D7DB2"/>
    <w:rsid w:val="005E12B1"/>
    <w:rsid w:val="005E18DF"/>
    <w:rsid w:val="005E2766"/>
    <w:rsid w:val="005E43D2"/>
    <w:rsid w:val="005E4838"/>
    <w:rsid w:val="005E4AA2"/>
    <w:rsid w:val="005E4D08"/>
    <w:rsid w:val="005E548B"/>
    <w:rsid w:val="005E565F"/>
    <w:rsid w:val="005E599D"/>
    <w:rsid w:val="005E5A12"/>
    <w:rsid w:val="005E5B4B"/>
    <w:rsid w:val="005E634D"/>
    <w:rsid w:val="005E63EB"/>
    <w:rsid w:val="005E659F"/>
    <w:rsid w:val="005E6723"/>
    <w:rsid w:val="005E7CB8"/>
    <w:rsid w:val="005F0336"/>
    <w:rsid w:val="005F03A0"/>
    <w:rsid w:val="005F04C0"/>
    <w:rsid w:val="005F0920"/>
    <w:rsid w:val="005F17A1"/>
    <w:rsid w:val="005F1BF4"/>
    <w:rsid w:val="005F2079"/>
    <w:rsid w:val="005F21AD"/>
    <w:rsid w:val="005F237C"/>
    <w:rsid w:val="005F250C"/>
    <w:rsid w:val="005F31CF"/>
    <w:rsid w:val="005F3427"/>
    <w:rsid w:val="005F387C"/>
    <w:rsid w:val="005F38FE"/>
    <w:rsid w:val="005F390E"/>
    <w:rsid w:val="005F45A8"/>
    <w:rsid w:val="005F4D33"/>
    <w:rsid w:val="005F4F74"/>
    <w:rsid w:val="005F5207"/>
    <w:rsid w:val="005F5A24"/>
    <w:rsid w:val="005F5E1A"/>
    <w:rsid w:val="005F6C84"/>
    <w:rsid w:val="005F7016"/>
    <w:rsid w:val="005F7C73"/>
    <w:rsid w:val="0060021A"/>
    <w:rsid w:val="006002DF"/>
    <w:rsid w:val="00600589"/>
    <w:rsid w:val="006007EE"/>
    <w:rsid w:val="00600896"/>
    <w:rsid w:val="006008F7"/>
    <w:rsid w:val="00600F10"/>
    <w:rsid w:val="00602690"/>
    <w:rsid w:val="00602777"/>
    <w:rsid w:val="00602E24"/>
    <w:rsid w:val="00602EB3"/>
    <w:rsid w:val="00603467"/>
    <w:rsid w:val="00603553"/>
    <w:rsid w:val="006040FC"/>
    <w:rsid w:val="00604105"/>
    <w:rsid w:val="00604F4A"/>
    <w:rsid w:val="00605838"/>
    <w:rsid w:val="00605DDF"/>
    <w:rsid w:val="00606715"/>
    <w:rsid w:val="0060692E"/>
    <w:rsid w:val="00606ED5"/>
    <w:rsid w:val="006072BE"/>
    <w:rsid w:val="00607345"/>
    <w:rsid w:val="006076F4"/>
    <w:rsid w:val="00607B88"/>
    <w:rsid w:val="00607B94"/>
    <w:rsid w:val="00607D40"/>
    <w:rsid w:val="00607EA2"/>
    <w:rsid w:val="006101EB"/>
    <w:rsid w:val="0061049F"/>
    <w:rsid w:val="00610EBD"/>
    <w:rsid w:val="006110AA"/>
    <w:rsid w:val="0061138E"/>
    <w:rsid w:val="0061142B"/>
    <w:rsid w:val="0061150A"/>
    <w:rsid w:val="0061158C"/>
    <w:rsid w:val="006115E6"/>
    <w:rsid w:val="006121D5"/>
    <w:rsid w:val="00612692"/>
    <w:rsid w:val="00612861"/>
    <w:rsid w:val="00612872"/>
    <w:rsid w:val="00612AFD"/>
    <w:rsid w:val="00612C42"/>
    <w:rsid w:val="00613062"/>
    <w:rsid w:val="00613B51"/>
    <w:rsid w:val="00613FB4"/>
    <w:rsid w:val="006160E2"/>
    <w:rsid w:val="0061721C"/>
    <w:rsid w:val="00620E55"/>
    <w:rsid w:val="00620F64"/>
    <w:rsid w:val="00621350"/>
    <w:rsid w:val="00621CAB"/>
    <w:rsid w:val="00622470"/>
    <w:rsid w:val="00622F94"/>
    <w:rsid w:val="0062317E"/>
    <w:rsid w:val="00623344"/>
    <w:rsid w:val="00623B57"/>
    <w:rsid w:val="00623BC8"/>
    <w:rsid w:val="00624003"/>
    <w:rsid w:val="006240DC"/>
    <w:rsid w:val="00624329"/>
    <w:rsid w:val="00624563"/>
    <w:rsid w:val="00624D84"/>
    <w:rsid w:val="00624DAF"/>
    <w:rsid w:val="00625227"/>
    <w:rsid w:val="0062585F"/>
    <w:rsid w:val="006262B0"/>
    <w:rsid w:val="0062677D"/>
    <w:rsid w:val="00626B10"/>
    <w:rsid w:val="00627340"/>
    <w:rsid w:val="00627987"/>
    <w:rsid w:val="00627C36"/>
    <w:rsid w:val="00627C9E"/>
    <w:rsid w:val="0063010D"/>
    <w:rsid w:val="0063042D"/>
    <w:rsid w:val="00630AE1"/>
    <w:rsid w:val="00630EB5"/>
    <w:rsid w:val="00631274"/>
    <w:rsid w:val="00632B1B"/>
    <w:rsid w:val="00632F06"/>
    <w:rsid w:val="00632FA1"/>
    <w:rsid w:val="00633032"/>
    <w:rsid w:val="00633AF4"/>
    <w:rsid w:val="00633B8D"/>
    <w:rsid w:val="006341F5"/>
    <w:rsid w:val="0063451E"/>
    <w:rsid w:val="006350B7"/>
    <w:rsid w:val="00635101"/>
    <w:rsid w:val="00635E74"/>
    <w:rsid w:val="006360F3"/>
    <w:rsid w:val="006368CA"/>
    <w:rsid w:val="00637C10"/>
    <w:rsid w:val="00637C1F"/>
    <w:rsid w:val="00637D8B"/>
    <w:rsid w:val="00640598"/>
    <w:rsid w:val="00640599"/>
    <w:rsid w:val="006415AD"/>
    <w:rsid w:val="00641989"/>
    <w:rsid w:val="00641D13"/>
    <w:rsid w:val="006433A9"/>
    <w:rsid w:val="006438BA"/>
    <w:rsid w:val="00643915"/>
    <w:rsid w:val="00643F82"/>
    <w:rsid w:val="0064403C"/>
    <w:rsid w:val="0064410C"/>
    <w:rsid w:val="00644C3D"/>
    <w:rsid w:val="00644E4C"/>
    <w:rsid w:val="00645572"/>
    <w:rsid w:val="00645C56"/>
    <w:rsid w:val="00646917"/>
    <w:rsid w:val="006469BA"/>
    <w:rsid w:val="00646CB9"/>
    <w:rsid w:val="0064722A"/>
    <w:rsid w:val="00650A4A"/>
    <w:rsid w:val="00651E14"/>
    <w:rsid w:val="006520DE"/>
    <w:rsid w:val="00652F08"/>
    <w:rsid w:val="00653CD4"/>
    <w:rsid w:val="00654485"/>
    <w:rsid w:val="00655578"/>
    <w:rsid w:val="00655F9D"/>
    <w:rsid w:val="0065694A"/>
    <w:rsid w:val="00656BB2"/>
    <w:rsid w:val="00656D13"/>
    <w:rsid w:val="00656DD6"/>
    <w:rsid w:val="006573B3"/>
    <w:rsid w:val="00660B4A"/>
    <w:rsid w:val="00660E63"/>
    <w:rsid w:val="0066106C"/>
    <w:rsid w:val="006616D8"/>
    <w:rsid w:val="006625F4"/>
    <w:rsid w:val="00662EE0"/>
    <w:rsid w:val="0066354C"/>
    <w:rsid w:val="0066396C"/>
    <w:rsid w:val="00663BC5"/>
    <w:rsid w:val="00663CCA"/>
    <w:rsid w:val="0066477E"/>
    <w:rsid w:val="00664926"/>
    <w:rsid w:val="006655E1"/>
    <w:rsid w:val="00666819"/>
    <w:rsid w:val="006670C7"/>
    <w:rsid w:val="00667216"/>
    <w:rsid w:val="0066735B"/>
    <w:rsid w:val="00667819"/>
    <w:rsid w:val="0066791D"/>
    <w:rsid w:val="00667C80"/>
    <w:rsid w:val="00667D1E"/>
    <w:rsid w:val="00667F0A"/>
    <w:rsid w:val="00670472"/>
    <w:rsid w:val="006705E1"/>
    <w:rsid w:val="006708E1"/>
    <w:rsid w:val="00670BDF"/>
    <w:rsid w:val="006711F1"/>
    <w:rsid w:val="00671C9F"/>
    <w:rsid w:val="00671DD4"/>
    <w:rsid w:val="00671E89"/>
    <w:rsid w:val="00672CC8"/>
    <w:rsid w:val="006733CA"/>
    <w:rsid w:val="00673765"/>
    <w:rsid w:val="00673838"/>
    <w:rsid w:val="00673B14"/>
    <w:rsid w:val="006740FF"/>
    <w:rsid w:val="006749F1"/>
    <w:rsid w:val="00675373"/>
    <w:rsid w:val="006756D8"/>
    <w:rsid w:val="00675818"/>
    <w:rsid w:val="0067669A"/>
    <w:rsid w:val="006769C7"/>
    <w:rsid w:val="006772F9"/>
    <w:rsid w:val="00677A08"/>
    <w:rsid w:val="006801C9"/>
    <w:rsid w:val="00680D98"/>
    <w:rsid w:val="006812DA"/>
    <w:rsid w:val="00681383"/>
    <w:rsid w:val="00681583"/>
    <w:rsid w:val="0068238B"/>
    <w:rsid w:val="00682E7F"/>
    <w:rsid w:val="00682F86"/>
    <w:rsid w:val="00684161"/>
    <w:rsid w:val="00684241"/>
    <w:rsid w:val="00684461"/>
    <w:rsid w:val="00684C75"/>
    <w:rsid w:val="0068509A"/>
    <w:rsid w:val="006858A5"/>
    <w:rsid w:val="00685A62"/>
    <w:rsid w:val="00685DE3"/>
    <w:rsid w:val="00685E5E"/>
    <w:rsid w:val="00686325"/>
    <w:rsid w:val="0068656F"/>
    <w:rsid w:val="00686A17"/>
    <w:rsid w:val="00686EC8"/>
    <w:rsid w:val="00690A6E"/>
    <w:rsid w:val="00690F2A"/>
    <w:rsid w:val="00691907"/>
    <w:rsid w:val="006926CD"/>
    <w:rsid w:val="0069287C"/>
    <w:rsid w:val="00692FDD"/>
    <w:rsid w:val="00693A17"/>
    <w:rsid w:val="006944FF"/>
    <w:rsid w:val="0069461F"/>
    <w:rsid w:val="006948E7"/>
    <w:rsid w:val="006949D6"/>
    <w:rsid w:val="00695332"/>
    <w:rsid w:val="00695862"/>
    <w:rsid w:val="00695EA0"/>
    <w:rsid w:val="00696402"/>
    <w:rsid w:val="006965E6"/>
    <w:rsid w:val="006967C7"/>
    <w:rsid w:val="00696956"/>
    <w:rsid w:val="00696C45"/>
    <w:rsid w:val="00696D74"/>
    <w:rsid w:val="00697063"/>
    <w:rsid w:val="006974CE"/>
    <w:rsid w:val="006979F1"/>
    <w:rsid w:val="00697F60"/>
    <w:rsid w:val="006A0466"/>
    <w:rsid w:val="006A0883"/>
    <w:rsid w:val="006A090B"/>
    <w:rsid w:val="006A1D72"/>
    <w:rsid w:val="006A24BF"/>
    <w:rsid w:val="006A27B8"/>
    <w:rsid w:val="006A3254"/>
    <w:rsid w:val="006A37A7"/>
    <w:rsid w:val="006A3D1C"/>
    <w:rsid w:val="006A3EE0"/>
    <w:rsid w:val="006A3FD1"/>
    <w:rsid w:val="006A41A2"/>
    <w:rsid w:val="006A42D4"/>
    <w:rsid w:val="006A5C97"/>
    <w:rsid w:val="006A632A"/>
    <w:rsid w:val="006A66CB"/>
    <w:rsid w:val="006A6A49"/>
    <w:rsid w:val="006A6CD9"/>
    <w:rsid w:val="006A76D0"/>
    <w:rsid w:val="006A7C8C"/>
    <w:rsid w:val="006B05BE"/>
    <w:rsid w:val="006B06EB"/>
    <w:rsid w:val="006B0CBF"/>
    <w:rsid w:val="006B0E38"/>
    <w:rsid w:val="006B115E"/>
    <w:rsid w:val="006B1227"/>
    <w:rsid w:val="006B1381"/>
    <w:rsid w:val="006B14AA"/>
    <w:rsid w:val="006B2651"/>
    <w:rsid w:val="006B277B"/>
    <w:rsid w:val="006B2B5C"/>
    <w:rsid w:val="006B3072"/>
    <w:rsid w:val="006B3192"/>
    <w:rsid w:val="006B38CD"/>
    <w:rsid w:val="006B4157"/>
    <w:rsid w:val="006B4166"/>
    <w:rsid w:val="006B42CB"/>
    <w:rsid w:val="006B43FA"/>
    <w:rsid w:val="006B4D97"/>
    <w:rsid w:val="006B4E54"/>
    <w:rsid w:val="006B5673"/>
    <w:rsid w:val="006B6C46"/>
    <w:rsid w:val="006B6DA4"/>
    <w:rsid w:val="006B6EA9"/>
    <w:rsid w:val="006B6EE5"/>
    <w:rsid w:val="006B78E2"/>
    <w:rsid w:val="006B7AE9"/>
    <w:rsid w:val="006B7B11"/>
    <w:rsid w:val="006B7C9F"/>
    <w:rsid w:val="006B7CB5"/>
    <w:rsid w:val="006B7D6E"/>
    <w:rsid w:val="006B7D70"/>
    <w:rsid w:val="006B7E39"/>
    <w:rsid w:val="006C02A9"/>
    <w:rsid w:val="006C0794"/>
    <w:rsid w:val="006C128C"/>
    <w:rsid w:val="006C136E"/>
    <w:rsid w:val="006C1438"/>
    <w:rsid w:val="006C15B3"/>
    <w:rsid w:val="006C20B9"/>
    <w:rsid w:val="006C20C5"/>
    <w:rsid w:val="006C2EBA"/>
    <w:rsid w:val="006C340D"/>
    <w:rsid w:val="006C3D6D"/>
    <w:rsid w:val="006C40F7"/>
    <w:rsid w:val="006C4489"/>
    <w:rsid w:val="006C4B42"/>
    <w:rsid w:val="006C4DB2"/>
    <w:rsid w:val="006C5C3C"/>
    <w:rsid w:val="006C5D93"/>
    <w:rsid w:val="006C6666"/>
    <w:rsid w:val="006C72BF"/>
    <w:rsid w:val="006C790F"/>
    <w:rsid w:val="006C7B8F"/>
    <w:rsid w:val="006C7E69"/>
    <w:rsid w:val="006C7EE5"/>
    <w:rsid w:val="006D00E1"/>
    <w:rsid w:val="006D05CE"/>
    <w:rsid w:val="006D0999"/>
    <w:rsid w:val="006D12A9"/>
    <w:rsid w:val="006D12C8"/>
    <w:rsid w:val="006D27C6"/>
    <w:rsid w:val="006D2B0F"/>
    <w:rsid w:val="006D3585"/>
    <w:rsid w:val="006D4009"/>
    <w:rsid w:val="006D42EB"/>
    <w:rsid w:val="006D5397"/>
    <w:rsid w:val="006D5C85"/>
    <w:rsid w:val="006D5D43"/>
    <w:rsid w:val="006D615D"/>
    <w:rsid w:val="006D6EE6"/>
    <w:rsid w:val="006D7D84"/>
    <w:rsid w:val="006D7F68"/>
    <w:rsid w:val="006E0A2D"/>
    <w:rsid w:val="006E0AC7"/>
    <w:rsid w:val="006E0DF0"/>
    <w:rsid w:val="006E0FAE"/>
    <w:rsid w:val="006E15C4"/>
    <w:rsid w:val="006E1931"/>
    <w:rsid w:val="006E1B50"/>
    <w:rsid w:val="006E1FE1"/>
    <w:rsid w:val="006E2749"/>
    <w:rsid w:val="006E2809"/>
    <w:rsid w:val="006E2943"/>
    <w:rsid w:val="006E3B4D"/>
    <w:rsid w:val="006E3F06"/>
    <w:rsid w:val="006E41A2"/>
    <w:rsid w:val="006E4A93"/>
    <w:rsid w:val="006E51C7"/>
    <w:rsid w:val="006E6508"/>
    <w:rsid w:val="006E7241"/>
    <w:rsid w:val="006E7898"/>
    <w:rsid w:val="006F01F3"/>
    <w:rsid w:val="006F064A"/>
    <w:rsid w:val="006F0F97"/>
    <w:rsid w:val="006F166B"/>
    <w:rsid w:val="006F17FC"/>
    <w:rsid w:val="006F1B31"/>
    <w:rsid w:val="006F22A5"/>
    <w:rsid w:val="006F2388"/>
    <w:rsid w:val="006F23E6"/>
    <w:rsid w:val="006F2CA0"/>
    <w:rsid w:val="006F3065"/>
    <w:rsid w:val="006F3AC4"/>
    <w:rsid w:val="006F3F00"/>
    <w:rsid w:val="006F4AB9"/>
    <w:rsid w:val="006F4ABD"/>
    <w:rsid w:val="006F57FE"/>
    <w:rsid w:val="006F6A65"/>
    <w:rsid w:val="006F7F7A"/>
    <w:rsid w:val="007000AE"/>
    <w:rsid w:val="00700170"/>
    <w:rsid w:val="00700AC0"/>
    <w:rsid w:val="0070161F"/>
    <w:rsid w:val="00701809"/>
    <w:rsid w:val="00701F44"/>
    <w:rsid w:val="007029FC"/>
    <w:rsid w:val="00702A3F"/>
    <w:rsid w:val="00702D3E"/>
    <w:rsid w:val="00703147"/>
    <w:rsid w:val="00703327"/>
    <w:rsid w:val="00703D97"/>
    <w:rsid w:val="007049A0"/>
    <w:rsid w:val="00704F7A"/>
    <w:rsid w:val="007056A1"/>
    <w:rsid w:val="0070579D"/>
    <w:rsid w:val="00705B08"/>
    <w:rsid w:val="00705CFF"/>
    <w:rsid w:val="00705EF2"/>
    <w:rsid w:val="00706193"/>
    <w:rsid w:val="0070643E"/>
    <w:rsid w:val="00706F0B"/>
    <w:rsid w:val="00707782"/>
    <w:rsid w:val="00710094"/>
    <w:rsid w:val="0071072F"/>
    <w:rsid w:val="0071088D"/>
    <w:rsid w:val="007110CA"/>
    <w:rsid w:val="007118E4"/>
    <w:rsid w:val="00711952"/>
    <w:rsid w:val="00711B4F"/>
    <w:rsid w:val="00711FA9"/>
    <w:rsid w:val="0071208A"/>
    <w:rsid w:val="007127DA"/>
    <w:rsid w:val="00712D8F"/>
    <w:rsid w:val="00712FCD"/>
    <w:rsid w:val="00713B10"/>
    <w:rsid w:val="00713EC0"/>
    <w:rsid w:val="007140D0"/>
    <w:rsid w:val="007146D8"/>
    <w:rsid w:val="0071513E"/>
    <w:rsid w:val="0071556C"/>
    <w:rsid w:val="00715B0F"/>
    <w:rsid w:val="00715B24"/>
    <w:rsid w:val="0071723E"/>
    <w:rsid w:val="00717790"/>
    <w:rsid w:val="00717F35"/>
    <w:rsid w:val="00720052"/>
    <w:rsid w:val="00720C75"/>
    <w:rsid w:val="00720D22"/>
    <w:rsid w:val="00721182"/>
    <w:rsid w:val="007214C6"/>
    <w:rsid w:val="007215F4"/>
    <w:rsid w:val="007220C9"/>
    <w:rsid w:val="0072233F"/>
    <w:rsid w:val="007226D6"/>
    <w:rsid w:val="00722D26"/>
    <w:rsid w:val="00723B7A"/>
    <w:rsid w:val="00723CDB"/>
    <w:rsid w:val="007240CB"/>
    <w:rsid w:val="00724482"/>
    <w:rsid w:val="00724A99"/>
    <w:rsid w:val="00725367"/>
    <w:rsid w:val="007264F2"/>
    <w:rsid w:val="007268D9"/>
    <w:rsid w:val="0072730F"/>
    <w:rsid w:val="007274B5"/>
    <w:rsid w:val="0072769D"/>
    <w:rsid w:val="007278CB"/>
    <w:rsid w:val="00727AE4"/>
    <w:rsid w:val="00730DF8"/>
    <w:rsid w:val="00730FE0"/>
    <w:rsid w:val="00731210"/>
    <w:rsid w:val="007318B5"/>
    <w:rsid w:val="00731A14"/>
    <w:rsid w:val="007324B7"/>
    <w:rsid w:val="00733303"/>
    <w:rsid w:val="007339C5"/>
    <w:rsid w:val="00734C43"/>
    <w:rsid w:val="00735763"/>
    <w:rsid w:val="0073581A"/>
    <w:rsid w:val="00735882"/>
    <w:rsid w:val="00735D41"/>
    <w:rsid w:val="00735E6A"/>
    <w:rsid w:val="007370E9"/>
    <w:rsid w:val="00737BFB"/>
    <w:rsid w:val="00737E21"/>
    <w:rsid w:val="007401F8"/>
    <w:rsid w:val="00740327"/>
    <w:rsid w:val="00740704"/>
    <w:rsid w:val="007430B3"/>
    <w:rsid w:val="00743669"/>
    <w:rsid w:val="007437CD"/>
    <w:rsid w:val="00744D6D"/>
    <w:rsid w:val="0074547B"/>
    <w:rsid w:val="00745658"/>
    <w:rsid w:val="007456CC"/>
    <w:rsid w:val="00745DBE"/>
    <w:rsid w:val="007460F5"/>
    <w:rsid w:val="007460F8"/>
    <w:rsid w:val="00746379"/>
    <w:rsid w:val="007463CE"/>
    <w:rsid w:val="007465BA"/>
    <w:rsid w:val="00746AB4"/>
    <w:rsid w:val="00747115"/>
    <w:rsid w:val="00750522"/>
    <w:rsid w:val="00750D85"/>
    <w:rsid w:val="00750DFB"/>
    <w:rsid w:val="00750ED4"/>
    <w:rsid w:val="00750FEE"/>
    <w:rsid w:val="00751987"/>
    <w:rsid w:val="00751A7E"/>
    <w:rsid w:val="00751B4E"/>
    <w:rsid w:val="00751D5C"/>
    <w:rsid w:val="0075205B"/>
    <w:rsid w:val="00752AD4"/>
    <w:rsid w:val="00752C00"/>
    <w:rsid w:val="00752C0A"/>
    <w:rsid w:val="00752D3F"/>
    <w:rsid w:val="00752F17"/>
    <w:rsid w:val="0075327F"/>
    <w:rsid w:val="00753336"/>
    <w:rsid w:val="0075342A"/>
    <w:rsid w:val="0075351E"/>
    <w:rsid w:val="00753BBB"/>
    <w:rsid w:val="0075440E"/>
    <w:rsid w:val="00754560"/>
    <w:rsid w:val="00754D36"/>
    <w:rsid w:val="00755DB0"/>
    <w:rsid w:val="007561EA"/>
    <w:rsid w:val="00756A64"/>
    <w:rsid w:val="00757C9F"/>
    <w:rsid w:val="00757F07"/>
    <w:rsid w:val="00760098"/>
    <w:rsid w:val="0076091F"/>
    <w:rsid w:val="00760C90"/>
    <w:rsid w:val="00760FCC"/>
    <w:rsid w:val="0076128E"/>
    <w:rsid w:val="00761488"/>
    <w:rsid w:val="00761CF7"/>
    <w:rsid w:val="00761D1F"/>
    <w:rsid w:val="007633D9"/>
    <w:rsid w:val="007636C6"/>
    <w:rsid w:val="00763A81"/>
    <w:rsid w:val="00764135"/>
    <w:rsid w:val="007641EA"/>
    <w:rsid w:val="00764421"/>
    <w:rsid w:val="00764EF7"/>
    <w:rsid w:val="00765600"/>
    <w:rsid w:val="0076594D"/>
    <w:rsid w:val="007659EA"/>
    <w:rsid w:val="00765D1B"/>
    <w:rsid w:val="007663E3"/>
    <w:rsid w:val="00766A6B"/>
    <w:rsid w:val="00766BF6"/>
    <w:rsid w:val="00766CD8"/>
    <w:rsid w:val="007671C4"/>
    <w:rsid w:val="00767605"/>
    <w:rsid w:val="00767C72"/>
    <w:rsid w:val="00767F86"/>
    <w:rsid w:val="00770210"/>
    <w:rsid w:val="00770E8A"/>
    <w:rsid w:val="007715C0"/>
    <w:rsid w:val="0077179D"/>
    <w:rsid w:val="0077267D"/>
    <w:rsid w:val="00772AC9"/>
    <w:rsid w:val="0077310B"/>
    <w:rsid w:val="007739D6"/>
    <w:rsid w:val="00773D99"/>
    <w:rsid w:val="007749ED"/>
    <w:rsid w:val="00775346"/>
    <w:rsid w:val="00775377"/>
    <w:rsid w:val="007757D4"/>
    <w:rsid w:val="00775ABD"/>
    <w:rsid w:val="00775C2B"/>
    <w:rsid w:val="00775C70"/>
    <w:rsid w:val="007776D4"/>
    <w:rsid w:val="007801D0"/>
    <w:rsid w:val="0078039E"/>
    <w:rsid w:val="007809D4"/>
    <w:rsid w:val="00780B36"/>
    <w:rsid w:val="007813CC"/>
    <w:rsid w:val="007832B7"/>
    <w:rsid w:val="0078336B"/>
    <w:rsid w:val="007833E4"/>
    <w:rsid w:val="007833F6"/>
    <w:rsid w:val="00783B51"/>
    <w:rsid w:val="00783D1E"/>
    <w:rsid w:val="00783D87"/>
    <w:rsid w:val="007841F2"/>
    <w:rsid w:val="0078421A"/>
    <w:rsid w:val="0078504E"/>
    <w:rsid w:val="00785DAD"/>
    <w:rsid w:val="00786249"/>
    <w:rsid w:val="0078667A"/>
    <w:rsid w:val="007872EB"/>
    <w:rsid w:val="007875C4"/>
    <w:rsid w:val="0078769C"/>
    <w:rsid w:val="007876A2"/>
    <w:rsid w:val="00787960"/>
    <w:rsid w:val="00787B3E"/>
    <w:rsid w:val="00787D2C"/>
    <w:rsid w:val="00790C65"/>
    <w:rsid w:val="00790DE3"/>
    <w:rsid w:val="00790E19"/>
    <w:rsid w:val="007910FA"/>
    <w:rsid w:val="0079394F"/>
    <w:rsid w:val="00793F32"/>
    <w:rsid w:val="0079451A"/>
    <w:rsid w:val="007949B8"/>
    <w:rsid w:val="00794CF3"/>
    <w:rsid w:val="00794E0F"/>
    <w:rsid w:val="00794FA3"/>
    <w:rsid w:val="0079504E"/>
    <w:rsid w:val="00795824"/>
    <w:rsid w:val="00795C93"/>
    <w:rsid w:val="00796398"/>
    <w:rsid w:val="0079673D"/>
    <w:rsid w:val="00796E02"/>
    <w:rsid w:val="00797FB8"/>
    <w:rsid w:val="007A03BB"/>
    <w:rsid w:val="007A09CD"/>
    <w:rsid w:val="007A1543"/>
    <w:rsid w:val="007A1E4F"/>
    <w:rsid w:val="007A1E58"/>
    <w:rsid w:val="007A1F3C"/>
    <w:rsid w:val="007A20D0"/>
    <w:rsid w:val="007A322B"/>
    <w:rsid w:val="007A3DE5"/>
    <w:rsid w:val="007A42D0"/>
    <w:rsid w:val="007A471F"/>
    <w:rsid w:val="007A4CA8"/>
    <w:rsid w:val="007A4D77"/>
    <w:rsid w:val="007A4E4D"/>
    <w:rsid w:val="007A501C"/>
    <w:rsid w:val="007A59EE"/>
    <w:rsid w:val="007A5B6F"/>
    <w:rsid w:val="007A5C99"/>
    <w:rsid w:val="007A5DA4"/>
    <w:rsid w:val="007A65FD"/>
    <w:rsid w:val="007A66EE"/>
    <w:rsid w:val="007A6DF3"/>
    <w:rsid w:val="007A7DF0"/>
    <w:rsid w:val="007B059A"/>
    <w:rsid w:val="007B0A76"/>
    <w:rsid w:val="007B0B28"/>
    <w:rsid w:val="007B0F66"/>
    <w:rsid w:val="007B1C75"/>
    <w:rsid w:val="007B202E"/>
    <w:rsid w:val="007B25A0"/>
    <w:rsid w:val="007B2802"/>
    <w:rsid w:val="007B3A08"/>
    <w:rsid w:val="007B3D18"/>
    <w:rsid w:val="007B483A"/>
    <w:rsid w:val="007B4A8B"/>
    <w:rsid w:val="007B51DB"/>
    <w:rsid w:val="007B5206"/>
    <w:rsid w:val="007B57E6"/>
    <w:rsid w:val="007B5890"/>
    <w:rsid w:val="007B5C89"/>
    <w:rsid w:val="007B5C99"/>
    <w:rsid w:val="007B5E5D"/>
    <w:rsid w:val="007B63EE"/>
    <w:rsid w:val="007B6408"/>
    <w:rsid w:val="007B7B72"/>
    <w:rsid w:val="007C056B"/>
    <w:rsid w:val="007C0B19"/>
    <w:rsid w:val="007C0EF0"/>
    <w:rsid w:val="007C14E0"/>
    <w:rsid w:val="007C1FCE"/>
    <w:rsid w:val="007C25B6"/>
    <w:rsid w:val="007C26A8"/>
    <w:rsid w:val="007C2858"/>
    <w:rsid w:val="007C2F96"/>
    <w:rsid w:val="007C30C3"/>
    <w:rsid w:val="007C3E8A"/>
    <w:rsid w:val="007C4111"/>
    <w:rsid w:val="007C438A"/>
    <w:rsid w:val="007C4532"/>
    <w:rsid w:val="007C4AC4"/>
    <w:rsid w:val="007C4C48"/>
    <w:rsid w:val="007C4D79"/>
    <w:rsid w:val="007C526D"/>
    <w:rsid w:val="007C567C"/>
    <w:rsid w:val="007C59E4"/>
    <w:rsid w:val="007C5B75"/>
    <w:rsid w:val="007C5D97"/>
    <w:rsid w:val="007C6166"/>
    <w:rsid w:val="007C619A"/>
    <w:rsid w:val="007C686F"/>
    <w:rsid w:val="007C7A3B"/>
    <w:rsid w:val="007D0C49"/>
    <w:rsid w:val="007D1551"/>
    <w:rsid w:val="007D20A9"/>
    <w:rsid w:val="007D2F3A"/>
    <w:rsid w:val="007D376B"/>
    <w:rsid w:val="007D3942"/>
    <w:rsid w:val="007D3A91"/>
    <w:rsid w:val="007D3AFB"/>
    <w:rsid w:val="007D3C63"/>
    <w:rsid w:val="007D4662"/>
    <w:rsid w:val="007D4672"/>
    <w:rsid w:val="007D46CF"/>
    <w:rsid w:val="007D46F4"/>
    <w:rsid w:val="007D4F4C"/>
    <w:rsid w:val="007D5C88"/>
    <w:rsid w:val="007E00D8"/>
    <w:rsid w:val="007E07B7"/>
    <w:rsid w:val="007E0B21"/>
    <w:rsid w:val="007E0D80"/>
    <w:rsid w:val="007E0ED9"/>
    <w:rsid w:val="007E13EC"/>
    <w:rsid w:val="007E17C3"/>
    <w:rsid w:val="007E1A85"/>
    <w:rsid w:val="007E259E"/>
    <w:rsid w:val="007E2E15"/>
    <w:rsid w:val="007E3227"/>
    <w:rsid w:val="007E342F"/>
    <w:rsid w:val="007E3A23"/>
    <w:rsid w:val="007E408F"/>
    <w:rsid w:val="007E4C90"/>
    <w:rsid w:val="007E4D78"/>
    <w:rsid w:val="007E4FFB"/>
    <w:rsid w:val="007E5219"/>
    <w:rsid w:val="007E6291"/>
    <w:rsid w:val="007E740C"/>
    <w:rsid w:val="007E766E"/>
    <w:rsid w:val="007F061E"/>
    <w:rsid w:val="007F0A61"/>
    <w:rsid w:val="007F0C29"/>
    <w:rsid w:val="007F1711"/>
    <w:rsid w:val="007F17E5"/>
    <w:rsid w:val="007F1B70"/>
    <w:rsid w:val="007F1BEB"/>
    <w:rsid w:val="007F2098"/>
    <w:rsid w:val="007F213B"/>
    <w:rsid w:val="007F214B"/>
    <w:rsid w:val="007F223D"/>
    <w:rsid w:val="007F2461"/>
    <w:rsid w:val="007F25E3"/>
    <w:rsid w:val="007F28B0"/>
    <w:rsid w:val="007F3A26"/>
    <w:rsid w:val="007F3B3D"/>
    <w:rsid w:val="007F48D7"/>
    <w:rsid w:val="007F4C1A"/>
    <w:rsid w:val="007F4FF6"/>
    <w:rsid w:val="007F56F3"/>
    <w:rsid w:val="007F6136"/>
    <w:rsid w:val="007F6183"/>
    <w:rsid w:val="007F65AA"/>
    <w:rsid w:val="007F6EBA"/>
    <w:rsid w:val="007F7029"/>
    <w:rsid w:val="007F7786"/>
    <w:rsid w:val="007F7813"/>
    <w:rsid w:val="007F7C25"/>
    <w:rsid w:val="00800087"/>
    <w:rsid w:val="0080020B"/>
    <w:rsid w:val="00800838"/>
    <w:rsid w:val="0080085D"/>
    <w:rsid w:val="00800B7D"/>
    <w:rsid w:val="00800CEA"/>
    <w:rsid w:val="00800CF5"/>
    <w:rsid w:val="00800E97"/>
    <w:rsid w:val="008012A7"/>
    <w:rsid w:val="008012DD"/>
    <w:rsid w:val="00801573"/>
    <w:rsid w:val="00801A2A"/>
    <w:rsid w:val="00801CAB"/>
    <w:rsid w:val="00801F86"/>
    <w:rsid w:val="00802B23"/>
    <w:rsid w:val="008031E7"/>
    <w:rsid w:val="008033E0"/>
    <w:rsid w:val="00803751"/>
    <w:rsid w:val="0080383B"/>
    <w:rsid w:val="00804469"/>
    <w:rsid w:val="00804D85"/>
    <w:rsid w:val="00805CCD"/>
    <w:rsid w:val="00806379"/>
    <w:rsid w:val="00806397"/>
    <w:rsid w:val="0080686C"/>
    <w:rsid w:val="00806BA4"/>
    <w:rsid w:val="00806DC9"/>
    <w:rsid w:val="008077E0"/>
    <w:rsid w:val="00807FCE"/>
    <w:rsid w:val="00810D19"/>
    <w:rsid w:val="00811E46"/>
    <w:rsid w:val="00812307"/>
    <w:rsid w:val="008131B3"/>
    <w:rsid w:val="008137B0"/>
    <w:rsid w:val="00813A0A"/>
    <w:rsid w:val="00813E4D"/>
    <w:rsid w:val="00813E5A"/>
    <w:rsid w:val="00814764"/>
    <w:rsid w:val="00814E06"/>
    <w:rsid w:val="00814E16"/>
    <w:rsid w:val="00814F2B"/>
    <w:rsid w:val="00814F3F"/>
    <w:rsid w:val="00815DCD"/>
    <w:rsid w:val="0081628A"/>
    <w:rsid w:val="0081691D"/>
    <w:rsid w:val="00816C46"/>
    <w:rsid w:val="00816C74"/>
    <w:rsid w:val="00816CBC"/>
    <w:rsid w:val="00816CBE"/>
    <w:rsid w:val="0081757C"/>
    <w:rsid w:val="008177A8"/>
    <w:rsid w:val="00817D26"/>
    <w:rsid w:val="00820924"/>
    <w:rsid w:val="00820CD5"/>
    <w:rsid w:val="00820DE8"/>
    <w:rsid w:val="00820EB3"/>
    <w:rsid w:val="008215C1"/>
    <w:rsid w:val="008217B8"/>
    <w:rsid w:val="00821A2C"/>
    <w:rsid w:val="00821E8A"/>
    <w:rsid w:val="00821FA2"/>
    <w:rsid w:val="008232EB"/>
    <w:rsid w:val="0082342F"/>
    <w:rsid w:val="00823B5F"/>
    <w:rsid w:val="00823D03"/>
    <w:rsid w:val="00823E34"/>
    <w:rsid w:val="00823E9D"/>
    <w:rsid w:val="00824834"/>
    <w:rsid w:val="008250EE"/>
    <w:rsid w:val="008255EC"/>
    <w:rsid w:val="00826058"/>
    <w:rsid w:val="00826396"/>
    <w:rsid w:val="008263C5"/>
    <w:rsid w:val="0082679B"/>
    <w:rsid w:val="008269EC"/>
    <w:rsid w:val="00826E2E"/>
    <w:rsid w:val="008279BB"/>
    <w:rsid w:val="00827B57"/>
    <w:rsid w:val="00827FE1"/>
    <w:rsid w:val="00827FF8"/>
    <w:rsid w:val="0083015A"/>
    <w:rsid w:val="00830597"/>
    <w:rsid w:val="008306AD"/>
    <w:rsid w:val="00830AFB"/>
    <w:rsid w:val="00830EBA"/>
    <w:rsid w:val="008318A3"/>
    <w:rsid w:val="0083231B"/>
    <w:rsid w:val="00832522"/>
    <w:rsid w:val="00832804"/>
    <w:rsid w:val="008332D1"/>
    <w:rsid w:val="0083356F"/>
    <w:rsid w:val="00833A8B"/>
    <w:rsid w:val="00834181"/>
    <w:rsid w:val="0083439A"/>
    <w:rsid w:val="00834FAE"/>
    <w:rsid w:val="00835415"/>
    <w:rsid w:val="00836769"/>
    <w:rsid w:val="00836ABB"/>
    <w:rsid w:val="00836F98"/>
    <w:rsid w:val="00837C85"/>
    <w:rsid w:val="00837EA1"/>
    <w:rsid w:val="008402F3"/>
    <w:rsid w:val="00841686"/>
    <w:rsid w:val="008418D2"/>
    <w:rsid w:val="008419DD"/>
    <w:rsid w:val="00841BA7"/>
    <w:rsid w:val="00841E71"/>
    <w:rsid w:val="008424C5"/>
    <w:rsid w:val="00842A1A"/>
    <w:rsid w:val="00842E96"/>
    <w:rsid w:val="00842EF1"/>
    <w:rsid w:val="00842FEC"/>
    <w:rsid w:val="00843277"/>
    <w:rsid w:val="0084366F"/>
    <w:rsid w:val="00843A78"/>
    <w:rsid w:val="00843EE8"/>
    <w:rsid w:val="008443F0"/>
    <w:rsid w:val="00844638"/>
    <w:rsid w:val="00844963"/>
    <w:rsid w:val="00844B34"/>
    <w:rsid w:val="00844BF2"/>
    <w:rsid w:val="00845390"/>
    <w:rsid w:val="008458A4"/>
    <w:rsid w:val="00845B32"/>
    <w:rsid w:val="00845D86"/>
    <w:rsid w:val="00845E79"/>
    <w:rsid w:val="00846244"/>
    <w:rsid w:val="008463FA"/>
    <w:rsid w:val="00846520"/>
    <w:rsid w:val="008478F3"/>
    <w:rsid w:val="00847AAA"/>
    <w:rsid w:val="00847C18"/>
    <w:rsid w:val="00847C66"/>
    <w:rsid w:val="00850C24"/>
    <w:rsid w:val="00850F15"/>
    <w:rsid w:val="008514D1"/>
    <w:rsid w:val="00851A3C"/>
    <w:rsid w:val="00851D4B"/>
    <w:rsid w:val="008520AD"/>
    <w:rsid w:val="008529F8"/>
    <w:rsid w:val="00852CB2"/>
    <w:rsid w:val="0085327F"/>
    <w:rsid w:val="008534F2"/>
    <w:rsid w:val="00853517"/>
    <w:rsid w:val="00854CB2"/>
    <w:rsid w:val="00855130"/>
    <w:rsid w:val="00855862"/>
    <w:rsid w:val="00855927"/>
    <w:rsid w:val="00855B4E"/>
    <w:rsid w:val="008560C0"/>
    <w:rsid w:val="00856420"/>
    <w:rsid w:val="00857858"/>
    <w:rsid w:val="00857DB8"/>
    <w:rsid w:val="00861D8C"/>
    <w:rsid w:val="0086302A"/>
    <w:rsid w:val="00863A6F"/>
    <w:rsid w:val="00864501"/>
    <w:rsid w:val="0086517B"/>
    <w:rsid w:val="00865802"/>
    <w:rsid w:val="00865BD1"/>
    <w:rsid w:val="00866237"/>
    <w:rsid w:val="0086633B"/>
    <w:rsid w:val="008669AF"/>
    <w:rsid w:val="00866B01"/>
    <w:rsid w:val="00867105"/>
    <w:rsid w:val="008679B4"/>
    <w:rsid w:val="00867FC3"/>
    <w:rsid w:val="008705EF"/>
    <w:rsid w:val="008710CD"/>
    <w:rsid w:val="00872510"/>
    <w:rsid w:val="0087389D"/>
    <w:rsid w:val="008742DA"/>
    <w:rsid w:val="00874388"/>
    <w:rsid w:val="0087453C"/>
    <w:rsid w:val="00874B71"/>
    <w:rsid w:val="00874E0A"/>
    <w:rsid w:val="00874E3A"/>
    <w:rsid w:val="00875E41"/>
    <w:rsid w:val="00876073"/>
    <w:rsid w:val="00876795"/>
    <w:rsid w:val="008767DF"/>
    <w:rsid w:val="00876C02"/>
    <w:rsid w:val="008772E7"/>
    <w:rsid w:val="008776BB"/>
    <w:rsid w:val="00877A01"/>
    <w:rsid w:val="00877FCD"/>
    <w:rsid w:val="00881173"/>
    <w:rsid w:val="00881273"/>
    <w:rsid w:val="008814F2"/>
    <w:rsid w:val="00881D32"/>
    <w:rsid w:val="00881F89"/>
    <w:rsid w:val="00882723"/>
    <w:rsid w:val="00882F5A"/>
    <w:rsid w:val="008833DD"/>
    <w:rsid w:val="00884312"/>
    <w:rsid w:val="00884410"/>
    <w:rsid w:val="0088473D"/>
    <w:rsid w:val="008853DB"/>
    <w:rsid w:val="00885A32"/>
    <w:rsid w:val="00885CA2"/>
    <w:rsid w:val="0088630C"/>
    <w:rsid w:val="00886A82"/>
    <w:rsid w:val="00890256"/>
    <w:rsid w:val="00890965"/>
    <w:rsid w:val="00891C7D"/>
    <w:rsid w:val="00892FA4"/>
    <w:rsid w:val="008931C7"/>
    <w:rsid w:val="00893B4C"/>
    <w:rsid w:val="00893C2A"/>
    <w:rsid w:val="0089401F"/>
    <w:rsid w:val="00894626"/>
    <w:rsid w:val="00894950"/>
    <w:rsid w:val="00894F46"/>
    <w:rsid w:val="00894FAB"/>
    <w:rsid w:val="008960FA"/>
    <w:rsid w:val="0089613C"/>
    <w:rsid w:val="00896835"/>
    <w:rsid w:val="0089686F"/>
    <w:rsid w:val="00896992"/>
    <w:rsid w:val="00896A95"/>
    <w:rsid w:val="00897B92"/>
    <w:rsid w:val="00897B93"/>
    <w:rsid w:val="008A014B"/>
    <w:rsid w:val="008A0AFA"/>
    <w:rsid w:val="008A11DC"/>
    <w:rsid w:val="008A1232"/>
    <w:rsid w:val="008A1BCB"/>
    <w:rsid w:val="008A2065"/>
    <w:rsid w:val="008A39C6"/>
    <w:rsid w:val="008A3B7A"/>
    <w:rsid w:val="008A4BD0"/>
    <w:rsid w:val="008A4E35"/>
    <w:rsid w:val="008A52ED"/>
    <w:rsid w:val="008A5AF3"/>
    <w:rsid w:val="008A5D26"/>
    <w:rsid w:val="008A5EF2"/>
    <w:rsid w:val="008A6329"/>
    <w:rsid w:val="008A6B29"/>
    <w:rsid w:val="008A6E0D"/>
    <w:rsid w:val="008A7081"/>
    <w:rsid w:val="008A7620"/>
    <w:rsid w:val="008A782A"/>
    <w:rsid w:val="008A7877"/>
    <w:rsid w:val="008A7AFC"/>
    <w:rsid w:val="008A7D07"/>
    <w:rsid w:val="008B083E"/>
    <w:rsid w:val="008B08AD"/>
    <w:rsid w:val="008B0AF5"/>
    <w:rsid w:val="008B0E7D"/>
    <w:rsid w:val="008B1036"/>
    <w:rsid w:val="008B1211"/>
    <w:rsid w:val="008B12CB"/>
    <w:rsid w:val="008B22B7"/>
    <w:rsid w:val="008B22E6"/>
    <w:rsid w:val="008B2572"/>
    <w:rsid w:val="008B29A9"/>
    <w:rsid w:val="008B38AF"/>
    <w:rsid w:val="008B39A8"/>
    <w:rsid w:val="008B3D21"/>
    <w:rsid w:val="008B49DB"/>
    <w:rsid w:val="008B4E8F"/>
    <w:rsid w:val="008B652D"/>
    <w:rsid w:val="008B6A78"/>
    <w:rsid w:val="008B6B89"/>
    <w:rsid w:val="008B6C50"/>
    <w:rsid w:val="008B6EE8"/>
    <w:rsid w:val="008B7276"/>
    <w:rsid w:val="008B73B0"/>
    <w:rsid w:val="008B7B1C"/>
    <w:rsid w:val="008B7D9A"/>
    <w:rsid w:val="008C0530"/>
    <w:rsid w:val="008C06A3"/>
    <w:rsid w:val="008C07D1"/>
    <w:rsid w:val="008C092A"/>
    <w:rsid w:val="008C18B1"/>
    <w:rsid w:val="008C1B65"/>
    <w:rsid w:val="008C1BA0"/>
    <w:rsid w:val="008C25C3"/>
    <w:rsid w:val="008C2731"/>
    <w:rsid w:val="008C2B04"/>
    <w:rsid w:val="008C3635"/>
    <w:rsid w:val="008C36E2"/>
    <w:rsid w:val="008C37EA"/>
    <w:rsid w:val="008C3D0D"/>
    <w:rsid w:val="008C472F"/>
    <w:rsid w:val="008C4E99"/>
    <w:rsid w:val="008C50E1"/>
    <w:rsid w:val="008C56E6"/>
    <w:rsid w:val="008C5AB3"/>
    <w:rsid w:val="008C5F4E"/>
    <w:rsid w:val="008C65D5"/>
    <w:rsid w:val="008C6F8E"/>
    <w:rsid w:val="008C7369"/>
    <w:rsid w:val="008C7780"/>
    <w:rsid w:val="008C77C1"/>
    <w:rsid w:val="008C79AF"/>
    <w:rsid w:val="008C79D4"/>
    <w:rsid w:val="008C7E82"/>
    <w:rsid w:val="008D0963"/>
    <w:rsid w:val="008D120C"/>
    <w:rsid w:val="008D13C6"/>
    <w:rsid w:val="008D1C04"/>
    <w:rsid w:val="008D1FC7"/>
    <w:rsid w:val="008D2E97"/>
    <w:rsid w:val="008D30B6"/>
    <w:rsid w:val="008D3835"/>
    <w:rsid w:val="008D3CD6"/>
    <w:rsid w:val="008D4559"/>
    <w:rsid w:val="008D483B"/>
    <w:rsid w:val="008D519F"/>
    <w:rsid w:val="008D5612"/>
    <w:rsid w:val="008D5E43"/>
    <w:rsid w:val="008D5EC0"/>
    <w:rsid w:val="008D6742"/>
    <w:rsid w:val="008D67DA"/>
    <w:rsid w:val="008D684E"/>
    <w:rsid w:val="008D6B79"/>
    <w:rsid w:val="008D7473"/>
    <w:rsid w:val="008D7861"/>
    <w:rsid w:val="008D78C3"/>
    <w:rsid w:val="008E0542"/>
    <w:rsid w:val="008E0A38"/>
    <w:rsid w:val="008E16C0"/>
    <w:rsid w:val="008E1782"/>
    <w:rsid w:val="008E1EED"/>
    <w:rsid w:val="008E2681"/>
    <w:rsid w:val="008E280F"/>
    <w:rsid w:val="008E29B2"/>
    <w:rsid w:val="008E29DF"/>
    <w:rsid w:val="008E3232"/>
    <w:rsid w:val="008E32E8"/>
    <w:rsid w:val="008E3758"/>
    <w:rsid w:val="008E3A29"/>
    <w:rsid w:val="008E3EA8"/>
    <w:rsid w:val="008E4040"/>
    <w:rsid w:val="008E4494"/>
    <w:rsid w:val="008E4827"/>
    <w:rsid w:val="008E4888"/>
    <w:rsid w:val="008E5224"/>
    <w:rsid w:val="008E53BE"/>
    <w:rsid w:val="008E5C0E"/>
    <w:rsid w:val="008E6EF3"/>
    <w:rsid w:val="008E7480"/>
    <w:rsid w:val="008E7573"/>
    <w:rsid w:val="008F05BD"/>
    <w:rsid w:val="008F0C9D"/>
    <w:rsid w:val="008F0ED6"/>
    <w:rsid w:val="008F10DF"/>
    <w:rsid w:val="008F116F"/>
    <w:rsid w:val="008F169D"/>
    <w:rsid w:val="008F16C4"/>
    <w:rsid w:val="008F1A70"/>
    <w:rsid w:val="008F1C46"/>
    <w:rsid w:val="008F1C89"/>
    <w:rsid w:val="008F1D94"/>
    <w:rsid w:val="008F1E46"/>
    <w:rsid w:val="008F252F"/>
    <w:rsid w:val="008F3422"/>
    <w:rsid w:val="008F3532"/>
    <w:rsid w:val="008F3CCA"/>
    <w:rsid w:val="008F3D35"/>
    <w:rsid w:val="008F459A"/>
    <w:rsid w:val="008F4619"/>
    <w:rsid w:val="008F5CE1"/>
    <w:rsid w:val="008F5D78"/>
    <w:rsid w:val="008F66AD"/>
    <w:rsid w:val="008F7947"/>
    <w:rsid w:val="008F7952"/>
    <w:rsid w:val="008F7B1D"/>
    <w:rsid w:val="009006C0"/>
    <w:rsid w:val="00900AD0"/>
    <w:rsid w:val="00900E03"/>
    <w:rsid w:val="00900FD2"/>
    <w:rsid w:val="00901081"/>
    <w:rsid w:val="0090110E"/>
    <w:rsid w:val="0090140E"/>
    <w:rsid w:val="009018B2"/>
    <w:rsid w:val="00901B16"/>
    <w:rsid w:val="00902213"/>
    <w:rsid w:val="0090271F"/>
    <w:rsid w:val="009027DC"/>
    <w:rsid w:val="009029BD"/>
    <w:rsid w:val="00902BD8"/>
    <w:rsid w:val="009036DA"/>
    <w:rsid w:val="00904245"/>
    <w:rsid w:val="00904458"/>
    <w:rsid w:val="00904688"/>
    <w:rsid w:val="00905553"/>
    <w:rsid w:val="0090610D"/>
    <w:rsid w:val="00906623"/>
    <w:rsid w:val="00906D81"/>
    <w:rsid w:val="00907154"/>
    <w:rsid w:val="00907C05"/>
    <w:rsid w:val="00907CA9"/>
    <w:rsid w:val="00907CBE"/>
    <w:rsid w:val="00910211"/>
    <w:rsid w:val="009104EE"/>
    <w:rsid w:val="00910A24"/>
    <w:rsid w:val="009110F8"/>
    <w:rsid w:val="00911859"/>
    <w:rsid w:val="00912E18"/>
    <w:rsid w:val="00913E08"/>
    <w:rsid w:val="009140F3"/>
    <w:rsid w:val="00914330"/>
    <w:rsid w:val="0091458C"/>
    <w:rsid w:val="00914612"/>
    <w:rsid w:val="009149CA"/>
    <w:rsid w:val="009150DD"/>
    <w:rsid w:val="00915B4C"/>
    <w:rsid w:val="00915C17"/>
    <w:rsid w:val="00915E8E"/>
    <w:rsid w:val="00915E93"/>
    <w:rsid w:val="00915EC7"/>
    <w:rsid w:val="00916635"/>
    <w:rsid w:val="00916AFB"/>
    <w:rsid w:val="00916BAC"/>
    <w:rsid w:val="00916F1C"/>
    <w:rsid w:val="00917339"/>
    <w:rsid w:val="0091759B"/>
    <w:rsid w:val="00917882"/>
    <w:rsid w:val="009205A8"/>
    <w:rsid w:val="00920D76"/>
    <w:rsid w:val="009214F4"/>
    <w:rsid w:val="00921646"/>
    <w:rsid w:val="00921AA7"/>
    <w:rsid w:val="009229AB"/>
    <w:rsid w:val="00922BA5"/>
    <w:rsid w:val="00922E35"/>
    <w:rsid w:val="00922F13"/>
    <w:rsid w:val="009234A4"/>
    <w:rsid w:val="009248EE"/>
    <w:rsid w:val="00925615"/>
    <w:rsid w:val="009256C3"/>
    <w:rsid w:val="00925768"/>
    <w:rsid w:val="00926331"/>
    <w:rsid w:val="00926931"/>
    <w:rsid w:val="00926A96"/>
    <w:rsid w:val="0092716D"/>
    <w:rsid w:val="009272FD"/>
    <w:rsid w:val="00927648"/>
    <w:rsid w:val="0093045E"/>
    <w:rsid w:val="0093054D"/>
    <w:rsid w:val="0093059F"/>
    <w:rsid w:val="00930BEB"/>
    <w:rsid w:val="00930C14"/>
    <w:rsid w:val="00931521"/>
    <w:rsid w:val="009317DD"/>
    <w:rsid w:val="00931ED8"/>
    <w:rsid w:val="00932D73"/>
    <w:rsid w:val="00933616"/>
    <w:rsid w:val="009346BF"/>
    <w:rsid w:val="00935692"/>
    <w:rsid w:val="0093586B"/>
    <w:rsid w:val="009358E2"/>
    <w:rsid w:val="0093710E"/>
    <w:rsid w:val="00937224"/>
    <w:rsid w:val="00937C26"/>
    <w:rsid w:val="00937C75"/>
    <w:rsid w:val="009413F4"/>
    <w:rsid w:val="009419E8"/>
    <w:rsid w:val="00941D69"/>
    <w:rsid w:val="009424C2"/>
    <w:rsid w:val="00942BDD"/>
    <w:rsid w:val="00943986"/>
    <w:rsid w:val="00943A22"/>
    <w:rsid w:val="00943B96"/>
    <w:rsid w:val="00943F11"/>
    <w:rsid w:val="00943F4D"/>
    <w:rsid w:val="00943FC0"/>
    <w:rsid w:val="00944BEF"/>
    <w:rsid w:val="00944E65"/>
    <w:rsid w:val="009451FD"/>
    <w:rsid w:val="00945355"/>
    <w:rsid w:val="0094557B"/>
    <w:rsid w:val="00945A56"/>
    <w:rsid w:val="00945BD6"/>
    <w:rsid w:val="00945E57"/>
    <w:rsid w:val="00945FD9"/>
    <w:rsid w:val="00946B39"/>
    <w:rsid w:val="00946C5B"/>
    <w:rsid w:val="00946FDD"/>
    <w:rsid w:val="00947627"/>
    <w:rsid w:val="009477BD"/>
    <w:rsid w:val="009505CD"/>
    <w:rsid w:val="0095062A"/>
    <w:rsid w:val="009506C9"/>
    <w:rsid w:val="0095128F"/>
    <w:rsid w:val="009516B1"/>
    <w:rsid w:val="0095189E"/>
    <w:rsid w:val="00951D52"/>
    <w:rsid w:val="00951DBC"/>
    <w:rsid w:val="0095227B"/>
    <w:rsid w:val="00952372"/>
    <w:rsid w:val="009529ED"/>
    <w:rsid w:val="00953BBD"/>
    <w:rsid w:val="00955B4D"/>
    <w:rsid w:val="00955F83"/>
    <w:rsid w:val="009565D3"/>
    <w:rsid w:val="0095661F"/>
    <w:rsid w:val="00956AC5"/>
    <w:rsid w:val="00956E71"/>
    <w:rsid w:val="00957251"/>
    <w:rsid w:val="00957261"/>
    <w:rsid w:val="00957BB5"/>
    <w:rsid w:val="009608EF"/>
    <w:rsid w:val="00960AAE"/>
    <w:rsid w:val="00961206"/>
    <w:rsid w:val="00961583"/>
    <w:rsid w:val="00961B7A"/>
    <w:rsid w:val="00961FCD"/>
    <w:rsid w:val="0096212A"/>
    <w:rsid w:val="0096241B"/>
    <w:rsid w:val="0096347E"/>
    <w:rsid w:val="00963EE9"/>
    <w:rsid w:val="00964482"/>
    <w:rsid w:val="0096468E"/>
    <w:rsid w:val="00964A17"/>
    <w:rsid w:val="009654E1"/>
    <w:rsid w:val="00966270"/>
    <w:rsid w:val="00966426"/>
    <w:rsid w:val="0096651C"/>
    <w:rsid w:val="00966575"/>
    <w:rsid w:val="009677BB"/>
    <w:rsid w:val="00967871"/>
    <w:rsid w:val="009679E0"/>
    <w:rsid w:val="00967CD5"/>
    <w:rsid w:val="00967D67"/>
    <w:rsid w:val="00967F4C"/>
    <w:rsid w:val="00970487"/>
    <w:rsid w:val="0097065C"/>
    <w:rsid w:val="00970A18"/>
    <w:rsid w:val="00970B43"/>
    <w:rsid w:val="00970C65"/>
    <w:rsid w:val="0097129B"/>
    <w:rsid w:val="0097135F"/>
    <w:rsid w:val="0097196A"/>
    <w:rsid w:val="00971E28"/>
    <w:rsid w:val="0097205A"/>
    <w:rsid w:val="009720E8"/>
    <w:rsid w:val="0097264C"/>
    <w:rsid w:val="00972A83"/>
    <w:rsid w:val="00972B56"/>
    <w:rsid w:val="00972F8A"/>
    <w:rsid w:val="00973191"/>
    <w:rsid w:val="009738F7"/>
    <w:rsid w:val="00973B70"/>
    <w:rsid w:val="00973C88"/>
    <w:rsid w:val="00974369"/>
    <w:rsid w:val="00974611"/>
    <w:rsid w:val="00974E66"/>
    <w:rsid w:val="00975BB7"/>
    <w:rsid w:val="00976A56"/>
    <w:rsid w:val="00976C72"/>
    <w:rsid w:val="0098015D"/>
    <w:rsid w:val="009809DB"/>
    <w:rsid w:val="0098103F"/>
    <w:rsid w:val="00981D4B"/>
    <w:rsid w:val="00982CA3"/>
    <w:rsid w:val="00983397"/>
    <w:rsid w:val="009833AB"/>
    <w:rsid w:val="009834B2"/>
    <w:rsid w:val="009839D8"/>
    <w:rsid w:val="00983B38"/>
    <w:rsid w:val="00983E4F"/>
    <w:rsid w:val="009840A5"/>
    <w:rsid w:val="0098415D"/>
    <w:rsid w:val="0098430C"/>
    <w:rsid w:val="00984505"/>
    <w:rsid w:val="0098529B"/>
    <w:rsid w:val="009853F7"/>
    <w:rsid w:val="0098722D"/>
    <w:rsid w:val="0098732B"/>
    <w:rsid w:val="00987D34"/>
    <w:rsid w:val="00990EB4"/>
    <w:rsid w:val="00991775"/>
    <w:rsid w:val="00991E45"/>
    <w:rsid w:val="00991E8A"/>
    <w:rsid w:val="00991F9D"/>
    <w:rsid w:val="00992132"/>
    <w:rsid w:val="0099288E"/>
    <w:rsid w:val="00993F33"/>
    <w:rsid w:val="00994226"/>
    <w:rsid w:val="00994408"/>
    <w:rsid w:val="00994627"/>
    <w:rsid w:val="009946DE"/>
    <w:rsid w:val="00994A64"/>
    <w:rsid w:val="00994B4D"/>
    <w:rsid w:val="0099621E"/>
    <w:rsid w:val="00996D1C"/>
    <w:rsid w:val="009975A8"/>
    <w:rsid w:val="00997FE0"/>
    <w:rsid w:val="009A044F"/>
    <w:rsid w:val="009A0A67"/>
    <w:rsid w:val="009A1065"/>
    <w:rsid w:val="009A10BB"/>
    <w:rsid w:val="009A1B6F"/>
    <w:rsid w:val="009A2ACD"/>
    <w:rsid w:val="009A2DD3"/>
    <w:rsid w:val="009A341E"/>
    <w:rsid w:val="009A4B39"/>
    <w:rsid w:val="009A4F94"/>
    <w:rsid w:val="009A538F"/>
    <w:rsid w:val="009A545B"/>
    <w:rsid w:val="009A546D"/>
    <w:rsid w:val="009A570E"/>
    <w:rsid w:val="009A5B4F"/>
    <w:rsid w:val="009A5DB6"/>
    <w:rsid w:val="009A610E"/>
    <w:rsid w:val="009A6993"/>
    <w:rsid w:val="009A6A9B"/>
    <w:rsid w:val="009A7082"/>
    <w:rsid w:val="009A742C"/>
    <w:rsid w:val="009A7881"/>
    <w:rsid w:val="009A7C56"/>
    <w:rsid w:val="009B02F9"/>
    <w:rsid w:val="009B04C7"/>
    <w:rsid w:val="009B09DA"/>
    <w:rsid w:val="009B0C0C"/>
    <w:rsid w:val="009B0ECA"/>
    <w:rsid w:val="009B1154"/>
    <w:rsid w:val="009B1554"/>
    <w:rsid w:val="009B21A2"/>
    <w:rsid w:val="009B23B1"/>
    <w:rsid w:val="009B276B"/>
    <w:rsid w:val="009B2A33"/>
    <w:rsid w:val="009B2C89"/>
    <w:rsid w:val="009B2F98"/>
    <w:rsid w:val="009B3091"/>
    <w:rsid w:val="009B3B3C"/>
    <w:rsid w:val="009B3BD9"/>
    <w:rsid w:val="009B3EEE"/>
    <w:rsid w:val="009B44D6"/>
    <w:rsid w:val="009B49FB"/>
    <w:rsid w:val="009B51D5"/>
    <w:rsid w:val="009B5475"/>
    <w:rsid w:val="009B597F"/>
    <w:rsid w:val="009B5AAD"/>
    <w:rsid w:val="009B65F1"/>
    <w:rsid w:val="009B6823"/>
    <w:rsid w:val="009B6E18"/>
    <w:rsid w:val="009B79C6"/>
    <w:rsid w:val="009C04FC"/>
    <w:rsid w:val="009C0510"/>
    <w:rsid w:val="009C06D6"/>
    <w:rsid w:val="009C0A11"/>
    <w:rsid w:val="009C1604"/>
    <w:rsid w:val="009C2B14"/>
    <w:rsid w:val="009C2E0C"/>
    <w:rsid w:val="009C2E29"/>
    <w:rsid w:val="009C307E"/>
    <w:rsid w:val="009C34B8"/>
    <w:rsid w:val="009C3A1C"/>
    <w:rsid w:val="009C44F0"/>
    <w:rsid w:val="009C4DAD"/>
    <w:rsid w:val="009C4E9B"/>
    <w:rsid w:val="009C5349"/>
    <w:rsid w:val="009C5C92"/>
    <w:rsid w:val="009C6014"/>
    <w:rsid w:val="009C619C"/>
    <w:rsid w:val="009C6B3E"/>
    <w:rsid w:val="009C7254"/>
    <w:rsid w:val="009C74DE"/>
    <w:rsid w:val="009C758A"/>
    <w:rsid w:val="009C7727"/>
    <w:rsid w:val="009C7AC5"/>
    <w:rsid w:val="009C7F53"/>
    <w:rsid w:val="009D004D"/>
    <w:rsid w:val="009D05BD"/>
    <w:rsid w:val="009D09C8"/>
    <w:rsid w:val="009D0B9A"/>
    <w:rsid w:val="009D11C6"/>
    <w:rsid w:val="009D19A8"/>
    <w:rsid w:val="009D1DD4"/>
    <w:rsid w:val="009D2076"/>
    <w:rsid w:val="009D246E"/>
    <w:rsid w:val="009D29FD"/>
    <w:rsid w:val="009D2F2E"/>
    <w:rsid w:val="009D309A"/>
    <w:rsid w:val="009D3760"/>
    <w:rsid w:val="009D4B79"/>
    <w:rsid w:val="009D5319"/>
    <w:rsid w:val="009D6D35"/>
    <w:rsid w:val="009D7610"/>
    <w:rsid w:val="009E0626"/>
    <w:rsid w:val="009E1467"/>
    <w:rsid w:val="009E1CEC"/>
    <w:rsid w:val="009E1E73"/>
    <w:rsid w:val="009E234E"/>
    <w:rsid w:val="009E2552"/>
    <w:rsid w:val="009E26A7"/>
    <w:rsid w:val="009E2938"/>
    <w:rsid w:val="009E2AC7"/>
    <w:rsid w:val="009E3058"/>
    <w:rsid w:val="009E3939"/>
    <w:rsid w:val="009E3C79"/>
    <w:rsid w:val="009E43A0"/>
    <w:rsid w:val="009E4BFD"/>
    <w:rsid w:val="009E4E60"/>
    <w:rsid w:val="009E57FF"/>
    <w:rsid w:val="009E593A"/>
    <w:rsid w:val="009E68B5"/>
    <w:rsid w:val="009E6A5E"/>
    <w:rsid w:val="009E6DB2"/>
    <w:rsid w:val="009E7948"/>
    <w:rsid w:val="009E7956"/>
    <w:rsid w:val="009E7B9D"/>
    <w:rsid w:val="009F0C3C"/>
    <w:rsid w:val="009F145D"/>
    <w:rsid w:val="009F1689"/>
    <w:rsid w:val="009F1B6D"/>
    <w:rsid w:val="009F2AC3"/>
    <w:rsid w:val="009F2E2F"/>
    <w:rsid w:val="009F3179"/>
    <w:rsid w:val="009F3387"/>
    <w:rsid w:val="009F39E1"/>
    <w:rsid w:val="009F470A"/>
    <w:rsid w:val="009F495D"/>
    <w:rsid w:val="009F4B21"/>
    <w:rsid w:val="009F4B83"/>
    <w:rsid w:val="009F4C78"/>
    <w:rsid w:val="009F4D76"/>
    <w:rsid w:val="009F5853"/>
    <w:rsid w:val="009F717A"/>
    <w:rsid w:val="009F7543"/>
    <w:rsid w:val="009F77B3"/>
    <w:rsid w:val="009F7914"/>
    <w:rsid w:val="00A000F3"/>
    <w:rsid w:val="00A011CF"/>
    <w:rsid w:val="00A0129F"/>
    <w:rsid w:val="00A0154B"/>
    <w:rsid w:val="00A0177A"/>
    <w:rsid w:val="00A017B4"/>
    <w:rsid w:val="00A02600"/>
    <w:rsid w:val="00A03D36"/>
    <w:rsid w:val="00A045F1"/>
    <w:rsid w:val="00A0544F"/>
    <w:rsid w:val="00A05593"/>
    <w:rsid w:val="00A05AD7"/>
    <w:rsid w:val="00A06547"/>
    <w:rsid w:val="00A06920"/>
    <w:rsid w:val="00A06BB4"/>
    <w:rsid w:val="00A07239"/>
    <w:rsid w:val="00A072E9"/>
    <w:rsid w:val="00A073D7"/>
    <w:rsid w:val="00A07695"/>
    <w:rsid w:val="00A0790B"/>
    <w:rsid w:val="00A100C9"/>
    <w:rsid w:val="00A10123"/>
    <w:rsid w:val="00A1037E"/>
    <w:rsid w:val="00A103F9"/>
    <w:rsid w:val="00A10462"/>
    <w:rsid w:val="00A1046B"/>
    <w:rsid w:val="00A10F7B"/>
    <w:rsid w:val="00A1183C"/>
    <w:rsid w:val="00A11D73"/>
    <w:rsid w:val="00A12016"/>
    <w:rsid w:val="00A12E47"/>
    <w:rsid w:val="00A12E8A"/>
    <w:rsid w:val="00A1301D"/>
    <w:rsid w:val="00A13080"/>
    <w:rsid w:val="00A13353"/>
    <w:rsid w:val="00A1369A"/>
    <w:rsid w:val="00A13865"/>
    <w:rsid w:val="00A13B1D"/>
    <w:rsid w:val="00A13D67"/>
    <w:rsid w:val="00A143EC"/>
    <w:rsid w:val="00A15014"/>
    <w:rsid w:val="00A15104"/>
    <w:rsid w:val="00A1562A"/>
    <w:rsid w:val="00A15BCE"/>
    <w:rsid w:val="00A160CE"/>
    <w:rsid w:val="00A167A7"/>
    <w:rsid w:val="00A16BD0"/>
    <w:rsid w:val="00A17F13"/>
    <w:rsid w:val="00A20ACF"/>
    <w:rsid w:val="00A212CC"/>
    <w:rsid w:val="00A21432"/>
    <w:rsid w:val="00A21C7E"/>
    <w:rsid w:val="00A22613"/>
    <w:rsid w:val="00A23502"/>
    <w:rsid w:val="00A23961"/>
    <w:rsid w:val="00A23A2A"/>
    <w:rsid w:val="00A23BE8"/>
    <w:rsid w:val="00A23C11"/>
    <w:rsid w:val="00A23E82"/>
    <w:rsid w:val="00A24B83"/>
    <w:rsid w:val="00A24D10"/>
    <w:rsid w:val="00A24D3D"/>
    <w:rsid w:val="00A24DE5"/>
    <w:rsid w:val="00A25087"/>
    <w:rsid w:val="00A256A9"/>
    <w:rsid w:val="00A256DB"/>
    <w:rsid w:val="00A256FB"/>
    <w:rsid w:val="00A258C3"/>
    <w:rsid w:val="00A265BD"/>
    <w:rsid w:val="00A2674A"/>
    <w:rsid w:val="00A26825"/>
    <w:rsid w:val="00A26939"/>
    <w:rsid w:val="00A26F63"/>
    <w:rsid w:val="00A27A5D"/>
    <w:rsid w:val="00A3009C"/>
    <w:rsid w:val="00A314D9"/>
    <w:rsid w:val="00A322A9"/>
    <w:rsid w:val="00A32FA1"/>
    <w:rsid w:val="00A330EC"/>
    <w:rsid w:val="00A3317B"/>
    <w:rsid w:val="00A3336F"/>
    <w:rsid w:val="00A3358C"/>
    <w:rsid w:val="00A33889"/>
    <w:rsid w:val="00A34983"/>
    <w:rsid w:val="00A3573F"/>
    <w:rsid w:val="00A35910"/>
    <w:rsid w:val="00A3624A"/>
    <w:rsid w:val="00A36296"/>
    <w:rsid w:val="00A36512"/>
    <w:rsid w:val="00A36544"/>
    <w:rsid w:val="00A36E56"/>
    <w:rsid w:val="00A37997"/>
    <w:rsid w:val="00A4030F"/>
    <w:rsid w:val="00A404E0"/>
    <w:rsid w:val="00A408E0"/>
    <w:rsid w:val="00A4092E"/>
    <w:rsid w:val="00A40E3C"/>
    <w:rsid w:val="00A4132A"/>
    <w:rsid w:val="00A413D9"/>
    <w:rsid w:val="00A419AC"/>
    <w:rsid w:val="00A42557"/>
    <w:rsid w:val="00A429C9"/>
    <w:rsid w:val="00A42C84"/>
    <w:rsid w:val="00A42D94"/>
    <w:rsid w:val="00A42EA5"/>
    <w:rsid w:val="00A43439"/>
    <w:rsid w:val="00A43447"/>
    <w:rsid w:val="00A43552"/>
    <w:rsid w:val="00A4364F"/>
    <w:rsid w:val="00A43BF4"/>
    <w:rsid w:val="00A43D50"/>
    <w:rsid w:val="00A45596"/>
    <w:rsid w:val="00A45863"/>
    <w:rsid w:val="00A459D8"/>
    <w:rsid w:val="00A45A4E"/>
    <w:rsid w:val="00A45AD8"/>
    <w:rsid w:val="00A46203"/>
    <w:rsid w:val="00A464B2"/>
    <w:rsid w:val="00A466DE"/>
    <w:rsid w:val="00A4688D"/>
    <w:rsid w:val="00A46892"/>
    <w:rsid w:val="00A47191"/>
    <w:rsid w:val="00A47963"/>
    <w:rsid w:val="00A505BC"/>
    <w:rsid w:val="00A50F93"/>
    <w:rsid w:val="00A51ECF"/>
    <w:rsid w:val="00A526D2"/>
    <w:rsid w:val="00A52F76"/>
    <w:rsid w:val="00A5314D"/>
    <w:rsid w:val="00A53A16"/>
    <w:rsid w:val="00A540F4"/>
    <w:rsid w:val="00A5454D"/>
    <w:rsid w:val="00A5477F"/>
    <w:rsid w:val="00A54C31"/>
    <w:rsid w:val="00A552CB"/>
    <w:rsid w:val="00A55A0F"/>
    <w:rsid w:val="00A55B85"/>
    <w:rsid w:val="00A560B3"/>
    <w:rsid w:val="00A56A65"/>
    <w:rsid w:val="00A56AC9"/>
    <w:rsid w:val="00A571B5"/>
    <w:rsid w:val="00A574FC"/>
    <w:rsid w:val="00A5777F"/>
    <w:rsid w:val="00A5781B"/>
    <w:rsid w:val="00A60280"/>
    <w:rsid w:val="00A605C4"/>
    <w:rsid w:val="00A60A19"/>
    <w:rsid w:val="00A60A76"/>
    <w:rsid w:val="00A61299"/>
    <w:rsid w:val="00A6196F"/>
    <w:rsid w:val="00A61A77"/>
    <w:rsid w:val="00A61E5A"/>
    <w:rsid w:val="00A6238E"/>
    <w:rsid w:val="00A637A4"/>
    <w:rsid w:val="00A646FE"/>
    <w:rsid w:val="00A64A14"/>
    <w:rsid w:val="00A653C3"/>
    <w:rsid w:val="00A65A04"/>
    <w:rsid w:val="00A6659F"/>
    <w:rsid w:val="00A678AB"/>
    <w:rsid w:val="00A67B2E"/>
    <w:rsid w:val="00A67EED"/>
    <w:rsid w:val="00A70C6F"/>
    <w:rsid w:val="00A71043"/>
    <w:rsid w:val="00A7109A"/>
    <w:rsid w:val="00A71551"/>
    <w:rsid w:val="00A715A5"/>
    <w:rsid w:val="00A71F7F"/>
    <w:rsid w:val="00A72077"/>
    <w:rsid w:val="00A72805"/>
    <w:rsid w:val="00A7349E"/>
    <w:rsid w:val="00A73AE0"/>
    <w:rsid w:val="00A73D0E"/>
    <w:rsid w:val="00A73EAA"/>
    <w:rsid w:val="00A73EB1"/>
    <w:rsid w:val="00A742F7"/>
    <w:rsid w:val="00A74322"/>
    <w:rsid w:val="00A7452D"/>
    <w:rsid w:val="00A746CB"/>
    <w:rsid w:val="00A752AB"/>
    <w:rsid w:val="00A759F7"/>
    <w:rsid w:val="00A767E1"/>
    <w:rsid w:val="00A7774B"/>
    <w:rsid w:val="00A77BC7"/>
    <w:rsid w:val="00A80774"/>
    <w:rsid w:val="00A81667"/>
    <w:rsid w:val="00A81BC3"/>
    <w:rsid w:val="00A81D4E"/>
    <w:rsid w:val="00A81F61"/>
    <w:rsid w:val="00A81F88"/>
    <w:rsid w:val="00A821C1"/>
    <w:rsid w:val="00A824E3"/>
    <w:rsid w:val="00A82B92"/>
    <w:rsid w:val="00A82FE4"/>
    <w:rsid w:val="00A8324D"/>
    <w:rsid w:val="00A832CB"/>
    <w:rsid w:val="00A83302"/>
    <w:rsid w:val="00A835CF"/>
    <w:rsid w:val="00A83895"/>
    <w:rsid w:val="00A83CB0"/>
    <w:rsid w:val="00A83D82"/>
    <w:rsid w:val="00A83F1D"/>
    <w:rsid w:val="00A8481A"/>
    <w:rsid w:val="00A84AEA"/>
    <w:rsid w:val="00A84AFD"/>
    <w:rsid w:val="00A84C61"/>
    <w:rsid w:val="00A84E8C"/>
    <w:rsid w:val="00A85224"/>
    <w:rsid w:val="00A85324"/>
    <w:rsid w:val="00A85E2F"/>
    <w:rsid w:val="00A862B4"/>
    <w:rsid w:val="00A86AE9"/>
    <w:rsid w:val="00A86FA7"/>
    <w:rsid w:val="00A870CD"/>
    <w:rsid w:val="00A873C0"/>
    <w:rsid w:val="00A87743"/>
    <w:rsid w:val="00A87C87"/>
    <w:rsid w:val="00A90050"/>
    <w:rsid w:val="00A90343"/>
    <w:rsid w:val="00A90B79"/>
    <w:rsid w:val="00A90C75"/>
    <w:rsid w:val="00A91C65"/>
    <w:rsid w:val="00A91F7D"/>
    <w:rsid w:val="00A92538"/>
    <w:rsid w:val="00A9254A"/>
    <w:rsid w:val="00A92ACE"/>
    <w:rsid w:val="00A93351"/>
    <w:rsid w:val="00A93CE6"/>
    <w:rsid w:val="00A93EA3"/>
    <w:rsid w:val="00A947E9"/>
    <w:rsid w:val="00A94AE9"/>
    <w:rsid w:val="00A9558E"/>
    <w:rsid w:val="00A95963"/>
    <w:rsid w:val="00A96161"/>
    <w:rsid w:val="00A96390"/>
    <w:rsid w:val="00A969BA"/>
    <w:rsid w:val="00A96A54"/>
    <w:rsid w:val="00A97000"/>
    <w:rsid w:val="00A9795F"/>
    <w:rsid w:val="00A979B0"/>
    <w:rsid w:val="00A97D9E"/>
    <w:rsid w:val="00A97E91"/>
    <w:rsid w:val="00AA0203"/>
    <w:rsid w:val="00AA0317"/>
    <w:rsid w:val="00AA0F1C"/>
    <w:rsid w:val="00AA1163"/>
    <w:rsid w:val="00AA15FC"/>
    <w:rsid w:val="00AA1C0B"/>
    <w:rsid w:val="00AA1CAA"/>
    <w:rsid w:val="00AA2914"/>
    <w:rsid w:val="00AA2ED5"/>
    <w:rsid w:val="00AA2FC2"/>
    <w:rsid w:val="00AA3314"/>
    <w:rsid w:val="00AA33CC"/>
    <w:rsid w:val="00AA38F4"/>
    <w:rsid w:val="00AA40FF"/>
    <w:rsid w:val="00AA4906"/>
    <w:rsid w:val="00AA4986"/>
    <w:rsid w:val="00AA4C1F"/>
    <w:rsid w:val="00AA597C"/>
    <w:rsid w:val="00AA5AB9"/>
    <w:rsid w:val="00AA6093"/>
    <w:rsid w:val="00AA659B"/>
    <w:rsid w:val="00AA6EA3"/>
    <w:rsid w:val="00AA6F53"/>
    <w:rsid w:val="00AA74E4"/>
    <w:rsid w:val="00AA7764"/>
    <w:rsid w:val="00AB0C87"/>
    <w:rsid w:val="00AB2217"/>
    <w:rsid w:val="00AB2B45"/>
    <w:rsid w:val="00AB2C2A"/>
    <w:rsid w:val="00AB3039"/>
    <w:rsid w:val="00AB34BD"/>
    <w:rsid w:val="00AB3815"/>
    <w:rsid w:val="00AB3D34"/>
    <w:rsid w:val="00AB507F"/>
    <w:rsid w:val="00AB512E"/>
    <w:rsid w:val="00AB64B1"/>
    <w:rsid w:val="00AB6AD8"/>
    <w:rsid w:val="00AB6BC3"/>
    <w:rsid w:val="00AB6C95"/>
    <w:rsid w:val="00AB6FB1"/>
    <w:rsid w:val="00AB7B5E"/>
    <w:rsid w:val="00AC0C45"/>
    <w:rsid w:val="00AC1194"/>
    <w:rsid w:val="00AC15A9"/>
    <w:rsid w:val="00AC15D9"/>
    <w:rsid w:val="00AC1CAD"/>
    <w:rsid w:val="00AC2770"/>
    <w:rsid w:val="00AC2938"/>
    <w:rsid w:val="00AC2DBF"/>
    <w:rsid w:val="00AC312F"/>
    <w:rsid w:val="00AC3139"/>
    <w:rsid w:val="00AC4B31"/>
    <w:rsid w:val="00AC4CDA"/>
    <w:rsid w:val="00AC5CB0"/>
    <w:rsid w:val="00AC68B3"/>
    <w:rsid w:val="00AC68C6"/>
    <w:rsid w:val="00AC6B0F"/>
    <w:rsid w:val="00AC736B"/>
    <w:rsid w:val="00AD023B"/>
    <w:rsid w:val="00AD035D"/>
    <w:rsid w:val="00AD10C1"/>
    <w:rsid w:val="00AD13E6"/>
    <w:rsid w:val="00AD1780"/>
    <w:rsid w:val="00AD17D0"/>
    <w:rsid w:val="00AD1C5A"/>
    <w:rsid w:val="00AD1E5B"/>
    <w:rsid w:val="00AD2610"/>
    <w:rsid w:val="00AD2750"/>
    <w:rsid w:val="00AD27FC"/>
    <w:rsid w:val="00AD2D52"/>
    <w:rsid w:val="00AD39A8"/>
    <w:rsid w:val="00AD3BEC"/>
    <w:rsid w:val="00AD3E23"/>
    <w:rsid w:val="00AD43A8"/>
    <w:rsid w:val="00AD46B6"/>
    <w:rsid w:val="00AD54EC"/>
    <w:rsid w:val="00AD55EE"/>
    <w:rsid w:val="00AD5C1E"/>
    <w:rsid w:val="00AD5DBD"/>
    <w:rsid w:val="00AD6496"/>
    <w:rsid w:val="00AD6813"/>
    <w:rsid w:val="00AD6F20"/>
    <w:rsid w:val="00AD73EC"/>
    <w:rsid w:val="00AD74A7"/>
    <w:rsid w:val="00AD7579"/>
    <w:rsid w:val="00AD77F8"/>
    <w:rsid w:val="00AD7864"/>
    <w:rsid w:val="00AE00FC"/>
    <w:rsid w:val="00AE0364"/>
    <w:rsid w:val="00AE0385"/>
    <w:rsid w:val="00AE0F2A"/>
    <w:rsid w:val="00AE1099"/>
    <w:rsid w:val="00AE1EAB"/>
    <w:rsid w:val="00AE1F48"/>
    <w:rsid w:val="00AE2009"/>
    <w:rsid w:val="00AE2683"/>
    <w:rsid w:val="00AE30B4"/>
    <w:rsid w:val="00AE3F9C"/>
    <w:rsid w:val="00AE40BA"/>
    <w:rsid w:val="00AE4D3F"/>
    <w:rsid w:val="00AE57A1"/>
    <w:rsid w:val="00AE6B80"/>
    <w:rsid w:val="00AE6BB9"/>
    <w:rsid w:val="00AE7106"/>
    <w:rsid w:val="00AE78AB"/>
    <w:rsid w:val="00AE7D78"/>
    <w:rsid w:val="00AF0028"/>
    <w:rsid w:val="00AF0651"/>
    <w:rsid w:val="00AF06B6"/>
    <w:rsid w:val="00AF0D1C"/>
    <w:rsid w:val="00AF0DE9"/>
    <w:rsid w:val="00AF13DA"/>
    <w:rsid w:val="00AF18BC"/>
    <w:rsid w:val="00AF1A89"/>
    <w:rsid w:val="00AF1C77"/>
    <w:rsid w:val="00AF1E92"/>
    <w:rsid w:val="00AF21F6"/>
    <w:rsid w:val="00AF2AA2"/>
    <w:rsid w:val="00AF31BD"/>
    <w:rsid w:val="00AF322E"/>
    <w:rsid w:val="00AF3583"/>
    <w:rsid w:val="00AF4904"/>
    <w:rsid w:val="00AF4CA8"/>
    <w:rsid w:val="00AF5982"/>
    <w:rsid w:val="00AF5AAC"/>
    <w:rsid w:val="00AF5BF3"/>
    <w:rsid w:val="00AF5F3C"/>
    <w:rsid w:val="00AF6031"/>
    <w:rsid w:val="00AF6315"/>
    <w:rsid w:val="00AF698F"/>
    <w:rsid w:val="00AF7005"/>
    <w:rsid w:val="00AF724A"/>
    <w:rsid w:val="00AF74DF"/>
    <w:rsid w:val="00AF7C21"/>
    <w:rsid w:val="00B00747"/>
    <w:rsid w:val="00B00A69"/>
    <w:rsid w:val="00B00B12"/>
    <w:rsid w:val="00B0119C"/>
    <w:rsid w:val="00B01DEA"/>
    <w:rsid w:val="00B026C8"/>
    <w:rsid w:val="00B02F80"/>
    <w:rsid w:val="00B03036"/>
    <w:rsid w:val="00B03100"/>
    <w:rsid w:val="00B03256"/>
    <w:rsid w:val="00B0334F"/>
    <w:rsid w:val="00B033A1"/>
    <w:rsid w:val="00B03632"/>
    <w:rsid w:val="00B03C7D"/>
    <w:rsid w:val="00B03F83"/>
    <w:rsid w:val="00B0431D"/>
    <w:rsid w:val="00B048B7"/>
    <w:rsid w:val="00B0491D"/>
    <w:rsid w:val="00B04E77"/>
    <w:rsid w:val="00B053AA"/>
    <w:rsid w:val="00B05A7C"/>
    <w:rsid w:val="00B05D71"/>
    <w:rsid w:val="00B06151"/>
    <w:rsid w:val="00B0684F"/>
    <w:rsid w:val="00B06B0A"/>
    <w:rsid w:val="00B06BBF"/>
    <w:rsid w:val="00B06C68"/>
    <w:rsid w:val="00B06F05"/>
    <w:rsid w:val="00B06F6C"/>
    <w:rsid w:val="00B0729F"/>
    <w:rsid w:val="00B0764A"/>
    <w:rsid w:val="00B07B1E"/>
    <w:rsid w:val="00B101BE"/>
    <w:rsid w:val="00B11251"/>
    <w:rsid w:val="00B11AE3"/>
    <w:rsid w:val="00B12581"/>
    <w:rsid w:val="00B12B7D"/>
    <w:rsid w:val="00B12C50"/>
    <w:rsid w:val="00B1381D"/>
    <w:rsid w:val="00B13C01"/>
    <w:rsid w:val="00B13D3B"/>
    <w:rsid w:val="00B13FA9"/>
    <w:rsid w:val="00B14640"/>
    <w:rsid w:val="00B1560C"/>
    <w:rsid w:val="00B1572A"/>
    <w:rsid w:val="00B161D5"/>
    <w:rsid w:val="00B173A3"/>
    <w:rsid w:val="00B17E14"/>
    <w:rsid w:val="00B203DD"/>
    <w:rsid w:val="00B2076A"/>
    <w:rsid w:val="00B21BFB"/>
    <w:rsid w:val="00B222E2"/>
    <w:rsid w:val="00B224D2"/>
    <w:rsid w:val="00B22824"/>
    <w:rsid w:val="00B22838"/>
    <w:rsid w:val="00B22EEE"/>
    <w:rsid w:val="00B23AE0"/>
    <w:rsid w:val="00B241F0"/>
    <w:rsid w:val="00B2429A"/>
    <w:rsid w:val="00B24312"/>
    <w:rsid w:val="00B246A6"/>
    <w:rsid w:val="00B24E70"/>
    <w:rsid w:val="00B253B3"/>
    <w:rsid w:val="00B25586"/>
    <w:rsid w:val="00B258D6"/>
    <w:rsid w:val="00B25BAB"/>
    <w:rsid w:val="00B2624A"/>
    <w:rsid w:val="00B2663B"/>
    <w:rsid w:val="00B30605"/>
    <w:rsid w:val="00B3068A"/>
    <w:rsid w:val="00B307F8"/>
    <w:rsid w:val="00B3084E"/>
    <w:rsid w:val="00B30FB7"/>
    <w:rsid w:val="00B3282D"/>
    <w:rsid w:val="00B32D98"/>
    <w:rsid w:val="00B3336C"/>
    <w:rsid w:val="00B3361F"/>
    <w:rsid w:val="00B33B1F"/>
    <w:rsid w:val="00B33C0A"/>
    <w:rsid w:val="00B33EC2"/>
    <w:rsid w:val="00B33FFB"/>
    <w:rsid w:val="00B3405F"/>
    <w:rsid w:val="00B34E6F"/>
    <w:rsid w:val="00B34F0D"/>
    <w:rsid w:val="00B3521C"/>
    <w:rsid w:val="00B35B43"/>
    <w:rsid w:val="00B35B5A"/>
    <w:rsid w:val="00B370B4"/>
    <w:rsid w:val="00B402A4"/>
    <w:rsid w:val="00B40A13"/>
    <w:rsid w:val="00B40F91"/>
    <w:rsid w:val="00B4107E"/>
    <w:rsid w:val="00B410B3"/>
    <w:rsid w:val="00B41201"/>
    <w:rsid w:val="00B4125C"/>
    <w:rsid w:val="00B41AED"/>
    <w:rsid w:val="00B4232B"/>
    <w:rsid w:val="00B42840"/>
    <w:rsid w:val="00B42D22"/>
    <w:rsid w:val="00B438A3"/>
    <w:rsid w:val="00B43B43"/>
    <w:rsid w:val="00B43DB0"/>
    <w:rsid w:val="00B44345"/>
    <w:rsid w:val="00B44937"/>
    <w:rsid w:val="00B4498F"/>
    <w:rsid w:val="00B44A7B"/>
    <w:rsid w:val="00B44C9D"/>
    <w:rsid w:val="00B44D09"/>
    <w:rsid w:val="00B44D41"/>
    <w:rsid w:val="00B4528F"/>
    <w:rsid w:val="00B45566"/>
    <w:rsid w:val="00B45E07"/>
    <w:rsid w:val="00B4652A"/>
    <w:rsid w:val="00B46A3B"/>
    <w:rsid w:val="00B46D57"/>
    <w:rsid w:val="00B47FBE"/>
    <w:rsid w:val="00B5069C"/>
    <w:rsid w:val="00B51032"/>
    <w:rsid w:val="00B518F6"/>
    <w:rsid w:val="00B51C43"/>
    <w:rsid w:val="00B52B69"/>
    <w:rsid w:val="00B53265"/>
    <w:rsid w:val="00B538C6"/>
    <w:rsid w:val="00B53B9E"/>
    <w:rsid w:val="00B53E98"/>
    <w:rsid w:val="00B5432A"/>
    <w:rsid w:val="00B54B44"/>
    <w:rsid w:val="00B54FFD"/>
    <w:rsid w:val="00B552D2"/>
    <w:rsid w:val="00B55899"/>
    <w:rsid w:val="00B55ABF"/>
    <w:rsid w:val="00B55CCC"/>
    <w:rsid w:val="00B56811"/>
    <w:rsid w:val="00B575F7"/>
    <w:rsid w:val="00B57AC8"/>
    <w:rsid w:val="00B57CA1"/>
    <w:rsid w:val="00B57E35"/>
    <w:rsid w:val="00B600FA"/>
    <w:rsid w:val="00B6028F"/>
    <w:rsid w:val="00B60462"/>
    <w:rsid w:val="00B604DA"/>
    <w:rsid w:val="00B605FC"/>
    <w:rsid w:val="00B60A91"/>
    <w:rsid w:val="00B60D7E"/>
    <w:rsid w:val="00B6239A"/>
    <w:rsid w:val="00B624E9"/>
    <w:rsid w:val="00B6270E"/>
    <w:rsid w:val="00B64077"/>
    <w:rsid w:val="00B641B1"/>
    <w:rsid w:val="00B64B92"/>
    <w:rsid w:val="00B64CE4"/>
    <w:rsid w:val="00B64D47"/>
    <w:rsid w:val="00B65794"/>
    <w:rsid w:val="00B65991"/>
    <w:rsid w:val="00B65DE0"/>
    <w:rsid w:val="00B661C6"/>
    <w:rsid w:val="00B66EAD"/>
    <w:rsid w:val="00B6701E"/>
    <w:rsid w:val="00B6721F"/>
    <w:rsid w:val="00B70B1B"/>
    <w:rsid w:val="00B72131"/>
    <w:rsid w:val="00B724B4"/>
    <w:rsid w:val="00B729CE"/>
    <w:rsid w:val="00B72A57"/>
    <w:rsid w:val="00B72E65"/>
    <w:rsid w:val="00B7307F"/>
    <w:rsid w:val="00B7314F"/>
    <w:rsid w:val="00B738FF"/>
    <w:rsid w:val="00B73A14"/>
    <w:rsid w:val="00B7420C"/>
    <w:rsid w:val="00B744CB"/>
    <w:rsid w:val="00B747A8"/>
    <w:rsid w:val="00B74904"/>
    <w:rsid w:val="00B74DD7"/>
    <w:rsid w:val="00B74E8E"/>
    <w:rsid w:val="00B7500E"/>
    <w:rsid w:val="00B75A87"/>
    <w:rsid w:val="00B75EC6"/>
    <w:rsid w:val="00B760C4"/>
    <w:rsid w:val="00B767D8"/>
    <w:rsid w:val="00B77216"/>
    <w:rsid w:val="00B7730F"/>
    <w:rsid w:val="00B773CE"/>
    <w:rsid w:val="00B77C2D"/>
    <w:rsid w:val="00B80D6C"/>
    <w:rsid w:val="00B80DBC"/>
    <w:rsid w:val="00B80E3E"/>
    <w:rsid w:val="00B813F3"/>
    <w:rsid w:val="00B83385"/>
    <w:rsid w:val="00B837E6"/>
    <w:rsid w:val="00B83B9A"/>
    <w:rsid w:val="00B84DC3"/>
    <w:rsid w:val="00B857C2"/>
    <w:rsid w:val="00B860DD"/>
    <w:rsid w:val="00B8627F"/>
    <w:rsid w:val="00B862B0"/>
    <w:rsid w:val="00B862B4"/>
    <w:rsid w:val="00B86508"/>
    <w:rsid w:val="00B86DE7"/>
    <w:rsid w:val="00B87412"/>
    <w:rsid w:val="00B876DB"/>
    <w:rsid w:val="00B87A29"/>
    <w:rsid w:val="00B87C2E"/>
    <w:rsid w:val="00B87F8E"/>
    <w:rsid w:val="00B905CC"/>
    <w:rsid w:val="00B90858"/>
    <w:rsid w:val="00B90D22"/>
    <w:rsid w:val="00B90FF4"/>
    <w:rsid w:val="00B9135A"/>
    <w:rsid w:val="00B921C1"/>
    <w:rsid w:val="00B92902"/>
    <w:rsid w:val="00B93283"/>
    <w:rsid w:val="00B93C5B"/>
    <w:rsid w:val="00B944CB"/>
    <w:rsid w:val="00B9480D"/>
    <w:rsid w:val="00B94E80"/>
    <w:rsid w:val="00B95059"/>
    <w:rsid w:val="00B957C7"/>
    <w:rsid w:val="00B9638B"/>
    <w:rsid w:val="00B964F8"/>
    <w:rsid w:val="00B968F0"/>
    <w:rsid w:val="00B975F6"/>
    <w:rsid w:val="00BA00DA"/>
    <w:rsid w:val="00BA0A81"/>
    <w:rsid w:val="00BA1E96"/>
    <w:rsid w:val="00BA2859"/>
    <w:rsid w:val="00BA2881"/>
    <w:rsid w:val="00BA321D"/>
    <w:rsid w:val="00BA3365"/>
    <w:rsid w:val="00BA35E0"/>
    <w:rsid w:val="00BA3E8A"/>
    <w:rsid w:val="00BA43EE"/>
    <w:rsid w:val="00BA455B"/>
    <w:rsid w:val="00BA4A6C"/>
    <w:rsid w:val="00BA4FB3"/>
    <w:rsid w:val="00BA5723"/>
    <w:rsid w:val="00BA5FD9"/>
    <w:rsid w:val="00BA605C"/>
    <w:rsid w:val="00BA6435"/>
    <w:rsid w:val="00BA6E40"/>
    <w:rsid w:val="00BA7A77"/>
    <w:rsid w:val="00BA7C13"/>
    <w:rsid w:val="00BB000D"/>
    <w:rsid w:val="00BB00FC"/>
    <w:rsid w:val="00BB0ADB"/>
    <w:rsid w:val="00BB0BB8"/>
    <w:rsid w:val="00BB0F65"/>
    <w:rsid w:val="00BB1114"/>
    <w:rsid w:val="00BB17A7"/>
    <w:rsid w:val="00BB1C35"/>
    <w:rsid w:val="00BB1D70"/>
    <w:rsid w:val="00BB22D9"/>
    <w:rsid w:val="00BB2476"/>
    <w:rsid w:val="00BB2CCF"/>
    <w:rsid w:val="00BB337C"/>
    <w:rsid w:val="00BB33CE"/>
    <w:rsid w:val="00BB36FD"/>
    <w:rsid w:val="00BB386C"/>
    <w:rsid w:val="00BB3EDA"/>
    <w:rsid w:val="00BB47A2"/>
    <w:rsid w:val="00BB4911"/>
    <w:rsid w:val="00BB551C"/>
    <w:rsid w:val="00BB576F"/>
    <w:rsid w:val="00BB58CE"/>
    <w:rsid w:val="00BB5D1D"/>
    <w:rsid w:val="00BB5E4D"/>
    <w:rsid w:val="00BB5EA1"/>
    <w:rsid w:val="00BC0638"/>
    <w:rsid w:val="00BC0959"/>
    <w:rsid w:val="00BC0B3C"/>
    <w:rsid w:val="00BC140B"/>
    <w:rsid w:val="00BC157B"/>
    <w:rsid w:val="00BC1865"/>
    <w:rsid w:val="00BC1D3C"/>
    <w:rsid w:val="00BC2413"/>
    <w:rsid w:val="00BC26BE"/>
    <w:rsid w:val="00BC3637"/>
    <w:rsid w:val="00BC3BAF"/>
    <w:rsid w:val="00BC3E08"/>
    <w:rsid w:val="00BC3E66"/>
    <w:rsid w:val="00BC3E9E"/>
    <w:rsid w:val="00BC468D"/>
    <w:rsid w:val="00BC4E7D"/>
    <w:rsid w:val="00BC68EA"/>
    <w:rsid w:val="00BC6952"/>
    <w:rsid w:val="00BD01F9"/>
    <w:rsid w:val="00BD0663"/>
    <w:rsid w:val="00BD08AA"/>
    <w:rsid w:val="00BD1669"/>
    <w:rsid w:val="00BD1686"/>
    <w:rsid w:val="00BD1997"/>
    <w:rsid w:val="00BD1F0E"/>
    <w:rsid w:val="00BD2A81"/>
    <w:rsid w:val="00BD4065"/>
    <w:rsid w:val="00BD54E6"/>
    <w:rsid w:val="00BD55B7"/>
    <w:rsid w:val="00BD59A4"/>
    <w:rsid w:val="00BD5C4F"/>
    <w:rsid w:val="00BD5E07"/>
    <w:rsid w:val="00BD6630"/>
    <w:rsid w:val="00BE0438"/>
    <w:rsid w:val="00BE0FD8"/>
    <w:rsid w:val="00BE1449"/>
    <w:rsid w:val="00BE16B6"/>
    <w:rsid w:val="00BE1741"/>
    <w:rsid w:val="00BE17E1"/>
    <w:rsid w:val="00BE186D"/>
    <w:rsid w:val="00BE1C81"/>
    <w:rsid w:val="00BE1E94"/>
    <w:rsid w:val="00BE2140"/>
    <w:rsid w:val="00BE21E6"/>
    <w:rsid w:val="00BE2A96"/>
    <w:rsid w:val="00BE374B"/>
    <w:rsid w:val="00BE4595"/>
    <w:rsid w:val="00BE4B2A"/>
    <w:rsid w:val="00BE4C33"/>
    <w:rsid w:val="00BE54AE"/>
    <w:rsid w:val="00BE570A"/>
    <w:rsid w:val="00BE5A6A"/>
    <w:rsid w:val="00BE64AA"/>
    <w:rsid w:val="00BE6A43"/>
    <w:rsid w:val="00BE6E81"/>
    <w:rsid w:val="00BE7429"/>
    <w:rsid w:val="00BE7EB1"/>
    <w:rsid w:val="00BF1D34"/>
    <w:rsid w:val="00BF1D46"/>
    <w:rsid w:val="00BF20BB"/>
    <w:rsid w:val="00BF214A"/>
    <w:rsid w:val="00BF2B6F"/>
    <w:rsid w:val="00BF3076"/>
    <w:rsid w:val="00BF319D"/>
    <w:rsid w:val="00BF392C"/>
    <w:rsid w:val="00BF3998"/>
    <w:rsid w:val="00BF3AFC"/>
    <w:rsid w:val="00BF3DBE"/>
    <w:rsid w:val="00BF3E62"/>
    <w:rsid w:val="00BF4610"/>
    <w:rsid w:val="00BF49FA"/>
    <w:rsid w:val="00BF4DB6"/>
    <w:rsid w:val="00BF5337"/>
    <w:rsid w:val="00BF5DB1"/>
    <w:rsid w:val="00BF7103"/>
    <w:rsid w:val="00BF71EB"/>
    <w:rsid w:val="00BF72E4"/>
    <w:rsid w:val="00BF7C2F"/>
    <w:rsid w:val="00C00020"/>
    <w:rsid w:val="00C0003C"/>
    <w:rsid w:val="00C00551"/>
    <w:rsid w:val="00C00C6A"/>
    <w:rsid w:val="00C010C9"/>
    <w:rsid w:val="00C01501"/>
    <w:rsid w:val="00C01652"/>
    <w:rsid w:val="00C01864"/>
    <w:rsid w:val="00C0190A"/>
    <w:rsid w:val="00C025D5"/>
    <w:rsid w:val="00C02F57"/>
    <w:rsid w:val="00C04AAA"/>
    <w:rsid w:val="00C0530B"/>
    <w:rsid w:val="00C05777"/>
    <w:rsid w:val="00C06098"/>
    <w:rsid w:val="00C0629A"/>
    <w:rsid w:val="00C06D86"/>
    <w:rsid w:val="00C0743D"/>
    <w:rsid w:val="00C074DB"/>
    <w:rsid w:val="00C07858"/>
    <w:rsid w:val="00C07BD1"/>
    <w:rsid w:val="00C10117"/>
    <w:rsid w:val="00C1040C"/>
    <w:rsid w:val="00C10475"/>
    <w:rsid w:val="00C108D7"/>
    <w:rsid w:val="00C10A98"/>
    <w:rsid w:val="00C10DBE"/>
    <w:rsid w:val="00C110A2"/>
    <w:rsid w:val="00C113BD"/>
    <w:rsid w:val="00C127A2"/>
    <w:rsid w:val="00C12942"/>
    <w:rsid w:val="00C12DF4"/>
    <w:rsid w:val="00C12F73"/>
    <w:rsid w:val="00C1335D"/>
    <w:rsid w:val="00C139CB"/>
    <w:rsid w:val="00C13D64"/>
    <w:rsid w:val="00C146A4"/>
    <w:rsid w:val="00C15016"/>
    <w:rsid w:val="00C151A3"/>
    <w:rsid w:val="00C15B69"/>
    <w:rsid w:val="00C15CF0"/>
    <w:rsid w:val="00C15ED4"/>
    <w:rsid w:val="00C15F12"/>
    <w:rsid w:val="00C15F6F"/>
    <w:rsid w:val="00C16401"/>
    <w:rsid w:val="00C16C34"/>
    <w:rsid w:val="00C16E1A"/>
    <w:rsid w:val="00C1709A"/>
    <w:rsid w:val="00C172B9"/>
    <w:rsid w:val="00C174D2"/>
    <w:rsid w:val="00C17801"/>
    <w:rsid w:val="00C200E9"/>
    <w:rsid w:val="00C20204"/>
    <w:rsid w:val="00C216D4"/>
    <w:rsid w:val="00C21823"/>
    <w:rsid w:val="00C21A27"/>
    <w:rsid w:val="00C225AA"/>
    <w:rsid w:val="00C2304D"/>
    <w:rsid w:val="00C23F16"/>
    <w:rsid w:val="00C247E3"/>
    <w:rsid w:val="00C24C82"/>
    <w:rsid w:val="00C2516C"/>
    <w:rsid w:val="00C2518D"/>
    <w:rsid w:val="00C2549A"/>
    <w:rsid w:val="00C25638"/>
    <w:rsid w:val="00C26379"/>
    <w:rsid w:val="00C2761A"/>
    <w:rsid w:val="00C27CA9"/>
    <w:rsid w:val="00C27FEC"/>
    <w:rsid w:val="00C30341"/>
    <w:rsid w:val="00C304D4"/>
    <w:rsid w:val="00C30D23"/>
    <w:rsid w:val="00C310D5"/>
    <w:rsid w:val="00C318ED"/>
    <w:rsid w:val="00C31B42"/>
    <w:rsid w:val="00C31F6C"/>
    <w:rsid w:val="00C3248A"/>
    <w:rsid w:val="00C33027"/>
    <w:rsid w:val="00C33A78"/>
    <w:rsid w:val="00C33C35"/>
    <w:rsid w:val="00C33E0D"/>
    <w:rsid w:val="00C33F49"/>
    <w:rsid w:val="00C345D4"/>
    <w:rsid w:val="00C348F9"/>
    <w:rsid w:val="00C34A55"/>
    <w:rsid w:val="00C34D47"/>
    <w:rsid w:val="00C35612"/>
    <w:rsid w:val="00C3652D"/>
    <w:rsid w:val="00C36B28"/>
    <w:rsid w:val="00C370E2"/>
    <w:rsid w:val="00C3714D"/>
    <w:rsid w:val="00C378EA"/>
    <w:rsid w:val="00C3795B"/>
    <w:rsid w:val="00C37D28"/>
    <w:rsid w:val="00C37E54"/>
    <w:rsid w:val="00C401AA"/>
    <w:rsid w:val="00C404E4"/>
    <w:rsid w:val="00C408DE"/>
    <w:rsid w:val="00C40BF6"/>
    <w:rsid w:val="00C40C8D"/>
    <w:rsid w:val="00C41540"/>
    <w:rsid w:val="00C41598"/>
    <w:rsid w:val="00C417CC"/>
    <w:rsid w:val="00C425DA"/>
    <w:rsid w:val="00C42767"/>
    <w:rsid w:val="00C42955"/>
    <w:rsid w:val="00C437D6"/>
    <w:rsid w:val="00C43AAF"/>
    <w:rsid w:val="00C44159"/>
    <w:rsid w:val="00C44B80"/>
    <w:rsid w:val="00C4533D"/>
    <w:rsid w:val="00C45D55"/>
    <w:rsid w:val="00C462D3"/>
    <w:rsid w:val="00C466FC"/>
    <w:rsid w:val="00C46BF4"/>
    <w:rsid w:val="00C46FB1"/>
    <w:rsid w:val="00C47028"/>
    <w:rsid w:val="00C47174"/>
    <w:rsid w:val="00C474B8"/>
    <w:rsid w:val="00C505AF"/>
    <w:rsid w:val="00C509F6"/>
    <w:rsid w:val="00C50B14"/>
    <w:rsid w:val="00C50E05"/>
    <w:rsid w:val="00C51D93"/>
    <w:rsid w:val="00C51FDB"/>
    <w:rsid w:val="00C52264"/>
    <w:rsid w:val="00C52955"/>
    <w:rsid w:val="00C53DCD"/>
    <w:rsid w:val="00C547C6"/>
    <w:rsid w:val="00C549B8"/>
    <w:rsid w:val="00C54DA4"/>
    <w:rsid w:val="00C556A1"/>
    <w:rsid w:val="00C55990"/>
    <w:rsid w:val="00C55C29"/>
    <w:rsid w:val="00C55F96"/>
    <w:rsid w:val="00C56F12"/>
    <w:rsid w:val="00C576B4"/>
    <w:rsid w:val="00C60375"/>
    <w:rsid w:val="00C6092F"/>
    <w:rsid w:val="00C609DA"/>
    <w:rsid w:val="00C60BB5"/>
    <w:rsid w:val="00C60C75"/>
    <w:rsid w:val="00C60D0B"/>
    <w:rsid w:val="00C6165C"/>
    <w:rsid w:val="00C624D7"/>
    <w:rsid w:val="00C62B77"/>
    <w:rsid w:val="00C638AD"/>
    <w:rsid w:val="00C63AC3"/>
    <w:rsid w:val="00C63D3D"/>
    <w:rsid w:val="00C64318"/>
    <w:rsid w:val="00C6468E"/>
    <w:rsid w:val="00C656AC"/>
    <w:rsid w:val="00C65BA7"/>
    <w:rsid w:val="00C65C08"/>
    <w:rsid w:val="00C65C34"/>
    <w:rsid w:val="00C66548"/>
    <w:rsid w:val="00C6686C"/>
    <w:rsid w:val="00C66ACD"/>
    <w:rsid w:val="00C6704C"/>
    <w:rsid w:val="00C6751C"/>
    <w:rsid w:val="00C67BC4"/>
    <w:rsid w:val="00C67FA4"/>
    <w:rsid w:val="00C701A7"/>
    <w:rsid w:val="00C7087D"/>
    <w:rsid w:val="00C7113E"/>
    <w:rsid w:val="00C712B0"/>
    <w:rsid w:val="00C722A6"/>
    <w:rsid w:val="00C72319"/>
    <w:rsid w:val="00C729CA"/>
    <w:rsid w:val="00C72BAE"/>
    <w:rsid w:val="00C730C4"/>
    <w:rsid w:val="00C733B2"/>
    <w:rsid w:val="00C73433"/>
    <w:rsid w:val="00C7352C"/>
    <w:rsid w:val="00C738C7"/>
    <w:rsid w:val="00C73BF3"/>
    <w:rsid w:val="00C74538"/>
    <w:rsid w:val="00C745DC"/>
    <w:rsid w:val="00C74781"/>
    <w:rsid w:val="00C747DA"/>
    <w:rsid w:val="00C74AAB"/>
    <w:rsid w:val="00C74B15"/>
    <w:rsid w:val="00C74BF7"/>
    <w:rsid w:val="00C7542D"/>
    <w:rsid w:val="00C7633F"/>
    <w:rsid w:val="00C803B4"/>
    <w:rsid w:val="00C80779"/>
    <w:rsid w:val="00C80CA4"/>
    <w:rsid w:val="00C81E34"/>
    <w:rsid w:val="00C81EE2"/>
    <w:rsid w:val="00C82033"/>
    <w:rsid w:val="00C8272C"/>
    <w:rsid w:val="00C83051"/>
    <w:rsid w:val="00C83ECB"/>
    <w:rsid w:val="00C84102"/>
    <w:rsid w:val="00C842B2"/>
    <w:rsid w:val="00C84835"/>
    <w:rsid w:val="00C848C7"/>
    <w:rsid w:val="00C84FC8"/>
    <w:rsid w:val="00C8525F"/>
    <w:rsid w:val="00C852DA"/>
    <w:rsid w:val="00C85856"/>
    <w:rsid w:val="00C859EA"/>
    <w:rsid w:val="00C85B2E"/>
    <w:rsid w:val="00C85E39"/>
    <w:rsid w:val="00C86E12"/>
    <w:rsid w:val="00C8701B"/>
    <w:rsid w:val="00C87756"/>
    <w:rsid w:val="00C87A6A"/>
    <w:rsid w:val="00C90743"/>
    <w:rsid w:val="00C907B0"/>
    <w:rsid w:val="00C90E0F"/>
    <w:rsid w:val="00C915D6"/>
    <w:rsid w:val="00C91F2B"/>
    <w:rsid w:val="00C920E4"/>
    <w:rsid w:val="00C92207"/>
    <w:rsid w:val="00C92406"/>
    <w:rsid w:val="00C92565"/>
    <w:rsid w:val="00C928BA"/>
    <w:rsid w:val="00C9292E"/>
    <w:rsid w:val="00C932F6"/>
    <w:rsid w:val="00C93511"/>
    <w:rsid w:val="00C93CBE"/>
    <w:rsid w:val="00C93E85"/>
    <w:rsid w:val="00C947A4"/>
    <w:rsid w:val="00C9486C"/>
    <w:rsid w:val="00C94F0A"/>
    <w:rsid w:val="00C950AA"/>
    <w:rsid w:val="00C96FC8"/>
    <w:rsid w:val="00C97216"/>
    <w:rsid w:val="00C9783F"/>
    <w:rsid w:val="00C97D6B"/>
    <w:rsid w:val="00C97E40"/>
    <w:rsid w:val="00CA04E6"/>
    <w:rsid w:val="00CA095B"/>
    <w:rsid w:val="00CA0BAC"/>
    <w:rsid w:val="00CA13EE"/>
    <w:rsid w:val="00CA1474"/>
    <w:rsid w:val="00CA1AEA"/>
    <w:rsid w:val="00CA1C0F"/>
    <w:rsid w:val="00CA1C9A"/>
    <w:rsid w:val="00CA2554"/>
    <w:rsid w:val="00CA28B1"/>
    <w:rsid w:val="00CA2ADC"/>
    <w:rsid w:val="00CA34C6"/>
    <w:rsid w:val="00CA3C83"/>
    <w:rsid w:val="00CA40B4"/>
    <w:rsid w:val="00CA438E"/>
    <w:rsid w:val="00CA50E9"/>
    <w:rsid w:val="00CA55A5"/>
    <w:rsid w:val="00CA55CD"/>
    <w:rsid w:val="00CA5832"/>
    <w:rsid w:val="00CA700E"/>
    <w:rsid w:val="00CA77F2"/>
    <w:rsid w:val="00CA7B36"/>
    <w:rsid w:val="00CB0856"/>
    <w:rsid w:val="00CB12DD"/>
    <w:rsid w:val="00CB1EEC"/>
    <w:rsid w:val="00CB2702"/>
    <w:rsid w:val="00CB3336"/>
    <w:rsid w:val="00CB37F0"/>
    <w:rsid w:val="00CB398A"/>
    <w:rsid w:val="00CB3BF4"/>
    <w:rsid w:val="00CB3C5B"/>
    <w:rsid w:val="00CB4427"/>
    <w:rsid w:val="00CB446A"/>
    <w:rsid w:val="00CB4B84"/>
    <w:rsid w:val="00CB4D19"/>
    <w:rsid w:val="00CB5229"/>
    <w:rsid w:val="00CB535E"/>
    <w:rsid w:val="00CB552C"/>
    <w:rsid w:val="00CB57E4"/>
    <w:rsid w:val="00CB621E"/>
    <w:rsid w:val="00CB62E4"/>
    <w:rsid w:val="00CB64A0"/>
    <w:rsid w:val="00CB68BD"/>
    <w:rsid w:val="00CB68E4"/>
    <w:rsid w:val="00CB6DF3"/>
    <w:rsid w:val="00CB7731"/>
    <w:rsid w:val="00CB775B"/>
    <w:rsid w:val="00CB7A93"/>
    <w:rsid w:val="00CB7E06"/>
    <w:rsid w:val="00CC0147"/>
    <w:rsid w:val="00CC03F0"/>
    <w:rsid w:val="00CC06C7"/>
    <w:rsid w:val="00CC0B68"/>
    <w:rsid w:val="00CC146C"/>
    <w:rsid w:val="00CC19B2"/>
    <w:rsid w:val="00CC1A71"/>
    <w:rsid w:val="00CC1BF5"/>
    <w:rsid w:val="00CC39AB"/>
    <w:rsid w:val="00CC3C0A"/>
    <w:rsid w:val="00CC4A5B"/>
    <w:rsid w:val="00CC5B95"/>
    <w:rsid w:val="00CC5D33"/>
    <w:rsid w:val="00CC6563"/>
    <w:rsid w:val="00CC6660"/>
    <w:rsid w:val="00CC6C6C"/>
    <w:rsid w:val="00CC7595"/>
    <w:rsid w:val="00CC7C0B"/>
    <w:rsid w:val="00CD08A6"/>
    <w:rsid w:val="00CD0B8E"/>
    <w:rsid w:val="00CD1200"/>
    <w:rsid w:val="00CD1957"/>
    <w:rsid w:val="00CD1C8D"/>
    <w:rsid w:val="00CD23F7"/>
    <w:rsid w:val="00CD2872"/>
    <w:rsid w:val="00CD28A3"/>
    <w:rsid w:val="00CD37CE"/>
    <w:rsid w:val="00CD3A42"/>
    <w:rsid w:val="00CD4552"/>
    <w:rsid w:val="00CD4B5C"/>
    <w:rsid w:val="00CD4E20"/>
    <w:rsid w:val="00CD5B91"/>
    <w:rsid w:val="00CD637A"/>
    <w:rsid w:val="00CD6D1E"/>
    <w:rsid w:val="00CD76EE"/>
    <w:rsid w:val="00CD786E"/>
    <w:rsid w:val="00CD7978"/>
    <w:rsid w:val="00CE025C"/>
    <w:rsid w:val="00CE082B"/>
    <w:rsid w:val="00CE0976"/>
    <w:rsid w:val="00CE0BA0"/>
    <w:rsid w:val="00CE0CC7"/>
    <w:rsid w:val="00CE1577"/>
    <w:rsid w:val="00CE16A4"/>
    <w:rsid w:val="00CE3027"/>
    <w:rsid w:val="00CE3838"/>
    <w:rsid w:val="00CE3FF6"/>
    <w:rsid w:val="00CE4D40"/>
    <w:rsid w:val="00CE51FD"/>
    <w:rsid w:val="00CE5CD3"/>
    <w:rsid w:val="00CE5EF8"/>
    <w:rsid w:val="00CE5FB2"/>
    <w:rsid w:val="00CE6237"/>
    <w:rsid w:val="00CE6315"/>
    <w:rsid w:val="00CE6908"/>
    <w:rsid w:val="00CE6A76"/>
    <w:rsid w:val="00CE70D5"/>
    <w:rsid w:val="00CE78A9"/>
    <w:rsid w:val="00CF0B02"/>
    <w:rsid w:val="00CF0EE4"/>
    <w:rsid w:val="00CF0F95"/>
    <w:rsid w:val="00CF1928"/>
    <w:rsid w:val="00CF1BE3"/>
    <w:rsid w:val="00CF2238"/>
    <w:rsid w:val="00CF3D30"/>
    <w:rsid w:val="00CF3DC4"/>
    <w:rsid w:val="00CF549C"/>
    <w:rsid w:val="00CF593B"/>
    <w:rsid w:val="00CF5BD5"/>
    <w:rsid w:val="00CF5FAD"/>
    <w:rsid w:val="00CF6394"/>
    <w:rsid w:val="00CF67C7"/>
    <w:rsid w:val="00CF6B2F"/>
    <w:rsid w:val="00CF77C2"/>
    <w:rsid w:val="00CF78CA"/>
    <w:rsid w:val="00CF7ABA"/>
    <w:rsid w:val="00CF7DBD"/>
    <w:rsid w:val="00D00420"/>
    <w:rsid w:val="00D0089D"/>
    <w:rsid w:val="00D00AB0"/>
    <w:rsid w:val="00D00B16"/>
    <w:rsid w:val="00D00C58"/>
    <w:rsid w:val="00D0121A"/>
    <w:rsid w:val="00D012B6"/>
    <w:rsid w:val="00D01A86"/>
    <w:rsid w:val="00D01BF1"/>
    <w:rsid w:val="00D01D2E"/>
    <w:rsid w:val="00D020F3"/>
    <w:rsid w:val="00D027F1"/>
    <w:rsid w:val="00D02FB1"/>
    <w:rsid w:val="00D03F5D"/>
    <w:rsid w:val="00D04063"/>
    <w:rsid w:val="00D040F2"/>
    <w:rsid w:val="00D042D6"/>
    <w:rsid w:val="00D04736"/>
    <w:rsid w:val="00D04962"/>
    <w:rsid w:val="00D04A9B"/>
    <w:rsid w:val="00D04BB6"/>
    <w:rsid w:val="00D04D85"/>
    <w:rsid w:val="00D05004"/>
    <w:rsid w:val="00D05017"/>
    <w:rsid w:val="00D0542C"/>
    <w:rsid w:val="00D055C7"/>
    <w:rsid w:val="00D05882"/>
    <w:rsid w:val="00D06128"/>
    <w:rsid w:val="00D06394"/>
    <w:rsid w:val="00D0674A"/>
    <w:rsid w:val="00D06E3C"/>
    <w:rsid w:val="00D07033"/>
    <w:rsid w:val="00D07599"/>
    <w:rsid w:val="00D0774A"/>
    <w:rsid w:val="00D07B9A"/>
    <w:rsid w:val="00D1018D"/>
    <w:rsid w:val="00D101C6"/>
    <w:rsid w:val="00D105D1"/>
    <w:rsid w:val="00D105EF"/>
    <w:rsid w:val="00D10B58"/>
    <w:rsid w:val="00D10C29"/>
    <w:rsid w:val="00D11729"/>
    <w:rsid w:val="00D11EA4"/>
    <w:rsid w:val="00D12AA4"/>
    <w:rsid w:val="00D12C11"/>
    <w:rsid w:val="00D12D19"/>
    <w:rsid w:val="00D13187"/>
    <w:rsid w:val="00D141C8"/>
    <w:rsid w:val="00D15811"/>
    <w:rsid w:val="00D15D4E"/>
    <w:rsid w:val="00D16243"/>
    <w:rsid w:val="00D16E8F"/>
    <w:rsid w:val="00D17218"/>
    <w:rsid w:val="00D208D2"/>
    <w:rsid w:val="00D20B3B"/>
    <w:rsid w:val="00D20E8F"/>
    <w:rsid w:val="00D210BB"/>
    <w:rsid w:val="00D21D95"/>
    <w:rsid w:val="00D22054"/>
    <w:rsid w:val="00D224D5"/>
    <w:rsid w:val="00D22C51"/>
    <w:rsid w:val="00D22CF7"/>
    <w:rsid w:val="00D22E25"/>
    <w:rsid w:val="00D2302A"/>
    <w:rsid w:val="00D23291"/>
    <w:rsid w:val="00D233FD"/>
    <w:rsid w:val="00D23408"/>
    <w:rsid w:val="00D242F9"/>
    <w:rsid w:val="00D244ED"/>
    <w:rsid w:val="00D248F8"/>
    <w:rsid w:val="00D249A9"/>
    <w:rsid w:val="00D2520D"/>
    <w:rsid w:val="00D2525F"/>
    <w:rsid w:val="00D25A13"/>
    <w:rsid w:val="00D25D95"/>
    <w:rsid w:val="00D269B1"/>
    <w:rsid w:val="00D26BE3"/>
    <w:rsid w:val="00D273DC"/>
    <w:rsid w:val="00D27826"/>
    <w:rsid w:val="00D27B40"/>
    <w:rsid w:val="00D27E20"/>
    <w:rsid w:val="00D27EB3"/>
    <w:rsid w:val="00D302FF"/>
    <w:rsid w:val="00D30BBD"/>
    <w:rsid w:val="00D3202D"/>
    <w:rsid w:val="00D32C78"/>
    <w:rsid w:val="00D32F4D"/>
    <w:rsid w:val="00D33361"/>
    <w:rsid w:val="00D337B8"/>
    <w:rsid w:val="00D34369"/>
    <w:rsid w:val="00D3440E"/>
    <w:rsid w:val="00D34611"/>
    <w:rsid w:val="00D34AAD"/>
    <w:rsid w:val="00D35691"/>
    <w:rsid w:val="00D35758"/>
    <w:rsid w:val="00D36011"/>
    <w:rsid w:val="00D360B9"/>
    <w:rsid w:val="00D360CF"/>
    <w:rsid w:val="00D3614B"/>
    <w:rsid w:val="00D363C5"/>
    <w:rsid w:val="00D37FE3"/>
    <w:rsid w:val="00D40A1A"/>
    <w:rsid w:val="00D410CB"/>
    <w:rsid w:val="00D4167F"/>
    <w:rsid w:val="00D417B6"/>
    <w:rsid w:val="00D41D3B"/>
    <w:rsid w:val="00D41DA2"/>
    <w:rsid w:val="00D42300"/>
    <w:rsid w:val="00D4233C"/>
    <w:rsid w:val="00D42E1F"/>
    <w:rsid w:val="00D434B5"/>
    <w:rsid w:val="00D437E8"/>
    <w:rsid w:val="00D43FDA"/>
    <w:rsid w:val="00D44634"/>
    <w:rsid w:val="00D44BE8"/>
    <w:rsid w:val="00D44DAC"/>
    <w:rsid w:val="00D45748"/>
    <w:rsid w:val="00D46078"/>
    <w:rsid w:val="00D465A7"/>
    <w:rsid w:val="00D4709D"/>
    <w:rsid w:val="00D47647"/>
    <w:rsid w:val="00D476F1"/>
    <w:rsid w:val="00D503B9"/>
    <w:rsid w:val="00D50A1E"/>
    <w:rsid w:val="00D50AAB"/>
    <w:rsid w:val="00D51296"/>
    <w:rsid w:val="00D52118"/>
    <w:rsid w:val="00D52424"/>
    <w:rsid w:val="00D52783"/>
    <w:rsid w:val="00D53845"/>
    <w:rsid w:val="00D53867"/>
    <w:rsid w:val="00D53C49"/>
    <w:rsid w:val="00D54632"/>
    <w:rsid w:val="00D54C1D"/>
    <w:rsid w:val="00D5596D"/>
    <w:rsid w:val="00D55D3B"/>
    <w:rsid w:val="00D55DDE"/>
    <w:rsid w:val="00D56915"/>
    <w:rsid w:val="00D572BF"/>
    <w:rsid w:val="00D577CE"/>
    <w:rsid w:val="00D57AE7"/>
    <w:rsid w:val="00D617E2"/>
    <w:rsid w:val="00D61BED"/>
    <w:rsid w:val="00D61F64"/>
    <w:rsid w:val="00D622EA"/>
    <w:rsid w:val="00D62728"/>
    <w:rsid w:val="00D62B0F"/>
    <w:rsid w:val="00D632CB"/>
    <w:rsid w:val="00D632E0"/>
    <w:rsid w:val="00D633B2"/>
    <w:rsid w:val="00D648CD"/>
    <w:rsid w:val="00D65043"/>
    <w:rsid w:val="00D651A3"/>
    <w:rsid w:val="00D651BC"/>
    <w:rsid w:val="00D6533B"/>
    <w:rsid w:val="00D6643A"/>
    <w:rsid w:val="00D66A70"/>
    <w:rsid w:val="00D66F4A"/>
    <w:rsid w:val="00D66FA8"/>
    <w:rsid w:val="00D67314"/>
    <w:rsid w:val="00D67CD7"/>
    <w:rsid w:val="00D704B4"/>
    <w:rsid w:val="00D70686"/>
    <w:rsid w:val="00D70917"/>
    <w:rsid w:val="00D70E8E"/>
    <w:rsid w:val="00D7159C"/>
    <w:rsid w:val="00D717A5"/>
    <w:rsid w:val="00D7181D"/>
    <w:rsid w:val="00D71FD7"/>
    <w:rsid w:val="00D7206D"/>
    <w:rsid w:val="00D722BA"/>
    <w:rsid w:val="00D72680"/>
    <w:rsid w:val="00D72E4E"/>
    <w:rsid w:val="00D72E96"/>
    <w:rsid w:val="00D732EF"/>
    <w:rsid w:val="00D7331F"/>
    <w:rsid w:val="00D73E6F"/>
    <w:rsid w:val="00D74B0F"/>
    <w:rsid w:val="00D75027"/>
    <w:rsid w:val="00D750F0"/>
    <w:rsid w:val="00D75789"/>
    <w:rsid w:val="00D761C5"/>
    <w:rsid w:val="00D762E8"/>
    <w:rsid w:val="00D769D9"/>
    <w:rsid w:val="00D76D3F"/>
    <w:rsid w:val="00D8005D"/>
    <w:rsid w:val="00D8064B"/>
    <w:rsid w:val="00D806DD"/>
    <w:rsid w:val="00D80BCF"/>
    <w:rsid w:val="00D80DEB"/>
    <w:rsid w:val="00D80F14"/>
    <w:rsid w:val="00D81D55"/>
    <w:rsid w:val="00D820DB"/>
    <w:rsid w:val="00D8218A"/>
    <w:rsid w:val="00D84A59"/>
    <w:rsid w:val="00D85480"/>
    <w:rsid w:val="00D855DF"/>
    <w:rsid w:val="00D858CC"/>
    <w:rsid w:val="00D8599C"/>
    <w:rsid w:val="00D85A10"/>
    <w:rsid w:val="00D85EF7"/>
    <w:rsid w:val="00D86251"/>
    <w:rsid w:val="00D86461"/>
    <w:rsid w:val="00D86554"/>
    <w:rsid w:val="00D86726"/>
    <w:rsid w:val="00D86859"/>
    <w:rsid w:val="00D86C9D"/>
    <w:rsid w:val="00D875DD"/>
    <w:rsid w:val="00D87BB4"/>
    <w:rsid w:val="00D9003E"/>
    <w:rsid w:val="00D9030A"/>
    <w:rsid w:val="00D90ACE"/>
    <w:rsid w:val="00D91CB1"/>
    <w:rsid w:val="00D91DD2"/>
    <w:rsid w:val="00D923B1"/>
    <w:rsid w:val="00D92526"/>
    <w:rsid w:val="00D925B1"/>
    <w:rsid w:val="00D9267F"/>
    <w:rsid w:val="00D9324E"/>
    <w:rsid w:val="00D937E3"/>
    <w:rsid w:val="00D93A70"/>
    <w:rsid w:val="00D93C15"/>
    <w:rsid w:val="00D93EA1"/>
    <w:rsid w:val="00D93F3E"/>
    <w:rsid w:val="00D94CCD"/>
    <w:rsid w:val="00D95126"/>
    <w:rsid w:val="00D955FF"/>
    <w:rsid w:val="00D9596F"/>
    <w:rsid w:val="00D95CA2"/>
    <w:rsid w:val="00D95E4E"/>
    <w:rsid w:val="00D964CB"/>
    <w:rsid w:val="00D964EC"/>
    <w:rsid w:val="00D96D48"/>
    <w:rsid w:val="00D973BD"/>
    <w:rsid w:val="00D973CD"/>
    <w:rsid w:val="00DA09AE"/>
    <w:rsid w:val="00DA0EEF"/>
    <w:rsid w:val="00DA1093"/>
    <w:rsid w:val="00DA135B"/>
    <w:rsid w:val="00DA14E6"/>
    <w:rsid w:val="00DA1E8A"/>
    <w:rsid w:val="00DA2A82"/>
    <w:rsid w:val="00DA3352"/>
    <w:rsid w:val="00DA3539"/>
    <w:rsid w:val="00DA36A9"/>
    <w:rsid w:val="00DA37EC"/>
    <w:rsid w:val="00DA3A42"/>
    <w:rsid w:val="00DA3CFF"/>
    <w:rsid w:val="00DA3E8B"/>
    <w:rsid w:val="00DA44FE"/>
    <w:rsid w:val="00DA4837"/>
    <w:rsid w:val="00DA50B0"/>
    <w:rsid w:val="00DA5167"/>
    <w:rsid w:val="00DA57A4"/>
    <w:rsid w:val="00DA5C24"/>
    <w:rsid w:val="00DA61CB"/>
    <w:rsid w:val="00DA624D"/>
    <w:rsid w:val="00DA7446"/>
    <w:rsid w:val="00DA7EAE"/>
    <w:rsid w:val="00DA7EDB"/>
    <w:rsid w:val="00DB02BE"/>
    <w:rsid w:val="00DB0B15"/>
    <w:rsid w:val="00DB1389"/>
    <w:rsid w:val="00DB197F"/>
    <w:rsid w:val="00DB2278"/>
    <w:rsid w:val="00DB258F"/>
    <w:rsid w:val="00DB2E51"/>
    <w:rsid w:val="00DB3432"/>
    <w:rsid w:val="00DB3981"/>
    <w:rsid w:val="00DB4913"/>
    <w:rsid w:val="00DB4922"/>
    <w:rsid w:val="00DB4B59"/>
    <w:rsid w:val="00DB55DD"/>
    <w:rsid w:val="00DB56D7"/>
    <w:rsid w:val="00DB599F"/>
    <w:rsid w:val="00DB5C28"/>
    <w:rsid w:val="00DB5D09"/>
    <w:rsid w:val="00DB6AE5"/>
    <w:rsid w:val="00DB6AEA"/>
    <w:rsid w:val="00DB6C5E"/>
    <w:rsid w:val="00DB79F5"/>
    <w:rsid w:val="00DB7ABF"/>
    <w:rsid w:val="00DB7D5E"/>
    <w:rsid w:val="00DC0002"/>
    <w:rsid w:val="00DC02F7"/>
    <w:rsid w:val="00DC0811"/>
    <w:rsid w:val="00DC0ACC"/>
    <w:rsid w:val="00DC0ADB"/>
    <w:rsid w:val="00DC0FA5"/>
    <w:rsid w:val="00DC166B"/>
    <w:rsid w:val="00DC1ADF"/>
    <w:rsid w:val="00DC1D86"/>
    <w:rsid w:val="00DC2521"/>
    <w:rsid w:val="00DC2551"/>
    <w:rsid w:val="00DC2951"/>
    <w:rsid w:val="00DC3817"/>
    <w:rsid w:val="00DC382C"/>
    <w:rsid w:val="00DC5616"/>
    <w:rsid w:val="00DC5F7C"/>
    <w:rsid w:val="00DC7E03"/>
    <w:rsid w:val="00DD0338"/>
    <w:rsid w:val="00DD0F16"/>
    <w:rsid w:val="00DD1128"/>
    <w:rsid w:val="00DD1295"/>
    <w:rsid w:val="00DD1428"/>
    <w:rsid w:val="00DD15F9"/>
    <w:rsid w:val="00DD194C"/>
    <w:rsid w:val="00DD1CD9"/>
    <w:rsid w:val="00DD24E2"/>
    <w:rsid w:val="00DD2525"/>
    <w:rsid w:val="00DD2600"/>
    <w:rsid w:val="00DD2E8E"/>
    <w:rsid w:val="00DD310F"/>
    <w:rsid w:val="00DD3148"/>
    <w:rsid w:val="00DD34A5"/>
    <w:rsid w:val="00DD37A9"/>
    <w:rsid w:val="00DD39B3"/>
    <w:rsid w:val="00DD410F"/>
    <w:rsid w:val="00DD46A1"/>
    <w:rsid w:val="00DD4926"/>
    <w:rsid w:val="00DD50CB"/>
    <w:rsid w:val="00DD51DD"/>
    <w:rsid w:val="00DD586B"/>
    <w:rsid w:val="00DD5BA9"/>
    <w:rsid w:val="00DD5D83"/>
    <w:rsid w:val="00DD6119"/>
    <w:rsid w:val="00DD61E8"/>
    <w:rsid w:val="00DD638C"/>
    <w:rsid w:val="00DD6E8E"/>
    <w:rsid w:val="00DD736B"/>
    <w:rsid w:val="00DD7701"/>
    <w:rsid w:val="00DD7AB9"/>
    <w:rsid w:val="00DD7B56"/>
    <w:rsid w:val="00DE09C7"/>
    <w:rsid w:val="00DE0A0E"/>
    <w:rsid w:val="00DE0E1C"/>
    <w:rsid w:val="00DE0F7E"/>
    <w:rsid w:val="00DE1B0D"/>
    <w:rsid w:val="00DE23C3"/>
    <w:rsid w:val="00DE24BB"/>
    <w:rsid w:val="00DE2835"/>
    <w:rsid w:val="00DE3107"/>
    <w:rsid w:val="00DE32B8"/>
    <w:rsid w:val="00DE3452"/>
    <w:rsid w:val="00DE3869"/>
    <w:rsid w:val="00DE52DC"/>
    <w:rsid w:val="00DE5944"/>
    <w:rsid w:val="00DE5AF0"/>
    <w:rsid w:val="00DE5F60"/>
    <w:rsid w:val="00DE624F"/>
    <w:rsid w:val="00DE6D04"/>
    <w:rsid w:val="00DE6E4C"/>
    <w:rsid w:val="00DE76D0"/>
    <w:rsid w:val="00DE7B80"/>
    <w:rsid w:val="00DE7C5F"/>
    <w:rsid w:val="00DE7CB0"/>
    <w:rsid w:val="00DE7F81"/>
    <w:rsid w:val="00DF1273"/>
    <w:rsid w:val="00DF13EB"/>
    <w:rsid w:val="00DF1F18"/>
    <w:rsid w:val="00DF21E3"/>
    <w:rsid w:val="00DF263D"/>
    <w:rsid w:val="00DF2CC9"/>
    <w:rsid w:val="00DF2D62"/>
    <w:rsid w:val="00DF3F7A"/>
    <w:rsid w:val="00DF413F"/>
    <w:rsid w:val="00DF43B1"/>
    <w:rsid w:val="00DF4ADF"/>
    <w:rsid w:val="00DF5CE4"/>
    <w:rsid w:val="00DF5FCE"/>
    <w:rsid w:val="00DF631B"/>
    <w:rsid w:val="00DF67E8"/>
    <w:rsid w:val="00DF6977"/>
    <w:rsid w:val="00DF69E3"/>
    <w:rsid w:val="00DF6D7A"/>
    <w:rsid w:val="00DF742B"/>
    <w:rsid w:val="00DF761E"/>
    <w:rsid w:val="00DF7D93"/>
    <w:rsid w:val="00E00000"/>
    <w:rsid w:val="00E0037B"/>
    <w:rsid w:val="00E003CF"/>
    <w:rsid w:val="00E01182"/>
    <w:rsid w:val="00E011DC"/>
    <w:rsid w:val="00E03663"/>
    <w:rsid w:val="00E037BD"/>
    <w:rsid w:val="00E037FB"/>
    <w:rsid w:val="00E03CFB"/>
    <w:rsid w:val="00E03D6C"/>
    <w:rsid w:val="00E0437F"/>
    <w:rsid w:val="00E043EB"/>
    <w:rsid w:val="00E04552"/>
    <w:rsid w:val="00E04988"/>
    <w:rsid w:val="00E0530A"/>
    <w:rsid w:val="00E05BF0"/>
    <w:rsid w:val="00E06DA7"/>
    <w:rsid w:val="00E070B4"/>
    <w:rsid w:val="00E07710"/>
    <w:rsid w:val="00E0775B"/>
    <w:rsid w:val="00E0790A"/>
    <w:rsid w:val="00E079C1"/>
    <w:rsid w:val="00E10139"/>
    <w:rsid w:val="00E10217"/>
    <w:rsid w:val="00E10EBF"/>
    <w:rsid w:val="00E1107F"/>
    <w:rsid w:val="00E111A7"/>
    <w:rsid w:val="00E113AF"/>
    <w:rsid w:val="00E11E73"/>
    <w:rsid w:val="00E13338"/>
    <w:rsid w:val="00E13517"/>
    <w:rsid w:val="00E136E4"/>
    <w:rsid w:val="00E13EC7"/>
    <w:rsid w:val="00E14350"/>
    <w:rsid w:val="00E148E5"/>
    <w:rsid w:val="00E14F77"/>
    <w:rsid w:val="00E15174"/>
    <w:rsid w:val="00E15848"/>
    <w:rsid w:val="00E15BBD"/>
    <w:rsid w:val="00E15CCD"/>
    <w:rsid w:val="00E164E1"/>
    <w:rsid w:val="00E17321"/>
    <w:rsid w:val="00E17372"/>
    <w:rsid w:val="00E20354"/>
    <w:rsid w:val="00E2045F"/>
    <w:rsid w:val="00E20EFA"/>
    <w:rsid w:val="00E210E7"/>
    <w:rsid w:val="00E21231"/>
    <w:rsid w:val="00E21A68"/>
    <w:rsid w:val="00E21D95"/>
    <w:rsid w:val="00E22906"/>
    <w:rsid w:val="00E22A12"/>
    <w:rsid w:val="00E23068"/>
    <w:rsid w:val="00E23267"/>
    <w:rsid w:val="00E2348F"/>
    <w:rsid w:val="00E24429"/>
    <w:rsid w:val="00E24842"/>
    <w:rsid w:val="00E251C6"/>
    <w:rsid w:val="00E255C2"/>
    <w:rsid w:val="00E258DB"/>
    <w:rsid w:val="00E25B16"/>
    <w:rsid w:val="00E2622C"/>
    <w:rsid w:val="00E26551"/>
    <w:rsid w:val="00E266A0"/>
    <w:rsid w:val="00E26F25"/>
    <w:rsid w:val="00E27264"/>
    <w:rsid w:val="00E272F9"/>
    <w:rsid w:val="00E27BBF"/>
    <w:rsid w:val="00E3149E"/>
    <w:rsid w:val="00E31620"/>
    <w:rsid w:val="00E31691"/>
    <w:rsid w:val="00E319D0"/>
    <w:rsid w:val="00E31CD6"/>
    <w:rsid w:val="00E32727"/>
    <w:rsid w:val="00E328C1"/>
    <w:rsid w:val="00E32F6B"/>
    <w:rsid w:val="00E33F5E"/>
    <w:rsid w:val="00E34A02"/>
    <w:rsid w:val="00E35133"/>
    <w:rsid w:val="00E3694A"/>
    <w:rsid w:val="00E369DC"/>
    <w:rsid w:val="00E36CC4"/>
    <w:rsid w:val="00E3738D"/>
    <w:rsid w:val="00E3742D"/>
    <w:rsid w:val="00E374AF"/>
    <w:rsid w:val="00E40733"/>
    <w:rsid w:val="00E40E39"/>
    <w:rsid w:val="00E41180"/>
    <w:rsid w:val="00E41B7B"/>
    <w:rsid w:val="00E4270C"/>
    <w:rsid w:val="00E42ADA"/>
    <w:rsid w:val="00E4307E"/>
    <w:rsid w:val="00E4327B"/>
    <w:rsid w:val="00E4382F"/>
    <w:rsid w:val="00E43CE0"/>
    <w:rsid w:val="00E44270"/>
    <w:rsid w:val="00E446C5"/>
    <w:rsid w:val="00E452F4"/>
    <w:rsid w:val="00E46997"/>
    <w:rsid w:val="00E4766A"/>
    <w:rsid w:val="00E47B31"/>
    <w:rsid w:val="00E5067B"/>
    <w:rsid w:val="00E50AAD"/>
    <w:rsid w:val="00E50E85"/>
    <w:rsid w:val="00E5127F"/>
    <w:rsid w:val="00E51BF6"/>
    <w:rsid w:val="00E53008"/>
    <w:rsid w:val="00E534CB"/>
    <w:rsid w:val="00E53822"/>
    <w:rsid w:val="00E53E35"/>
    <w:rsid w:val="00E54334"/>
    <w:rsid w:val="00E547FD"/>
    <w:rsid w:val="00E551ED"/>
    <w:rsid w:val="00E55708"/>
    <w:rsid w:val="00E55C5E"/>
    <w:rsid w:val="00E56128"/>
    <w:rsid w:val="00E6049E"/>
    <w:rsid w:val="00E606D4"/>
    <w:rsid w:val="00E607EE"/>
    <w:rsid w:val="00E610B5"/>
    <w:rsid w:val="00E61285"/>
    <w:rsid w:val="00E61334"/>
    <w:rsid w:val="00E61547"/>
    <w:rsid w:val="00E61651"/>
    <w:rsid w:val="00E61B6A"/>
    <w:rsid w:val="00E61C3B"/>
    <w:rsid w:val="00E62824"/>
    <w:rsid w:val="00E62A40"/>
    <w:rsid w:val="00E62B30"/>
    <w:rsid w:val="00E62DD5"/>
    <w:rsid w:val="00E646E9"/>
    <w:rsid w:val="00E649EC"/>
    <w:rsid w:val="00E6536C"/>
    <w:rsid w:val="00E65828"/>
    <w:rsid w:val="00E658B6"/>
    <w:rsid w:val="00E65A15"/>
    <w:rsid w:val="00E661ED"/>
    <w:rsid w:val="00E668BA"/>
    <w:rsid w:val="00E66ADA"/>
    <w:rsid w:val="00E67515"/>
    <w:rsid w:val="00E702FB"/>
    <w:rsid w:val="00E70725"/>
    <w:rsid w:val="00E70B9C"/>
    <w:rsid w:val="00E70BCE"/>
    <w:rsid w:val="00E70DE1"/>
    <w:rsid w:val="00E70E94"/>
    <w:rsid w:val="00E71332"/>
    <w:rsid w:val="00E7159E"/>
    <w:rsid w:val="00E71B28"/>
    <w:rsid w:val="00E72BFC"/>
    <w:rsid w:val="00E73A99"/>
    <w:rsid w:val="00E74497"/>
    <w:rsid w:val="00E74511"/>
    <w:rsid w:val="00E748B6"/>
    <w:rsid w:val="00E74F8C"/>
    <w:rsid w:val="00E7513F"/>
    <w:rsid w:val="00E7546D"/>
    <w:rsid w:val="00E75C56"/>
    <w:rsid w:val="00E768D8"/>
    <w:rsid w:val="00E76D5D"/>
    <w:rsid w:val="00E7727C"/>
    <w:rsid w:val="00E774D2"/>
    <w:rsid w:val="00E77503"/>
    <w:rsid w:val="00E7767E"/>
    <w:rsid w:val="00E77974"/>
    <w:rsid w:val="00E77F0C"/>
    <w:rsid w:val="00E77FA9"/>
    <w:rsid w:val="00E80455"/>
    <w:rsid w:val="00E8107D"/>
    <w:rsid w:val="00E810C6"/>
    <w:rsid w:val="00E81643"/>
    <w:rsid w:val="00E81CBC"/>
    <w:rsid w:val="00E81CC4"/>
    <w:rsid w:val="00E8215B"/>
    <w:rsid w:val="00E822EB"/>
    <w:rsid w:val="00E82780"/>
    <w:rsid w:val="00E82CEB"/>
    <w:rsid w:val="00E82E0D"/>
    <w:rsid w:val="00E82F0C"/>
    <w:rsid w:val="00E83177"/>
    <w:rsid w:val="00E83291"/>
    <w:rsid w:val="00E83CA9"/>
    <w:rsid w:val="00E841A3"/>
    <w:rsid w:val="00E84A20"/>
    <w:rsid w:val="00E85080"/>
    <w:rsid w:val="00E85433"/>
    <w:rsid w:val="00E86A44"/>
    <w:rsid w:val="00E86CCE"/>
    <w:rsid w:val="00E86D15"/>
    <w:rsid w:val="00E87055"/>
    <w:rsid w:val="00E8721E"/>
    <w:rsid w:val="00E872F5"/>
    <w:rsid w:val="00E875A5"/>
    <w:rsid w:val="00E879BE"/>
    <w:rsid w:val="00E901E8"/>
    <w:rsid w:val="00E905A7"/>
    <w:rsid w:val="00E9125F"/>
    <w:rsid w:val="00E912B4"/>
    <w:rsid w:val="00E92B35"/>
    <w:rsid w:val="00E92C79"/>
    <w:rsid w:val="00E92D95"/>
    <w:rsid w:val="00E9384E"/>
    <w:rsid w:val="00E93E51"/>
    <w:rsid w:val="00E93F57"/>
    <w:rsid w:val="00E9430C"/>
    <w:rsid w:val="00E94FCE"/>
    <w:rsid w:val="00E95ABA"/>
    <w:rsid w:val="00E95DFE"/>
    <w:rsid w:val="00E96686"/>
    <w:rsid w:val="00E97548"/>
    <w:rsid w:val="00E9778E"/>
    <w:rsid w:val="00E97B11"/>
    <w:rsid w:val="00E97ED0"/>
    <w:rsid w:val="00EA0608"/>
    <w:rsid w:val="00EA0B98"/>
    <w:rsid w:val="00EA2150"/>
    <w:rsid w:val="00EA2216"/>
    <w:rsid w:val="00EA301B"/>
    <w:rsid w:val="00EA3021"/>
    <w:rsid w:val="00EA46C7"/>
    <w:rsid w:val="00EA54B1"/>
    <w:rsid w:val="00EA5D0B"/>
    <w:rsid w:val="00EA5D6E"/>
    <w:rsid w:val="00EA5E89"/>
    <w:rsid w:val="00EA60BD"/>
    <w:rsid w:val="00EA6226"/>
    <w:rsid w:val="00EA672D"/>
    <w:rsid w:val="00EA6BD0"/>
    <w:rsid w:val="00EA6E04"/>
    <w:rsid w:val="00EA7026"/>
    <w:rsid w:val="00EA706A"/>
    <w:rsid w:val="00EA726A"/>
    <w:rsid w:val="00EA731A"/>
    <w:rsid w:val="00EB0418"/>
    <w:rsid w:val="00EB05D8"/>
    <w:rsid w:val="00EB0627"/>
    <w:rsid w:val="00EB0BE9"/>
    <w:rsid w:val="00EB10C3"/>
    <w:rsid w:val="00EB12CA"/>
    <w:rsid w:val="00EB23C3"/>
    <w:rsid w:val="00EB3029"/>
    <w:rsid w:val="00EB316D"/>
    <w:rsid w:val="00EB364F"/>
    <w:rsid w:val="00EB3C39"/>
    <w:rsid w:val="00EB3FD3"/>
    <w:rsid w:val="00EB40C3"/>
    <w:rsid w:val="00EB45F2"/>
    <w:rsid w:val="00EB4BE4"/>
    <w:rsid w:val="00EB4FC5"/>
    <w:rsid w:val="00EB5725"/>
    <w:rsid w:val="00EB5981"/>
    <w:rsid w:val="00EB5EB6"/>
    <w:rsid w:val="00EB6254"/>
    <w:rsid w:val="00EB7B91"/>
    <w:rsid w:val="00EB7C20"/>
    <w:rsid w:val="00EC041E"/>
    <w:rsid w:val="00EC066A"/>
    <w:rsid w:val="00EC07CD"/>
    <w:rsid w:val="00EC1561"/>
    <w:rsid w:val="00EC1C88"/>
    <w:rsid w:val="00EC25DB"/>
    <w:rsid w:val="00EC326E"/>
    <w:rsid w:val="00EC3A49"/>
    <w:rsid w:val="00EC3A66"/>
    <w:rsid w:val="00EC3E88"/>
    <w:rsid w:val="00EC41F1"/>
    <w:rsid w:val="00EC49EC"/>
    <w:rsid w:val="00EC4C13"/>
    <w:rsid w:val="00EC4C5B"/>
    <w:rsid w:val="00EC4E5F"/>
    <w:rsid w:val="00EC53CF"/>
    <w:rsid w:val="00EC5547"/>
    <w:rsid w:val="00EC575B"/>
    <w:rsid w:val="00EC57B9"/>
    <w:rsid w:val="00EC5B10"/>
    <w:rsid w:val="00EC6243"/>
    <w:rsid w:val="00EC65A6"/>
    <w:rsid w:val="00EC6826"/>
    <w:rsid w:val="00EC7255"/>
    <w:rsid w:val="00EC72AF"/>
    <w:rsid w:val="00EC7440"/>
    <w:rsid w:val="00EC75DA"/>
    <w:rsid w:val="00EC7948"/>
    <w:rsid w:val="00ED0068"/>
    <w:rsid w:val="00ED01E4"/>
    <w:rsid w:val="00ED1422"/>
    <w:rsid w:val="00ED188F"/>
    <w:rsid w:val="00ED1ED9"/>
    <w:rsid w:val="00ED2A30"/>
    <w:rsid w:val="00ED2D9C"/>
    <w:rsid w:val="00ED3002"/>
    <w:rsid w:val="00ED33B3"/>
    <w:rsid w:val="00ED461F"/>
    <w:rsid w:val="00ED490C"/>
    <w:rsid w:val="00ED4953"/>
    <w:rsid w:val="00ED4B88"/>
    <w:rsid w:val="00ED4D44"/>
    <w:rsid w:val="00ED5635"/>
    <w:rsid w:val="00ED59AC"/>
    <w:rsid w:val="00ED62F4"/>
    <w:rsid w:val="00ED6497"/>
    <w:rsid w:val="00ED6BFA"/>
    <w:rsid w:val="00ED7998"/>
    <w:rsid w:val="00ED7C17"/>
    <w:rsid w:val="00ED7CD8"/>
    <w:rsid w:val="00ED7ED5"/>
    <w:rsid w:val="00EE02D7"/>
    <w:rsid w:val="00EE0585"/>
    <w:rsid w:val="00EE0A3F"/>
    <w:rsid w:val="00EE0BFC"/>
    <w:rsid w:val="00EE0C15"/>
    <w:rsid w:val="00EE12B0"/>
    <w:rsid w:val="00EE148A"/>
    <w:rsid w:val="00EE1514"/>
    <w:rsid w:val="00EE1C63"/>
    <w:rsid w:val="00EE1DBF"/>
    <w:rsid w:val="00EE1EC0"/>
    <w:rsid w:val="00EE1F29"/>
    <w:rsid w:val="00EE26D6"/>
    <w:rsid w:val="00EE2B08"/>
    <w:rsid w:val="00EE31F0"/>
    <w:rsid w:val="00EE3EB4"/>
    <w:rsid w:val="00EE4466"/>
    <w:rsid w:val="00EE44B2"/>
    <w:rsid w:val="00EE4676"/>
    <w:rsid w:val="00EE4E1A"/>
    <w:rsid w:val="00EE4E82"/>
    <w:rsid w:val="00EE4F4F"/>
    <w:rsid w:val="00EE54DE"/>
    <w:rsid w:val="00EE5695"/>
    <w:rsid w:val="00EE571A"/>
    <w:rsid w:val="00EE5C8B"/>
    <w:rsid w:val="00EE6A47"/>
    <w:rsid w:val="00EE6E34"/>
    <w:rsid w:val="00EE74A6"/>
    <w:rsid w:val="00EE78D2"/>
    <w:rsid w:val="00EE7B0C"/>
    <w:rsid w:val="00EF01C8"/>
    <w:rsid w:val="00EF02F4"/>
    <w:rsid w:val="00EF0761"/>
    <w:rsid w:val="00EF0E8D"/>
    <w:rsid w:val="00EF1888"/>
    <w:rsid w:val="00EF18A1"/>
    <w:rsid w:val="00EF1E7B"/>
    <w:rsid w:val="00EF20B2"/>
    <w:rsid w:val="00EF230D"/>
    <w:rsid w:val="00EF2864"/>
    <w:rsid w:val="00EF2A37"/>
    <w:rsid w:val="00EF2B61"/>
    <w:rsid w:val="00EF2D07"/>
    <w:rsid w:val="00EF368F"/>
    <w:rsid w:val="00EF382F"/>
    <w:rsid w:val="00EF3831"/>
    <w:rsid w:val="00EF44A2"/>
    <w:rsid w:val="00EF4D7D"/>
    <w:rsid w:val="00EF5117"/>
    <w:rsid w:val="00EF52D7"/>
    <w:rsid w:val="00EF56C3"/>
    <w:rsid w:val="00EF5E5B"/>
    <w:rsid w:val="00EF6559"/>
    <w:rsid w:val="00EF6BAA"/>
    <w:rsid w:val="00EF6C97"/>
    <w:rsid w:val="00EF6F1A"/>
    <w:rsid w:val="00EF770C"/>
    <w:rsid w:val="00F00605"/>
    <w:rsid w:val="00F0067A"/>
    <w:rsid w:val="00F006AD"/>
    <w:rsid w:val="00F007D2"/>
    <w:rsid w:val="00F00DB3"/>
    <w:rsid w:val="00F0146A"/>
    <w:rsid w:val="00F018EC"/>
    <w:rsid w:val="00F01DBE"/>
    <w:rsid w:val="00F01E77"/>
    <w:rsid w:val="00F02049"/>
    <w:rsid w:val="00F03A6B"/>
    <w:rsid w:val="00F03FA8"/>
    <w:rsid w:val="00F0503B"/>
    <w:rsid w:val="00F05EC3"/>
    <w:rsid w:val="00F06EDF"/>
    <w:rsid w:val="00F07104"/>
    <w:rsid w:val="00F07155"/>
    <w:rsid w:val="00F07CE3"/>
    <w:rsid w:val="00F100C4"/>
    <w:rsid w:val="00F1041B"/>
    <w:rsid w:val="00F10D9D"/>
    <w:rsid w:val="00F1127C"/>
    <w:rsid w:val="00F11628"/>
    <w:rsid w:val="00F11B95"/>
    <w:rsid w:val="00F11D6C"/>
    <w:rsid w:val="00F11E9A"/>
    <w:rsid w:val="00F1275F"/>
    <w:rsid w:val="00F13054"/>
    <w:rsid w:val="00F135D5"/>
    <w:rsid w:val="00F144B9"/>
    <w:rsid w:val="00F14FE3"/>
    <w:rsid w:val="00F1539C"/>
    <w:rsid w:val="00F1560B"/>
    <w:rsid w:val="00F156CD"/>
    <w:rsid w:val="00F15E06"/>
    <w:rsid w:val="00F1629B"/>
    <w:rsid w:val="00F16509"/>
    <w:rsid w:val="00F1698B"/>
    <w:rsid w:val="00F16A64"/>
    <w:rsid w:val="00F172F9"/>
    <w:rsid w:val="00F1780E"/>
    <w:rsid w:val="00F212B1"/>
    <w:rsid w:val="00F21CB3"/>
    <w:rsid w:val="00F22304"/>
    <w:rsid w:val="00F22EEA"/>
    <w:rsid w:val="00F233B8"/>
    <w:rsid w:val="00F248FA"/>
    <w:rsid w:val="00F249B1"/>
    <w:rsid w:val="00F256E7"/>
    <w:rsid w:val="00F2579E"/>
    <w:rsid w:val="00F25871"/>
    <w:rsid w:val="00F25B38"/>
    <w:rsid w:val="00F25B96"/>
    <w:rsid w:val="00F25CE6"/>
    <w:rsid w:val="00F261E1"/>
    <w:rsid w:val="00F262B0"/>
    <w:rsid w:val="00F26540"/>
    <w:rsid w:val="00F26699"/>
    <w:rsid w:val="00F26A40"/>
    <w:rsid w:val="00F26BDF"/>
    <w:rsid w:val="00F27369"/>
    <w:rsid w:val="00F27C06"/>
    <w:rsid w:val="00F3092C"/>
    <w:rsid w:val="00F30B7C"/>
    <w:rsid w:val="00F3146A"/>
    <w:rsid w:val="00F3194B"/>
    <w:rsid w:val="00F32580"/>
    <w:rsid w:val="00F33359"/>
    <w:rsid w:val="00F33EA7"/>
    <w:rsid w:val="00F341BC"/>
    <w:rsid w:val="00F347E8"/>
    <w:rsid w:val="00F349B1"/>
    <w:rsid w:val="00F34BAA"/>
    <w:rsid w:val="00F34F86"/>
    <w:rsid w:val="00F36025"/>
    <w:rsid w:val="00F37048"/>
    <w:rsid w:val="00F373E9"/>
    <w:rsid w:val="00F37910"/>
    <w:rsid w:val="00F37B23"/>
    <w:rsid w:val="00F40004"/>
    <w:rsid w:val="00F403B4"/>
    <w:rsid w:val="00F40469"/>
    <w:rsid w:val="00F40571"/>
    <w:rsid w:val="00F4088A"/>
    <w:rsid w:val="00F40EE9"/>
    <w:rsid w:val="00F41E24"/>
    <w:rsid w:val="00F420EA"/>
    <w:rsid w:val="00F42361"/>
    <w:rsid w:val="00F4269A"/>
    <w:rsid w:val="00F431D7"/>
    <w:rsid w:val="00F43229"/>
    <w:rsid w:val="00F4345D"/>
    <w:rsid w:val="00F43C19"/>
    <w:rsid w:val="00F446AB"/>
    <w:rsid w:val="00F449A0"/>
    <w:rsid w:val="00F44C4F"/>
    <w:rsid w:val="00F4544D"/>
    <w:rsid w:val="00F45E63"/>
    <w:rsid w:val="00F45F72"/>
    <w:rsid w:val="00F46E80"/>
    <w:rsid w:val="00F47853"/>
    <w:rsid w:val="00F47942"/>
    <w:rsid w:val="00F47EA9"/>
    <w:rsid w:val="00F50690"/>
    <w:rsid w:val="00F50FF9"/>
    <w:rsid w:val="00F51B95"/>
    <w:rsid w:val="00F52104"/>
    <w:rsid w:val="00F52517"/>
    <w:rsid w:val="00F52745"/>
    <w:rsid w:val="00F5280D"/>
    <w:rsid w:val="00F5292E"/>
    <w:rsid w:val="00F53822"/>
    <w:rsid w:val="00F53A0C"/>
    <w:rsid w:val="00F5400D"/>
    <w:rsid w:val="00F54863"/>
    <w:rsid w:val="00F54986"/>
    <w:rsid w:val="00F54E20"/>
    <w:rsid w:val="00F56C64"/>
    <w:rsid w:val="00F56CA8"/>
    <w:rsid w:val="00F57009"/>
    <w:rsid w:val="00F5716A"/>
    <w:rsid w:val="00F579E0"/>
    <w:rsid w:val="00F57CD0"/>
    <w:rsid w:val="00F57DBE"/>
    <w:rsid w:val="00F60133"/>
    <w:rsid w:val="00F605F6"/>
    <w:rsid w:val="00F60AD9"/>
    <w:rsid w:val="00F60BE7"/>
    <w:rsid w:val="00F60E21"/>
    <w:rsid w:val="00F618BD"/>
    <w:rsid w:val="00F621CC"/>
    <w:rsid w:val="00F62493"/>
    <w:rsid w:val="00F631A3"/>
    <w:rsid w:val="00F63236"/>
    <w:rsid w:val="00F63397"/>
    <w:rsid w:val="00F6439C"/>
    <w:rsid w:val="00F643DC"/>
    <w:rsid w:val="00F652D8"/>
    <w:rsid w:val="00F65F16"/>
    <w:rsid w:val="00F661A6"/>
    <w:rsid w:val="00F664D6"/>
    <w:rsid w:val="00F66629"/>
    <w:rsid w:val="00F6690F"/>
    <w:rsid w:val="00F66D63"/>
    <w:rsid w:val="00F66EF6"/>
    <w:rsid w:val="00F66F6F"/>
    <w:rsid w:val="00F6703B"/>
    <w:rsid w:val="00F67458"/>
    <w:rsid w:val="00F675FE"/>
    <w:rsid w:val="00F67FD2"/>
    <w:rsid w:val="00F7009B"/>
    <w:rsid w:val="00F717D1"/>
    <w:rsid w:val="00F71AE7"/>
    <w:rsid w:val="00F71AE9"/>
    <w:rsid w:val="00F71C4B"/>
    <w:rsid w:val="00F71C57"/>
    <w:rsid w:val="00F7277A"/>
    <w:rsid w:val="00F7347B"/>
    <w:rsid w:val="00F73827"/>
    <w:rsid w:val="00F73D40"/>
    <w:rsid w:val="00F7460B"/>
    <w:rsid w:val="00F74AD6"/>
    <w:rsid w:val="00F74B43"/>
    <w:rsid w:val="00F74C49"/>
    <w:rsid w:val="00F74DC6"/>
    <w:rsid w:val="00F75282"/>
    <w:rsid w:val="00F7573B"/>
    <w:rsid w:val="00F76035"/>
    <w:rsid w:val="00F7657E"/>
    <w:rsid w:val="00F7684B"/>
    <w:rsid w:val="00F76BF2"/>
    <w:rsid w:val="00F76C83"/>
    <w:rsid w:val="00F77474"/>
    <w:rsid w:val="00F77839"/>
    <w:rsid w:val="00F77DFA"/>
    <w:rsid w:val="00F77E93"/>
    <w:rsid w:val="00F8065E"/>
    <w:rsid w:val="00F8091B"/>
    <w:rsid w:val="00F80EB0"/>
    <w:rsid w:val="00F80F26"/>
    <w:rsid w:val="00F81148"/>
    <w:rsid w:val="00F8187F"/>
    <w:rsid w:val="00F81F3D"/>
    <w:rsid w:val="00F82164"/>
    <w:rsid w:val="00F82293"/>
    <w:rsid w:val="00F822AB"/>
    <w:rsid w:val="00F8278F"/>
    <w:rsid w:val="00F827A8"/>
    <w:rsid w:val="00F827AE"/>
    <w:rsid w:val="00F8289A"/>
    <w:rsid w:val="00F82A03"/>
    <w:rsid w:val="00F82D86"/>
    <w:rsid w:val="00F83C60"/>
    <w:rsid w:val="00F83DDD"/>
    <w:rsid w:val="00F83EFC"/>
    <w:rsid w:val="00F84081"/>
    <w:rsid w:val="00F84352"/>
    <w:rsid w:val="00F84404"/>
    <w:rsid w:val="00F8443A"/>
    <w:rsid w:val="00F856B2"/>
    <w:rsid w:val="00F85739"/>
    <w:rsid w:val="00F85E33"/>
    <w:rsid w:val="00F85F2B"/>
    <w:rsid w:val="00F8654C"/>
    <w:rsid w:val="00F866C8"/>
    <w:rsid w:val="00F8776F"/>
    <w:rsid w:val="00F87A4E"/>
    <w:rsid w:val="00F87B89"/>
    <w:rsid w:val="00F87E6C"/>
    <w:rsid w:val="00F87F1E"/>
    <w:rsid w:val="00F9001F"/>
    <w:rsid w:val="00F900B4"/>
    <w:rsid w:val="00F903CA"/>
    <w:rsid w:val="00F907D4"/>
    <w:rsid w:val="00F912A0"/>
    <w:rsid w:val="00F918AD"/>
    <w:rsid w:val="00F923E2"/>
    <w:rsid w:val="00F92D8A"/>
    <w:rsid w:val="00F92DA5"/>
    <w:rsid w:val="00F935C3"/>
    <w:rsid w:val="00F937D8"/>
    <w:rsid w:val="00F93849"/>
    <w:rsid w:val="00F93E45"/>
    <w:rsid w:val="00F93FDC"/>
    <w:rsid w:val="00F9425E"/>
    <w:rsid w:val="00F9437F"/>
    <w:rsid w:val="00F9466E"/>
    <w:rsid w:val="00F95EBD"/>
    <w:rsid w:val="00F9617E"/>
    <w:rsid w:val="00F9652A"/>
    <w:rsid w:val="00F97906"/>
    <w:rsid w:val="00F97D6E"/>
    <w:rsid w:val="00FA0042"/>
    <w:rsid w:val="00FA0A8B"/>
    <w:rsid w:val="00FA12B3"/>
    <w:rsid w:val="00FA1C83"/>
    <w:rsid w:val="00FA1D6F"/>
    <w:rsid w:val="00FA1FDB"/>
    <w:rsid w:val="00FA22F1"/>
    <w:rsid w:val="00FA24D4"/>
    <w:rsid w:val="00FA28B2"/>
    <w:rsid w:val="00FA2A38"/>
    <w:rsid w:val="00FA2AB4"/>
    <w:rsid w:val="00FA2CD8"/>
    <w:rsid w:val="00FA30E4"/>
    <w:rsid w:val="00FA3252"/>
    <w:rsid w:val="00FA3E2F"/>
    <w:rsid w:val="00FA43AD"/>
    <w:rsid w:val="00FA4871"/>
    <w:rsid w:val="00FA49DD"/>
    <w:rsid w:val="00FA5890"/>
    <w:rsid w:val="00FA67D3"/>
    <w:rsid w:val="00FA68B4"/>
    <w:rsid w:val="00FA6F75"/>
    <w:rsid w:val="00FA711E"/>
    <w:rsid w:val="00FA7637"/>
    <w:rsid w:val="00FA7B1D"/>
    <w:rsid w:val="00FB09B4"/>
    <w:rsid w:val="00FB0B4F"/>
    <w:rsid w:val="00FB10B4"/>
    <w:rsid w:val="00FB1821"/>
    <w:rsid w:val="00FB1919"/>
    <w:rsid w:val="00FB2634"/>
    <w:rsid w:val="00FB26CA"/>
    <w:rsid w:val="00FB27B5"/>
    <w:rsid w:val="00FB2CBA"/>
    <w:rsid w:val="00FB37B5"/>
    <w:rsid w:val="00FB37FC"/>
    <w:rsid w:val="00FB3BF5"/>
    <w:rsid w:val="00FB4DE8"/>
    <w:rsid w:val="00FB5A9D"/>
    <w:rsid w:val="00FB641A"/>
    <w:rsid w:val="00FB673F"/>
    <w:rsid w:val="00FB677A"/>
    <w:rsid w:val="00FB6B42"/>
    <w:rsid w:val="00FB6D20"/>
    <w:rsid w:val="00FB6F97"/>
    <w:rsid w:val="00FB72EC"/>
    <w:rsid w:val="00FB7B11"/>
    <w:rsid w:val="00FC00E6"/>
    <w:rsid w:val="00FC0D22"/>
    <w:rsid w:val="00FC15EB"/>
    <w:rsid w:val="00FC1F13"/>
    <w:rsid w:val="00FC2890"/>
    <w:rsid w:val="00FC2BD2"/>
    <w:rsid w:val="00FC39BC"/>
    <w:rsid w:val="00FC3ADF"/>
    <w:rsid w:val="00FC400C"/>
    <w:rsid w:val="00FC4193"/>
    <w:rsid w:val="00FC421E"/>
    <w:rsid w:val="00FC456D"/>
    <w:rsid w:val="00FC510A"/>
    <w:rsid w:val="00FC57AD"/>
    <w:rsid w:val="00FC5DCD"/>
    <w:rsid w:val="00FC5EE8"/>
    <w:rsid w:val="00FC5F5B"/>
    <w:rsid w:val="00FC658B"/>
    <w:rsid w:val="00FC7324"/>
    <w:rsid w:val="00FC797F"/>
    <w:rsid w:val="00FD01C3"/>
    <w:rsid w:val="00FD084C"/>
    <w:rsid w:val="00FD0A75"/>
    <w:rsid w:val="00FD0ED6"/>
    <w:rsid w:val="00FD14AC"/>
    <w:rsid w:val="00FD1519"/>
    <w:rsid w:val="00FD1629"/>
    <w:rsid w:val="00FD1E49"/>
    <w:rsid w:val="00FD22E4"/>
    <w:rsid w:val="00FD2AC7"/>
    <w:rsid w:val="00FD2F81"/>
    <w:rsid w:val="00FD335D"/>
    <w:rsid w:val="00FD344B"/>
    <w:rsid w:val="00FD3670"/>
    <w:rsid w:val="00FD3AC6"/>
    <w:rsid w:val="00FD3DC7"/>
    <w:rsid w:val="00FD46DE"/>
    <w:rsid w:val="00FD4BBD"/>
    <w:rsid w:val="00FD5276"/>
    <w:rsid w:val="00FD5B46"/>
    <w:rsid w:val="00FD5ECA"/>
    <w:rsid w:val="00FD5F97"/>
    <w:rsid w:val="00FD681C"/>
    <w:rsid w:val="00FD7BE9"/>
    <w:rsid w:val="00FD7C31"/>
    <w:rsid w:val="00FE03BF"/>
    <w:rsid w:val="00FE08D7"/>
    <w:rsid w:val="00FE0B6E"/>
    <w:rsid w:val="00FE1278"/>
    <w:rsid w:val="00FE240A"/>
    <w:rsid w:val="00FE2441"/>
    <w:rsid w:val="00FE2854"/>
    <w:rsid w:val="00FE2BED"/>
    <w:rsid w:val="00FE2C88"/>
    <w:rsid w:val="00FE3765"/>
    <w:rsid w:val="00FE475F"/>
    <w:rsid w:val="00FE4D73"/>
    <w:rsid w:val="00FE70CE"/>
    <w:rsid w:val="00FE7340"/>
    <w:rsid w:val="00FE76A9"/>
    <w:rsid w:val="00FE79CE"/>
    <w:rsid w:val="00FF00B6"/>
    <w:rsid w:val="00FF0891"/>
    <w:rsid w:val="00FF0B8A"/>
    <w:rsid w:val="00FF15CE"/>
    <w:rsid w:val="00FF1A6D"/>
    <w:rsid w:val="00FF2071"/>
    <w:rsid w:val="00FF2919"/>
    <w:rsid w:val="00FF2B14"/>
    <w:rsid w:val="00FF2C4D"/>
    <w:rsid w:val="00FF2FEF"/>
    <w:rsid w:val="00FF32EC"/>
    <w:rsid w:val="00FF3FC8"/>
    <w:rsid w:val="00FF42ED"/>
    <w:rsid w:val="00FF46D1"/>
    <w:rsid w:val="00FF4A92"/>
    <w:rsid w:val="00FF4BD5"/>
    <w:rsid w:val="00FF4D97"/>
    <w:rsid w:val="00FF590F"/>
    <w:rsid w:val="00FF5A25"/>
    <w:rsid w:val="00FF5B75"/>
    <w:rsid w:val="00FF5F9C"/>
    <w:rsid w:val="00FF613D"/>
    <w:rsid w:val="00FF6166"/>
    <w:rsid w:val="00FF65CC"/>
    <w:rsid w:val="00FF7148"/>
    <w:rsid w:val="00FF7B2D"/>
    <w:rsid w:val="00FF7D96"/>
    <w:rsid w:val="01632990"/>
    <w:rsid w:val="01C37353"/>
    <w:rsid w:val="01E26581"/>
    <w:rsid w:val="01E61BB0"/>
    <w:rsid w:val="0223689B"/>
    <w:rsid w:val="02251A2D"/>
    <w:rsid w:val="03032F67"/>
    <w:rsid w:val="03F7121B"/>
    <w:rsid w:val="04472FE7"/>
    <w:rsid w:val="04B83CF2"/>
    <w:rsid w:val="05BF144D"/>
    <w:rsid w:val="05F71521"/>
    <w:rsid w:val="060F45F1"/>
    <w:rsid w:val="06A00F8E"/>
    <w:rsid w:val="06D03959"/>
    <w:rsid w:val="071139DA"/>
    <w:rsid w:val="079278E5"/>
    <w:rsid w:val="07A501A2"/>
    <w:rsid w:val="07EDF22C"/>
    <w:rsid w:val="081C5ACE"/>
    <w:rsid w:val="08494605"/>
    <w:rsid w:val="089D3164"/>
    <w:rsid w:val="08A3523D"/>
    <w:rsid w:val="08E03C82"/>
    <w:rsid w:val="08F4771A"/>
    <w:rsid w:val="090D1182"/>
    <w:rsid w:val="09487BD5"/>
    <w:rsid w:val="09A33F27"/>
    <w:rsid w:val="09F96B21"/>
    <w:rsid w:val="0A31209A"/>
    <w:rsid w:val="0A52404A"/>
    <w:rsid w:val="0AD758F6"/>
    <w:rsid w:val="0AFD0E99"/>
    <w:rsid w:val="0B622867"/>
    <w:rsid w:val="0B667919"/>
    <w:rsid w:val="0B72403E"/>
    <w:rsid w:val="0B740649"/>
    <w:rsid w:val="0B787EDF"/>
    <w:rsid w:val="0B996E37"/>
    <w:rsid w:val="0BA831F2"/>
    <w:rsid w:val="0BC03562"/>
    <w:rsid w:val="0BED708D"/>
    <w:rsid w:val="0BFBE00B"/>
    <w:rsid w:val="0C0451EB"/>
    <w:rsid w:val="0C047362"/>
    <w:rsid w:val="0C7508F7"/>
    <w:rsid w:val="0C8A560C"/>
    <w:rsid w:val="0CA2422A"/>
    <w:rsid w:val="0CF2545D"/>
    <w:rsid w:val="0D342741"/>
    <w:rsid w:val="0D5D4137"/>
    <w:rsid w:val="0E8D1FB6"/>
    <w:rsid w:val="0ECC70A1"/>
    <w:rsid w:val="0ED308B1"/>
    <w:rsid w:val="0F052597"/>
    <w:rsid w:val="0FBED92E"/>
    <w:rsid w:val="0FEC6B8E"/>
    <w:rsid w:val="0FF47A4E"/>
    <w:rsid w:val="102A635B"/>
    <w:rsid w:val="105B16DD"/>
    <w:rsid w:val="112069C6"/>
    <w:rsid w:val="11485242"/>
    <w:rsid w:val="11624A28"/>
    <w:rsid w:val="116E1AE2"/>
    <w:rsid w:val="11EB0407"/>
    <w:rsid w:val="1202715B"/>
    <w:rsid w:val="1234408E"/>
    <w:rsid w:val="126E6168"/>
    <w:rsid w:val="131A38F1"/>
    <w:rsid w:val="1347ECB1"/>
    <w:rsid w:val="139E1DE3"/>
    <w:rsid w:val="13C7650B"/>
    <w:rsid w:val="13C96352"/>
    <w:rsid w:val="13D738BB"/>
    <w:rsid w:val="142B2434"/>
    <w:rsid w:val="14822249"/>
    <w:rsid w:val="14AE305E"/>
    <w:rsid w:val="14D76BC2"/>
    <w:rsid w:val="14DC29CA"/>
    <w:rsid w:val="154924C6"/>
    <w:rsid w:val="158A297E"/>
    <w:rsid w:val="15A86255"/>
    <w:rsid w:val="15B1053E"/>
    <w:rsid w:val="161712AB"/>
    <w:rsid w:val="16292DD2"/>
    <w:rsid w:val="16756B9D"/>
    <w:rsid w:val="171D05CD"/>
    <w:rsid w:val="17F68E48"/>
    <w:rsid w:val="187B7001"/>
    <w:rsid w:val="18FA03CD"/>
    <w:rsid w:val="190000CB"/>
    <w:rsid w:val="19065A78"/>
    <w:rsid w:val="190A2C65"/>
    <w:rsid w:val="1977101E"/>
    <w:rsid w:val="197E3B6D"/>
    <w:rsid w:val="19C744E4"/>
    <w:rsid w:val="1B036397"/>
    <w:rsid w:val="1B6154E3"/>
    <w:rsid w:val="1B686C17"/>
    <w:rsid w:val="1B9B2670"/>
    <w:rsid w:val="1BAD6BAF"/>
    <w:rsid w:val="1BBFD2D6"/>
    <w:rsid w:val="1BE17460"/>
    <w:rsid w:val="1C33140B"/>
    <w:rsid w:val="1CF978D8"/>
    <w:rsid w:val="1CFD65E1"/>
    <w:rsid w:val="1E0D2EB4"/>
    <w:rsid w:val="1E584C14"/>
    <w:rsid w:val="1E5F7F12"/>
    <w:rsid w:val="1EB27894"/>
    <w:rsid w:val="1EB313BD"/>
    <w:rsid w:val="1EBECD7C"/>
    <w:rsid w:val="1EEC57A0"/>
    <w:rsid w:val="1EFDE98B"/>
    <w:rsid w:val="1F103FEC"/>
    <w:rsid w:val="1F371A6C"/>
    <w:rsid w:val="1F6627BC"/>
    <w:rsid w:val="1FAD46EE"/>
    <w:rsid w:val="1FB7176F"/>
    <w:rsid w:val="1FC658CE"/>
    <w:rsid w:val="1FDF6339"/>
    <w:rsid w:val="1FDF8F70"/>
    <w:rsid w:val="1FEF2D18"/>
    <w:rsid w:val="1FFF90C8"/>
    <w:rsid w:val="20225FFD"/>
    <w:rsid w:val="209830BC"/>
    <w:rsid w:val="20FB5A46"/>
    <w:rsid w:val="21B3289C"/>
    <w:rsid w:val="21DF2C72"/>
    <w:rsid w:val="21F97331"/>
    <w:rsid w:val="225A3C44"/>
    <w:rsid w:val="22785417"/>
    <w:rsid w:val="22A545AB"/>
    <w:rsid w:val="22E82BAA"/>
    <w:rsid w:val="22FA4207"/>
    <w:rsid w:val="23024CE8"/>
    <w:rsid w:val="23225535"/>
    <w:rsid w:val="23BE399C"/>
    <w:rsid w:val="23EF331F"/>
    <w:rsid w:val="24B46E3A"/>
    <w:rsid w:val="24F5706A"/>
    <w:rsid w:val="25533774"/>
    <w:rsid w:val="25CD3433"/>
    <w:rsid w:val="26322694"/>
    <w:rsid w:val="263F39F2"/>
    <w:rsid w:val="26B7451F"/>
    <w:rsid w:val="26E67FC7"/>
    <w:rsid w:val="26FF0E9A"/>
    <w:rsid w:val="27232AC2"/>
    <w:rsid w:val="273442AC"/>
    <w:rsid w:val="27736A38"/>
    <w:rsid w:val="27A77B2A"/>
    <w:rsid w:val="27BF3541"/>
    <w:rsid w:val="27D60DBE"/>
    <w:rsid w:val="27EDD1AA"/>
    <w:rsid w:val="27F71EF8"/>
    <w:rsid w:val="27FF1E5B"/>
    <w:rsid w:val="282FC70C"/>
    <w:rsid w:val="287B4590"/>
    <w:rsid w:val="28943DAE"/>
    <w:rsid w:val="28FF4C00"/>
    <w:rsid w:val="29065399"/>
    <w:rsid w:val="2911190F"/>
    <w:rsid w:val="291264BC"/>
    <w:rsid w:val="291E22D1"/>
    <w:rsid w:val="2975E993"/>
    <w:rsid w:val="2985265D"/>
    <w:rsid w:val="2A190ADC"/>
    <w:rsid w:val="2A224043"/>
    <w:rsid w:val="2A4E79D1"/>
    <w:rsid w:val="2AD42BED"/>
    <w:rsid w:val="2AFC3426"/>
    <w:rsid w:val="2B0348CB"/>
    <w:rsid w:val="2B3C7E6F"/>
    <w:rsid w:val="2B7A4908"/>
    <w:rsid w:val="2B8723B0"/>
    <w:rsid w:val="2B8A66E9"/>
    <w:rsid w:val="2BA77DAE"/>
    <w:rsid w:val="2BB95BA4"/>
    <w:rsid w:val="2BC80656"/>
    <w:rsid w:val="2BFC5115"/>
    <w:rsid w:val="2C205D65"/>
    <w:rsid w:val="2C60223C"/>
    <w:rsid w:val="2CAD6265"/>
    <w:rsid w:val="2CDE0E0C"/>
    <w:rsid w:val="2CFE9E03"/>
    <w:rsid w:val="2D154A02"/>
    <w:rsid w:val="2D15BC4F"/>
    <w:rsid w:val="2DBC03AE"/>
    <w:rsid w:val="2DEF763F"/>
    <w:rsid w:val="2E01265B"/>
    <w:rsid w:val="2E7FC398"/>
    <w:rsid w:val="2E9903CA"/>
    <w:rsid w:val="2EB137AB"/>
    <w:rsid w:val="2F195A15"/>
    <w:rsid w:val="2F350076"/>
    <w:rsid w:val="2F556BC8"/>
    <w:rsid w:val="2F893415"/>
    <w:rsid w:val="2FB499C7"/>
    <w:rsid w:val="2FBF82C0"/>
    <w:rsid w:val="2FBFAF36"/>
    <w:rsid w:val="2FCF59A3"/>
    <w:rsid w:val="2FD21EB7"/>
    <w:rsid w:val="2FD7B7D4"/>
    <w:rsid w:val="2FD7BD36"/>
    <w:rsid w:val="2FD9D5DB"/>
    <w:rsid w:val="2FDF6754"/>
    <w:rsid w:val="2FDFF0AB"/>
    <w:rsid w:val="2FEA6B46"/>
    <w:rsid w:val="2FF32BA1"/>
    <w:rsid w:val="2FFE6DF8"/>
    <w:rsid w:val="2FFF10BE"/>
    <w:rsid w:val="2FFF1237"/>
    <w:rsid w:val="302F48FD"/>
    <w:rsid w:val="303F26C9"/>
    <w:rsid w:val="30511A05"/>
    <w:rsid w:val="30893A27"/>
    <w:rsid w:val="31D46421"/>
    <w:rsid w:val="31E47BEF"/>
    <w:rsid w:val="31F55F6B"/>
    <w:rsid w:val="325D0153"/>
    <w:rsid w:val="3271612E"/>
    <w:rsid w:val="328E5C6C"/>
    <w:rsid w:val="329C6448"/>
    <w:rsid w:val="32A43A22"/>
    <w:rsid w:val="33BA20F6"/>
    <w:rsid w:val="33EDE11C"/>
    <w:rsid w:val="33F767D6"/>
    <w:rsid w:val="340F665B"/>
    <w:rsid w:val="341C7835"/>
    <w:rsid w:val="344867AF"/>
    <w:rsid w:val="349D080E"/>
    <w:rsid w:val="34D7E4E7"/>
    <w:rsid w:val="34F03747"/>
    <w:rsid w:val="352B6315"/>
    <w:rsid w:val="35E77224"/>
    <w:rsid w:val="361C5C6B"/>
    <w:rsid w:val="362F4F7F"/>
    <w:rsid w:val="366814C3"/>
    <w:rsid w:val="36773B87"/>
    <w:rsid w:val="36BE59B9"/>
    <w:rsid w:val="36D10C7F"/>
    <w:rsid w:val="36E940C2"/>
    <w:rsid w:val="370FC608"/>
    <w:rsid w:val="371A23EA"/>
    <w:rsid w:val="372F49AE"/>
    <w:rsid w:val="37352EB5"/>
    <w:rsid w:val="373673D0"/>
    <w:rsid w:val="3737337F"/>
    <w:rsid w:val="374F0343"/>
    <w:rsid w:val="376768CC"/>
    <w:rsid w:val="377F4C78"/>
    <w:rsid w:val="379647BF"/>
    <w:rsid w:val="37980EFB"/>
    <w:rsid w:val="37A04D49"/>
    <w:rsid w:val="37A127E2"/>
    <w:rsid w:val="37EC5C9F"/>
    <w:rsid w:val="37F5ED01"/>
    <w:rsid w:val="37FC7CAF"/>
    <w:rsid w:val="37FF1246"/>
    <w:rsid w:val="384C779A"/>
    <w:rsid w:val="385A0EEE"/>
    <w:rsid w:val="38B35178"/>
    <w:rsid w:val="38BD87B1"/>
    <w:rsid w:val="38E33E0B"/>
    <w:rsid w:val="390FBE41"/>
    <w:rsid w:val="39327014"/>
    <w:rsid w:val="398F3276"/>
    <w:rsid w:val="39CE2512"/>
    <w:rsid w:val="39DB5084"/>
    <w:rsid w:val="39EC253C"/>
    <w:rsid w:val="39FD582A"/>
    <w:rsid w:val="3A7FACFB"/>
    <w:rsid w:val="3AEDF3E7"/>
    <w:rsid w:val="3AF047BF"/>
    <w:rsid w:val="3B2C2B0B"/>
    <w:rsid w:val="3B422739"/>
    <w:rsid w:val="3B539F4D"/>
    <w:rsid w:val="3B9C2003"/>
    <w:rsid w:val="3BAF0D63"/>
    <w:rsid w:val="3BB623E3"/>
    <w:rsid w:val="3BBE6024"/>
    <w:rsid w:val="3BC413D7"/>
    <w:rsid w:val="3BD7FB6F"/>
    <w:rsid w:val="3BDE2990"/>
    <w:rsid w:val="3BDF63FB"/>
    <w:rsid w:val="3BDF9C60"/>
    <w:rsid w:val="3BF98691"/>
    <w:rsid w:val="3BFE5C1C"/>
    <w:rsid w:val="3C397742"/>
    <w:rsid w:val="3CB7D2F5"/>
    <w:rsid w:val="3D47D40C"/>
    <w:rsid w:val="3D5444D5"/>
    <w:rsid w:val="3D55E51A"/>
    <w:rsid w:val="3D7A5D8D"/>
    <w:rsid w:val="3D7F9D5D"/>
    <w:rsid w:val="3DBB5BA2"/>
    <w:rsid w:val="3DCEF346"/>
    <w:rsid w:val="3DDC26B0"/>
    <w:rsid w:val="3DDFE1B3"/>
    <w:rsid w:val="3DF91406"/>
    <w:rsid w:val="3DFE85F1"/>
    <w:rsid w:val="3DFF358B"/>
    <w:rsid w:val="3DFFB96B"/>
    <w:rsid w:val="3DFFC9BE"/>
    <w:rsid w:val="3E5F9E92"/>
    <w:rsid w:val="3E7D43BB"/>
    <w:rsid w:val="3EA31081"/>
    <w:rsid w:val="3EBCC17F"/>
    <w:rsid w:val="3ECF495E"/>
    <w:rsid w:val="3EEE9962"/>
    <w:rsid w:val="3EF7D6C6"/>
    <w:rsid w:val="3EFF1CB4"/>
    <w:rsid w:val="3EFF66A4"/>
    <w:rsid w:val="3F17DDAD"/>
    <w:rsid w:val="3F57BC17"/>
    <w:rsid w:val="3F6F92C1"/>
    <w:rsid w:val="3F7F7452"/>
    <w:rsid w:val="3F7FC357"/>
    <w:rsid w:val="3F9D2611"/>
    <w:rsid w:val="3FAFBEED"/>
    <w:rsid w:val="3FB9D08A"/>
    <w:rsid w:val="3FBBF683"/>
    <w:rsid w:val="3FCDC7D8"/>
    <w:rsid w:val="3FCE0D6E"/>
    <w:rsid w:val="3FD12AC9"/>
    <w:rsid w:val="3FDFDDEA"/>
    <w:rsid w:val="3FEC5C1A"/>
    <w:rsid w:val="3FED0091"/>
    <w:rsid w:val="3FED08AC"/>
    <w:rsid w:val="3FEFCEF7"/>
    <w:rsid w:val="3FF66DBA"/>
    <w:rsid w:val="3FF7D33F"/>
    <w:rsid w:val="3FF90628"/>
    <w:rsid w:val="3FFA667D"/>
    <w:rsid w:val="3FFD4BCA"/>
    <w:rsid w:val="3FFE568D"/>
    <w:rsid w:val="3FFF23BC"/>
    <w:rsid w:val="3FFFF1B5"/>
    <w:rsid w:val="402B2031"/>
    <w:rsid w:val="40343A41"/>
    <w:rsid w:val="406A5351"/>
    <w:rsid w:val="411D312E"/>
    <w:rsid w:val="41541B76"/>
    <w:rsid w:val="420C67D1"/>
    <w:rsid w:val="421318B5"/>
    <w:rsid w:val="42417EDE"/>
    <w:rsid w:val="427259E7"/>
    <w:rsid w:val="4285640A"/>
    <w:rsid w:val="430D6279"/>
    <w:rsid w:val="4354529D"/>
    <w:rsid w:val="43DE6DD5"/>
    <w:rsid w:val="45061EE8"/>
    <w:rsid w:val="45536C52"/>
    <w:rsid w:val="457DCD58"/>
    <w:rsid w:val="45905663"/>
    <w:rsid w:val="45F85D70"/>
    <w:rsid w:val="46050F4B"/>
    <w:rsid w:val="4650656B"/>
    <w:rsid w:val="46DA26EA"/>
    <w:rsid w:val="46E36B0E"/>
    <w:rsid w:val="474F71E6"/>
    <w:rsid w:val="474FC0C1"/>
    <w:rsid w:val="475F23EA"/>
    <w:rsid w:val="477812A4"/>
    <w:rsid w:val="47BE79FF"/>
    <w:rsid w:val="484713ED"/>
    <w:rsid w:val="487D31E6"/>
    <w:rsid w:val="48BF5427"/>
    <w:rsid w:val="49A9391F"/>
    <w:rsid w:val="49D72D66"/>
    <w:rsid w:val="49FB18DF"/>
    <w:rsid w:val="4A3F4FC7"/>
    <w:rsid w:val="4AA6770C"/>
    <w:rsid w:val="4AEB734B"/>
    <w:rsid w:val="4AF009A7"/>
    <w:rsid w:val="4B0A4C46"/>
    <w:rsid w:val="4B436216"/>
    <w:rsid w:val="4B4B74EA"/>
    <w:rsid w:val="4B502367"/>
    <w:rsid w:val="4B79B038"/>
    <w:rsid w:val="4BED4262"/>
    <w:rsid w:val="4BF75A1E"/>
    <w:rsid w:val="4BF9942E"/>
    <w:rsid w:val="4C690B21"/>
    <w:rsid w:val="4D3D73C8"/>
    <w:rsid w:val="4D556AC3"/>
    <w:rsid w:val="4D621CF7"/>
    <w:rsid w:val="4DAF2F5F"/>
    <w:rsid w:val="4DB14B8B"/>
    <w:rsid w:val="4DD7BC96"/>
    <w:rsid w:val="4DE8173E"/>
    <w:rsid w:val="4DEE62FE"/>
    <w:rsid w:val="4E4A31AC"/>
    <w:rsid w:val="4E905C2D"/>
    <w:rsid w:val="4E9E6176"/>
    <w:rsid w:val="4EB78A7E"/>
    <w:rsid w:val="4EEA341D"/>
    <w:rsid w:val="4F280830"/>
    <w:rsid w:val="4F8B3B85"/>
    <w:rsid w:val="4FAB099D"/>
    <w:rsid w:val="4FAC0176"/>
    <w:rsid w:val="4FEEA797"/>
    <w:rsid w:val="4FFDC606"/>
    <w:rsid w:val="4FFE72E6"/>
    <w:rsid w:val="4FFEB5D2"/>
    <w:rsid w:val="502E0681"/>
    <w:rsid w:val="50677BD2"/>
    <w:rsid w:val="50793B9A"/>
    <w:rsid w:val="50F708DF"/>
    <w:rsid w:val="51021B9A"/>
    <w:rsid w:val="51066BB0"/>
    <w:rsid w:val="51B977AD"/>
    <w:rsid w:val="52062BA6"/>
    <w:rsid w:val="52394E44"/>
    <w:rsid w:val="52934DA8"/>
    <w:rsid w:val="52DEB4E2"/>
    <w:rsid w:val="52E27677"/>
    <w:rsid w:val="531DC0AC"/>
    <w:rsid w:val="536C1EA6"/>
    <w:rsid w:val="538A466C"/>
    <w:rsid w:val="53BFA844"/>
    <w:rsid w:val="53FE2489"/>
    <w:rsid w:val="53FFAA0D"/>
    <w:rsid w:val="545B2F4E"/>
    <w:rsid w:val="54A75974"/>
    <w:rsid w:val="553427D3"/>
    <w:rsid w:val="55467EC0"/>
    <w:rsid w:val="55627B98"/>
    <w:rsid w:val="55665DD5"/>
    <w:rsid w:val="55AEDCD2"/>
    <w:rsid w:val="56B86AE3"/>
    <w:rsid w:val="56E10BAE"/>
    <w:rsid w:val="575D459E"/>
    <w:rsid w:val="579F0AF0"/>
    <w:rsid w:val="57B97853"/>
    <w:rsid w:val="57D04CE1"/>
    <w:rsid w:val="57F2FDF7"/>
    <w:rsid w:val="57F98471"/>
    <w:rsid w:val="57F99287"/>
    <w:rsid w:val="585B1BAB"/>
    <w:rsid w:val="58847AF3"/>
    <w:rsid w:val="58C94309"/>
    <w:rsid w:val="58FF6B4F"/>
    <w:rsid w:val="59301A29"/>
    <w:rsid w:val="59830A22"/>
    <w:rsid w:val="59C76EC0"/>
    <w:rsid w:val="5A1B3C13"/>
    <w:rsid w:val="5A216B33"/>
    <w:rsid w:val="5A46784A"/>
    <w:rsid w:val="5A4C3FB4"/>
    <w:rsid w:val="5A6272E9"/>
    <w:rsid w:val="5A6911B2"/>
    <w:rsid w:val="5A9E0A74"/>
    <w:rsid w:val="5AFBD107"/>
    <w:rsid w:val="5AFF1C29"/>
    <w:rsid w:val="5B3D8EEC"/>
    <w:rsid w:val="5B6FB43C"/>
    <w:rsid w:val="5B7765E4"/>
    <w:rsid w:val="5B7CD29A"/>
    <w:rsid w:val="5BD4EED5"/>
    <w:rsid w:val="5BFAF227"/>
    <w:rsid w:val="5BFC72D5"/>
    <w:rsid w:val="5BFFF78F"/>
    <w:rsid w:val="5C2B32C9"/>
    <w:rsid w:val="5CCFAE0B"/>
    <w:rsid w:val="5CD30601"/>
    <w:rsid w:val="5DDB84AF"/>
    <w:rsid w:val="5DEDE0FA"/>
    <w:rsid w:val="5DEEE15A"/>
    <w:rsid w:val="5DF5F463"/>
    <w:rsid w:val="5DF851D9"/>
    <w:rsid w:val="5E0C6437"/>
    <w:rsid w:val="5E146BA5"/>
    <w:rsid w:val="5E700BEB"/>
    <w:rsid w:val="5E8528E3"/>
    <w:rsid w:val="5EA340C1"/>
    <w:rsid w:val="5ED73E41"/>
    <w:rsid w:val="5ED759D3"/>
    <w:rsid w:val="5EFDF10D"/>
    <w:rsid w:val="5EFFE6B8"/>
    <w:rsid w:val="5F2F12EA"/>
    <w:rsid w:val="5F541D59"/>
    <w:rsid w:val="5F581F2F"/>
    <w:rsid w:val="5F5F9CC0"/>
    <w:rsid w:val="5F67ACE2"/>
    <w:rsid w:val="5F7D2DD2"/>
    <w:rsid w:val="5F945CEB"/>
    <w:rsid w:val="5FB21367"/>
    <w:rsid w:val="5FBD19D7"/>
    <w:rsid w:val="5FBF1BA8"/>
    <w:rsid w:val="5FBFADB6"/>
    <w:rsid w:val="5FD6482E"/>
    <w:rsid w:val="5FD9DDC8"/>
    <w:rsid w:val="5FDD86BE"/>
    <w:rsid w:val="5FDE4FC5"/>
    <w:rsid w:val="5FDF0585"/>
    <w:rsid w:val="5FEAB781"/>
    <w:rsid w:val="5FEB0D35"/>
    <w:rsid w:val="5FEF2B0E"/>
    <w:rsid w:val="5FEF51F1"/>
    <w:rsid w:val="5FF5A4BD"/>
    <w:rsid w:val="5FF848B8"/>
    <w:rsid w:val="5FFB0373"/>
    <w:rsid w:val="5FFE526C"/>
    <w:rsid w:val="5FFF0FAC"/>
    <w:rsid w:val="5FFF8DA3"/>
    <w:rsid w:val="5FFFA665"/>
    <w:rsid w:val="5FFFB482"/>
    <w:rsid w:val="6006103A"/>
    <w:rsid w:val="60473A72"/>
    <w:rsid w:val="605E197C"/>
    <w:rsid w:val="60AD66CA"/>
    <w:rsid w:val="617FD2D3"/>
    <w:rsid w:val="61F3D472"/>
    <w:rsid w:val="624A492A"/>
    <w:rsid w:val="624B57EC"/>
    <w:rsid w:val="6264057A"/>
    <w:rsid w:val="626F9D57"/>
    <w:rsid w:val="627F1500"/>
    <w:rsid w:val="62833444"/>
    <w:rsid w:val="62904CE3"/>
    <w:rsid w:val="631206E7"/>
    <w:rsid w:val="63137643"/>
    <w:rsid w:val="637B0494"/>
    <w:rsid w:val="638636BE"/>
    <w:rsid w:val="63BD995C"/>
    <w:rsid w:val="6439115F"/>
    <w:rsid w:val="64E0198A"/>
    <w:rsid w:val="656AF31C"/>
    <w:rsid w:val="658F8FF7"/>
    <w:rsid w:val="65D7A9FB"/>
    <w:rsid w:val="664A61AB"/>
    <w:rsid w:val="6651447D"/>
    <w:rsid w:val="666B0F22"/>
    <w:rsid w:val="66F422E8"/>
    <w:rsid w:val="67015CF4"/>
    <w:rsid w:val="674DEC96"/>
    <w:rsid w:val="675F5F8C"/>
    <w:rsid w:val="67714E5A"/>
    <w:rsid w:val="67778904"/>
    <w:rsid w:val="6777937F"/>
    <w:rsid w:val="67F15495"/>
    <w:rsid w:val="67F6C4E1"/>
    <w:rsid w:val="686E7705"/>
    <w:rsid w:val="691C2BD6"/>
    <w:rsid w:val="692D738D"/>
    <w:rsid w:val="69B631D5"/>
    <w:rsid w:val="6A9C33EC"/>
    <w:rsid w:val="6B4A275E"/>
    <w:rsid w:val="6B7D86A3"/>
    <w:rsid w:val="6B8BD644"/>
    <w:rsid w:val="6B9D4F34"/>
    <w:rsid w:val="6B9D66F4"/>
    <w:rsid w:val="6BA7108B"/>
    <w:rsid w:val="6BAF68F7"/>
    <w:rsid w:val="6BBF3879"/>
    <w:rsid w:val="6C011D75"/>
    <w:rsid w:val="6C0F1B08"/>
    <w:rsid w:val="6C2829A1"/>
    <w:rsid w:val="6C630C2F"/>
    <w:rsid w:val="6CBDA2C1"/>
    <w:rsid w:val="6CEFAA0C"/>
    <w:rsid w:val="6CF188C6"/>
    <w:rsid w:val="6CF4B10A"/>
    <w:rsid w:val="6D7E9524"/>
    <w:rsid w:val="6DAC6146"/>
    <w:rsid w:val="6DBA34E6"/>
    <w:rsid w:val="6DD3CCC9"/>
    <w:rsid w:val="6DE78871"/>
    <w:rsid w:val="6DE881C2"/>
    <w:rsid w:val="6DE9E62D"/>
    <w:rsid w:val="6DFF5AD9"/>
    <w:rsid w:val="6DFF5D3A"/>
    <w:rsid w:val="6DFFC1C1"/>
    <w:rsid w:val="6DFFD423"/>
    <w:rsid w:val="6E5721A1"/>
    <w:rsid w:val="6E977DD7"/>
    <w:rsid w:val="6E9F5211"/>
    <w:rsid w:val="6EBE754D"/>
    <w:rsid w:val="6ED6BD44"/>
    <w:rsid w:val="6EDB5566"/>
    <w:rsid w:val="6F3DDF1B"/>
    <w:rsid w:val="6F3FC8CD"/>
    <w:rsid w:val="6F6F9862"/>
    <w:rsid w:val="6F7F9AE3"/>
    <w:rsid w:val="6F99F8AF"/>
    <w:rsid w:val="6FA22B71"/>
    <w:rsid w:val="6FBA6C40"/>
    <w:rsid w:val="6FBF7F66"/>
    <w:rsid w:val="6FCEC6C3"/>
    <w:rsid w:val="6FD95008"/>
    <w:rsid w:val="6FDD4F40"/>
    <w:rsid w:val="6FDED1EE"/>
    <w:rsid w:val="6FE7064C"/>
    <w:rsid w:val="6FEF0315"/>
    <w:rsid w:val="6FEFDF1A"/>
    <w:rsid w:val="6FF7B7B3"/>
    <w:rsid w:val="6FF99CB7"/>
    <w:rsid w:val="6FFF7848"/>
    <w:rsid w:val="6FFFBFC6"/>
    <w:rsid w:val="70912D43"/>
    <w:rsid w:val="70D0696F"/>
    <w:rsid w:val="70DB399E"/>
    <w:rsid w:val="714FCDC6"/>
    <w:rsid w:val="715AE9A1"/>
    <w:rsid w:val="71874248"/>
    <w:rsid w:val="71AD1F5F"/>
    <w:rsid w:val="71E507A7"/>
    <w:rsid w:val="71EE5010"/>
    <w:rsid w:val="71EFDF14"/>
    <w:rsid w:val="71FAF450"/>
    <w:rsid w:val="7230561B"/>
    <w:rsid w:val="72B9C7B9"/>
    <w:rsid w:val="72EB3899"/>
    <w:rsid w:val="72FF5E7A"/>
    <w:rsid w:val="733B94A6"/>
    <w:rsid w:val="737F5256"/>
    <w:rsid w:val="738C880B"/>
    <w:rsid w:val="73930455"/>
    <w:rsid w:val="739DDB68"/>
    <w:rsid w:val="739E3FA4"/>
    <w:rsid w:val="73AB93EC"/>
    <w:rsid w:val="73AF0A4A"/>
    <w:rsid w:val="73C3549F"/>
    <w:rsid w:val="73CBECF2"/>
    <w:rsid w:val="73F539F7"/>
    <w:rsid w:val="74980757"/>
    <w:rsid w:val="74D713C7"/>
    <w:rsid w:val="74EA6E15"/>
    <w:rsid w:val="75065245"/>
    <w:rsid w:val="752F1638"/>
    <w:rsid w:val="757758AC"/>
    <w:rsid w:val="758312CD"/>
    <w:rsid w:val="759518CE"/>
    <w:rsid w:val="75B03590"/>
    <w:rsid w:val="75D55B1C"/>
    <w:rsid w:val="75DFBD1A"/>
    <w:rsid w:val="75EB0222"/>
    <w:rsid w:val="75FBC483"/>
    <w:rsid w:val="75FFAA84"/>
    <w:rsid w:val="767A5010"/>
    <w:rsid w:val="768917A1"/>
    <w:rsid w:val="768A69E5"/>
    <w:rsid w:val="76AE6CCE"/>
    <w:rsid w:val="76EE7A72"/>
    <w:rsid w:val="76FE533A"/>
    <w:rsid w:val="76FF2B4D"/>
    <w:rsid w:val="76FF80AB"/>
    <w:rsid w:val="7727172D"/>
    <w:rsid w:val="773D1287"/>
    <w:rsid w:val="773F2181"/>
    <w:rsid w:val="776B4C17"/>
    <w:rsid w:val="776B9384"/>
    <w:rsid w:val="777F670D"/>
    <w:rsid w:val="77A112CF"/>
    <w:rsid w:val="77AF14C0"/>
    <w:rsid w:val="77BD1037"/>
    <w:rsid w:val="77BD3914"/>
    <w:rsid w:val="77BDD67D"/>
    <w:rsid w:val="77CF0D30"/>
    <w:rsid w:val="77CF0E5F"/>
    <w:rsid w:val="77D79193"/>
    <w:rsid w:val="77E40411"/>
    <w:rsid w:val="77F35048"/>
    <w:rsid w:val="77F9E732"/>
    <w:rsid w:val="77FCDDA2"/>
    <w:rsid w:val="789456D9"/>
    <w:rsid w:val="790627D2"/>
    <w:rsid w:val="791E45CC"/>
    <w:rsid w:val="79B7BFCF"/>
    <w:rsid w:val="79BEB289"/>
    <w:rsid w:val="79BF6944"/>
    <w:rsid w:val="79C73BC9"/>
    <w:rsid w:val="79DF91CF"/>
    <w:rsid w:val="79FFB36C"/>
    <w:rsid w:val="7A1BE38C"/>
    <w:rsid w:val="7A2C4758"/>
    <w:rsid w:val="7A3F12BA"/>
    <w:rsid w:val="7A477914"/>
    <w:rsid w:val="7A73767E"/>
    <w:rsid w:val="7A77138A"/>
    <w:rsid w:val="7ADFC2A1"/>
    <w:rsid w:val="7AF3D399"/>
    <w:rsid w:val="7AFB38D9"/>
    <w:rsid w:val="7AFDD8AF"/>
    <w:rsid w:val="7AFE4C6F"/>
    <w:rsid w:val="7B0051B8"/>
    <w:rsid w:val="7B371AEA"/>
    <w:rsid w:val="7B3DF171"/>
    <w:rsid w:val="7B3EAA64"/>
    <w:rsid w:val="7B3F8D78"/>
    <w:rsid w:val="7B548C80"/>
    <w:rsid w:val="7B5FE703"/>
    <w:rsid w:val="7B778C90"/>
    <w:rsid w:val="7B7F30D1"/>
    <w:rsid w:val="7B7F6075"/>
    <w:rsid w:val="7B964678"/>
    <w:rsid w:val="7B976581"/>
    <w:rsid w:val="7BB3EFE4"/>
    <w:rsid w:val="7BBF6111"/>
    <w:rsid w:val="7BDABD01"/>
    <w:rsid w:val="7BDECB59"/>
    <w:rsid w:val="7BDF8382"/>
    <w:rsid w:val="7BF33CEB"/>
    <w:rsid w:val="7BF4B0F3"/>
    <w:rsid w:val="7BF4C57B"/>
    <w:rsid w:val="7BFBCEC5"/>
    <w:rsid w:val="7BFD0F8B"/>
    <w:rsid w:val="7BFD5BC2"/>
    <w:rsid w:val="7BFE198E"/>
    <w:rsid w:val="7BFF0360"/>
    <w:rsid w:val="7BFF63D3"/>
    <w:rsid w:val="7BFF77F1"/>
    <w:rsid w:val="7C123FBC"/>
    <w:rsid w:val="7C297E55"/>
    <w:rsid w:val="7C6B17F4"/>
    <w:rsid w:val="7C6D0EB8"/>
    <w:rsid w:val="7C75F897"/>
    <w:rsid w:val="7CBB29DB"/>
    <w:rsid w:val="7CBF383F"/>
    <w:rsid w:val="7CF706A4"/>
    <w:rsid w:val="7CFDE4FF"/>
    <w:rsid w:val="7D1E098E"/>
    <w:rsid w:val="7D4F18D8"/>
    <w:rsid w:val="7D553402"/>
    <w:rsid w:val="7D730753"/>
    <w:rsid w:val="7D7F3ECF"/>
    <w:rsid w:val="7D7FB41B"/>
    <w:rsid w:val="7D8E5D3C"/>
    <w:rsid w:val="7D99687A"/>
    <w:rsid w:val="7DAD593A"/>
    <w:rsid w:val="7DBC51D0"/>
    <w:rsid w:val="7DC43BD6"/>
    <w:rsid w:val="7DD6569B"/>
    <w:rsid w:val="7DE55EDF"/>
    <w:rsid w:val="7DE927CB"/>
    <w:rsid w:val="7DF6AA04"/>
    <w:rsid w:val="7DFA401D"/>
    <w:rsid w:val="7DFA7D8C"/>
    <w:rsid w:val="7DFFDB05"/>
    <w:rsid w:val="7DFFDCD0"/>
    <w:rsid w:val="7E203EEB"/>
    <w:rsid w:val="7E225CFF"/>
    <w:rsid w:val="7E35037A"/>
    <w:rsid w:val="7E3C5115"/>
    <w:rsid w:val="7E559A93"/>
    <w:rsid w:val="7E5DF217"/>
    <w:rsid w:val="7E69A574"/>
    <w:rsid w:val="7E76310B"/>
    <w:rsid w:val="7E77668B"/>
    <w:rsid w:val="7E7DDA89"/>
    <w:rsid w:val="7E7F9C49"/>
    <w:rsid w:val="7EA15CA6"/>
    <w:rsid w:val="7EAD422D"/>
    <w:rsid w:val="7EB73304"/>
    <w:rsid w:val="7EBD6E2E"/>
    <w:rsid w:val="7EBD7FE4"/>
    <w:rsid w:val="7EBFBB81"/>
    <w:rsid w:val="7ED7E07F"/>
    <w:rsid w:val="7EDF1BB7"/>
    <w:rsid w:val="7EEEFCAD"/>
    <w:rsid w:val="7EFB7C89"/>
    <w:rsid w:val="7EFFDE26"/>
    <w:rsid w:val="7F1F5CFC"/>
    <w:rsid w:val="7F3EBB32"/>
    <w:rsid w:val="7F5BEE47"/>
    <w:rsid w:val="7F6A13EE"/>
    <w:rsid w:val="7F6D7716"/>
    <w:rsid w:val="7F6F2644"/>
    <w:rsid w:val="7F758B1E"/>
    <w:rsid w:val="7F77978E"/>
    <w:rsid w:val="7F77D6CB"/>
    <w:rsid w:val="7F7B51AB"/>
    <w:rsid w:val="7F7F9035"/>
    <w:rsid w:val="7F9B5319"/>
    <w:rsid w:val="7F9D905E"/>
    <w:rsid w:val="7F9FFD08"/>
    <w:rsid w:val="7FAFDA97"/>
    <w:rsid w:val="7FB718BF"/>
    <w:rsid w:val="7FB7650A"/>
    <w:rsid w:val="7FBBB58A"/>
    <w:rsid w:val="7FBC4CD6"/>
    <w:rsid w:val="7FBE38E4"/>
    <w:rsid w:val="7FBED353"/>
    <w:rsid w:val="7FBF49C0"/>
    <w:rsid w:val="7FBF84E2"/>
    <w:rsid w:val="7FBFC401"/>
    <w:rsid w:val="7FCA7192"/>
    <w:rsid w:val="7FCE91AC"/>
    <w:rsid w:val="7FCF1EC0"/>
    <w:rsid w:val="7FCF2BA5"/>
    <w:rsid w:val="7FCF4757"/>
    <w:rsid w:val="7FCFAC38"/>
    <w:rsid w:val="7FD71E2E"/>
    <w:rsid w:val="7FD7C197"/>
    <w:rsid w:val="7FDE1807"/>
    <w:rsid w:val="7FDF262B"/>
    <w:rsid w:val="7FDF2B8E"/>
    <w:rsid w:val="7FEB6FF6"/>
    <w:rsid w:val="7FED3581"/>
    <w:rsid w:val="7FEDBDFA"/>
    <w:rsid w:val="7FEEC3EB"/>
    <w:rsid w:val="7FEFDCF7"/>
    <w:rsid w:val="7FEFDE85"/>
    <w:rsid w:val="7FEFED61"/>
    <w:rsid w:val="7FF3150C"/>
    <w:rsid w:val="7FF3D531"/>
    <w:rsid w:val="7FF5B029"/>
    <w:rsid w:val="7FF67F3F"/>
    <w:rsid w:val="7FF6B7EF"/>
    <w:rsid w:val="7FF70266"/>
    <w:rsid w:val="7FF74235"/>
    <w:rsid w:val="7FF76F5B"/>
    <w:rsid w:val="7FF7A0EE"/>
    <w:rsid w:val="7FF9191B"/>
    <w:rsid w:val="7FF927FD"/>
    <w:rsid w:val="7FFA0E83"/>
    <w:rsid w:val="7FFB3A9B"/>
    <w:rsid w:val="7FFB5137"/>
    <w:rsid w:val="7FFB6A0F"/>
    <w:rsid w:val="7FFBA0F4"/>
    <w:rsid w:val="7FFBEA70"/>
    <w:rsid w:val="7FFBFBDD"/>
    <w:rsid w:val="7FFD6206"/>
    <w:rsid w:val="7FFEF43A"/>
    <w:rsid w:val="7FFF6F2D"/>
    <w:rsid w:val="7FFF711C"/>
    <w:rsid w:val="7FFF96C6"/>
    <w:rsid w:val="7FFF97FE"/>
    <w:rsid w:val="7FFFA232"/>
    <w:rsid w:val="7FFFAC83"/>
    <w:rsid w:val="7FFFE640"/>
    <w:rsid w:val="832F5A8F"/>
    <w:rsid w:val="83BB274A"/>
    <w:rsid w:val="87EDE9E6"/>
    <w:rsid w:val="8BBDF7AA"/>
    <w:rsid w:val="8DDFE166"/>
    <w:rsid w:val="8EF747F3"/>
    <w:rsid w:val="8FB90561"/>
    <w:rsid w:val="8FFBF013"/>
    <w:rsid w:val="8FFDB044"/>
    <w:rsid w:val="937F209A"/>
    <w:rsid w:val="95B3484A"/>
    <w:rsid w:val="95FE44C0"/>
    <w:rsid w:val="97FF1E70"/>
    <w:rsid w:val="997D0F83"/>
    <w:rsid w:val="9A7DACCD"/>
    <w:rsid w:val="9ADEB3D1"/>
    <w:rsid w:val="9BBBAADB"/>
    <w:rsid w:val="9BDD6E89"/>
    <w:rsid w:val="9BF71BAC"/>
    <w:rsid w:val="9CDB74E7"/>
    <w:rsid w:val="9DF306FB"/>
    <w:rsid w:val="9DFDF0F1"/>
    <w:rsid w:val="9E68B931"/>
    <w:rsid w:val="9F2FC01E"/>
    <w:rsid w:val="9F4ED75A"/>
    <w:rsid w:val="9F73B34B"/>
    <w:rsid w:val="9FBE7826"/>
    <w:rsid w:val="9FEDD805"/>
    <w:rsid w:val="9FEDF896"/>
    <w:rsid w:val="9FFD2131"/>
    <w:rsid w:val="9FFEE0A7"/>
    <w:rsid w:val="A1FFE116"/>
    <w:rsid w:val="A4754659"/>
    <w:rsid w:val="A5767C7F"/>
    <w:rsid w:val="A7BF1660"/>
    <w:rsid w:val="AB3F305C"/>
    <w:rsid w:val="ABF7B412"/>
    <w:rsid w:val="ABFB458E"/>
    <w:rsid w:val="ADDBD05A"/>
    <w:rsid w:val="AE9FBE48"/>
    <w:rsid w:val="AEBFD594"/>
    <w:rsid w:val="AEFBC5DA"/>
    <w:rsid w:val="AF3E7324"/>
    <w:rsid w:val="AFAFD14F"/>
    <w:rsid w:val="AFBB21E5"/>
    <w:rsid w:val="AFD7058F"/>
    <w:rsid w:val="AFF70171"/>
    <w:rsid w:val="AFFEB6A0"/>
    <w:rsid w:val="AFFFC912"/>
    <w:rsid w:val="B0BA6F7A"/>
    <w:rsid w:val="B2DDE65C"/>
    <w:rsid w:val="B2FF6DDE"/>
    <w:rsid w:val="B33C7F20"/>
    <w:rsid w:val="B3EFFFF9"/>
    <w:rsid w:val="B3F958D2"/>
    <w:rsid w:val="B3FFEA08"/>
    <w:rsid w:val="B4F1957B"/>
    <w:rsid w:val="B55F931A"/>
    <w:rsid w:val="B5745ACF"/>
    <w:rsid w:val="B61BFC54"/>
    <w:rsid w:val="B6D77A67"/>
    <w:rsid w:val="B7BF7C92"/>
    <w:rsid w:val="B7EE6C10"/>
    <w:rsid w:val="B7F32D93"/>
    <w:rsid w:val="B7F78B59"/>
    <w:rsid w:val="B7F99E0D"/>
    <w:rsid w:val="B7F9D75C"/>
    <w:rsid w:val="B7FEA257"/>
    <w:rsid w:val="B7FEFD39"/>
    <w:rsid w:val="B7FFBEB8"/>
    <w:rsid w:val="B7FFECD8"/>
    <w:rsid w:val="B85BA4A9"/>
    <w:rsid w:val="B8FF0013"/>
    <w:rsid w:val="B9521BD1"/>
    <w:rsid w:val="B9B3A294"/>
    <w:rsid w:val="BAEF8847"/>
    <w:rsid w:val="BAF7663D"/>
    <w:rsid w:val="BB6B1EF6"/>
    <w:rsid w:val="BB7DAA2C"/>
    <w:rsid w:val="BBBF1B77"/>
    <w:rsid w:val="BBCB5ADC"/>
    <w:rsid w:val="BBF79E3E"/>
    <w:rsid w:val="BBFBC157"/>
    <w:rsid w:val="BBFEB7A7"/>
    <w:rsid w:val="BC7FE582"/>
    <w:rsid w:val="BCBE9E3F"/>
    <w:rsid w:val="BCF5D199"/>
    <w:rsid w:val="BCFCECD6"/>
    <w:rsid w:val="BD5F5458"/>
    <w:rsid w:val="BD74A799"/>
    <w:rsid w:val="BDFBCE49"/>
    <w:rsid w:val="BDFD588F"/>
    <w:rsid w:val="BDFFB65C"/>
    <w:rsid w:val="BE3F5B3A"/>
    <w:rsid w:val="BE4F64F5"/>
    <w:rsid w:val="BE7DE6AA"/>
    <w:rsid w:val="BEAF0FF3"/>
    <w:rsid w:val="BEEBB09B"/>
    <w:rsid w:val="BEF7E135"/>
    <w:rsid w:val="BEFC1810"/>
    <w:rsid w:val="BF57218E"/>
    <w:rsid w:val="BF5FCB9A"/>
    <w:rsid w:val="BF7CE369"/>
    <w:rsid w:val="BF873A41"/>
    <w:rsid w:val="BF8F7FA6"/>
    <w:rsid w:val="BFAE795B"/>
    <w:rsid w:val="BFAF3AC8"/>
    <w:rsid w:val="BFCFCBA2"/>
    <w:rsid w:val="BFD51A1D"/>
    <w:rsid w:val="BFD60632"/>
    <w:rsid w:val="BFD7A617"/>
    <w:rsid w:val="BFDB1D01"/>
    <w:rsid w:val="BFE90024"/>
    <w:rsid w:val="BFF002CB"/>
    <w:rsid w:val="BFFBFD55"/>
    <w:rsid w:val="C17F3A71"/>
    <w:rsid w:val="C37FD6E3"/>
    <w:rsid w:val="C3EBECA8"/>
    <w:rsid w:val="C63823D7"/>
    <w:rsid w:val="C6F381B0"/>
    <w:rsid w:val="C9BEB121"/>
    <w:rsid w:val="CA375B9B"/>
    <w:rsid w:val="CB667515"/>
    <w:rsid w:val="CBB9B9D0"/>
    <w:rsid w:val="CCE78017"/>
    <w:rsid w:val="CDAB310C"/>
    <w:rsid w:val="CDBF3189"/>
    <w:rsid w:val="CDFED2C6"/>
    <w:rsid w:val="CE1C4361"/>
    <w:rsid w:val="CEB9D63E"/>
    <w:rsid w:val="CEEAE893"/>
    <w:rsid w:val="CEFEAF4E"/>
    <w:rsid w:val="CF3ED77C"/>
    <w:rsid w:val="CF67ADE4"/>
    <w:rsid w:val="CFD45AC8"/>
    <w:rsid w:val="CFD7A227"/>
    <w:rsid w:val="CFDB48F1"/>
    <w:rsid w:val="CFDEC7CB"/>
    <w:rsid w:val="CFF553AC"/>
    <w:rsid w:val="CFFE23A2"/>
    <w:rsid w:val="D3B50559"/>
    <w:rsid w:val="D3FE0626"/>
    <w:rsid w:val="D4FEF634"/>
    <w:rsid w:val="D53F4076"/>
    <w:rsid w:val="D56F9199"/>
    <w:rsid w:val="D597B031"/>
    <w:rsid w:val="D5FC253C"/>
    <w:rsid w:val="D6867558"/>
    <w:rsid w:val="D7762A59"/>
    <w:rsid w:val="D7BD2E6E"/>
    <w:rsid w:val="D7BF689D"/>
    <w:rsid w:val="D9D7D28B"/>
    <w:rsid w:val="DB3BA7D9"/>
    <w:rsid w:val="DBB7AAEC"/>
    <w:rsid w:val="DBBF24D7"/>
    <w:rsid w:val="DBDF11B9"/>
    <w:rsid w:val="DBFBB845"/>
    <w:rsid w:val="DBFFE433"/>
    <w:rsid w:val="DC9FD592"/>
    <w:rsid w:val="DCDD24CB"/>
    <w:rsid w:val="DCDF4A09"/>
    <w:rsid w:val="DCEE8DCB"/>
    <w:rsid w:val="DD7B9D43"/>
    <w:rsid w:val="DDAD676E"/>
    <w:rsid w:val="DDBD7458"/>
    <w:rsid w:val="DDBF540F"/>
    <w:rsid w:val="DDDC90A5"/>
    <w:rsid w:val="DDF2288B"/>
    <w:rsid w:val="DE4FDA8F"/>
    <w:rsid w:val="DE7F17D3"/>
    <w:rsid w:val="DEDFD544"/>
    <w:rsid w:val="DEF71DF2"/>
    <w:rsid w:val="DEF77711"/>
    <w:rsid w:val="DF5FACE9"/>
    <w:rsid w:val="DF772315"/>
    <w:rsid w:val="DF7F1026"/>
    <w:rsid w:val="DF95FA26"/>
    <w:rsid w:val="DFB11EC4"/>
    <w:rsid w:val="DFCA5D27"/>
    <w:rsid w:val="DFD707CD"/>
    <w:rsid w:val="DFDB26FA"/>
    <w:rsid w:val="DFDC6C3C"/>
    <w:rsid w:val="DFDF962B"/>
    <w:rsid w:val="DFF4A8DB"/>
    <w:rsid w:val="DFF52D30"/>
    <w:rsid w:val="DFF91515"/>
    <w:rsid w:val="DFFBE42F"/>
    <w:rsid w:val="DFFE01DF"/>
    <w:rsid w:val="DFFF2CFA"/>
    <w:rsid w:val="DFFF31A3"/>
    <w:rsid w:val="DFFF9307"/>
    <w:rsid w:val="DFFFB4AB"/>
    <w:rsid w:val="E2FCFF17"/>
    <w:rsid w:val="E32D6E22"/>
    <w:rsid w:val="E3FEF144"/>
    <w:rsid w:val="E3FFDEAC"/>
    <w:rsid w:val="E47DF91C"/>
    <w:rsid w:val="E6A8AF69"/>
    <w:rsid w:val="E6FE24ED"/>
    <w:rsid w:val="E6FE3A8F"/>
    <w:rsid w:val="E72D5368"/>
    <w:rsid w:val="E77109F5"/>
    <w:rsid w:val="E77C0A93"/>
    <w:rsid w:val="E77FBBDF"/>
    <w:rsid w:val="E7ADB50F"/>
    <w:rsid w:val="E7FC1735"/>
    <w:rsid w:val="E7FD47C5"/>
    <w:rsid w:val="E8B78A77"/>
    <w:rsid w:val="E8FBE76B"/>
    <w:rsid w:val="E9DDCD03"/>
    <w:rsid w:val="E9F501DD"/>
    <w:rsid w:val="E9FEC821"/>
    <w:rsid w:val="EAEF550E"/>
    <w:rsid w:val="EB3F9494"/>
    <w:rsid w:val="EB7FEA1A"/>
    <w:rsid w:val="EB8B1C52"/>
    <w:rsid w:val="EB9758BA"/>
    <w:rsid w:val="EBF388BC"/>
    <w:rsid w:val="EBFEDC52"/>
    <w:rsid w:val="EBFF72DA"/>
    <w:rsid w:val="EBFFE920"/>
    <w:rsid w:val="EC4EBD52"/>
    <w:rsid w:val="ECA77C6B"/>
    <w:rsid w:val="ECB7D75D"/>
    <w:rsid w:val="ECFF1A02"/>
    <w:rsid w:val="ECFF5A94"/>
    <w:rsid w:val="EDD78C4F"/>
    <w:rsid w:val="EDE54F32"/>
    <w:rsid w:val="EDF5832B"/>
    <w:rsid w:val="EDFFF913"/>
    <w:rsid w:val="EE7FDD82"/>
    <w:rsid w:val="EEBF0071"/>
    <w:rsid w:val="EEDEE749"/>
    <w:rsid w:val="EEFBDB9F"/>
    <w:rsid w:val="EEFE3AC7"/>
    <w:rsid w:val="EEFF9458"/>
    <w:rsid w:val="EF3394D0"/>
    <w:rsid w:val="EF37BAD5"/>
    <w:rsid w:val="EF4D981B"/>
    <w:rsid w:val="EF5B098A"/>
    <w:rsid w:val="EF5D1A2C"/>
    <w:rsid w:val="EF6FDC74"/>
    <w:rsid w:val="EF7785F8"/>
    <w:rsid w:val="EF7E54E1"/>
    <w:rsid w:val="EF975FB5"/>
    <w:rsid w:val="EFA5B1A3"/>
    <w:rsid w:val="EFA9FD38"/>
    <w:rsid w:val="EFBDD5B8"/>
    <w:rsid w:val="EFBFFA00"/>
    <w:rsid w:val="EFD57404"/>
    <w:rsid w:val="EFD79207"/>
    <w:rsid w:val="EFDF392A"/>
    <w:rsid w:val="EFE7F40D"/>
    <w:rsid w:val="EFF6F342"/>
    <w:rsid w:val="EFFB5682"/>
    <w:rsid w:val="EFFB78BE"/>
    <w:rsid w:val="EFFDA3C4"/>
    <w:rsid w:val="EFFE9D0D"/>
    <w:rsid w:val="EFFF46DB"/>
    <w:rsid w:val="EFFF72BE"/>
    <w:rsid w:val="F15F9147"/>
    <w:rsid w:val="F171B5D3"/>
    <w:rsid w:val="F176FDC1"/>
    <w:rsid w:val="F1AF11EC"/>
    <w:rsid w:val="F1F7390D"/>
    <w:rsid w:val="F1FD27BB"/>
    <w:rsid w:val="F2FE2DFE"/>
    <w:rsid w:val="F2FEC49A"/>
    <w:rsid w:val="F3373A91"/>
    <w:rsid w:val="F3941DA2"/>
    <w:rsid w:val="F3DB276B"/>
    <w:rsid w:val="F3E7AE11"/>
    <w:rsid w:val="F3FF370B"/>
    <w:rsid w:val="F3FFF4BC"/>
    <w:rsid w:val="F43FD0B7"/>
    <w:rsid w:val="F4DBEAFB"/>
    <w:rsid w:val="F5BA2B80"/>
    <w:rsid w:val="F5DEBB40"/>
    <w:rsid w:val="F5EAC7B0"/>
    <w:rsid w:val="F5FF0A70"/>
    <w:rsid w:val="F68E1711"/>
    <w:rsid w:val="F6C6EF0B"/>
    <w:rsid w:val="F6DFEADE"/>
    <w:rsid w:val="F6EDDB6D"/>
    <w:rsid w:val="F6FA05A3"/>
    <w:rsid w:val="F6FE3332"/>
    <w:rsid w:val="F6FF75C9"/>
    <w:rsid w:val="F72FD69F"/>
    <w:rsid w:val="F7775580"/>
    <w:rsid w:val="F7775BD3"/>
    <w:rsid w:val="F77FA45E"/>
    <w:rsid w:val="F78526CC"/>
    <w:rsid w:val="F7957628"/>
    <w:rsid w:val="F7B91924"/>
    <w:rsid w:val="F7BFCDA6"/>
    <w:rsid w:val="F7CF6A25"/>
    <w:rsid w:val="F7D78355"/>
    <w:rsid w:val="F7DFCDB7"/>
    <w:rsid w:val="F7F30CA8"/>
    <w:rsid w:val="F7F3B7E2"/>
    <w:rsid w:val="F7F4B271"/>
    <w:rsid w:val="F7F7DBD9"/>
    <w:rsid w:val="F7F9299C"/>
    <w:rsid w:val="F7FC15AF"/>
    <w:rsid w:val="F7FC6385"/>
    <w:rsid w:val="F7FD203F"/>
    <w:rsid w:val="F7FF55CF"/>
    <w:rsid w:val="F7FFBDC5"/>
    <w:rsid w:val="F7FFF621"/>
    <w:rsid w:val="F8B0441F"/>
    <w:rsid w:val="F8F10A7E"/>
    <w:rsid w:val="F97EE141"/>
    <w:rsid w:val="F9B74E51"/>
    <w:rsid w:val="F9BF472D"/>
    <w:rsid w:val="F9CF1CCA"/>
    <w:rsid w:val="F9D3A9A8"/>
    <w:rsid w:val="F9DDFAFE"/>
    <w:rsid w:val="F9EB2107"/>
    <w:rsid w:val="F9F7A57F"/>
    <w:rsid w:val="F9FF1521"/>
    <w:rsid w:val="FA376CF3"/>
    <w:rsid w:val="FA4E0643"/>
    <w:rsid w:val="FA4E545F"/>
    <w:rsid w:val="FA5BF0B8"/>
    <w:rsid w:val="FABF855E"/>
    <w:rsid w:val="FAEFAF8C"/>
    <w:rsid w:val="FAF5DFB4"/>
    <w:rsid w:val="FAFFA9D3"/>
    <w:rsid w:val="FAFFECC8"/>
    <w:rsid w:val="FB36CCB0"/>
    <w:rsid w:val="FB5DEF8C"/>
    <w:rsid w:val="FBB608B2"/>
    <w:rsid w:val="FBBD5A40"/>
    <w:rsid w:val="FBBFE2D1"/>
    <w:rsid w:val="FBDD9AA2"/>
    <w:rsid w:val="FBDFBD83"/>
    <w:rsid w:val="FBE70960"/>
    <w:rsid w:val="FBEABEE4"/>
    <w:rsid w:val="FBF7720E"/>
    <w:rsid w:val="FBF78DFF"/>
    <w:rsid w:val="FBFAB4E7"/>
    <w:rsid w:val="FBFACBA7"/>
    <w:rsid w:val="FBFB63B2"/>
    <w:rsid w:val="FBFB89F5"/>
    <w:rsid w:val="FBFD8290"/>
    <w:rsid w:val="FBFF0447"/>
    <w:rsid w:val="FC79A7DB"/>
    <w:rsid w:val="FC7B7796"/>
    <w:rsid w:val="FC7F84D5"/>
    <w:rsid w:val="FC9FCD2F"/>
    <w:rsid w:val="FCB79B8A"/>
    <w:rsid w:val="FCB7CA12"/>
    <w:rsid w:val="FCB84F0D"/>
    <w:rsid w:val="FCDF0179"/>
    <w:rsid w:val="FCEF2B60"/>
    <w:rsid w:val="FCF4F2F6"/>
    <w:rsid w:val="FCFF3F22"/>
    <w:rsid w:val="FD473B34"/>
    <w:rsid w:val="FD6F1D9E"/>
    <w:rsid w:val="FD7583BA"/>
    <w:rsid w:val="FD7EF7C9"/>
    <w:rsid w:val="FD9BEA4D"/>
    <w:rsid w:val="FD9DFC45"/>
    <w:rsid w:val="FDBF0AC3"/>
    <w:rsid w:val="FDCDF5E4"/>
    <w:rsid w:val="FDD9013A"/>
    <w:rsid w:val="FDDD2EBC"/>
    <w:rsid w:val="FDDDBBA4"/>
    <w:rsid w:val="FDE38E79"/>
    <w:rsid w:val="FDE77564"/>
    <w:rsid w:val="FDED714A"/>
    <w:rsid w:val="FDEF3753"/>
    <w:rsid w:val="FDFD04EF"/>
    <w:rsid w:val="FDFF6157"/>
    <w:rsid w:val="FDFF76F6"/>
    <w:rsid w:val="FE351C3B"/>
    <w:rsid w:val="FE3DFDE5"/>
    <w:rsid w:val="FE57F9CE"/>
    <w:rsid w:val="FE69FA19"/>
    <w:rsid w:val="FE7F29E0"/>
    <w:rsid w:val="FE7F5601"/>
    <w:rsid w:val="FE7F6E57"/>
    <w:rsid w:val="FE96CAFB"/>
    <w:rsid w:val="FE972CD2"/>
    <w:rsid w:val="FEB7257E"/>
    <w:rsid w:val="FEBF7C6D"/>
    <w:rsid w:val="FECB7E9E"/>
    <w:rsid w:val="FEDAFA90"/>
    <w:rsid w:val="FEDE15CB"/>
    <w:rsid w:val="FEDE258E"/>
    <w:rsid w:val="FEE75F10"/>
    <w:rsid w:val="FEEA6FDB"/>
    <w:rsid w:val="FEF9D27C"/>
    <w:rsid w:val="FEFBF79C"/>
    <w:rsid w:val="FEFD0CD4"/>
    <w:rsid w:val="FEFDDE9C"/>
    <w:rsid w:val="FEFF3E10"/>
    <w:rsid w:val="FEFF8837"/>
    <w:rsid w:val="FF0A7F71"/>
    <w:rsid w:val="FF1D07D3"/>
    <w:rsid w:val="FF29BD3E"/>
    <w:rsid w:val="FF2B5A97"/>
    <w:rsid w:val="FF3E0939"/>
    <w:rsid w:val="FF3EDB87"/>
    <w:rsid w:val="FF5C96D9"/>
    <w:rsid w:val="FF5FC028"/>
    <w:rsid w:val="FF674C6E"/>
    <w:rsid w:val="FF6A00DD"/>
    <w:rsid w:val="FF739184"/>
    <w:rsid w:val="FF7E8ECA"/>
    <w:rsid w:val="FF7F7EFC"/>
    <w:rsid w:val="FF7F9A98"/>
    <w:rsid w:val="FF9C0E30"/>
    <w:rsid w:val="FF9E7C69"/>
    <w:rsid w:val="FFABD0E1"/>
    <w:rsid w:val="FFAEE0E3"/>
    <w:rsid w:val="FFB3A6BB"/>
    <w:rsid w:val="FFBAB3B8"/>
    <w:rsid w:val="FFBF45D7"/>
    <w:rsid w:val="FFBF59DC"/>
    <w:rsid w:val="FFCBB988"/>
    <w:rsid w:val="FFCDFF40"/>
    <w:rsid w:val="FFCF5AC0"/>
    <w:rsid w:val="FFCFE0EC"/>
    <w:rsid w:val="FFD200A9"/>
    <w:rsid w:val="FFD3150D"/>
    <w:rsid w:val="FFD50AAE"/>
    <w:rsid w:val="FFD87A60"/>
    <w:rsid w:val="FFDBCD6E"/>
    <w:rsid w:val="FFDBEFE2"/>
    <w:rsid w:val="FFDD8D79"/>
    <w:rsid w:val="FFDD95DD"/>
    <w:rsid w:val="FFDE6C22"/>
    <w:rsid w:val="FFE74A20"/>
    <w:rsid w:val="FFE77FD3"/>
    <w:rsid w:val="FFEC6623"/>
    <w:rsid w:val="FFEE8D79"/>
    <w:rsid w:val="FFEEA40E"/>
    <w:rsid w:val="FFEEDC38"/>
    <w:rsid w:val="FFEF6888"/>
    <w:rsid w:val="FFEFE3C1"/>
    <w:rsid w:val="FFEFEA33"/>
    <w:rsid w:val="FFEFF0D1"/>
    <w:rsid w:val="FFF10C29"/>
    <w:rsid w:val="FFF72F47"/>
    <w:rsid w:val="FFF78FCE"/>
    <w:rsid w:val="FFF7E89F"/>
    <w:rsid w:val="FFF7F3F1"/>
    <w:rsid w:val="FFF7FEE5"/>
    <w:rsid w:val="FFF92B76"/>
    <w:rsid w:val="FFF95159"/>
    <w:rsid w:val="FFFA2DD8"/>
    <w:rsid w:val="FFFB0DED"/>
    <w:rsid w:val="FFFB1B44"/>
    <w:rsid w:val="FFFBA086"/>
    <w:rsid w:val="FFFBFF78"/>
    <w:rsid w:val="FFFD4E42"/>
    <w:rsid w:val="FFFD5B08"/>
    <w:rsid w:val="FFFD8FD3"/>
    <w:rsid w:val="FFFEA50B"/>
    <w:rsid w:val="FFFEC7DE"/>
    <w:rsid w:val="FFFEE571"/>
    <w:rsid w:val="FFFF3D4B"/>
    <w:rsid w:val="FFFF5B41"/>
    <w:rsid w:val="FFFFE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0"/>
    <w:pPr>
      <w:keepNext/>
      <w:adjustRightInd w:val="0"/>
      <w:snapToGrid w:val="0"/>
      <w:jc w:val="center"/>
      <w:outlineLvl w:val="0"/>
    </w:pPr>
    <w:rPr>
      <w:rFonts w:eastAsia="黑体"/>
      <w:sz w:val="32"/>
      <w:szCs w:val="24"/>
    </w:rPr>
  </w:style>
  <w:style w:type="paragraph" w:styleId="3">
    <w:name w:val="heading 2"/>
    <w:basedOn w:val="1"/>
    <w:next w:val="1"/>
    <w:link w:val="40"/>
    <w:qFormat/>
    <w:uiPriority w:val="0"/>
    <w:pPr>
      <w:keepNext/>
      <w:keepLines/>
      <w:spacing w:before="260" w:after="260" w:line="416" w:lineRule="auto"/>
      <w:jc w:val="center"/>
      <w:outlineLvl w:val="1"/>
    </w:pPr>
    <w:rPr>
      <w:rFonts w:ascii="Arial" w:hAnsi="Arial" w:eastAsia="黑体"/>
      <w:b/>
      <w:bCs/>
      <w:sz w:val="30"/>
      <w:szCs w:val="32"/>
    </w:rPr>
  </w:style>
  <w:style w:type="paragraph" w:styleId="4">
    <w:name w:val="heading 3"/>
    <w:basedOn w:val="1"/>
    <w:next w:val="1"/>
    <w:qFormat/>
    <w:uiPriority w:val="0"/>
    <w:pPr>
      <w:spacing w:before="100" w:beforeAutospacing="1" w:after="100" w:afterAutospacing="1"/>
      <w:jc w:val="left"/>
      <w:outlineLvl w:val="2"/>
    </w:pPr>
    <w:rPr>
      <w:rFonts w:hint="eastAsia" w:ascii="宋体" w:hAnsi="宋体" w:eastAsia="Times New Roman"/>
      <w:b/>
      <w:kern w:val="0"/>
      <w:sz w:val="24"/>
      <w:szCs w:val="27"/>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5">
    <w:name w:val="toc 7"/>
    <w:basedOn w:val="1"/>
    <w:next w:val="1"/>
    <w:unhideWhenUsed/>
    <w:qFormat/>
    <w:uiPriority w:val="39"/>
    <w:pPr>
      <w:ind w:left="2520" w:leftChars="1200"/>
    </w:pPr>
    <w:rPr>
      <w:rFonts w:ascii="Calibri" w:hAnsi="Calibri"/>
      <w:szCs w:val="22"/>
    </w:rPr>
  </w:style>
  <w:style w:type="paragraph" w:styleId="6">
    <w:name w:val="Normal Indent"/>
    <w:basedOn w:val="1"/>
    <w:qFormat/>
    <w:uiPriority w:val="0"/>
    <w:pPr>
      <w:tabs>
        <w:tab w:val="left" w:pos="2520"/>
      </w:tabs>
      <w:adjustRightInd w:val="0"/>
      <w:spacing w:line="300" w:lineRule="auto"/>
      <w:ind w:firstLine="420"/>
      <w:textAlignment w:val="baseline"/>
    </w:pPr>
    <w:rPr>
      <w:rFonts w:ascii="宋体" w:hAnsi="宋体"/>
      <w:kern w:val="0"/>
      <w:sz w:val="24"/>
      <w:szCs w:val="20"/>
    </w:rPr>
  </w:style>
  <w:style w:type="paragraph" w:styleId="7">
    <w:name w:val="Document Map"/>
    <w:basedOn w:val="1"/>
    <w:semiHidden/>
    <w:qFormat/>
    <w:uiPriority w:val="0"/>
    <w:pPr>
      <w:shd w:val="clear" w:color="auto" w:fill="000080"/>
    </w:pPr>
    <w:rPr>
      <w:szCs w:val="24"/>
    </w:rPr>
  </w:style>
  <w:style w:type="paragraph" w:styleId="8">
    <w:name w:val="annotation text"/>
    <w:basedOn w:val="1"/>
    <w:link w:val="71"/>
    <w:semiHidden/>
    <w:qFormat/>
    <w:uiPriority w:val="0"/>
    <w:pPr>
      <w:jc w:val="left"/>
    </w:pPr>
    <w:rPr>
      <w:szCs w:val="24"/>
    </w:rPr>
  </w:style>
  <w:style w:type="paragraph" w:styleId="9">
    <w:name w:val="Body Text"/>
    <w:next w:val="1"/>
    <w:qFormat/>
    <w:uiPriority w:val="0"/>
    <w:pPr>
      <w:widowControl w:val="0"/>
      <w:spacing w:line="480" w:lineRule="atLeast"/>
      <w:jc w:val="both"/>
    </w:pPr>
    <w:rPr>
      <w:rFonts w:ascii="楷体_GB2312" w:hAnsi="Times New Roman" w:eastAsia="楷体_GB2312" w:cs="Times New Roman"/>
      <w:b/>
      <w:kern w:val="2"/>
      <w:sz w:val="30"/>
      <w:lang w:val="en-US" w:eastAsia="zh-CN" w:bidi="ar-SA"/>
    </w:rPr>
  </w:style>
  <w:style w:type="paragraph" w:styleId="10">
    <w:name w:val="Body Text Indent"/>
    <w:basedOn w:val="1"/>
    <w:next w:val="11"/>
    <w:link w:val="38"/>
    <w:qFormat/>
    <w:uiPriority w:val="0"/>
    <w:pPr>
      <w:adjustRightInd w:val="0"/>
      <w:snapToGrid w:val="0"/>
      <w:spacing w:before="156" w:beforeLines="50" w:line="400" w:lineRule="exact"/>
      <w:ind w:left="934"/>
    </w:pPr>
    <w:rPr>
      <w:rFonts w:ascii="宋体" w:hAnsi="宋体"/>
      <w:sz w:val="24"/>
      <w:szCs w:val="24"/>
    </w:rPr>
  </w:style>
  <w:style w:type="paragraph" w:styleId="11">
    <w:name w:val="envelope return"/>
    <w:basedOn w:val="1"/>
    <w:unhideWhenUsed/>
    <w:qFormat/>
    <w:uiPriority w:val="99"/>
    <w:pPr>
      <w:snapToGrid w:val="0"/>
    </w:pPr>
    <w:rPr>
      <w:rFonts w:ascii="Arial" w:hAnsi="Arial"/>
      <w:szCs w:val="24"/>
    </w:rPr>
  </w:style>
  <w:style w:type="paragraph" w:styleId="12">
    <w:name w:val="toc 5"/>
    <w:basedOn w:val="1"/>
    <w:next w:val="1"/>
    <w:unhideWhenUsed/>
    <w:qFormat/>
    <w:uiPriority w:val="39"/>
    <w:pPr>
      <w:ind w:left="1680" w:leftChars="800"/>
    </w:pPr>
    <w:rPr>
      <w:rFonts w:ascii="Calibri" w:hAnsi="Calibri"/>
      <w:szCs w:val="22"/>
    </w:rPr>
  </w:style>
  <w:style w:type="paragraph" w:styleId="13">
    <w:name w:val="toc 3"/>
    <w:basedOn w:val="1"/>
    <w:next w:val="1"/>
    <w:qFormat/>
    <w:uiPriority w:val="39"/>
    <w:pPr>
      <w:ind w:left="840" w:leftChars="400"/>
    </w:pPr>
    <w:rPr>
      <w:szCs w:val="24"/>
    </w:rPr>
  </w:style>
  <w:style w:type="paragraph" w:styleId="14">
    <w:name w:val="Plain Text"/>
    <w:basedOn w:val="1"/>
    <w:link w:val="41"/>
    <w:qFormat/>
    <w:uiPriority w:val="0"/>
    <w:rPr>
      <w:rFonts w:ascii="宋体" w:hAnsi="Courier New"/>
      <w:sz w:val="24"/>
    </w:rPr>
  </w:style>
  <w:style w:type="paragraph" w:styleId="15">
    <w:name w:val="toc 8"/>
    <w:basedOn w:val="1"/>
    <w:next w:val="1"/>
    <w:unhideWhenUsed/>
    <w:qFormat/>
    <w:uiPriority w:val="39"/>
    <w:pPr>
      <w:ind w:left="2940" w:leftChars="1400"/>
    </w:pPr>
    <w:rPr>
      <w:rFonts w:ascii="Calibri" w:hAnsi="Calibri"/>
      <w:szCs w:val="22"/>
    </w:rPr>
  </w:style>
  <w:style w:type="paragraph" w:styleId="16">
    <w:name w:val="Date"/>
    <w:basedOn w:val="1"/>
    <w:next w:val="1"/>
    <w:qFormat/>
    <w:uiPriority w:val="0"/>
    <w:pPr>
      <w:tabs>
        <w:tab w:val="left" w:pos="2520"/>
      </w:tabs>
      <w:adjustRightInd w:val="0"/>
      <w:spacing w:line="300" w:lineRule="auto"/>
      <w:textAlignment w:val="baseline"/>
    </w:pPr>
    <w:rPr>
      <w:rFonts w:ascii="仿宋_GB2312" w:eastAsia="仿宋_GB2312"/>
      <w:kern w:val="0"/>
      <w:sz w:val="28"/>
      <w:szCs w:val="20"/>
    </w:rPr>
  </w:style>
  <w:style w:type="paragraph" w:styleId="17">
    <w:name w:val="Body Text Indent 2"/>
    <w:basedOn w:val="1"/>
    <w:qFormat/>
    <w:uiPriority w:val="0"/>
    <w:pPr>
      <w:snapToGrid w:val="0"/>
      <w:spacing w:before="60" w:after="60" w:line="480" w:lineRule="atLeast"/>
      <w:ind w:left="420"/>
    </w:pPr>
    <w:rPr>
      <w:szCs w:val="24"/>
    </w:rPr>
  </w:style>
  <w:style w:type="paragraph" w:styleId="18">
    <w:name w:val="Balloon Text"/>
    <w:basedOn w:val="1"/>
    <w:semiHidden/>
    <w:qFormat/>
    <w:uiPriority w:val="0"/>
    <w:rPr>
      <w:sz w:val="18"/>
      <w:szCs w:val="18"/>
    </w:rPr>
  </w:style>
  <w:style w:type="paragraph" w:styleId="19">
    <w:name w:val="footer"/>
    <w:basedOn w:val="1"/>
    <w:qFormat/>
    <w:uiPriority w:val="0"/>
    <w:pPr>
      <w:tabs>
        <w:tab w:val="center" w:pos="4153"/>
        <w:tab w:val="right" w:pos="8306"/>
      </w:tabs>
      <w:snapToGrid w:val="0"/>
      <w:jc w:val="left"/>
    </w:pPr>
    <w:rPr>
      <w:sz w:val="18"/>
      <w:szCs w:val="18"/>
    </w:rPr>
  </w:style>
  <w:style w:type="paragraph" w:styleId="20">
    <w:name w:val="header"/>
    <w:basedOn w:val="1"/>
    <w:link w:val="42"/>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rPr>
      <w:szCs w:val="24"/>
    </w:rPr>
  </w:style>
  <w:style w:type="paragraph" w:styleId="22">
    <w:name w:val="toc 4"/>
    <w:basedOn w:val="1"/>
    <w:next w:val="1"/>
    <w:unhideWhenUsed/>
    <w:qFormat/>
    <w:uiPriority w:val="39"/>
    <w:pPr>
      <w:ind w:left="1260" w:leftChars="600"/>
    </w:pPr>
    <w:rPr>
      <w:rFonts w:ascii="Calibri" w:hAnsi="Calibri"/>
      <w:szCs w:val="22"/>
    </w:rPr>
  </w:style>
  <w:style w:type="paragraph" w:styleId="23">
    <w:name w:val="toc 6"/>
    <w:basedOn w:val="1"/>
    <w:next w:val="1"/>
    <w:unhideWhenUsed/>
    <w:qFormat/>
    <w:uiPriority w:val="39"/>
    <w:pPr>
      <w:ind w:left="2100" w:leftChars="1000"/>
    </w:pPr>
    <w:rPr>
      <w:rFonts w:ascii="Calibri" w:hAnsi="Calibri"/>
      <w:szCs w:val="22"/>
    </w:rPr>
  </w:style>
  <w:style w:type="paragraph" w:styleId="24">
    <w:name w:val="Body Text Indent 3"/>
    <w:basedOn w:val="1"/>
    <w:qFormat/>
    <w:uiPriority w:val="0"/>
    <w:pPr>
      <w:spacing w:before="156" w:beforeLines="50" w:after="156" w:afterLines="50"/>
      <w:ind w:firstLine="480" w:firstLineChars="200"/>
    </w:pPr>
    <w:rPr>
      <w:sz w:val="24"/>
      <w:szCs w:val="24"/>
    </w:rPr>
  </w:style>
  <w:style w:type="paragraph" w:styleId="25">
    <w:name w:val="toc 2"/>
    <w:basedOn w:val="1"/>
    <w:next w:val="1"/>
    <w:qFormat/>
    <w:uiPriority w:val="39"/>
    <w:pPr>
      <w:ind w:left="420" w:leftChars="200"/>
    </w:pPr>
    <w:rPr>
      <w:szCs w:val="24"/>
    </w:rPr>
  </w:style>
  <w:style w:type="paragraph" w:styleId="26">
    <w:name w:val="toc 9"/>
    <w:basedOn w:val="1"/>
    <w:next w:val="1"/>
    <w:unhideWhenUsed/>
    <w:qFormat/>
    <w:uiPriority w:val="39"/>
    <w:pPr>
      <w:ind w:left="3360" w:leftChars="1600"/>
    </w:pPr>
    <w:rPr>
      <w:rFonts w:ascii="Calibri" w:hAnsi="Calibri"/>
      <w:szCs w:val="22"/>
    </w:rPr>
  </w:style>
  <w:style w:type="paragraph" w:styleId="2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28">
    <w:name w:val="Normal (Web)"/>
    <w:basedOn w:val="1"/>
    <w:qFormat/>
    <w:uiPriority w:val="0"/>
    <w:pPr>
      <w:widowControl/>
      <w:spacing w:before="100" w:beforeAutospacing="1" w:after="100" w:afterAutospacing="1"/>
      <w:jc w:val="left"/>
    </w:pPr>
    <w:rPr>
      <w:rFonts w:ascii="Arial Unicode MS" w:hAnsi="Arial Unicode MS" w:eastAsia="Arial Unicode MS"/>
      <w:kern w:val="0"/>
      <w:sz w:val="24"/>
      <w:szCs w:val="24"/>
    </w:rPr>
  </w:style>
  <w:style w:type="paragraph" w:styleId="29">
    <w:name w:val="annotation subject"/>
    <w:basedOn w:val="8"/>
    <w:next w:val="8"/>
    <w:semiHidden/>
    <w:qFormat/>
    <w:uiPriority w:val="0"/>
    <w:rPr>
      <w:b/>
      <w:bCs/>
    </w:rPr>
  </w:style>
  <w:style w:type="paragraph" w:styleId="30">
    <w:name w:val="Body Text First Indent 2"/>
    <w:basedOn w:val="10"/>
    <w:link w:val="39"/>
    <w:qFormat/>
    <w:uiPriority w:val="0"/>
    <w:pPr>
      <w:adjustRightInd/>
      <w:snapToGrid/>
      <w:spacing w:before="0" w:beforeLines="0" w:after="120" w:line="360" w:lineRule="auto"/>
      <w:ind w:left="420" w:leftChars="200" w:firstLine="420" w:firstLineChars="200"/>
    </w:pPr>
    <w:rPr>
      <w:rFonts w:ascii="Times New Roman" w:hAnsi="Times New Roman"/>
      <w:sz w:val="21"/>
    </w:rPr>
  </w:style>
  <w:style w:type="table" w:styleId="32">
    <w:name w:val="Table Grid"/>
    <w:basedOn w:val="3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qFormat/>
    <w:uiPriority w:val="22"/>
    <w:rPr>
      <w:b/>
      <w:bCs/>
    </w:rPr>
  </w:style>
  <w:style w:type="character" w:styleId="35">
    <w:name w:val="page number"/>
    <w:qFormat/>
    <w:uiPriority w:val="0"/>
  </w:style>
  <w:style w:type="character" w:styleId="36">
    <w:name w:val="Hyperlink"/>
    <w:qFormat/>
    <w:uiPriority w:val="99"/>
    <w:rPr>
      <w:color w:val="0000FF"/>
      <w:u w:val="single"/>
    </w:rPr>
  </w:style>
  <w:style w:type="character" w:styleId="37">
    <w:name w:val="annotation reference"/>
    <w:semiHidden/>
    <w:qFormat/>
    <w:uiPriority w:val="0"/>
    <w:rPr>
      <w:sz w:val="21"/>
      <w:szCs w:val="21"/>
    </w:rPr>
  </w:style>
  <w:style w:type="character" w:customStyle="1" w:styleId="38">
    <w:name w:val="正文文本缩进 字符"/>
    <w:link w:val="10"/>
    <w:qFormat/>
    <w:uiPriority w:val="0"/>
    <w:rPr>
      <w:rFonts w:ascii="宋体" w:hAnsi="宋体"/>
      <w:kern w:val="2"/>
      <w:sz w:val="24"/>
      <w:szCs w:val="24"/>
    </w:rPr>
  </w:style>
  <w:style w:type="character" w:customStyle="1" w:styleId="39">
    <w:name w:val="正文文本首行缩进 2 字符"/>
    <w:link w:val="30"/>
    <w:qFormat/>
    <w:uiPriority w:val="0"/>
    <w:rPr>
      <w:rFonts w:ascii="宋体" w:hAnsi="宋体"/>
      <w:kern w:val="2"/>
      <w:sz w:val="21"/>
      <w:szCs w:val="24"/>
    </w:rPr>
  </w:style>
  <w:style w:type="character" w:customStyle="1" w:styleId="40">
    <w:name w:val="标题 2 字符"/>
    <w:link w:val="3"/>
    <w:qFormat/>
    <w:uiPriority w:val="0"/>
    <w:rPr>
      <w:rFonts w:ascii="Arial" w:hAnsi="Arial" w:eastAsia="黑体"/>
      <w:b/>
      <w:bCs/>
      <w:kern w:val="2"/>
      <w:sz w:val="30"/>
      <w:szCs w:val="32"/>
    </w:rPr>
  </w:style>
  <w:style w:type="character" w:customStyle="1" w:styleId="41">
    <w:name w:val="纯文本 字符"/>
    <w:link w:val="14"/>
    <w:qFormat/>
    <w:locked/>
    <w:uiPriority w:val="0"/>
    <w:rPr>
      <w:rFonts w:ascii="宋体" w:hAnsi="Courier New" w:cs="Courier New"/>
      <w:kern w:val="2"/>
      <w:sz w:val="24"/>
      <w:szCs w:val="21"/>
    </w:rPr>
  </w:style>
  <w:style w:type="character" w:customStyle="1" w:styleId="42">
    <w:name w:val="页眉 字符"/>
    <w:link w:val="20"/>
    <w:qFormat/>
    <w:uiPriority w:val="99"/>
    <w:rPr>
      <w:kern w:val="2"/>
      <w:sz w:val="18"/>
      <w:szCs w:val="18"/>
    </w:rPr>
  </w:style>
  <w:style w:type="character" w:customStyle="1" w:styleId="43">
    <w:name w:val="medium_text1"/>
    <w:qFormat/>
    <w:uiPriority w:val="0"/>
    <w:rPr>
      <w:sz w:val="24"/>
      <w:szCs w:val="24"/>
    </w:rPr>
  </w:style>
  <w:style w:type="paragraph" w:customStyle="1" w:styleId="44">
    <w:name w:val="_Style 43"/>
    <w:semiHidden/>
    <w:qFormat/>
    <w:uiPriority w:val="99"/>
    <w:rPr>
      <w:rFonts w:ascii="Times New Roman" w:hAnsi="Times New Roman" w:eastAsia="宋体" w:cs="Times New Roman"/>
      <w:kern w:val="2"/>
      <w:sz w:val="21"/>
      <w:szCs w:val="24"/>
      <w:lang w:val="en-US" w:eastAsia="zh-CN" w:bidi="ar-SA"/>
    </w:rPr>
  </w:style>
  <w:style w:type="paragraph" w:customStyle="1" w:styleId="45">
    <w:name w:val="List Paragraph1"/>
    <w:basedOn w:val="1"/>
    <w:qFormat/>
    <w:uiPriority w:val="0"/>
    <w:pPr>
      <w:ind w:firstLine="420" w:firstLineChars="200"/>
    </w:pPr>
    <w:rPr>
      <w:rFonts w:ascii="Calibri" w:hAnsi="Calibri"/>
      <w:szCs w:val="20"/>
    </w:rPr>
  </w:style>
  <w:style w:type="paragraph" w:customStyle="1" w:styleId="46">
    <w:name w:val="样式 标题 2 + 小四"/>
    <w:basedOn w:val="3"/>
    <w:qFormat/>
    <w:uiPriority w:val="0"/>
    <w:pPr>
      <w:keepNext w:val="0"/>
      <w:keepLines w:val="0"/>
      <w:widowControl/>
      <w:spacing w:before="120" w:after="120" w:line="440" w:lineRule="exact"/>
    </w:pPr>
    <w:rPr>
      <w:rFonts w:ascii="Cambria" w:hAnsi="Cambria" w:eastAsia="宋体"/>
      <w:b w:val="0"/>
      <w:bCs w:val="0"/>
      <w:kern w:val="0"/>
      <w:sz w:val="24"/>
      <w:szCs w:val="28"/>
      <w:lang w:bidi="en-US"/>
    </w:rPr>
  </w:style>
  <w:style w:type="paragraph" w:customStyle="1" w:styleId="47">
    <w:name w:val="b1"/>
    <w:basedOn w:val="1"/>
    <w:qFormat/>
    <w:uiPriority w:val="0"/>
    <w:pPr>
      <w:widowControl/>
      <w:spacing w:before="100" w:beforeAutospacing="1" w:after="100" w:afterAutospacing="1"/>
      <w:jc w:val="left"/>
    </w:pPr>
    <w:rPr>
      <w:rFonts w:hint="eastAsia" w:ascii="宋体" w:hAnsi="宋体"/>
      <w:kern w:val="0"/>
      <w:sz w:val="24"/>
      <w:szCs w:val="24"/>
    </w:rPr>
  </w:style>
  <w:style w:type="paragraph" w:customStyle="1" w:styleId="48">
    <w:name w:val="Char Char Char Char"/>
    <w:basedOn w:val="7"/>
    <w:qFormat/>
    <w:uiPriority w:val="0"/>
    <w:pPr>
      <w:adjustRightInd w:val="0"/>
      <w:spacing w:line="436" w:lineRule="exact"/>
      <w:ind w:left="357"/>
      <w:jc w:val="left"/>
      <w:outlineLvl w:val="3"/>
    </w:pPr>
    <w:rPr>
      <w:bCs/>
      <w:sz w:val="32"/>
      <w:szCs w:val="20"/>
    </w:rPr>
  </w:style>
  <w:style w:type="paragraph" w:customStyle="1" w:styleId="49">
    <w:name w:val="_Style 2"/>
    <w:basedOn w:val="1"/>
    <w:qFormat/>
    <w:uiPriority w:val="34"/>
    <w:pPr>
      <w:ind w:firstLine="420" w:firstLineChars="200"/>
    </w:pPr>
    <w:rPr>
      <w:rFonts w:ascii="Calibri" w:hAnsi="Calibri"/>
      <w:szCs w:val="22"/>
    </w:rPr>
  </w:style>
  <w:style w:type="paragraph" w:customStyle="1" w:styleId="50">
    <w:name w:val="Char"/>
    <w:basedOn w:val="7"/>
    <w:qFormat/>
    <w:uiPriority w:val="0"/>
    <w:pPr>
      <w:adjustRightInd w:val="0"/>
      <w:spacing w:line="436" w:lineRule="exact"/>
      <w:ind w:left="357"/>
      <w:jc w:val="left"/>
      <w:outlineLvl w:val="3"/>
    </w:pPr>
    <w:rPr>
      <w:bCs/>
      <w:sz w:val="32"/>
      <w:szCs w:val="20"/>
    </w:rPr>
  </w:style>
  <w:style w:type="paragraph" w:customStyle="1" w:styleId="51">
    <w:name w:val="msolistparagraph"/>
    <w:basedOn w:val="1"/>
    <w:qFormat/>
    <w:uiPriority w:val="0"/>
    <w:pPr>
      <w:ind w:firstLine="420" w:firstLineChars="200"/>
    </w:pPr>
    <w:rPr>
      <w:rFonts w:ascii="Calibri" w:hAnsi="Calibri"/>
      <w:szCs w:val="22"/>
    </w:rPr>
  </w:style>
  <w:style w:type="paragraph" w:customStyle="1" w:styleId="52">
    <w:name w:val="目录"/>
    <w:basedOn w:val="1"/>
    <w:qFormat/>
    <w:uiPriority w:val="0"/>
    <w:pPr>
      <w:widowControl/>
      <w:jc w:val="center"/>
    </w:pPr>
    <w:rPr>
      <w:rFonts w:ascii="宋体" w:cs="宋体"/>
      <w:b/>
      <w:bCs/>
      <w:kern w:val="0"/>
      <w:sz w:val="36"/>
      <w:szCs w:val="36"/>
    </w:rPr>
  </w:style>
  <w:style w:type="paragraph" w:customStyle="1" w:styleId="53">
    <w:name w:val="_Style 1"/>
    <w:basedOn w:val="1"/>
    <w:qFormat/>
    <w:uiPriority w:val="34"/>
    <w:pPr>
      <w:ind w:firstLine="420" w:firstLineChars="200"/>
    </w:pPr>
    <w:rPr>
      <w:rFonts w:ascii="Calibri" w:hAnsi="Calibri"/>
      <w:szCs w:val="22"/>
    </w:rPr>
  </w:style>
  <w:style w:type="paragraph" w:customStyle="1" w:styleId="54">
    <w:name w:val="zhengwen"/>
    <w:basedOn w:val="1"/>
    <w:qFormat/>
    <w:uiPriority w:val="0"/>
    <w:pPr>
      <w:widowControl/>
      <w:spacing w:before="10" w:after="10"/>
      <w:ind w:left="100" w:right="100" w:firstLine="250"/>
      <w:jc w:val="left"/>
    </w:pPr>
    <w:rPr>
      <w:rFonts w:ascii="宋体" w:hAnsi="宋体" w:cs="宋体"/>
      <w:color w:val="000080"/>
      <w:kern w:val="0"/>
      <w:sz w:val="23"/>
      <w:szCs w:val="23"/>
    </w:rPr>
  </w:style>
  <w:style w:type="paragraph" w:customStyle="1" w:styleId="55">
    <w:name w:val="日期1"/>
    <w:basedOn w:val="1"/>
    <w:next w:val="1"/>
    <w:qFormat/>
    <w:uiPriority w:val="0"/>
    <w:pPr>
      <w:overflowPunct w:val="0"/>
      <w:autoSpaceDE w:val="0"/>
      <w:autoSpaceDN w:val="0"/>
      <w:adjustRightInd w:val="0"/>
    </w:pPr>
    <w:rPr>
      <w:rFonts w:hint="eastAsia" w:ascii="宋体"/>
      <w:sz w:val="28"/>
      <w:szCs w:val="20"/>
    </w:rPr>
  </w:style>
  <w:style w:type="paragraph" w:customStyle="1" w:styleId="56">
    <w:name w:val="F00"/>
    <w:basedOn w:val="1"/>
    <w:qFormat/>
    <w:uiPriority w:val="0"/>
    <w:pPr>
      <w:spacing w:before="50" w:beforeLines="50" w:line="0" w:lineRule="atLeast"/>
      <w:ind w:firstLine="200" w:firstLineChars="200"/>
    </w:pPr>
    <w:rPr>
      <w:rFonts w:eastAsia="仿宋_GB2312"/>
      <w:kern w:val="21"/>
      <w:sz w:val="28"/>
      <w:szCs w:val="28"/>
    </w:rPr>
  </w:style>
  <w:style w:type="paragraph" w:customStyle="1" w:styleId="57">
    <w:name w:val="样式1 Char"/>
    <w:basedOn w:val="1"/>
    <w:qFormat/>
    <w:uiPriority w:val="0"/>
    <w:pPr>
      <w:spacing w:after="156" w:afterLines="50"/>
      <w:ind w:firstLine="480" w:firstLineChars="200"/>
    </w:pPr>
    <w:rPr>
      <w:b/>
      <w:bCs/>
      <w:sz w:val="28"/>
      <w:szCs w:val="24"/>
    </w:rPr>
  </w:style>
  <w:style w:type="paragraph" w:customStyle="1" w:styleId="58">
    <w:name w:val="样式1 Char Char Char Char Char Char Char"/>
    <w:basedOn w:val="1"/>
    <w:qFormat/>
    <w:uiPriority w:val="0"/>
    <w:pPr>
      <w:spacing w:after="156" w:afterLines="50"/>
      <w:ind w:firstLine="480" w:firstLineChars="200"/>
    </w:pPr>
    <w:rPr>
      <w:b/>
      <w:bCs/>
      <w:sz w:val="28"/>
      <w:szCs w:val="24"/>
    </w:rPr>
  </w:style>
  <w:style w:type="paragraph" w:styleId="59">
    <w:name w:val="List Paragraph"/>
    <w:basedOn w:val="1"/>
    <w:link w:val="60"/>
    <w:qFormat/>
    <w:uiPriority w:val="0"/>
    <w:pPr>
      <w:ind w:firstLine="420" w:firstLineChars="200"/>
    </w:pPr>
    <w:rPr>
      <w:rFonts w:ascii="Calibri" w:hAnsi="Calibri"/>
      <w:szCs w:val="22"/>
    </w:rPr>
  </w:style>
  <w:style w:type="character" w:customStyle="1" w:styleId="60">
    <w:name w:val="列表段落 字符"/>
    <w:link w:val="59"/>
    <w:qFormat/>
    <w:uiPriority w:val="34"/>
    <w:rPr>
      <w:rFonts w:ascii="Calibri" w:hAnsi="Calibri"/>
      <w:kern w:val="2"/>
      <w:sz w:val="21"/>
      <w:szCs w:val="22"/>
    </w:rPr>
  </w:style>
  <w:style w:type="paragraph" w:customStyle="1" w:styleId="61">
    <w:name w:val="样式 楷体_GB2312 小四 首行缩进:  0.8 厘米 行距: 固定值 28 磅"/>
    <w:basedOn w:val="1"/>
    <w:qFormat/>
    <w:uiPriority w:val="0"/>
    <w:pPr>
      <w:adjustRightInd w:val="0"/>
      <w:snapToGrid w:val="0"/>
      <w:spacing w:line="240" w:lineRule="atLeast"/>
    </w:pPr>
    <w:rPr>
      <w:rFonts w:ascii="宋体" w:hAnsi="宋体" w:cs="宋体"/>
    </w:rPr>
  </w:style>
  <w:style w:type="paragraph" w:customStyle="1" w:styleId="62">
    <w:name w:val="列出段落1"/>
    <w:basedOn w:val="1"/>
    <w:qFormat/>
    <w:uiPriority w:val="0"/>
    <w:pPr>
      <w:ind w:firstLine="420" w:firstLineChars="200"/>
    </w:pPr>
    <w:rPr>
      <w:rFonts w:ascii="Calibri" w:hAnsi="Calibri"/>
      <w:szCs w:val="20"/>
    </w:rPr>
  </w:style>
  <w:style w:type="paragraph" w:customStyle="1" w:styleId="63">
    <w:name w:val="样式"/>
    <w:basedOn w:val="1"/>
    <w:next w:val="59"/>
    <w:qFormat/>
    <w:uiPriority w:val="34"/>
    <w:pPr>
      <w:spacing w:line="240" w:lineRule="auto"/>
      <w:ind w:firstLine="420" w:firstLineChars="200"/>
    </w:pPr>
    <w:rPr>
      <w:rFonts w:ascii="Calibri" w:hAnsi="Calibri"/>
      <w:szCs w:val="22"/>
    </w:rPr>
  </w:style>
  <w:style w:type="character" w:customStyle="1" w:styleId="64">
    <w:name w:val="正文文本首行缩进 2 字符1"/>
    <w:qFormat/>
    <w:uiPriority w:val="0"/>
    <w:rPr>
      <w:rFonts w:ascii="宋体" w:hAnsi="宋体"/>
      <w:kern w:val="2"/>
      <w:sz w:val="21"/>
      <w:szCs w:val="24"/>
    </w:rPr>
  </w:style>
  <w:style w:type="character" w:customStyle="1" w:styleId="65">
    <w:name w:val="_Style 64"/>
    <w:unhideWhenUsed/>
    <w:qFormat/>
    <w:uiPriority w:val="99"/>
    <w:rPr>
      <w:color w:val="605E5C"/>
      <w:shd w:val="clear" w:color="auto" w:fill="E1DFDD"/>
    </w:rPr>
  </w:style>
  <w:style w:type="paragraph" w:customStyle="1" w:styleId="66">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67">
    <w:name w:val="列表段落1"/>
    <w:basedOn w:val="1"/>
    <w:qFormat/>
    <w:uiPriority w:val="0"/>
    <w:pPr>
      <w:spacing w:line="240" w:lineRule="auto"/>
      <w:ind w:firstLine="420" w:firstLineChars="200"/>
    </w:pPr>
    <w:rPr>
      <w:rFonts w:ascii="Calibri" w:hAnsi="Calibri"/>
      <w:szCs w:val="22"/>
    </w:rPr>
  </w:style>
  <w:style w:type="paragraph" w:customStyle="1" w:styleId="68">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69">
    <w:name w:val="修订3"/>
    <w:hidden/>
    <w:unhideWhenUsed/>
    <w:qFormat/>
    <w:uiPriority w:val="99"/>
    <w:rPr>
      <w:rFonts w:ascii="Times New Roman" w:hAnsi="Times New Roman" w:eastAsia="宋体" w:cs="Times New Roman"/>
      <w:kern w:val="2"/>
      <w:sz w:val="21"/>
      <w:szCs w:val="24"/>
      <w:lang w:val="en-US" w:eastAsia="zh-CN" w:bidi="ar-SA"/>
    </w:rPr>
  </w:style>
  <w:style w:type="character" w:customStyle="1" w:styleId="70">
    <w:name w:val="样式 楷体_GB2312 小四"/>
    <w:qFormat/>
    <w:uiPriority w:val="0"/>
    <w:rPr>
      <w:rFonts w:ascii="楷体_GB2312" w:hAnsi="楷体_GB2312" w:eastAsia="仿宋_GB2312"/>
      <w:sz w:val="24"/>
    </w:rPr>
  </w:style>
  <w:style w:type="character" w:customStyle="1" w:styleId="71">
    <w:name w:val="批注文字 字符"/>
    <w:basedOn w:val="33"/>
    <w:link w:val="8"/>
    <w:semiHidden/>
    <w:qFormat/>
    <w:uiPriority w:val="0"/>
    <w:rPr>
      <w:kern w:val="2"/>
      <w:sz w:val="21"/>
      <w:szCs w:val="24"/>
    </w:rPr>
  </w:style>
  <w:style w:type="paragraph" w:customStyle="1" w:styleId="72">
    <w:name w:val="Char1"/>
    <w:basedOn w:val="1"/>
    <w:autoRedefine/>
    <w:qFormat/>
    <w:uiPriority w:val="0"/>
    <w:pPr>
      <w:spacing w:line="240" w:lineRule="auto"/>
    </w:pPr>
    <w:rPr>
      <w:rFonts w:ascii="Tahoma" w:hAnsi="Tahoma"/>
      <w:sz w:val="24"/>
      <w:szCs w:val="20"/>
    </w:rPr>
  </w:style>
  <w:style w:type="paragraph" w:customStyle="1" w:styleId="73">
    <w:name w:val="修订4"/>
    <w:hidden/>
    <w:semiHidden/>
    <w:qFormat/>
    <w:uiPriority w:val="99"/>
    <w:rPr>
      <w:rFonts w:ascii="Times New Roman" w:hAnsi="Times New Roman" w:eastAsia="宋体" w:cs="Times New Roman"/>
      <w:kern w:val="2"/>
      <w:sz w:val="21"/>
      <w:szCs w:val="21"/>
      <w:lang w:val="en-US" w:eastAsia="zh-CN" w:bidi="ar-SA"/>
    </w:rPr>
  </w:style>
  <w:style w:type="paragraph" w:customStyle="1" w:styleId="74">
    <w:name w:val="修订5"/>
    <w:hidden/>
    <w:semiHidden/>
    <w:qFormat/>
    <w:uiPriority w:val="99"/>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551746-324D-432C-AD70-7C1EFC53B457}">
  <ds:schemaRefs/>
</ds:datastoreItem>
</file>

<file path=docProps/app.xml><?xml version="1.0" encoding="utf-8"?>
<Properties xmlns="http://schemas.openxmlformats.org/officeDocument/2006/extended-properties" xmlns:vt="http://schemas.openxmlformats.org/officeDocument/2006/docPropsVTypes">
  <Template>Normal.dotm</Template>
  <Company>ihep</Company>
  <Pages>11</Pages>
  <Words>15291</Words>
  <Characters>16671</Characters>
  <Lines>70</Lines>
  <Paragraphs>85</Paragraphs>
  <TotalTime>26</TotalTime>
  <ScaleCrop>false</ScaleCrop>
  <LinksUpToDate>false</LinksUpToDate>
  <CharactersWithSpaces>16883</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2025-09-28T10:21:00Z</dcterms:created>
  <dc:creator>Shutter</dc:creator>
  <cp:lastModifiedBy>洲际-叶子昌</cp:lastModifiedBy>
  <cp:lastPrinted>2022-06-11T23:57:00Z</cp:lastPrinted>
  <dcterms:modified xsi:type="dcterms:W3CDTF">2025-10-16T09:26:57Z</dcterms:modified>
  <dc:subject>招标文件</dc:subject>
  <dc:title>中子束线开关</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312E167EB06E4BB8885815627D32D58B_13</vt:lpwstr>
  </property>
  <property fmtid="{D5CDD505-2E9C-101B-9397-08002B2CF9AE}" pid="4" name="KSOTemplateDocerSaveRecord">
    <vt:lpwstr>eyJoZGlkIjoiMWRhOTllZjkwZGVmMDZhMTliNWM3MTI2NTRiNjU1OWQiLCJ1c2VySWQiOiI0MjMxNjI4MzYifQ==</vt:lpwstr>
  </property>
</Properties>
</file>