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版本号：N511827202600002620260624001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宝兴县“天府森林粮库”现代林药产业基地建设项目-种苗采购(二次)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N5118272026000026</w:t>
      </w:r>
    </w:p>
    <w:p>
      <w:pPr>
        <w:pStyle w:val="null3"/>
        <w:jc w:val="left"/>
        <w:outlineLvl w:val="2"/>
      </w:pPr>
      <w:r>
        <w:rPr>
          <w:rFonts w:ascii="仿宋_GB2312" w:hAnsi="仿宋_GB2312" w:cs="仿宋_GB2312" w:eastAsia="仿宋_GB2312"/>
          <w:sz w:val="28"/>
          <w:b/>
        </w:rPr>
        <w:t>宝兴县大溪乡人民政府</w:t>
      </w:r>
    </w:p>
    <w:p>
      <w:pPr>
        <w:pStyle w:val="null3"/>
        <w:jc w:val="center"/>
        <w:outlineLvl w:val="2"/>
      </w:pPr>
      <w:r>
        <w:rPr>
          <w:rFonts w:ascii="仿宋_GB2312" w:hAnsi="仿宋_GB2312" w:cs="仿宋_GB2312" w:eastAsia="仿宋_GB2312"/>
          <w:sz w:val="28"/>
          <w:b/>
        </w:rPr>
        <w:t>四川中采宏泰工程项目管理有限公司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宝兴县大溪乡人民政府</w:t>
      </w:r>
      <w:r>
        <w:rPr>
          <w:rFonts w:ascii="仿宋_GB2312" w:hAnsi="仿宋_GB2312" w:cs="仿宋_GB2312" w:eastAsia="仿宋_GB2312"/>
        </w:rPr>
        <w:t xml:space="preserve"> 委托，拟对 </w:t>
      </w:r>
      <w:r>
        <w:rPr>
          <w:rFonts w:ascii="仿宋_GB2312" w:hAnsi="仿宋_GB2312" w:cs="仿宋_GB2312" w:eastAsia="仿宋_GB2312"/>
        </w:rPr>
        <w:t>宝兴县“天府森林粮库”现代林药产业基地建设项目-种苗采购(二次)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雅安市宝兴县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N5118272026000026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宝兴县“天府森林粮库”现代林药产业基地建设项目-种苗采购(二次)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宝兴县大溪乡人民政府拟采购种苗一批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1、供应商须提供有效的《林草种子生产经营许可证》（描述：供应商须提供有效的《林草种子生产经营许可证》复印件，并加盖供应商公章）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宝兴县大溪乡人民政府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宝兴县大溪乡罗家坝村二组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0835-6848980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四川中采宏泰工程项目管理有限公司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四川省成都市武侯区成都市武侯区新光路1号5栋16层1601号、1602号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0835-2887268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代理服务费收费标准：按照成本支出加合理利润的原则，由成交人在领取成交通知书前向采购代理机构交纳招标代理服务费。 金额：人民币 18850.00 元（大写：壹万捌仟捌佰伍拾元整） 收款单位：四川中采宏泰工程项目管理有限公司雅安分公司 开 户 行：中国工商银行股份有限公司雅安河北街支行 银行账号：23196 14109 10005 9850 注：备注栏注明供应商名称、项目编号、包号（如有）及用途</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宝兴县大溪乡人民政府</w:t>
      </w:r>
      <w:r>
        <w:rPr>
          <w:rFonts w:ascii="仿宋_GB2312" w:hAnsi="仿宋_GB2312" w:cs="仿宋_GB2312" w:eastAsia="仿宋_GB2312"/>
        </w:rPr>
        <w:t xml:space="preserve"> 和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宝兴县大溪乡人民政府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四川中采宏泰工程项目管理有限公司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按采购文件要求、供应商的响应文件及承诺、签订的合同、国家及行业相关规范标准进行。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按照本项目采购文件中“商务要求”及供应商响应文件的应答进行验收。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需求管理办法》（财库〔2021〕22号）《财政部关于进一步加强政府采购需求和履约验收管理的指导意见》（财库〔2016〕205号）《雅安市财政局关于规范政府采购履约验收工作的通知》（雅财采〔2021〕50号）及采购文件的要求、供应商的响应文件及承诺与本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宝兴县大溪乡人民政府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联系人：罗先生</w:t>
      </w:r>
    </w:p>
    <w:p>
      <w:pPr>
        <w:pStyle w:val="null3"/>
        <w:jc w:val="left"/>
      </w:pPr>
      <w:r>
        <w:rPr>
          <w:rFonts w:ascii="仿宋_GB2312" w:hAnsi="仿宋_GB2312" w:cs="仿宋_GB2312" w:eastAsia="仿宋_GB2312"/>
        </w:rPr>
        <w:t>联系电话：0835-2887268</w:t>
      </w:r>
    </w:p>
    <w:p>
      <w:pPr>
        <w:pStyle w:val="null3"/>
        <w:jc w:val="left"/>
      </w:pPr>
      <w:r>
        <w:rPr>
          <w:rFonts w:ascii="仿宋_GB2312" w:hAnsi="仿宋_GB2312" w:cs="仿宋_GB2312" w:eastAsia="仿宋_GB2312"/>
        </w:rPr>
        <w:t>地址：雅安市雨城区雅州大道216号附38号2楼</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1,350,000.00</w:t>
      </w:r>
    </w:p>
    <w:p>
      <w:pPr>
        <w:pStyle w:val="null3"/>
        <w:jc w:val="left"/>
      </w:pPr>
      <w:r>
        <w:rPr>
          <w:rFonts w:ascii="仿宋_GB2312" w:hAnsi="仿宋_GB2312" w:cs="仿宋_GB2312" w:eastAsia="仿宋_GB2312"/>
        </w:rPr>
        <w:t>采购包最高限价（元）: 1,350,000.00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淫羊藿</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508,200.00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百合</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466,200.00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黄连</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286,500.00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地苦胆</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33,000.00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川牛膝</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姜黄</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5,500.00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石菖蒲</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32,400.00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丹参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百部</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麦冬</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魔芋</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7,100.00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淫羊藿</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百合</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黄连</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4</w:t>
            </w:r>
          </w:p>
        </w:tc>
        <w:tc>
          <w:tcPr>
            <w:tcW w:type="dxa" w:w="1759"/>
          </w:tcPr>
          <w:p>
            <w:pPr>
              <w:pStyle w:val="null3"/>
              <w:jc w:val="center"/>
            </w:pPr>
            <w:r>
              <w:rPr>
                <w:rFonts w:ascii="仿宋_GB2312" w:hAnsi="仿宋_GB2312" w:cs="仿宋_GB2312" w:eastAsia="仿宋_GB2312"/>
              </w:rPr>
              <w:t>地苦胆</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5</w:t>
            </w:r>
          </w:p>
        </w:tc>
        <w:tc>
          <w:tcPr>
            <w:tcW w:type="dxa" w:w="1759"/>
          </w:tcPr>
          <w:p>
            <w:pPr>
              <w:pStyle w:val="null3"/>
              <w:jc w:val="center"/>
            </w:pPr>
            <w:r>
              <w:rPr>
                <w:rFonts w:ascii="仿宋_GB2312" w:hAnsi="仿宋_GB2312" w:cs="仿宋_GB2312" w:eastAsia="仿宋_GB2312"/>
              </w:rPr>
              <w:t>川牛膝</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6</w:t>
            </w:r>
          </w:p>
        </w:tc>
        <w:tc>
          <w:tcPr>
            <w:tcW w:type="dxa" w:w="1759"/>
          </w:tcPr>
          <w:p>
            <w:pPr>
              <w:pStyle w:val="null3"/>
              <w:jc w:val="center"/>
            </w:pPr>
            <w:r>
              <w:rPr>
                <w:rFonts w:ascii="仿宋_GB2312" w:hAnsi="仿宋_GB2312" w:cs="仿宋_GB2312" w:eastAsia="仿宋_GB2312"/>
              </w:rPr>
              <w:t>姜黄</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7</w:t>
            </w:r>
          </w:p>
        </w:tc>
        <w:tc>
          <w:tcPr>
            <w:tcW w:type="dxa" w:w="1759"/>
          </w:tcPr>
          <w:p>
            <w:pPr>
              <w:pStyle w:val="null3"/>
              <w:jc w:val="center"/>
            </w:pPr>
            <w:r>
              <w:rPr>
                <w:rFonts w:ascii="仿宋_GB2312" w:hAnsi="仿宋_GB2312" w:cs="仿宋_GB2312" w:eastAsia="仿宋_GB2312"/>
              </w:rPr>
              <w:t>石菖蒲</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8</w:t>
            </w:r>
          </w:p>
        </w:tc>
        <w:tc>
          <w:tcPr>
            <w:tcW w:type="dxa" w:w="1759"/>
          </w:tcPr>
          <w:p>
            <w:pPr>
              <w:pStyle w:val="null3"/>
              <w:jc w:val="center"/>
            </w:pPr>
            <w:r>
              <w:rPr>
                <w:rFonts w:ascii="仿宋_GB2312" w:hAnsi="仿宋_GB2312" w:cs="仿宋_GB2312" w:eastAsia="仿宋_GB2312"/>
              </w:rPr>
              <w:t>丹参</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9</w:t>
            </w:r>
          </w:p>
        </w:tc>
        <w:tc>
          <w:tcPr>
            <w:tcW w:type="dxa" w:w="1759"/>
          </w:tcPr>
          <w:p>
            <w:pPr>
              <w:pStyle w:val="null3"/>
              <w:jc w:val="center"/>
            </w:pPr>
            <w:r>
              <w:rPr>
                <w:rFonts w:ascii="仿宋_GB2312" w:hAnsi="仿宋_GB2312" w:cs="仿宋_GB2312" w:eastAsia="仿宋_GB2312"/>
              </w:rPr>
              <w:t>百部</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10</w:t>
            </w:r>
          </w:p>
        </w:tc>
        <w:tc>
          <w:tcPr>
            <w:tcW w:type="dxa" w:w="1759"/>
          </w:tcPr>
          <w:p>
            <w:pPr>
              <w:pStyle w:val="null3"/>
              <w:jc w:val="center"/>
            </w:pPr>
            <w:r>
              <w:rPr>
                <w:rFonts w:ascii="仿宋_GB2312" w:hAnsi="仿宋_GB2312" w:cs="仿宋_GB2312" w:eastAsia="仿宋_GB2312"/>
              </w:rPr>
              <w:t>麦冬</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11</w:t>
            </w:r>
          </w:p>
        </w:tc>
        <w:tc>
          <w:tcPr>
            <w:tcW w:type="dxa" w:w="1759"/>
          </w:tcPr>
          <w:p>
            <w:pPr>
              <w:pStyle w:val="null3"/>
              <w:jc w:val="center"/>
            </w:pPr>
            <w:r>
              <w:rPr>
                <w:rFonts w:ascii="仿宋_GB2312" w:hAnsi="仿宋_GB2312" w:cs="仿宋_GB2312" w:eastAsia="仿宋_GB2312"/>
              </w:rPr>
              <w:t>魔芋</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A06029900 其他特种用途植物</w:t>
            </w:r>
          </w:p>
        </w:tc>
        <w:tc>
          <w:tcPr>
            <w:tcW w:type="dxa" w:w="2492"/>
          </w:tcPr>
          <w:p>
            <w:pPr>
              <w:pStyle w:val="null3"/>
              <w:jc w:val="left"/>
            </w:pPr>
            <w:r>
              <w:rPr>
                <w:rFonts w:ascii="仿宋_GB2312" w:hAnsi="仿宋_GB2312" w:cs="仿宋_GB2312" w:eastAsia="仿宋_GB2312"/>
              </w:rPr>
              <w:t>淫羊藿</w:t>
            </w:r>
          </w:p>
        </w:tc>
        <w:tc>
          <w:tcPr>
            <w:tcW w:type="dxa" w:w="2492"/>
          </w:tcPr>
          <w:p>
            <w:pPr>
              <w:pStyle w:val="null3"/>
              <w:jc w:val="left"/>
            </w:pPr>
            <w:r>
              <w:rPr>
                <w:rFonts w:ascii="仿宋_GB2312" w:hAnsi="仿宋_GB2312" w:cs="仿宋_GB2312" w:eastAsia="仿宋_GB2312"/>
              </w:rPr>
              <w:t>淫羊藿</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标的名称：淫羊藿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1、类型：箭叶淫羊藿</w:t>
            </w:r>
          </w:p>
          <w:p>
            <w:pPr>
              <w:pStyle w:val="null3"/>
              <w:jc w:val="left"/>
            </w:pPr>
            <w:r>
              <w:rPr>
                <w:rFonts w:ascii="仿宋_GB2312" w:hAnsi="仿宋_GB2312" w:cs="仿宋_GB2312" w:eastAsia="仿宋_GB2312"/>
                <w:sz w:val="28"/>
                <w:color w:val="000000"/>
              </w:rPr>
              <w:t>2、年限：2年以上苗</w:t>
            </w:r>
          </w:p>
          <w:p>
            <w:pPr>
              <w:pStyle w:val="null3"/>
              <w:jc w:val="left"/>
            </w:pPr>
            <w:r>
              <w:rPr>
                <w:rFonts w:ascii="仿宋_GB2312" w:hAnsi="仿宋_GB2312" w:cs="仿宋_GB2312" w:eastAsia="仿宋_GB2312"/>
                <w:sz w:val="28"/>
                <w:color w:val="000000"/>
              </w:rPr>
              <w:t>3、支型：三枝九叶</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1）根茎与根系</w:t>
            </w:r>
          </w:p>
          <w:p>
            <w:pPr>
              <w:pStyle w:val="null3"/>
              <w:jc w:val="left"/>
            </w:pPr>
            <w:r>
              <w:rPr>
                <w:rFonts w:ascii="仿宋_GB2312" w:hAnsi="仿宋_GB2312" w:cs="仿宋_GB2312" w:eastAsia="仿宋_GB2312"/>
                <w:sz w:val="28"/>
                <w:color w:val="000000"/>
              </w:rPr>
              <w:t>根茎粗壮</w:t>
            </w:r>
            <w:r>
              <w:rPr>
                <w:rFonts w:ascii="仿宋_GB2312" w:hAnsi="仿宋_GB2312" w:cs="仿宋_GB2312" w:eastAsia="仿宋_GB2312"/>
                <w:sz w:val="28"/>
                <w:color w:val="000000"/>
              </w:rPr>
              <w:t>≥0.3cm，越冬饱满芽苞≥2 个；鲜活须根≥6 条、根系完整，拉扯不易断裂，无根腐、烂根、破皮机械损伤。</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2）株高与长势</w:t>
            </w:r>
          </w:p>
          <w:p>
            <w:pPr>
              <w:pStyle w:val="null3"/>
              <w:jc w:val="left"/>
            </w:pPr>
            <w:r>
              <w:rPr>
                <w:rFonts w:ascii="仿宋_GB2312" w:hAnsi="仿宋_GB2312" w:cs="仿宋_GB2312" w:eastAsia="仿宋_GB2312"/>
                <w:sz w:val="28"/>
                <w:color w:val="000000"/>
              </w:rPr>
              <w:t>株高</w:t>
            </w:r>
            <w:r>
              <w:rPr>
                <w:rFonts w:ascii="仿宋_GB2312" w:hAnsi="仿宋_GB2312" w:cs="仿宋_GB2312" w:eastAsia="仿宋_GB2312"/>
                <w:sz w:val="28"/>
                <w:color w:val="000000"/>
              </w:rPr>
              <w:t>≥25cm，苗体健壮不徒长、无萎蔫脱水，整批次种苗整齐度≥90%。</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3）病虫害管控</w:t>
            </w:r>
          </w:p>
          <w:p>
            <w:pPr>
              <w:pStyle w:val="null3"/>
              <w:jc w:val="left"/>
            </w:pPr>
            <w:r>
              <w:rPr>
                <w:rFonts w:ascii="仿宋_GB2312" w:hAnsi="仿宋_GB2312" w:cs="仿宋_GB2312" w:eastAsia="仿宋_GB2312"/>
                <w:sz w:val="28"/>
                <w:color w:val="000000"/>
              </w:rPr>
              <w:t>不带根腐病、蚜虫、线虫等病虫，无农药药害，供货附带植物检疫证书。</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4）含量指标</w:t>
            </w:r>
          </w:p>
          <w:p>
            <w:pPr>
              <w:pStyle w:val="null3"/>
              <w:jc w:val="left"/>
            </w:pPr>
            <w:r>
              <w:rPr>
                <w:rFonts w:ascii="仿宋_GB2312" w:hAnsi="仿宋_GB2312" w:cs="仿宋_GB2312" w:eastAsia="仿宋_GB2312"/>
                <w:sz w:val="28"/>
              </w:rPr>
              <w:t>干品总黄酮（朝藿定</w:t>
            </w:r>
            <w:r>
              <w:rPr>
                <w:rFonts w:ascii="仿宋_GB2312" w:hAnsi="仿宋_GB2312" w:cs="仿宋_GB2312" w:eastAsia="仿宋_GB2312"/>
                <w:sz w:val="28"/>
              </w:rPr>
              <w:t>A/B/C + 淫羊藿苷）总量≥8.0%。</w:t>
            </w:r>
          </w:p>
        </w:tc>
      </w:tr>
    </w:tbl>
    <w:p>
      <w:pPr>
        <w:pStyle w:val="null3"/>
        <w:jc w:val="left"/>
      </w:pPr>
      <w:r>
        <w:rPr>
          <w:rFonts w:ascii="仿宋_GB2312" w:hAnsi="仿宋_GB2312" w:cs="仿宋_GB2312" w:eastAsia="仿宋_GB2312"/>
        </w:rPr>
        <w:t>标的名称：百合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一、核心指标</w:t>
            </w:r>
          </w:p>
          <w:p>
            <w:pPr>
              <w:pStyle w:val="null3"/>
              <w:jc w:val="left"/>
            </w:pPr>
            <w:r>
              <w:rPr>
                <w:rFonts w:ascii="仿宋_GB2312" w:hAnsi="仿宋_GB2312" w:cs="仿宋_GB2312" w:eastAsia="仿宋_GB2312"/>
                <w:sz w:val="28"/>
                <w:color w:val="000000"/>
              </w:rPr>
              <w:t>1、品种类型：纯正卷丹百合种苗，品种纯度≥98%，无龙牙百合、兰州百合、川百合等混杂品种，种苗性状符合卷丹百合典型特征，保证品种正宗、无变异、无杂株。</w:t>
            </w:r>
          </w:p>
          <w:p>
            <w:pPr>
              <w:pStyle w:val="null3"/>
              <w:jc w:val="left"/>
            </w:pPr>
            <w:r>
              <w:rPr>
                <w:rFonts w:ascii="仿宋_GB2312" w:hAnsi="仿宋_GB2312" w:cs="仿宋_GB2312" w:eastAsia="仿宋_GB2312"/>
                <w:sz w:val="28"/>
                <w:color w:val="000000"/>
              </w:rPr>
              <w:t>2、种苗年限：1年以上成熟种苗，种球培育周期</w:t>
            </w:r>
            <w:r>
              <w:rPr>
                <w:rFonts w:ascii="仿宋_GB2312" w:hAnsi="仿宋_GB2312" w:cs="仿宋_GB2312" w:eastAsia="仿宋_GB2312"/>
                <w:sz w:val="28"/>
                <w:color w:val="000000"/>
              </w:rPr>
              <w:t>≥</w:t>
            </w:r>
            <w:r>
              <w:rPr>
                <w:rFonts w:ascii="仿宋_GB2312" w:hAnsi="仿宋_GB2312" w:cs="仿宋_GB2312" w:eastAsia="仿宋_GB2312"/>
                <w:sz w:val="28"/>
                <w:color w:val="000000"/>
              </w:rPr>
              <w:t>12个月，杜绝当年新生嫩苗、弱小幼苗，种苗发育成熟、生理活性稳定，</w:t>
            </w:r>
            <w:r>
              <w:rPr>
                <w:rFonts w:ascii="仿宋_GB2312" w:hAnsi="仿宋_GB2312" w:cs="仿宋_GB2312" w:eastAsia="仿宋_GB2312"/>
                <w:sz w:val="28"/>
                <w:color w:val="000000"/>
              </w:rPr>
              <w:t>可</w:t>
            </w:r>
            <w:r>
              <w:rPr>
                <w:rFonts w:ascii="仿宋_GB2312" w:hAnsi="仿宋_GB2312" w:cs="仿宋_GB2312" w:eastAsia="仿宋_GB2312"/>
                <w:sz w:val="28"/>
                <w:color w:val="000000"/>
              </w:rPr>
              <w:t>提供育苗培育记录佐证苗龄。</w:t>
            </w:r>
          </w:p>
          <w:p>
            <w:pPr>
              <w:pStyle w:val="null3"/>
              <w:jc w:val="left"/>
            </w:pPr>
            <w:r>
              <w:rPr>
                <w:rFonts w:ascii="仿宋_GB2312" w:hAnsi="仿宋_GB2312" w:cs="仿宋_GB2312" w:eastAsia="仿宋_GB2312"/>
                <w:sz w:val="28"/>
                <w:color w:val="000000"/>
              </w:rPr>
              <w:t>二、种苗质量通用标准</w:t>
            </w:r>
          </w:p>
          <w:p>
            <w:pPr>
              <w:pStyle w:val="null3"/>
              <w:jc w:val="left"/>
            </w:pPr>
            <w:r>
              <w:rPr>
                <w:rFonts w:ascii="仿宋_GB2312" w:hAnsi="仿宋_GB2312" w:cs="仿宋_GB2312" w:eastAsia="仿宋_GB2312"/>
                <w:sz w:val="28"/>
                <w:color w:val="000000"/>
              </w:rPr>
              <w:t>1、种球规格：种球饱满圆润、无畸形，鳞片紧实完整，无开裂、无干瘪、无空心现象。单球大小均匀，根系发达饱满，整体长势健壮，批次整齐度高。</w:t>
            </w:r>
          </w:p>
          <w:p>
            <w:pPr>
              <w:pStyle w:val="null3"/>
              <w:jc w:val="left"/>
            </w:pPr>
            <w:r>
              <w:rPr>
                <w:rFonts w:ascii="仿宋_GB2312" w:hAnsi="仿宋_GB2312" w:cs="仿宋_GB2312" w:eastAsia="仿宋_GB2312"/>
                <w:sz w:val="28"/>
                <w:color w:val="000000"/>
              </w:rPr>
              <w:t>2、外观品相：种苗整体新鲜、无脱水萎蔫、无机械划伤、无破皮损伤、无冻害、无灼伤。鳞茎色泽正常，无发黑、腐烂、霉变、斑点病变等瑕疵。</w:t>
            </w:r>
          </w:p>
          <w:p>
            <w:pPr>
              <w:pStyle w:val="null3"/>
              <w:jc w:val="left"/>
            </w:pPr>
            <w:r>
              <w:rPr>
                <w:rFonts w:ascii="仿宋_GB2312" w:hAnsi="仿宋_GB2312" w:cs="仿宋_GB2312" w:eastAsia="仿宋_GB2312"/>
                <w:sz w:val="28"/>
                <w:color w:val="000000"/>
              </w:rPr>
              <w:t>3、根系状态：须根发达、完整坚韧，根系洁白鲜活，无烂根、腐根、死根，根系附着力强，移栽成活率高。</w:t>
            </w:r>
          </w:p>
          <w:p>
            <w:pPr>
              <w:pStyle w:val="null3"/>
              <w:jc w:val="left"/>
            </w:pPr>
            <w:r>
              <w:rPr>
                <w:rFonts w:ascii="仿宋_GB2312" w:hAnsi="仿宋_GB2312" w:cs="仿宋_GB2312" w:eastAsia="仿宋_GB2312"/>
                <w:sz w:val="28"/>
                <w:color w:val="000000"/>
              </w:rPr>
              <w:t>三、病虫害防控要求</w:t>
            </w:r>
          </w:p>
          <w:p>
            <w:pPr>
              <w:pStyle w:val="null3"/>
              <w:jc w:val="left"/>
            </w:pPr>
            <w:r>
              <w:rPr>
                <w:rFonts w:ascii="仿宋_GB2312" w:hAnsi="仿宋_GB2312" w:cs="仿宋_GB2312" w:eastAsia="仿宋_GB2312"/>
                <w:sz w:val="28"/>
              </w:rPr>
              <w:t>种苗不得携带百合枯萎病、立枯病、鳞茎腐烂病、病毒病等病害，无蓟马、蚜虫、根螨、地下线虫等虫害及虫卵。供货种苗健康无隐患，可配合提供植物检疫相关证明，杜绝带病带虫种苗供货。</w:t>
            </w:r>
          </w:p>
        </w:tc>
      </w:tr>
    </w:tbl>
    <w:p>
      <w:pPr>
        <w:pStyle w:val="null3"/>
        <w:jc w:val="left"/>
      </w:pPr>
      <w:r>
        <w:rPr>
          <w:rFonts w:ascii="仿宋_GB2312" w:hAnsi="仿宋_GB2312" w:cs="仿宋_GB2312" w:eastAsia="仿宋_GB2312"/>
        </w:rPr>
        <w:t>标的名称：黄连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一、核心指标</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品种：正品鸡爪连，杜绝味连、雅连等其他品种，品种纯度</w:t>
            </w:r>
            <w:r>
              <w:rPr>
                <w:rFonts w:ascii="仿宋_GB2312" w:hAnsi="仿宋_GB2312" w:cs="仿宋_GB2312" w:eastAsia="仿宋_GB2312"/>
                <w:sz w:val="28"/>
                <w:color w:val="000000"/>
              </w:rPr>
              <w:t>≥98%；</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苗龄：育苗生长期</w:t>
            </w:r>
            <w:r>
              <w:rPr>
                <w:rFonts w:ascii="仿宋_GB2312" w:hAnsi="仿宋_GB2312" w:cs="仿宋_GB2312" w:eastAsia="仿宋_GB2312"/>
                <w:sz w:val="28"/>
                <w:color w:val="000000"/>
              </w:rPr>
              <w:t xml:space="preserve">≥3 年，不掺 </w:t>
            </w:r>
            <w:r>
              <w:rPr>
                <w:rFonts w:ascii="仿宋_GB2312" w:hAnsi="仿宋_GB2312" w:cs="仿宋_GB2312" w:eastAsia="仿宋_GB2312"/>
                <w:sz w:val="28"/>
                <w:color w:val="000000"/>
              </w:rPr>
              <w:t>≤</w:t>
            </w:r>
            <w:r>
              <w:rPr>
                <w:rFonts w:ascii="仿宋_GB2312" w:hAnsi="仿宋_GB2312" w:cs="仿宋_GB2312" w:eastAsia="仿宋_GB2312"/>
                <w:sz w:val="28"/>
                <w:color w:val="000000"/>
              </w:rPr>
              <w:t>2 年生小苗；</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叶片：单株有效功能叶</w:t>
            </w:r>
            <w:r>
              <w:rPr>
                <w:rFonts w:ascii="仿宋_GB2312" w:hAnsi="仿宋_GB2312" w:cs="仿宋_GB2312" w:eastAsia="仿宋_GB2312"/>
                <w:sz w:val="28"/>
                <w:color w:val="000000"/>
              </w:rPr>
              <w:t>≥4 片，枯叶、病叶不计入。</w:t>
            </w:r>
          </w:p>
          <w:p>
            <w:pPr>
              <w:pStyle w:val="null3"/>
              <w:jc w:val="left"/>
            </w:pPr>
            <w:r>
              <w:rPr>
                <w:rFonts w:ascii="仿宋_GB2312" w:hAnsi="仿宋_GB2312" w:cs="仿宋_GB2312" w:eastAsia="仿宋_GB2312"/>
                <w:sz w:val="28"/>
                <w:color w:val="000000"/>
              </w:rPr>
              <w:t>二、质量要求</w:t>
            </w:r>
          </w:p>
          <w:p>
            <w:pPr>
              <w:pStyle w:val="null3"/>
              <w:jc w:val="left"/>
            </w:pPr>
            <w:r>
              <w:rPr>
                <w:rFonts w:ascii="仿宋_GB2312" w:hAnsi="仿宋_GB2312" w:cs="仿宋_GB2312" w:eastAsia="仿宋_GB2312"/>
                <w:sz w:val="28"/>
                <w:color w:val="000000"/>
              </w:rPr>
              <w:t>根茎短粗、须根丰满无烂根，植株健壮不干枯，无机械破皮、霉变腐烂。</w:t>
            </w:r>
          </w:p>
          <w:p>
            <w:pPr>
              <w:pStyle w:val="null3"/>
              <w:jc w:val="left"/>
            </w:pPr>
            <w:r>
              <w:rPr>
                <w:rFonts w:ascii="仿宋_GB2312" w:hAnsi="仿宋_GB2312" w:cs="仿宋_GB2312" w:eastAsia="仿宋_GB2312"/>
                <w:sz w:val="28"/>
                <w:color w:val="000000"/>
              </w:rPr>
              <w:t>三、病虫</w:t>
            </w:r>
          </w:p>
          <w:p>
            <w:pPr>
              <w:pStyle w:val="null3"/>
              <w:jc w:val="left"/>
            </w:pPr>
            <w:r>
              <w:rPr>
                <w:rFonts w:ascii="仿宋_GB2312" w:hAnsi="仿宋_GB2312" w:cs="仿宋_GB2312" w:eastAsia="仿宋_GB2312"/>
                <w:sz w:val="28"/>
              </w:rPr>
              <w:t>不带根腐、白粉病及线虫、蚜虫。</w:t>
            </w:r>
          </w:p>
        </w:tc>
      </w:tr>
    </w:tbl>
    <w:p>
      <w:pPr>
        <w:pStyle w:val="null3"/>
        <w:jc w:val="left"/>
      </w:pPr>
      <w:r>
        <w:rPr>
          <w:rFonts w:ascii="仿宋_GB2312" w:hAnsi="仿宋_GB2312" w:cs="仿宋_GB2312" w:eastAsia="仿宋_GB2312"/>
        </w:rPr>
        <w:t>标的名称：地苦胆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1、苗龄：24个月以上实生苗，带地下小块根、金果榄2年苗带薯</w:t>
            </w:r>
          </w:p>
          <w:p>
            <w:pPr>
              <w:pStyle w:val="null3"/>
              <w:jc w:val="left"/>
            </w:pPr>
            <w:r>
              <w:rPr>
                <w:rFonts w:ascii="仿宋_GB2312" w:hAnsi="仿宋_GB2312" w:cs="仿宋_GB2312" w:eastAsia="仿宋_GB2312"/>
                <w:sz w:val="28"/>
                <w:color w:val="000000"/>
              </w:rPr>
              <w:t>2、株高≥15cm，茎粗≥0.3cm，根系完整须根发达；</w:t>
            </w:r>
          </w:p>
          <w:p>
            <w:pPr>
              <w:pStyle w:val="null3"/>
              <w:jc w:val="left"/>
            </w:pPr>
            <w:r>
              <w:rPr>
                <w:rFonts w:ascii="仿宋_GB2312" w:hAnsi="仿宋_GB2312" w:cs="仿宋_GB2312" w:eastAsia="仿宋_GB2312"/>
                <w:sz w:val="28"/>
                <w:color w:val="000000"/>
              </w:rPr>
              <w:t>3、单株带实心块根≥1个（直径≥0.8cm）；</w:t>
            </w:r>
          </w:p>
          <w:p>
            <w:pPr>
              <w:pStyle w:val="null3"/>
              <w:jc w:val="left"/>
            </w:pPr>
            <w:r>
              <w:rPr>
                <w:rFonts w:ascii="仿宋_GB2312" w:hAnsi="仿宋_GB2312" w:cs="仿宋_GB2312" w:eastAsia="仿宋_GB2312"/>
                <w:sz w:val="28"/>
                <w:color w:val="000000"/>
              </w:rPr>
              <w:t>4、无根腐、白粉、线虫、虫咬、破皮、烂根；</w:t>
            </w:r>
          </w:p>
          <w:p>
            <w:pPr>
              <w:pStyle w:val="null3"/>
              <w:jc w:val="left"/>
            </w:pPr>
            <w:r>
              <w:rPr>
                <w:rFonts w:ascii="仿宋_GB2312" w:hAnsi="仿宋_GB2312" w:cs="仿宋_GB2312" w:eastAsia="仿宋_GB2312"/>
                <w:sz w:val="28"/>
              </w:rPr>
              <w:t>5、病弱苗、裸根干枯苗占比≤1%；杂质、断苗≤2%。</w:t>
            </w:r>
          </w:p>
        </w:tc>
      </w:tr>
    </w:tbl>
    <w:p>
      <w:pPr>
        <w:pStyle w:val="null3"/>
        <w:jc w:val="left"/>
      </w:pPr>
      <w:r>
        <w:rPr>
          <w:rFonts w:ascii="仿宋_GB2312" w:hAnsi="仿宋_GB2312" w:cs="仿宋_GB2312" w:eastAsia="仿宋_GB2312"/>
        </w:rPr>
        <w:t>标的名称：川牛膝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品种：正品川牛膝，无怀牛膝等杂品混杂，纯度</w:t>
            </w:r>
            <w:r>
              <w:rPr>
                <w:rFonts w:ascii="仿宋_GB2312" w:hAnsi="仿宋_GB2312" w:cs="仿宋_GB2312" w:eastAsia="仿宋_GB2312"/>
                <w:sz w:val="28"/>
                <w:color w:val="000000"/>
              </w:rPr>
              <w:t>≥98%；</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规格：种苗主根长度</w:t>
            </w:r>
            <w:r>
              <w:rPr>
                <w:rFonts w:ascii="仿宋_GB2312" w:hAnsi="仿宋_GB2312" w:cs="仿宋_GB2312" w:eastAsia="仿宋_GB2312"/>
                <w:sz w:val="28"/>
                <w:color w:val="000000"/>
              </w:rPr>
              <w:t>≥15cm，根茎粗径≥0.4cm。</w:t>
            </w:r>
          </w:p>
          <w:p>
            <w:pPr>
              <w:pStyle w:val="null3"/>
              <w:jc w:val="left"/>
            </w:pPr>
            <w:r>
              <w:rPr>
                <w:rFonts w:ascii="仿宋_GB2312" w:hAnsi="仿宋_GB2312" w:cs="仿宋_GB2312" w:eastAsia="仿宋_GB2312"/>
                <w:sz w:val="28"/>
                <w:color w:val="000000"/>
              </w:rPr>
              <w:t>二、质量标准</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根系完整无断根、烂根、空心，芽头饱满鲜活，无霉变、冻伤、机械破损。</w:t>
            </w:r>
          </w:p>
          <w:p>
            <w:pPr>
              <w:pStyle w:val="null3"/>
              <w:jc w:val="left"/>
            </w:pPr>
            <w:r>
              <w:rPr>
                <w:rFonts w:ascii="仿宋_GB2312" w:hAnsi="仿宋_GB2312" w:cs="仿宋_GB2312" w:eastAsia="仿宋_GB2312"/>
                <w:sz w:val="28"/>
                <w:color w:val="000000"/>
              </w:rPr>
              <w:t>2、每公斤40到50株；</w:t>
            </w:r>
          </w:p>
          <w:p>
            <w:pPr>
              <w:pStyle w:val="null3"/>
              <w:jc w:val="left"/>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color w:val="000000"/>
              </w:rPr>
              <w:t>无根腐、线虫、病虫害附着，必要时配合出具检疫材料。</w:t>
            </w:r>
          </w:p>
          <w:p>
            <w:pPr>
              <w:pStyle w:val="null3"/>
              <w:jc w:val="left"/>
            </w:pPr>
            <w:r>
              <w:rPr>
                <w:rFonts w:ascii="仿宋_GB2312" w:hAnsi="仿宋_GB2312" w:cs="仿宋_GB2312" w:eastAsia="仿宋_GB2312"/>
                <w:sz w:val="28"/>
              </w:rPr>
              <w:t>四、每亩株数：</w:t>
            </w:r>
            <w:r>
              <w:rPr>
                <w:rFonts w:ascii="仿宋_GB2312" w:hAnsi="仿宋_GB2312" w:cs="仿宋_GB2312" w:eastAsia="仿宋_GB2312"/>
                <w:sz w:val="28"/>
              </w:rPr>
              <w:t>5000至6000株。</w:t>
            </w:r>
          </w:p>
        </w:tc>
      </w:tr>
    </w:tbl>
    <w:p>
      <w:pPr>
        <w:pStyle w:val="null3"/>
        <w:jc w:val="left"/>
      </w:pPr>
      <w:r>
        <w:rPr>
          <w:rFonts w:ascii="仿宋_GB2312" w:hAnsi="仿宋_GB2312" w:cs="仿宋_GB2312" w:eastAsia="仿宋_GB2312"/>
        </w:rPr>
        <w:t>标的名称：姜黄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品种：正品川姜黄（川郁金、紫皮小姜黄），正宗四川本地紫皮小姜黄品种，无外地大黄、杂姜混杂，品种纯度</w:t>
            </w:r>
            <w:r>
              <w:rPr>
                <w:rFonts w:ascii="仿宋_GB2312" w:hAnsi="仿宋_GB2312" w:cs="仿宋_GB2312" w:eastAsia="仿宋_GB2312"/>
                <w:sz w:val="28"/>
                <w:color w:val="000000"/>
              </w:rPr>
              <w:t>≥98%。</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种源特性：紫皮、肉质紧实、小姜黄品系，为川郁金同源药用正品种苗，符合药典药用规格。</w:t>
            </w:r>
          </w:p>
          <w:p>
            <w:pPr>
              <w:pStyle w:val="null3"/>
              <w:jc w:val="left"/>
            </w:pPr>
            <w:r>
              <w:rPr>
                <w:rFonts w:ascii="仿宋_GB2312" w:hAnsi="仿宋_GB2312" w:cs="仿宋_GB2312" w:eastAsia="仿宋_GB2312"/>
                <w:sz w:val="28"/>
                <w:color w:val="000000"/>
              </w:rPr>
              <w:t>二、质量标准</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种苗姜块饱满、芽眼饱满鲜活（保留</w:t>
            </w:r>
            <w:r>
              <w:rPr>
                <w:rFonts w:ascii="仿宋_GB2312" w:hAnsi="仿宋_GB2312" w:cs="仿宋_GB2312" w:eastAsia="仿宋_GB2312"/>
                <w:sz w:val="28"/>
                <w:color w:val="000000"/>
              </w:rPr>
              <w:t>2–3 个有效壮芽），表皮紫皮特征明显；无干瘪、空心、开裂、腐烂、霉变、机械损伤、冻伤。</w:t>
            </w:r>
          </w:p>
          <w:p>
            <w:pPr>
              <w:pStyle w:val="null3"/>
              <w:jc w:val="left"/>
            </w:pPr>
            <w:r>
              <w:rPr>
                <w:rFonts w:ascii="仿宋_GB2312" w:hAnsi="仿宋_GB2312" w:cs="仿宋_GB2312" w:eastAsia="仿宋_GB2312"/>
                <w:sz w:val="28"/>
                <w:color w:val="000000"/>
              </w:rPr>
              <w:t>2、每公斤：48到50块。</w:t>
            </w:r>
          </w:p>
          <w:p>
            <w:pPr>
              <w:pStyle w:val="null3"/>
              <w:jc w:val="left"/>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color w:val="000000"/>
              </w:rPr>
              <w:t>无根腐病、软腐病、病毒病，无虫害、虫卵、线虫，种苗干净健康，可配合提供检疫资料。</w:t>
            </w:r>
          </w:p>
          <w:p>
            <w:pPr>
              <w:pStyle w:val="null3"/>
              <w:jc w:val="left"/>
            </w:pPr>
            <w:r>
              <w:rPr>
                <w:rFonts w:ascii="仿宋_GB2312" w:hAnsi="仿宋_GB2312" w:cs="仿宋_GB2312" w:eastAsia="仿宋_GB2312"/>
                <w:sz w:val="28"/>
                <w:color w:val="000000"/>
              </w:rPr>
              <w:t>四、每亩的块茎：</w:t>
            </w:r>
            <w:r>
              <w:rPr>
                <w:rFonts w:ascii="仿宋_GB2312" w:hAnsi="仿宋_GB2312" w:cs="仿宋_GB2312" w:eastAsia="仿宋_GB2312"/>
                <w:sz w:val="28"/>
                <w:color w:val="000000"/>
              </w:rPr>
              <w:t>4800到5000块茎。</w:t>
            </w:r>
          </w:p>
        </w:tc>
      </w:tr>
    </w:tbl>
    <w:p>
      <w:pPr>
        <w:pStyle w:val="null3"/>
        <w:jc w:val="left"/>
      </w:pPr>
      <w:r>
        <w:rPr>
          <w:rFonts w:ascii="仿宋_GB2312" w:hAnsi="仿宋_GB2312" w:cs="仿宋_GB2312" w:eastAsia="仿宋_GB2312"/>
        </w:rPr>
        <w:t>标的名称：石菖蒲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left"/>
            </w:pPr>
            <w:r>
              <w:rPr>
                <w:rFonts w:ascii="仿宋_GB2312" w:hAnsi="仿宋_GB2312" w:cs="仿宋_GB2312" w:eastAsia="仿宋_GB2312"/>
                <w:sz w:val="28"/>
                <w:color w:val="000000"/>
              </w:rPr>
              <w:t>1、品种品系：正品大叶红心石菖蒲，性状特征明显，叶片宽大、红心特征显著，无普通绿叶石菖蒲、杂品混杂，品种纯度≥98%。</w:t>
            </w:r>
          </w:p>
          <w:p>
            <w:pPr>
              <w:pStyle w:val="null3"/>
              <w:jc w:val="left"/>
            </w:pPr>
            <w:r>
              <w:rPr>
                <w:rFonts w:ascii="仿宋_GB2312" w:hAnsi="仿宋_GB2312" w:cs="仿宋_GB2312" w:eastAsia="仿宋_GB2312"/>
                <w:sz w:val="28"/>
                <w:color w:val="000000"/>
              </w:rPr>
              <w:t>2、种苗年限：纯正2年生成熟育苗，长势稳定、发育达标，严禁掺杂1年生嫩弱小苗。</w:t>
            </w:r>
          </w:p>
          <w:p>
            <w:pPr>
              <w:pStyle w:val="null3"/>
              <w:jc w:val="left"/>
            </w:pPr>
            <w:r>
              <w:rPr>
                <w:rFonts w:ascii="仿宋_GB2312" w:hAnsi="仿宋_GB2312" w:cs="仿宋_GB2312" w:eastAsia="仿宋_GB2312"/>
                <w:sz w:val="28"/>
                <w:color w:val="000000"/>
              </w:rPr>
              <w:t>3、育苗属性：仅限直育苗，严禁分栽苗、分株苗；种苗为原生直育根系，非二次分栽移栽苗，根系原生完整。</w:t>
            </w:r>
          </w:p>
          <w:p>
            <w:pPr>
              <w:pStyle w:val="null3"/>
              <w:jc w:val="left"/>
            </w:pPr>
            <w:r>
              <w:rPr>
                <w:rFonts w:ascii="仿宋_GB2312" w:hAnsi="仿宋_GB2312" w:cs="仿宋_GB2312" w:eastAsia="仿宋_GB2312"/>
                <w:sz w:val="28"/>
                <w:color w:val="000000"/>
              </w:rPr>
              <w:t>二、质量标准</w:t>
            </w:r>
          </w:p>
          <w:p>
            <w:pPr>
              <w:pStyle w:val="null3"/>
              <w:jc w:val="left"/>
            </w:pPr>
            <w:r>
              <w:rPr>
                <w:rFonts w:ascii="仿宋_GB2312" w:hAnsi="仿宋_GB2312" w:cs="仿宋_GB2312" w:eastAsia="仿宋_GB2312"/>
                <w:sz w:val="28"/>
                <w:color w:val="000000"/>
              </w:rPr>
              <w:t>种苗植株健壮、长势均匀，叶片翠绿完整，无枯黄、残损、徒长现象；根茎饱满、芽点鲜活，根系发达完整，无断根、烂根、老化根系；无干瘪、脱水、机械损伤、冻害、霉变腐烂。</w:t>
            </w:r>
          </w:p>
          <w:p>
            <w:pPr>
              <w:pStyle w:val="null3"/>
              <w:jc w:val="left"/>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rPr>
              <w:t>种苗无根腐病、叶斑病、软腐病等各类病害，无蚜虫、线虫、地下害虫及虫卵，植株干净健康，可配合提供相关检疫资料。</w:t>
            </w:r>
          </w:p>
        </w:tc>
      </w:tr>
    </w:tbl>
    <w:p>
      <w:pPr>
        <w:pStyle w:val="null3"/>
        <w:jc w:val="left"/>
      </w:pPr>
      <w:r>
        <w:rPr>
          <w:rFonts w:ascii="仿宋_GB2312" w:hAnsi="仿宋_GB2312" w:cs="仿宋_GB2312" w:eastAsia="仿宋_GB2312"/>
        </w:rPr>
        <w:t>标的名称：丹参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both"/>
            </w:pPr>
            <w:r>
              <w:rPr>
                <w:rFonts w:ascii="仿宋_GB2312" w:hAnsi="仿宋_GB2312" w:cs="仿宋_GB2312" w:eastAsia="仿宋_GB2312"/>
                <w:sz w:val="28"/>
                <w:color w:val="000000"/>
              </w:rPr>
              <w:t>1、品种品系：仅限正品川丹参2号种根，为四川道地优良丹参品种，杜绝普通丹参、外地杂丹参、退化品种混杂，品种纯度≥98%，种源纯正无变异、无杂株。</w:t>
            </w:r>
          </w:p>
          <w:p>
            <w:pPr>
              <w:pStyle w:val="null3"/>
              <w:jc w:val="both"/>
            </w:pPr>
            <w:r>
              <w:rPr>
                <w:rFonts w:ascii="仿宋_GB2312" w:hAnsi="仿宋_GB2312" w:cs="仿宋_GB2312" w:eastAsia="仿宋_GB2312"/>
                <w:sz w:val="28"/>
                <w:color w:val="000000"/>
              </w:rPr>
              <w:t>2、种苗类型：直径0.4cm以上，采用无性繁育种根，根条健壮充实，为当年新鲜种根，杜绝老化种根、弱根、残次根、带病旧根。</w:t>
            </w:r>
          </w:p>
          <w:p>
            <w:pPr>
              <w:pStyle w:val="null3"/>
              <w:jc w:val="both"/>
            </w:pPr>
            <w:r>
              <w:rPr>
                <w:rFonts w:ascii="仿宋_GB2312" w:hAnsi="仿宋_GB2312" w:cs="仿宋_GB2312" w:eastAsia="仿宋_GB2312"/>
                <w:sz w:val="28"/>
                <w:color w:val="000000"/>
              </w:rPr>
              <w:t>二、质量标准</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种根色泽紫红、表皮完整、根条顺直均匀，断面黄白色、肉质饱满；无干瘪、空心、开裂、黑头、破皮、机械损伤、冻害、霉变腐烂；芽眼饱满鲜活，活性强，移栽成活率高，整体长势均匀一致。</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每公斤</w:t>
            </w:r>
            <w:r>
              <w:rPr>
                <w:rFonts w:ascii="仿宋_GB2312" w:hAnsi="仿宋_GB2312" w:cs="仿宋_GB2312" w:eastAsia="仿宋_GB2312"/>
                <w:sz w:val="28"/>
                <w:color w:val="000000"/>
              </w:rPr>
              <w:t>200到225株。</w:t>
            </w:r>
          </w:p>
          <w:p>
            <w:pPr>
              <w:pStyle w:val="null3"/>
              <w:jc w:val="both"/>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rPr>
              <w:t>种根无根腐病、枯萎病、根结线虫、病毒病等各类病虫害，无虫卵、虫蛀孔洞，干净健康无隐患。</w:t>
            </w:r>
          </w:p>
        </w:tc>
      </w:tr>
    </w:tbl>
    <w:p>
      <w:pPr>
        <w:pStyle w:val="null3"/>
        <w:jc w:val="left"/>
      </w:pPr>
      <w:r>
        <w:rPr>
          <w:rFonts w:ascii="仿宋_GB2312" w:hAnsi="仿宋_GB2312" w:cs="仿宋_GB2312" w:eastAsia="仿宋_GB2312"/>
        </w:rPr>
        <w:t>标的名称：百部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left"/>
            </w:pPr>
            <w:r>
              <w:rPr>
                <w:rFonts w:ascii="仿宋_GB2312" w:hAnsi="仿宋_GB2312" w:cs="仿宋_GB2312" w:eastAsia="仿宋_GB2312"/>
                <w:sz w:val="28"/>
                <w:color w:val="000000"/>
              </w:rPr>
              <w:t>1、品种品系：正品对叶红花百部，品种特征典型，对叶、红花性状明显，4个薯以上，杜绝普通白花百部、杂百部品种混杂，品种纯度≥98%，无变异、无杂株。</w:t>
            </w:r>
          </w:p>
          <w:p>
            <w:pPr>
              <w:pStyle w:val="null3"/>
              <w:jc w:val="left"/>
            </w:pPr>
            <w:r>
              <w:rPr>
                <w:rFonts w:ascii="仿宋_GB2312" w:hAnsi="仿宋_GB2312" w:cs="仿宋_GB2312" w:eastAsia="仿宋_GB2312"/>
                <w:sz w:val="28"/>
                <w:color w:val="000000"/>
              </w:rPr>
              <w:t>2、种苗年限：2年生成熟种苗，培育周期达标，长势健壮稳定，严禁掺杂1年生弱小嫩苗、老化弱苗。</w:t>
            </w:r>
          </w:p>
          <w:p>
            <w:pPr>
              <w:pStyle w:val="null3"/>
              <w:jc w:val="left"/>
            </w:pPr>
            <w:r>
              <w:rPr>
                <w:rFonts w:ascii="仿宋_GB2312" w:hAnsi="仿宋_GB2312" w:cs="仿宋_GB2312" w:eastAsia="仿宋_GB2312"/>
                <w:sz w:val="28"/>
                <w:color w:val="000000"/>
              </w:rPr>
              <w:t>二、质量标准</w:t>
            </w:r>
          </w:p>
          <w:p>
            <w:pPr>
              <w:pStyle w:val="null3"/>
              <w:jc w:val="left"/>
            </w:pPr>
            <w:r>
              <w:rPr>
                <w:rFonts w:ascii="仿宋_GB2312" w:hAnsi="仿宋_GB2312" w:cs="仿宋_GB2312" w:eastAsia="仿宋_GB2312"/>
                <w:sz w:val="28"/>
                <w:color w:val="000000"/>
              </w:rPr>
              <w:t>种苗植株健壮、长势均匀，茎叶完整鲜活，无枯黄、残损、徒长；块根饱满发达、根系完整，芽头鲜活饱满；无干瘪脱水、机械破皮、冻害、开裂、空心、霉变腐烂，整体品相优良，移栽成活率高。</w:t>
            </w:r>
          </w:p>
          <w:p>
            <w:pPr>
              <w:pStyle w:val="null3"/>
              <w:jc w:val="left"/>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color w:val="000000"/>
              </w:rPr>
              <w:t>种苗无叶斑病、根腐病、软腐病、病毒病等病害，无蚜虫、红蜘蛛、线虫及地下害虫虫卵，植株干净健康。</w:t>
            </w:r>
          </w:p>
        </w:tc>
      </w:tr>
    </w:tbl>
    <w:p>
      <w:pPr>
        <w:pStyle w:val="null3"/>
        <w:jc w:val="left"/>
      </w:pPr>
      <w:r>
        <w:rPr>
          <w:rFonts w:ascii="仿宋_GB2312" w:hAnsi="仿宋_GB2312" w:cs="仿宋_GB2312" w:eastAsia="仿宋_GB2312"/>
        </w:rPr>
        <w:t>标的名称：麦冬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核心</w:t>
            </w:r>
            <w:r>
              <w:rPr>
                <w:rFonts w:ascii="仿宋_GB2312" w:hAnsi="仿宋_GB2312" w:cs="仿宋_GB2312" w:eastAsia="仿宋_GB2312"/>
                <w:sz w:val="28"/>
                <w:color w:val="000000"/>
              </w:rPr>
              <w:t>指标</w:t>
            </w:r>
          </w:p>
          <w:p>
            <w:pPr>
              <w:pStyle w:val="null3"/>
              <w:jc w:val="left"/>
            </w:pPr>
            <w:r>
              <w:rPr>
                <w:rFonts w:ascii="仿宋_GB2312" w:hAnsi="仿宋_GB2312" w:cs="仿宋_GB2312" w:eastAsia="仿宋_GB2312"/>
                <w:sz w:val="28"/>
                <w:color w:val="000000"/>
              </w:rPr>
              <w:t>1、品种品系：正品道地川麦冬（涪城麦冬），正宗四川本地药用川麦冬品种，杜绝浙麦冬、绿化麦冬、杂麦冬等外来品种混杂，品种纯度≥98%，无变异、无杂株，符合川产道地药材标准。</w:t>
            </w:r>
          </w:p>
          <w:p>
            <w:pPr>
              <w:pStyle w:val="null3"/>
              <w:jc w:val="left"/>
            </w:pPr>
            <w:r>
              <w:rPr>
                <w:rFonts w:ascii="仿宋_GB2312" w:hAnsi="仿宋_GB2312" w:cs="仿宋_GB2312" w:eastAsia="仿宋_GB2312"/>
                <w:sz w:val="28"/>
                <w:color w:val="000000"/>
              </w:rPr>
              <w:t>2、种苗属性：药用繁育壮苗，苗体健壮、分蘖均匀，为规范化繁育种苗，杜绝老化苗、退化苗、弱小绿化苗。</w:t>
            </w:r>
          </w:p>
          <w:p>
            <w:pPr>
              <w:pStyle w:val="null3"/>
              <w:jc w:val="left"/>
            </w:pPr>
            <w:r>
              <w:rPr>
                <w:rFonts w:ascii="仿宋_GB2312" w:hAnsi="仿宋_GB2312" w:cs="仿宋_GB2312" w:eastAsia="仿宋_GB2312"/>
                <w:sz w:val="28"/>
                <w:color w:val="000000"/>
              </w:rPr>
              <w:t>二、质量标准</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种苗根系发达、须根浓密完整，根色洁白鲜活，无断根、烂根、老化根系；植株长势整齐，叶片翠绿完整、肥厚健壮，无枯黄、焦尖、徒长、残损；无干瘪脱水、机械损伤、冻害、霉变腐烂，整体品相优良，移栽成活率高，符合川麦冬一级种苗标准。</w:t>
            </w:r>
          </w:p>
          <w:p>
            <w:pPr>
              <w:pStyle w:val="null3"/>
              <w:jc w:val="left"/>
            </w:pPr>
            <w:r>
              <w:rPr>
                <w:rFonts w:ascii="仿宋_GB2312" w:hAnsi="仿宋_GB2312" w:cs="仿宋_GB2312" w:eastAsia="仿宋_GB2312"/>
                <w:sz w:val="28"/>
                <w:color w:val="000000"/>
              </w:rPr>
              <w:t>2、每公斤：80到100株</w:t>
            </w:r>
          </w:p>
          <w:p>
            <w:pPr>
              <w:pStyle w:val="null3"/>
              <w:jc w:val="left"/>
            </w:pPr>
            <w:r>
              <w:rPr>
                <w:rFonts w:ascii="仿宋_GB2312" w:hAnsi="仿宋_GB2312" w:cs="仿宋_GB2312" w:eastAsia="仿宋_GB2312"/>
                <w:sz w:val="28"/>
                <w:color w:val="000000"/>
              </w:rPr>
              <w:t>三、病虫要求</w:t>
            </w:r>
          </w:p>
          <w:p>
            <w:pPr>
              <w:pStyle w:val="null3"/>
              <w:jc w:val="left"/>
            </w:pPr>
            <w:r>
              <w:rPr>
                <w:rFonts w:ascii="仿宋_GB2312" w:hAnsi="仿宋_GB2312" w:cs="仿宋_GB2312" w:eastAsia="仿宋_GB2312"/>
                <w:sz w:val="28"/>
                <w:color w:val="000000"/>
              </w:rPr>
              <w:t>种苗无根腐病、叶斑病、炭疽病、病毒病等各类病害，无蚜虫、红蜘蛛、线虫、地下害虫及虫卵，植株干净健康，无农药药害。</w:t>
            </w:r>
          </w:p>
          <w:p>
            <w:pPr>
              <w:pStyle w:val="null3"/>
              <w:jc w:val="left"/>
            </w:pPr>
            <w:r>
              <w:rPr>
                <w:rFonts w:ascii="仿宋_GB2312" w:hAnsi="仿宋_GB2312" w:cs="仿宋_GB2312" w:eastAsia="仿宋_GB2312"/>
                <w:sz w:val="28"/>
              </w:rPr>
              <w:t>四：</w:t>
            </w:r>
            <w:r>
              <w:rPr>
                <w:rFonts w:ascii="仿宋_GB2312" w:hAnsi="仿宋_GB2312" w:cs="仿宋_GB2312" w:eastAsia="仿宋_GB2312"/>
                <w:sz w:val="28"/>
              </w:rPr>
              <w:t>每亩</w:t>
            </w:r>
            <w:r>
              <w:rPr>
                <w:rFonts w:ascii="仿宋_GB2312" w:hAnsi="仿宋_GB2312" w:cs="仿宋_GB2312" w:eastAsia="仿宋_GB2312"/>
                <w:sz w:val="28"/>
              </w:rPr>
              <w:t>株数：</w:t>
            </w:r>
            <w:r>
              <w:rPr>
                <w:rFonts w:ascii="仿宋_GB2312" w:hAnsi="仿宋_GB2312" w:cs="仿宋_GB2312" w:eastAsia="仿宋_GB2312"/>
                <w:sz w:val="28"/>
              </w:rPr>
              <w:t>80000株~100000株</w:t>
            </w:r>
          </w:p>
        </w:tc>
      </w:tr>
    </w:tbl>
    <w:p>
      <w:pPr>
        <w:pStyle w:val="null3"/>
        <w:jc w:val="left"/>
      </w:pPr>
      <w:r>
        <w:rPr>
          <w:rFonts w:ascii="仿宋_GB2312" w:hAnsi="仿宋_GB2312" w:cs="仿宋_GB2312" w:eastAsia="仿宋_GB2312"/>
        </w:rPr>
        <w:t>标的名称：魔芋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大田种植商品型：单粒重量</w:t>
            </w:r>
            <w:r>
              <w:rPr>
                <w:rFonts w:ascii="仿宋_GB2312" w:hAnsi="仿宋_GB2312" w:cs="仿宋_GB2312" w:eastAsia="仿宋_GB2312"/>
                <w:sz w:val="28"/>
                <w:color w:val="000000"/>
              </w:rPr>
              <w:t>100g-250g，球茎扁圆饱满、大小均匀，为优质二代主栽种芋，适用于中药材规模化大田种植。</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种苗球茎紧实硬实，无空心、萎缩、干瘪现象，芽窝浅小平整，顶芽粗壮饱满、无损伤、无断芽、无烂芽。</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种苗表面干净，无明显泥土、须根、杂草、残茎等杂质，无机械裂口、挤压伤痕、虫蛀孔洞、黑斑、霉点、水渍及腐烂变质情况，无畸形种芋。</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抽检瑕疵容忍度低，随机抽检</w:t>
            </w:r>
            <w:r>
              <w:rPr>
                <w:rFonts w:ascii="仿宋_GB2312" w:hAnsi="仿宋_GB2312" w:cs="仿宋_GB2312" w:eastAsia="仿宋_GB2312"/>
                <w:sz w:val="28"/>
                <w:color w:val="000000"/>
              </w:rPr>
              <w:t>100粒种苗，破损、霉变、虫蛀、伤芽不合格种苗总数不得超过2粒。</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纯度指标</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000000"/>
              </w:rPr>
              <w:t>）品种纯度</w:t>
            </w:r>
            <w:r>
              <w:rPr>
                <w:rFonts w:ascii="仿宋_GB2312" w:hAnsi="仿宋_GB2312" w:cs="仿宋_GB2312" w:eastAsia="仿宋_GB2312"/>
                <w:sz w:val="28"/>
                <w:color w:val="000000"/>
              </w:rPr>
              <w:t>≥95%，无杂芋、劣芋、野生魔芋混杂。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）种苗净度</w:t>
            </w:r>
            <w:r>
              <w:rPr>
                <w:rFonts w:ascii="仿宋_GB2312" w:hAnsi="仿宋_GB2312" w:cs="仿宋_GB2312" w:eastAsia="仿宋_GB2312"/>
                <w:sz w:val="28"/>
                <w:color w:val="000000"/>
              </w:rPr>
              <w:t>≥95%，杂质含量严格控制在标准范围内。</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）出苗率</w:t>
            </w:r>
            <w:r>
              <w:rPr>
                <w:rFonts w:ascii="仿宋_GB2312" w:hAnsi="仿宋_GB2312" w:cs="仿宋_GB2312" w:eastAsia="仿宋_GB2312"/>
                <w:sz w:val="28"/>
                <w:color w:val="000000"/>
              </w:rPr>
              <w:t>≥90%（优质标准≥95%），播种后30天出苗稳定，弱苗率＜5%。</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）种苗经自然充分晾晒脱水，表皮干爽不黏手，脱水率达标，有效降低储运及种植期腐烂风险。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项目服务要求</w:t>
            </w:r>
          </w:p>
        </w:tc>
        <w:tc>
          <w:tcPr>
            <w:tcW w:type="dxa" w:w="5814"/>
          </w:tcPr>
          <w:p>
            <w:pPr>
              <w:pStyle w:val="null3"/>
              <w:ind w:firstLine="560"/>
              <w:jc w:val="left"/>
            </w:pPr>
            <w:r>
              <w:rPr>
                <w:rFonts w:ascii="仿宋_GB2312" w:hAnsi="仿宋_GB2312" w:cs="仿宋_GB2312" w:eastAsia="仿宋_GB2312"/>
                <w:sz w:val="28"/>
                <w:color w:val="000000"/>
                <w:shd w:fill="FFFFFF" w:val="clear"/>
              </w:rPr>
              <w:t>1.负责向大溪乡辖区内参与林下种植的村集体、合作社及农户，提供优质、高产、适配本地气候土壤的林下种植专用种苗，种苗品种由双方后续根据市场需求、林地条件共同商定，种苗质量符合国家及行业相关标准，杜绝劣质、带病种苗</w:t>
            </w:r>
          </w:p>
          <w:p>
            <w:pPr>
              <w:pStyle w:val="null3"/>
              <w:ind w:firstLine="560"/>
              <w:jc w:val="left"/>
            </w:pPr>
            <w:r>
              <w:rPr>
                <w:rFonts w:ascii="仿宋_GB2312" w:hAnsi="仿宋_GB2312" w:cs="仿宋_GB2312" w:eastAsia="仿宋_GB2312"/>
                <w:sz w:val="28"/>
                <w:color w:val="000000"/>
                <w:shd w:fill="FFFFFF" w:val="clear"/>
              </w:rPr>
              <w:t>2.供苗方建立完善的种苗供应机制，提前统筹种苗培育、调拨、配送工作，保障种植季种苗及时足量供应，同时配套提供全程种植技术指导、田间管理培训（年不少于12次）、病虫害防治等技术服务，确保种植成效。</w:t>
            </w:r>
          </w:p>
          <w:p>
            <w:pPr>
              <w:pStyle w:val="null3"/>
              <w:ind w:firstLine="560"/>
              <w:jc w:val="left"/>
            </w:pPr>
            <w:r>
              <w:rPr>
                <w:rFonts w:ascii="仿宋_GB2312" w:hAnsi="仿宋_GB2312" w:cs="仿宋_GB2312" w:eastAsia="仿宋_GB2312"/>
                <w:sz w:val="28"/>
                <w:color w:val="000000"/>
                <w:shd w:fill="FFFFFF" w:val="clear"/>
              </w:rPr>
              <w:t>3.供苗方实行保底回收（随行就市），供苗方必须按照甲方要求在当地建立药材收购点，派驻专业人员负责药材收购事宜，对符合双方约定质量标准的林下种植成品，按照不低于约定保护价的标准进行统一回购，保障种植主体基本收益，打消农户种植顾虑。</w:t>
            </w:r>
            <w:r>
              <w:rPr>
                <w:rFonts w:ascii="仿宋_GB2312" w:hAnsi="仿宋_GB2312" w:cs="仿宋_GB2312" w:eastAsia="仿宋_GB2312"/>
                <w:sz w:val="28"/>
                <w:color w:val="000000"/>
                <w:shd w:fill="FFFFFF" w:val="clear"/>
              </w:rPr>
              <w:t>具体回购价格、质量标准、验收流程、交货地点及现金结算方式，由种植主体与供货方另行签订商业合同进行约定。</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单独提供承诺函</w:t>
            </w:r>
            <w:r>
              <w:rPr>
                <w:rFonts w:ascii="仿宋_GB2312" w:hAnsi="仿宋_GB2312" w:cs="仿宋_GB2312" w:eastAsia="仿宋_GB2312"/>
                <w:sz w:val="28"/>
                <w:b/>
                <w:color w:val="000000"/>
              </w:rPr>
              <w:t>）</w:t>
            </w:r>
          </w:p>
          <w:p>
            <w:pPr>
              <w:pStyle w:val="null3"/>
              <w:ind w:firstLine="560"/>
              <w:jc w:val="left"/>
            </w:pPr>
            <w:r>
              <w:rPr>
                <w:rFonts w:ascii="仿宋_GB2312" w:hAnsi="仿宋_GB2312" w:cs="仿宋_GB2312" w:eastAsia="仿宋_GB2312"/>
                <w:sz w:val="28"/>
                <w:color w:val="000000"/>
                <w:shd w:fill="FFFFFF" w:val="clear"/>
              </w:rPr>
              <w:t>4.供苗方与大溪乡双方共同谋划在甲方辖区内选址建设林下种植专用育苗基地100亩以上；乙方负责育苗基地的整体规划设计、资金投入、设施建设、种苗培育技术研发、日常运营管理等核心工作，配备专业技术团队，打造标准化、规模化育苗基地，实现种苗自给自足，同时可辐射周边区域。供货方牵头负责GAP认证的技术指导、资料编制、流程申报、现场验收对接等工作，严格按照GAP标准制定种植规程，全程管控种植过程中的种子种苗、土壤、水肥、农药、采收、加工、仓储等关键环节，建立完整的质量追溯体系。</w:t>
            </w:r>
          </w:p>
          <w:p>
            <w:pPr>
              <w:pStyle w:val="null3"/>
              <w:ind w:firstLine="560"/>
              <w:jc w:val="left"/>
            </w:pPr>
            <w:r>
              <w:rPr>
                <w:rFonts w:ascii="仿宋_GB2312" w:hAnsi="仿宋_GB2312" w:cs="仿宋_GB2312" w:eastAsia="仿宋_GB2312"/>
                <w:sz w:val="28"/>
                <w:shd w:fill="FFFFFF" w:val="clear"/>
              </w:rPr>
              <w:t>5.解决当地劳务，服务期限内不得少于30人。</w:t>
            </w:r>
            <w:r>
              <w:rPr>
                <w:rFonts w:ascii="仿宋_GB2312" w:hAnsi="仿宋_GB2312" w:cs="仿宋_GB2312" w:eastAsia="仿宋_GB2312"/>
                <w:sz w:val="28"/>
                <w:b/>
              </w:rPr>
              <w:t>（</w:t>
            </w:r>
            <w:r>
              <w:rPr>
                <w:rFonts w:ascii="仿宋_GB2312" w:hAnsi="仿宋_GB2312" w:cs="仿宋_GB2312" w:eastAsia="仿宋_GB2312"/>
                <w:sz w:val="28"/>
                <w:b/>
              </w:rPr>
              <w:t>单独提供承诺函</w:t>
            </w:r>
            <w:r>
              <w:rPr>
                <w:rFonts w:ascii="仿宋_GB2312" w:hAnsi="仿宋_GB2312" w:cs="仿宋_GB2312" w:eastAsia="仿宋_GB2312"/>
                <w:sz w:val="28"/>
                <w:b/>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单价限价</w:t>
            </w:r>
          </w:p>
        </w:tc>
        <w:tc>
          <w:tcPr>
            <w:tcW w:type="dxa" w:w="5814"/>
          </w:tcPr>
          <w:tbl>
            <w:tblPr>
              <w:tblInd w:type="dxa" w:w="195"/>
              <w:tblBorders>
                <w:top w:val="none" w:color="000000" w:sz="4"/>
                <w:left w:val="none" w:color="000000" w:sz="4"/>
                <w:bottom w:val="none" w:color="000000" w:sz="4"/>
                <w:right w:val="none" w:color="000000" w:sz="4"/>
                <w:insideH w:val="none"/>
                <w:insideV w:val="none"/>
              </w:tblBorders>
            </w:tblPr>
            <w:tblGrid>
              <w:gridCol w:w="1327"/>
              <w:gridCol w:w="1400"/>
              <w:gridCol w:w="1472"/>
              <w:gridCol w:w="1400"/>
            </w:tblGrid>
            <w:tr>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标的名称</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单价限价（元）</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淫羊藿</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百合</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0.15</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黄连</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0.2</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地苦胆</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川牛膝</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公斤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姜黄</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公斤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石菖蒲</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丹参</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公斤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百部</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株</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麦冬</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4000</w:t>
                  </w:r>
                </w:p>
              </w:tc>
            </w:tr>
            <w:tr>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魔芋</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公斤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14.2</w:t>
                  </w:r>
                </w:p>
              </w:tc>
            </w:tr>
          </w:tbl>
          <w:p>
            <w:pPr>
              <w:pStyle w:val="null3"/>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1）本项目报统一下浮率，报价须包含产品本身、运输、装卸、人员劳务、利润、税金、修复、代理费等所有费用等完成本项目所有费用，采购人不承担除成交价外其他任何费用。 （2）产品结算金额=产品单价限价×（1-中标下浮率）×产品配送数量。</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560"/>
              <w:jc w:val="both"/>
            </w:pPr>
            <w:r>
              <w:rPr>
                <w:rFonts w:ascii="仿宋_GB2312" w:hAnsi="仿宋_GB2312" w:cs="仿宋_GB2312" w:eastAsia="仿宋_GB2312"/>
                <w:sz w:val="28"/>
                <w:color w:val="000000"/>
                <w:shd w:fill="FFFFFF" w:val="clear"/>
              </w:rPr>
              <w:t>（</w:t>
            </w:r>
            <w:r>
              <w:rPr>
                <w:rFonts w:ascii="仿宋_GB2312" w:hAnsi="仿宋_GB2312" w:cs="仿宋_GB2312" w:eastAsia="仿宋_GB2312"/>
                <w:sz w:val="28"/>
                <w:color w:val="000000"/>
                <w:shd w:fill="FFFFFF" w:val="clear"/>
              </w:rPr>
              <w:t>1）中标（成交）供应商须提供全新的货物，表面无划伤、无碰撞痕迹，且权属清楚，不得侵害他人的知识产权，并按照相关要求包装完好。中标（成交）供应商在交货时须向采购人提供产品相关合格证书。</w:t>
            </w:r>
          </w:p>
          <w:p>
            <w:pPr>
              <w:pStyle w:val="null3"/>
              <w:ind w:firstLine="560"/>
              <w:jc w:val="both"/>
            </w:pPr>
            <w:r>
              <w:rPr>
                <w:rFonts w:ascii="仿宋_GB2312" w:hAnsi="仿宋_GB2312" w:cs="仿宋_GB2312" w:eastAsia="仿宋_GB2312"/>
                <w:sz w:val="28"/>
                <w:color w:val="000000"/>
                <w:shd w:fill="FFFFFF" w:val="clear"/>
              </w:rPr>
              <w:t>（</w:t>
            </w:r>
            <w:r>
              <w:rPr>
                <w:rFonts w:ascii="仿宋_GB2312" w:hAnsi="仿宋_GB2312" w:cs="仿宋_GB2312" w:eastAsia="仿宋_GB2312"/>
                <w:sz w:val="28"/>
                <w:color w:val="000000"/>
                <w:shd w:fill="FFFFFF" w:val="clear"/>
              </w:rPr>
              <w:t>2）响应产品必须符合或优于国家(行业)标准，以及本项目采购文件的质量要求和技术指标与出厂标准。</w:t>
            </w:r>
            <w:r>
              <w:rPr>
                <w:rFonts w:ascii="仿宋_GB2312" w:hAnsi="仿宋_GB2312" w:cs="仿宋_GB2312" w:eastAsia="仿宋_GB2312"/>
                <w:sz w:val="28"/>
                <w:color w:val="000000"/>
                <w:shd w:fill="FFFFFF" w:val="clear"/>
              </w:rPr>
              <w:t>送交货物时，应提供植物检疫证书、质量检验合格证、标签</w:t>
            </w:r>
            <w:r>
              <w:rPr>
                <w:rFonts w:ascii="仿宋_GB2312" w:hAnsi="仿宋_GB2312" w:cs="仿宋_GB2312" w:eastAsia="仿宋_GB2312"/>
                <w:sz w:val="28"/>
                <w:color w:val="000000"/>
                <w:shd w:fill="FFFFFF" w:val="clear"/>
              </w:rPr>
              <w:t>。</w:t>
            </w:r>
          </w:p>
          <w:p>
            <w:pPr>
              <w:pStyle w:val="null3"/>
              <w:jc w:val="left"/>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3）中标（成交）供应商应承担产品配送工作，必须保证按时交货，将产品送货至</w:t>
            </w:r>
            <w:r>
              <w:rPr>
                <w:rFonts w:ascii="仿宋_GB2312" w:hAnsi="仿宋_GB2312" w:cs="仿宋_GB2312" w:eastAsia="仿宋_GB2312"/>
                <w:sz w:val="28"/>
                <w:shd w:fill="FFFFFF" w:val="clear"/>
              </w:rPr>
              <w:t>宝兴县大溪乡人民政府</w:t>
            </w:r>
            <w:r>
              <w:rPr>
                <w:rFonts w:ascii="仿宋_GB2312" w:hAnsi="仿宋_GB2312" w:cs="仿宋_GB2312" w:eastAsia="仿宋_GB2312"/>
                <w:sz w:val="28"/>
                <w:shd w:fill="FFFFFF" w:val="clear"/>
              </w:rPr>
              <w:t>，若规定配送地点有临时变动，中标（成交）供应商应根据采购人要求进行调整。</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合同签订之日起30日内供货到采购人指定地点，服务期限为完成交货之日起365天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宝兴县大溪乡人民政府内采购人指定地点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1、全部种苗交付至指定地点，达到付款条件起10日内，据实情况说明为经采购人初步验收（核对数量、外观规格、品种及“两证一签”）合格后，支付种苗结算价格的40%</w:t>
            </w:r>
          </w:p>
          <w:p>
            <w:pPr>
              <w:pStyle w:val="null3"/>
              <w:jc w:val="left"/>
            </w:pPr>
            <w:r>
              <w:rPr>
                <w:rFonts w:ascii="仿宋_GB2312" w:hAnsi="仿宋_GB2312" w:cs="仿宋_GB2312" w:eastAsia="仿宋_GB2312"/>
              </w:rPr>
              <w:t>2、种苗下种3个月后，达到付款条件起10日内，据实情况说明为种苗存活率达到95%及以上，经采购人验收合格后，支付种苗结算价格的40%</w:t>
            </w:r>
          </w:p>
          <w:p>
            <w:pPr>
              <w:pStyle w:val="null3"/>
              <w:jc w:val="left"/>
            </w:pPr>
            <w:r>
              <w:rPr>
                <w:rFonts w:ascii="仿宋_GB2312" w:hAnsi="仿宋_GB2312" w:cs="仿宋_GB2312" w:eastAsia="仿宋_GB2312"/>
              </w:rPr>
              <w:t>3、自初验合格且种植完毕之日起满12个月，达到付款条件起10日内，据实情况说明为经双方共同组织“成活率终验”合格，且供应商履行完毕所有补植、更换等售后义务后，支付种苗结算价格的20%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交付标准：达到国家相关标准、行业标准、地方标准或者其他标准、规范要求为标准，以及本项目采购文件、中标（成交）供应商的响应文件和双方签订的《采购合同》所有技术参数与商务要求；采购人有权随机抽样送第三方CMA机构复检，检测不合格整批拒收，检测费用及由此带来的损失由中标方承担。 2、验收交付方法：分段验收，第一次为货物运输到指定地点后，手续齐全且随机抽检的样品全部满足要求即为合格；第二次为种苗下种3个月后，种苗达到存活率达到95%及以上；第三次为质保 1 年满（12个月），保存率不低于90%，视为验收合格，采购人与成交供应商签署《验收报告》。 3、验收程序 （1）验收时如发现所提供的产品不符合标准及合同规定之情形者，采购人应做出详尽的现场记录，或由合同双方签署备忘录，此现场记录或备忘录可用作补充、缺失和整改的有效证据，由此产生的时间延误与有关费用由中标（成交）供应商承担，验收期限相应顺延； （2）如验收合格，双方签署验收报告； （3）项目验收结果合格的，中标（成交）供应商凭《验收报告》办理相关手续；验收不合格且拒不整改的，将不予支付采购资金，并报告同级财政部门按有关法律法规处理。 4、其他未尽事宜按照《财政部关于进一步加强政府采购需求和履约验收管理的指导意见》（财库〔2016〕205号）《政府采购需求管理办法》（财库〔2021〕22号）《雅安市财政局关于规范政府采购履约验收工作的通知》（雅财采〔2021〕50号）文件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自种苗验收合格之日起，供应商对种苗的品种真实性、纯度及交付时的基本质量提供为期12个月的质量保证。在此期间，如发现种苗质量不符合约定或交付前已感染的重大病害等，供应商应负责72小时内更换或补货。 2、应急响应：供应商应提供24小时技术支持电话。对于采购人或种植主体提出的技术问题，应在接到通知后24小时内给予远程指导；投标人须在响应时提供售后人员的联络方式、联系地址，如需现场处理，应在48小时内到达现场进行勘察鉴定。经鉴定属于供方责任的，供方必须在下一个适宜种植季节（如春季或秋季），按照原合同约定的品种、规格，免费进行补植或更换，并承担由此产生的种苗费、运输费及人工栽植费。供方在履行保修义务时，必须提供补发种苗的《林木种子生产经营档案》记录及新的《植物检疫证书》，确保补发种苗的来源合法、可追溯。 3、种苗存活率验收为下种后3个月，存活率不足95%的，由供应商进行补足。 4、其他未尽事宜，由采购人和中标（成交）供应商协商在合同中约定。</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必须遵守采购合同并执行合同中的各项规定，保证采购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10%的违约金，若造成相关损失的，采购人有权要求供应商承担所有赔偿责任。4、有下列情形之一的，当事人可以解除合同：（1）因不可抗力致使不能实现合同目的（由于非供应商或采购人原因，致使合同实质性条款无法实现的）；（2）当事人一方迟延履行主要债务，经催告后在合理期限内仍未履行；（3）当事人一方迟延履行债务或者有其他违约行为致使不能实现合同目的：（4）法律规定的其他情形。5、解决争议的方法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★1、安全责任要求：本项目履约过程发生的所有安全责任（含事故）由供应商自行承担，与采购人无关。 ★2、报价要求：报价须包含产品本身、运输、装卸、人员劳务、利润、税金、修复、代理费等完成本项目的相关费用，采购人不再另行支付其他费用。 ★3、本项目所涉及的相关国家及行业规范、标准、文件有最新标准，以最新标准执行。 注：带“★”号条款为本项目必须满足的内容，供应商应全部满足，否则作无效响应处理。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供应商须提供有效的《林草种子生产经营许可证》</w:t>
            </w:r>
          </w:p>
        </w:tc>
        <w:tc>
          <w:tcPr>
            <w:tcW w:type="dxa" w:w="3322"/>
          </w:tcPr>
          <w:p>
            <w:pPr>
              <w:pStyle w:val="null3"/>
              <w:jc w:val="left"/>
            </w:pPr>
            <w:r>
              <w:rPr>
                <w:rFonts w:ascii="仿宋_GB2312" w:hAnsi="仿宋_GB2312" w:cs="仿宋_GB2312" w:eastAsia="仿宋_GB2312"/>
              </w:rPr>
              <w:t>供应商须提供有效的《林草种子生产经营许可证》复印件，并加盖供应商公章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对采购文件"第三章技术、服务及其他要求"中的"3.2.技术要求”内容进行逐一应答，并按采购文件要求提供相关证明材料。</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对采购文件“第三章 技术、服务及其他要求 "中的“3.3.1服务内容要求”内容进行逐一应答，并按采购文件要求提供相关证明材料。</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对采购文件“第三章 技术、服务及其他要求 "中的“3.3.2商务要求”内容进行逐一应答，并按采购文件要求提供相关证明材料。</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对采购文件“第三章 技术、服务及其他要求"“3.4其他要求”中所有实质性要求进行逐一应答，并按采购文件要求提供相关证明材料。</w:t>
            </w:r>
          </w:p>
        </w:tc>
        <w:tc>
          <w:tcPr>
            <w:tcW w:type="dxa" w:w="1661"/>
          </w:tcPr>
          <w:p>
            <w:pPr>
              <w:pStyle w:val="null3"/>
              <w:jc w:val="left"/>
            </w:pPr>
            <w:r>
              <w:rPr>
                <w:rFonts w:ascii="仿宋_GB2312" w:hAnsi="仿宋_GB2312" w:cs="仿宋_GB2312" w:eastAsia="仿宋_GB2312"/>
              </w:rPr>
              <w:t>实质性要求应答表.docx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满足招标文件要求且报价最低的为评审基准价，价格得分=（评审基准价/报价）×标准分值”现更正为“满足招标文件要求，以本次有效的最高下浮率为基准价。报价得分=（1-基准价）/（1-投标下浮率）×标准分值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详见附件：实质性要求应答表.docx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