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2EFDD">
      <w:pPr>
        <w:pStyle w:val="17"/>
        <w:spacing w:line="360" w:lineRule="auto"/>
        <w:jc w:val="center"/>
        <w:rPr>
          <w:rFonts w:hint="eastAsia" w:ascii="仿宋" w:hAnsi="仿宋" w:eastAsia="仿宋" w:cs="仿宋"/>
          <w:b/>
          <w:color w:val="auto"/>
          <w:sz w:val="48"/>
          <w:szCs w:val="48"/>
          <w:highlight w:val="none"/>
          <w:lang w:eastAsia="zh-CN"/>
        </w:rPr>
      </w:pPr>
      <w:r>
        <w:rPr>
          <w:rFonts w:hint="eastAsia" w:ascii="仿宋" w:hAnsi="仿宋" w:eastAsia="仿宋" w:cs="仿宋"/>
          <w:b/>
          <w:color w:val="auto"/>
          <w:sz w:val="48"/>
          <w:szCs w:val="48"/>
          <w:highlight w:val="none"/>
          <w:lang w:eastAsia="zh-CN"/>
        </w:rPr>
        <w:t>2026采购殡葬用品项目</w:t>
      </w:r>
    </w:p>
    <w:p w14:paraId="374834CA">
      <w:pPr>
        <w:pStyle w:val="17"/>
        <w:spacing w:line="360" w:lineRule="auto"/>
        <w:jc w:val="center"/>
        <w:rPr>
          <w:rFonts w:hint="eastAsia" w:ascii="仿宋" w:hAnsi="仿宋" w:eastAsia="仿宋" w:cs="仿宋"/>
          <w:b/>
          <w:bCs/>
          <w:color w:val="auto"/>
          <w:sz w:val="72"/>
          <w:highlight w:val="none"/>
        </w:rPr>
      </w:pPr>
    </w:p>
    <w:p w14:paraId="7DB510E3">
      <w:pPr>
        <w:pStyle w:val="17"/>
        <w:spacing w:line="360" w:lineRule="auto"/>
        <w:jc w:val="center"/>
        <w:rPr>
          <w:rFonts w:hint="eastAsia" w:ascii="仿宋" w:hAnsi="仿宋" w:eastAsia="仿宋" w:cs="仿宋"/>
          <w:b/>
          <w:bCs/>
          <w:color w:val="auto"/>
          <w:sz w:val="72"/>
          <w:highlight w:val="none"/>
        </w:rPr>
      </w:pPr>
    </w:p>
    <w:p w14:paraId="0E9CCC4E">
      <w:pPr>
        <w:pStyle w:val="17"/>
        <w:spacing w:line="360" w:lineRule="auto"/>
        <w:jc w:val="center"/>
        <w:rPr>
          <w:rFonts w:hint="eastAsia" w:ascii="仿宋" w:hAnsi="仿宋" w:eastAsia="仿宋" w:cs="仿宋"/>
          <w:b/>
          <w:bCs/>
          <w:color w:val="auto"/>
          <w:sz w:val="72"/>
          <w:highlight w:val="none"/>
        </w:rPr>
      </w:pPr>
    </w:p>
    <w:p w14:paraId="60DFBC58">
      <w:pPr>
        <w:rPr>
          <w:rFonts w:hint="eastAsia" w:ascii="仿宋" w:hAnsi="仿宋" w:eastAsia="仿宋" w:cs="仿宋"/>
          <w:color w:val="auto"/>
          <w:highlight w:val="none"/>
        </w:rPr>
      </w:pPr>
    </w:p>
    <w:p w14:paraId="2E39790E">
      <w:pPr>
        <w:pStyle w:val="17"/>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96"/>
          <w:szCs w:val="96"/>
          <w:highlight w:val="none"/>
        </w:rPr>
        <w:t>招标文件</w:t>
      </w:r>
    </w:p>
    <w:p w14:paraId="431014B5">
      <w:pPr>
        <w:pStyle w:val="17"/>
        <w:spacing w:line="360" w:lineRule="auto"/>
        <w:rPr>
          <w:rFonts w:hint="eastAsia" w:ascii="仿宋" w:hAnsi="仿宋" w:eastAsia="仿宋" w:cs="仿宋"/>
          <w:color w:val="auto"/>
          <w:highlight w:val="none"/>
        </w:rPr>
      </w:pPr>
    </w:p>
    <w:p w14:paraId="08AB2F10">
      <w:pPr>
        <w:pStyle w:val="17"/>
        <w:spacing w:line="360" w:lineRule="auto"/>
        <w:jc w:val="center"/>
        <w:rPr>
          <w:rFonts w:hint="eastAsia" w:ascii="仿宋" w:hAnsi="仿宋" w:eastAsia="仿宋" w:cs="仿宋"/>
          <w:color w:val="auto"/>
          <w:sz w:val="32"/>
          <w:szCs w:val="32"/>
          <w:highlight w:val="none"/>
          <w:lang w:eastAsia="zh-CN"/>
        </w:rPr>
      </w:pPr>
      <w:r>
        <w:rPr>
          <w:rFonts w:hint="eastAsia" w:ascii="仿宋" w:hAnsi="仿宋" w:eastAsia="仿宋" w:cs="仿宋"/>
          <w:b/>
          <w:bCs/>
          <w:color w:val="auto"/>
          <w:sz w:val="32"/>
          <w:szCs w:val="32"/>
          <w:highlight w:val="none"/>
        </w:rPr>
        <w:t>项目编号：KMZC2026-G1-02419-YNJS-0041</w:t>
      </w:r>
    </w:p>
    <w:p w14:paraId="720BE053">
      <w:pPr>
        <w:pStyle w:val="17"/>
        <w:spacing w:line="360" w:lineRule="auto"/>
        <w:rPr>
          <w:rFonts w:hint="eastAsia" w:ascii="仿宋" w:hAnsi="仿宋" w:eastAsia="仿宋" w:cs="仿宋"/>
          <w:color w:val="auto"/>
          <w:highlight w:val="none"/>
        </w:rPr>
      </w:pPr>
    </w:p>
    <w:p w14:paraId="6F6216BD">
      <w:pPr>
        <w:pStyle w:val="17"/>
        <w:spacing w:line="360" w:lineRule="auto"/>
        <w:rPr>
          <w:rFonts w:hint="eastAsia" w:ascii="仿宋" w:hAnsi="仿宋" w:eastAsia="仿宋" w:cs="仿宋"/>
          <w:color w:val="auto"/>
          <w:highlight w:val="none"/>
        </w:rPr>
      </w:pPr>
    </w:p>
    <w:p w14:paraId="02AEC470">
      <w:pPr>
        <w:pStyle w:val="17"/>
        <w:spacing w:line="360" w:lineRule="auto"/>
        <w:rPr>
          <w:rFonts w:hint="eastAsia" w:ascii="仿宋" w:hAnsi="仿宋" w:eastAsia="仿宋" w:cs="仿宋"/>
          <w:color w:val="auto"/>
          <w:highlight w:val="none"/>
        </w:rPr>
      </w:pPr>
    </w:p>
    <w:p w14:paraId="5B8F9122">
      <w:pPr>
        <w:pStyle w:val="17"/>
        <w:spacing w:line="360" w:lineRule="auto"/>
        <w:rPr>
          <w:rFonts w:hint="eastAsia" w:ascii="仿宋" w:hAnsi="仿宋" w:eastAsia="仿宋" w:cs="仿宋"/>
          <w:color w:val="auto"/>
          <w:highlight w:val="none"/>
        </w:rPr>
      </w:pPr>
    </w:p>
    <w:p w14:paraId="3184FABF">
      <w:pPr>
        <w:pStyle w:val="17"/>
        <w:spacing w:line="360" w:lineRule="auto"/>
        <w:rPr>
          <w:rFonts w:hint="eastAsia" w:ascii="仿宋" w:hAnsi="仿宋" w:eastAsia="仿宋" w:cs="仿宋"/>
          <w:color w:val="auto"/>
          <w:highlight w:val="none"/>
        </w:rPr>
      </w:pPr>
    </w:p>
    <w:p w14:paraId="5EE0D75D">
      <w:pPr>
        <w:pStyle w:val="17"/>
        <w:spacing w:line="360" w:lineRule="auto"/>
        <w:rPr>
          <w:rFonts w:hint="eastAsia" w:ascii="仿宋" w:hAnsi="仿宋" w:eastAsia="仿宋" w:cs="仿宋"/>
          <w:color w:val="auto"/>
          <w:highlight w:val="none"/>
        </w:rPr>
      </w:pPr>
    </w:p>
    <w:p w14:paraId="54AFF9F9">
      <w:pPr>
        <w:pStyle w:val="17"/>
        <w:spacing w:line="360" w:lineRule="auto"/>
        <w:rPr>
          <w:rFonts w:hint="eastAsia" w:ascii="仿宋" w:hAnsi="仿宋" w:eastAsia="仿宋" w:cs="仿宋"/>
          <w:color w:val="auto"/>
          <w:highlight w:val="none"/>
        </w:rPr>
      </w:pPr>
    </w:p>
    <w:p w14:paraId="64690315">
      <w:pPr>
        <w:pStyle w:val="17"/>
        <w:spacing w:line="360" w:lineRule="auto"/>
        <w:rPr>
          <w:rFonts w:hint="eastAsia" w:ascii="仿宋" w:hAnsi="仿宋" w:eastAsia="仿宋" w:cs="仿宋"/>
          <w:b/>
          <w:bCs/>
          <w:color w:val="auto"/>
          <w:sz w:val="32"/>
          <w:highlight w:val="none"/>
        </w:rPr>
      </w:pPr>
    </w:p>
    <w:p w14:paraId="57E08759">
      <w:pPr>
        <w:pStyle w:val="17"/>
        <w:spacing w:line="360" w:lineRule="auto"/>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采购人：</w:t>
      </w:r>
      <w:r>
        <w:rPr>
          <w:rFonts w:hint="eastAsia" w:ascii="仿宋" w:hAnsi="仿宋" w:eastAsia="仿宋" w:cs="仿宋"/>
          <w:b/>
          <w:bCs/>
          <w:color w:val="auto"/>
          <w:sz w:val="32"/>
          <w:szCs w:val="32"/>
          <w:highlight w:val="none"/>
          <w:lang w:eastAsia="zh-CN"/>
        </w:rPr>
        <w:t>昆明市东川区殡仪馆</w:t>
      </w:r>
    </w:p>
    <w:p w14:paraId="4C9D4D15">
      <w:pPr>
        <w:pStyle w:val="17"/>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采购代理机构：云南嘉顺工程项目管理有限公司</w:t>
      </w:r>
    </w:p>
    <w:p w14:paraId="5877A8B8">
      <w:pPr>
        <w:pStyle w:val="17"/>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202</w:t>
      </w:r>
      <w:r>
        <w:rPr>
          <w:rFonts w:hint="eastAsia" w:ascii="仿宋" w:hAnsi="仿宋" w:eastAsia="仿宋" w:cs="仿宋"/>
          <w:b/>
          <w:bCs/>
          <w:color w:val="auto"/>
          <w:sz w:val="32"/>
          <w:szCs w:val="32"/>
          <w:highlight w:val="none"/>
          <w:lang w:val="en-US" w:eastAsia="zh-CN"/>
        </w:rPr>
        <w:t>6</w:t>
      </w:r>
      <w:r>
        <w:rPr>
          <w:rFonts w:hint="eastAsia" w:ascii="仿宋" w:hAnsi="仿宋" w:eastAsia="仿宋" w:cs="仿宋"/>
          <w:b/>
          <w:bCs/>
          <w:color w:val="auto"/>
          <w:sz w:val="32"/>
          <w:szCs w:val="32"/>
          <w:highlight w:val="none"/>
        </w:rPr>
        <w:t>年</w:t>
      </w:r>
      <w:r>
        <w:rPr>
          <w:rFonts w:hint="eastAsia" w:ascii="仿宋" w:hAnsi="仿宋" w:eastAsia="仿宋" w:cs="仿宋"/>
          <w:b/>
          <w:bCs/>
          <w:color w:val="auto"/>
          <w:sz w:val="32"/>
          <w:szCs w:val="32"/>
          <w:highlight w:val="none"/>
          <w:lang w:val="en-US" w:eastAsia="zh-CN"/>
        </w:rPr>
        <w:t>9</w:t>
      </w:r>
      <w:r>
        <w:rPr>
          <w:rFonts w:hint="eastAsia" w:ascii="仿宋" w:hAnsi="仿宋" w:eastAsia="仿宋" w:cs="仿宋"/>
          <w:b/>
          <w:bCs/>
          <w:color w:val="auto"/>
          <w:sz w:val="32"/>
          <w:szCs w:val="32"/>
          <w:highlight w:val="none"/>
        </w:rPr>
        <w:t>月</w:t>
      </w:r>
    </w:p>
    <w:p w14:paraId="14087D85">
      <w:pPr>
        <w:pStyle w:val="17"/>
        <w:spacing w:line="360" w:lineRule="auto"/>
        <w:jc w:val="center"/>
        <w:rPr>
          <w:rFonts w:hint="eastAsia" w:ascii="仿宋" w:hAnsi="仿宋" w:eastAsia="仿宋" w:cs="仿宋"/>
          <w:b/>
          <w:color w:val="auto"/>
          <w:sz w:val="44"/>
          <w:highlight w:val="none"/>
        </w:rPr>
        <w:sectPr>
          <w:footerReference r:id="rId3" w:type="default"/>
          <w:footerReference r:id="rId4" w:type="even"/>
          <w:pgSz w:w="11906" w:h="16838"/>
          <w:pgMar w:top="1418" w:right="1134" w:bottom="1134" w:left="1418" w:header="779" w:footer="720" w:gutter="0"/>
          <w:pgNumType w:start="0"/>
          <w:cols w:space="720" w:num="1"/>
          <w:titlePg/>
          <w:docGrid w:type="linesAndChars" w:linePitch="331" w:charSpace="0"/>
        </w:sectPr>
      </w:pPr>
    </w:p>
    <w:p w14:paraId="15246C42">
      <w:pPr>
        <w:pStyle w:val="17"/>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目  录</w:t>
      </w:r>
    </w:p>
    <w:p w14:paraId="2BF3D8E8">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TOC \o "1-1" \h \z \t "标题 2,2,标题 3,3"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_Toc27721 </w:instrText>
      </w:r>
      <w:r>
        <w:rPr>
          <w:rFonts w:hint="eastAsia" w:ascii="仿宋" w:hAnsi="仿宋" w:eastAsia="仿宋" w:cs="仿宋"/>
          <w:highlight w:val="none"/>
        </w:rPr>
        <w:fldChar w:fldCharType="separate"/>
      </w:r>
      <w:r>
        <w:rPr>
          <w:rFonts w:hint="default" w:ascii="仿宋" w:hAnsi="仿宋" w:eastAsia="仿宋" w:cs="仿宋"/>
          <w:szCs w:val="32"/>
        </w:rPr>
        <w:t xml:space="preserve">第一章 </w:t>
      </w:r>
      <w:r>
        <w:rPr>
          <w:rFonts w:hint="eastAsia" w:ascii="仿宋" w:hAnsi="仿宋" w:eastAsia="仿宋" w:cs="仿宋"/>
          <w:szCs w:val="32"/>
          <w:highlight w:val="none"/>
        </w:rPr>
        <w:t>招标公告</w:t>
      </w:r>
      <w:r>
        <w:tab/>
      </w:r>
      <w:r>
        <w:fldChar w:fldCharType="begin"/>
      </w:r>
      <w:r>
        <w:instrText xml:space="preserve"> PAGEREF _Toc27721 \h </w:instrText>
      </w:r>
      <w:r>
        <w:fldChar w:fldCharType="separate"/>
      </w:r>
      <w:r>
        <w:t>3</w:t>
      </w:r>
      <w:r>
        <w:fldChar w:fldCharType="end"/>
      </w:r>
      <w:r>
        <w:rPr>
          <w:rFonts w:hint="eastAsia" w:ascii="仿宋" w:hAnsi="仿宋" w:eastAsia="仿宋" w:cs="仿宋"/>
          <w:color w:val="auto"/>
          <w:highlight w:val="none"/>
        </w:rPr>
        <w:fldChar w:fldCharType="end"/>
      </w:r>
    </w:p>
    <w:p w14:paraId="71A6C299">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_Toc829 </w:instrText>
      </w:r>
      <w:r>
        <w:rPr>
          <w:rFonts w:hint="eastAsia" w:ascii="仿宋" w:hAnsi="仿宋" w:eastAsia="仿宋" w:cs="仿宋"/>
          <w:highlight w:val="none"/>
        </w:rPr>
        <w:fldChar w:fldCharType="separate"/>
      </w:r>
      <w:r>
        <w:rPr>
          <w:rFonts w:hint="eastAsia" w:ascii="仿宋" w:hAnsi="仿宋" w:eastAsia="仿宋" w:cs="仿宋"/>
          <w:szCs w:val="32"/>
          <w:highlight w:val="none"/>
        </w:rPr>
        <w:t>第二章  投标人须知</w:t>
      </w:r>
      <w:r>
        <w:tab/>
      </w:r>
      <w:r>
        <w:fldChar w:fldCharType="begin"/>
      </w:r>
      <w:r>
        <w:instrText xml:space="preserve"> PAGEREF _Toc829 \h </w:instrText>
      </w:r>
      <w:r>
        <w:fldChar w:fldCharType="separate"/>
      </w:r>
      <w:r>
        <w:t>6</w:t>
      </w:r>
      <w:r>
        <w:fldChar w:fldCharType="end"/>
      </w:r>
      <w:r>
        <w:rPr>
          <w:rFonts w:hint="eastAsia" w:ascii="仿宋" w:hAnsi="仿宋" w:eastAsia="仿宋" w:cs="仿宋"/>
          <w:color w:val="auto"/>
          <w:highlight w:val="none"/>
        </w:rPr>
        <w:fldChar w:fldCharType="end"/>
      </w:r>
    </w:p>
    <w:p w14:paraId="7FC245EB">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_Toc13354 </w:instrText>
      </w:r>
      <w:r>
        <w:rPr>
          <w:rFonts w:hint="eastAsia" w:ascii="仿宋" w:hAnsi="仿宋" w:eastAsia="仿宋" w:cs="仿宋"/>
          <w:highlight w:val="none"/>
        </w:rPr>
        <w:fldChar w:fldCharType="separate"/>
      </w:r>
      <w:r>
        <w:rPr>
          <w:rFonts w:hint="eastAsia" w:ascii="仿宋" w:hAnsi="仿宋" w:eastAsia="仿宋" w:cs="仿宋"/>
          <w:szCs w:val="28"/>
          <w:highlight w:val="none"/>
        </w:rPr>
        <w:t>投标人须知前附表</w:t>
      </w:r>
      <w:r>
        <w:tab/>
      </w:r>
      <w:r>
        <w:fldChar w:fldCharType="begin"/>
      </w:r>
      <w:r>
        <w:instrText xml:space="preserve"> PAGEREF _Toc13354 \h </w:instrText>
      </w:r>
      <w:r>
        <w:fldChar w:fldCharType="separate"/>
      </w:r>
      <w:r>
        <w:t>6</w:t>
      </w:r>
      <w:r>
        <w:fldChar w:fldCharType="end"/>
      </w:r>
      <w:r>
        <w:rPr>
          <w:rFonts w:hint="eastAsia" w:ascii="仿宋" w:hAnsi="仿宋" w:eastAsia="仿宋" w:cs="仿宋"/>
          <w:color w:val="auto"/>
          <w:highlight w:val="none"/>
        </w:rPr>
        <w:fldChar w:fldCharType="end"/>
      </w:r>
    </w:p>
    <w:p w14:paraId="5487E500">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_Toc19900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一、总  则</w:t>
      </w:r>
      <w:r>
        <w:tab/>
      </w:r>
      <w:r>
        <w:fldChar w:fldCharType="begin"/>
      </w:r>
      <w:r>
        <w:instrText xml:space="preserve"> PAGEREF _Toc19900 \h </w:instrText>
      </w:r>
      <w:r>
        <w:fldChar w:fldCharType="separate"/>
      </w:r>
      <w:r>
        <w:t>10</w:t>
      </w:r>
      <w:r>
        <w:fldChar w:fldCharType="end"/>
      </w:r>
      <w:r>
        <w:rPr>
          <w:rFonts w:hint="eastAsia" w:ascii="仿宋" w:hAnsi="仿宋" w:eastAsia="仿宋" w:cs="仿宋"/>
          <w:color w:val="auto"/>
          <w:highlight w:val="none"/>
        </w:rPr>
        <w:fldChar w:fldCharType="end"/>
      </w:r>
    </w:p>
    <w:p w14:paraId="30D68B28">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_Toc4842 </w:instrText>
      </w:r>
      <w:r>
        <w:rPr>
          <w:rFonts w:hint="eastAsia" w:ascii="仿宋" w:hAnsi="仿宋" w:eastAsia="仿宋" w:cs="仿宋"/>
          <w:highlight w:val="none"/>
        </w:rPr>
        <w:fldChar w:fldCharType="separate"/>
      </w:r>
      <w:r>
        <w:rPr>
          <w:rFonts w:hint="eastAsia" w:ascii="仿宋" w:hAnsi="仿宋" w:eastAsia="仿宋" w:cs="仿宋"/>
          <w:szCs w:val="24"/>
        </w:rPr>
        <w:t xml:space="preserve">1. </w:t>
      </w:r>
      <w:r>
        <w:rPr>
          <w:rFonts w:hint="eastAsia" w:ascii="仿宋" w:hAnsi="仿宋" w:eastAsia="仿宋" w:cs="仿宋"/>
          <w:szCs w:val="24"/>
          <w:highlight w:val="none"/>
        </w:rPr>
        <w:t>项目概况</w:t>
      </w:r>
      <w:r>
        <w:tab/>
      </w:r>
      <w:r>
        <w:fldChar w:fldCharType="begin"/>
      </w:r>
      <w:r>
        <w:instrText xml:space="preserve"> PAGEREF _Toc4842 \h </w:instrText>
      </w:r>
      <w:r>
        <w:fldChar w:fldCharType="separate"/>
      </w:r>
      <w:r>
        <w:t>10</w:t>
      </w:r>
      <w:r>
        <w:fldChar w:fldCharType="end"/>
      </w:r>
      <w:r>
        <w:rPr>
          <w:rFonts w:hint="eastAsia" w:ascii="仿宋" w:hAnsi="仿宋" w:eastAsia="仿宋" w:cs="仿宋"/>
          <w:color w:val="auto"/>
          <w:highlight w:val="none"/>
        </w:rPr>
        <w:fldChar w:fldCharType="end"/>
      </w:r>
    </w:p>
    <w:p w14:paraId="1B550332">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_Toc2272 </w:instrText>
      </w:r>
      <w:r>
        <w:rPr>
          <w:rFonts w:hint="eastAsia" w:ascii="仿宋" w:hAnsi="仿宋" w:eastAsia="仿宋" w:cs="仿宋"/>
          <w:highlight w:val="none"/>
        </w:rPr>
        <w:fldChar w:fldCharType="separate"/>
      </w:r>
      <w:r>
        <w:rPr>
          <w:rFonts w:hint="eastAsia" w:ascii="仿宋" w:hAnsi="仿宋" w:eastAsia="仿宋" w:cs="仿宋"/>
          <w:szCs w:val="24"/>
        </w:rPr>
        <w:t xml:space="preserve">2. </w:t>
      </w:r>
      <w:r>
        <w:rPr>
          <w:rFonts w:hint="eastAsia" w:ascii="仿宋" w:hAnsi="仿宋" w:eastAsia="仿宋" w:cs="仿宋"/>
          <w:szCs w:val="24"/>
          <w:highlight w:val="none"/>
        </w:rPr>
        <w:t>资金来源</w:t>
      </w:r>
      <w:r>
        <w:tab/>
      </w:r>
      <w:r>
        <w:fldChar w:fldCharType="begin"/>
      </w:r>
      <w:r>
        <w:instrText xml:space="preserve"> PAGEREF _Toc2272 \h </w:instrText>
      </w:r>
      <w:r>
        <w:fldChar w:fldCharType="separate"/>
      </w:r>
      <w:r>
        <w:t>10</w:t>
      </w:r>
      <w:r>
        <w:fldChar w:fldCharType="end"/>
      </w:r>
      <w:r>
        <w:rPr>
          <w:rFonts w:hint="eastAsia" w:ascii="仿宋" w:hAnsi="仿宋" w:eastAsia="仿宋" w:cs="仿宋"/>
          <w:color w:val="auto"/>
          <w:highlight w:val="none"/>
        </w:rPr>
        <w:fldChar w:fldCharType="end"/>
      </w:r>
    </w:p>
    <w:p w14:paraId="0123FEEA">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_Toc9452 </w:instrText>
      </w:r>
      <w:r>
        <w:rPr>
          <w:rFonts w:hint="eastAsia" w:ascii="仿宋" w:hAnsi="仿宋" w:eastAsia="仿宋" w:cs="仿宋"/>
          <w:highlight w:val="none"/>
        </w:rPr>
        <w:fldChar w:fldCharType="separate"/>
      </w:r>
      <w:r>
        <w:rPr>
          <w:rFonts w:hint="eastAsia" w:ascii="仿宋" w:hAnsi="仿宋" w:eastAsia="仿宋" w:cs="仿宋"/>
          <w:szCs w:val="24"/>
        </w:rPr>
        <w:t xml:space="preserve">3. </w:t>
      </w:r>
      <w:r>
        <w:rPr>
          <w:rFonts w:hint="eastAsia" w:ascii="仿宋" w:hAnsi="仿宋" w:eastAsia="仿宋" w:cs="仿宋"/>
          <w:szCs w:val="24"/>
          <w:highlight w:val="none"/>
        </w:rPr>
        <w:t>招标范围</w:t>
      </w:r>
      <w:r>
        <w:tab/>
      </w:r>
      <w:r>
        <w:fldChar w:fldCharType="begin"/>
      </w:r>
      <w:r>
        <w:instrText xml:space="preserve"> PAGEREF _Toc9452 \h </w:instrText>
      </w:r>
      <w:r>
        <w:fldChar w:fldCharType="separate"/>
      </w:r>
      <w:r>
        <w:t>10</w:t>
      </w:r>
      <w:r>
        <w:fldChar w:fldCharType="end"/>
      </w:r>
      <w:r>
        <w:rPr>
          <w:rFonts w:hint="eastAsia" w:ascii="仿宋" w:hAnsi="仿宋" w:eastAsia="仿宋" w:cs="仿宋"/>
          <w:color w:val="auto"/>
          <w:highlight w:val="none"/>
        </w:rPr>
        <w:fldChar w:fldCharType="end"/>
      </w:r>
    </w:p>
    <w:p w14:paraId="55FFA1A5">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_Toc11184 </w:instrText>
      </w:r>
      <w:r>
        <w:rPr>
          <w:rFonts w:hint="eastAsia" w:ascii="仿宋" w:hAnsi="仿宋" w:eastAsia="仿宋" w:cs="仿宋"/>
          <w:highlight w:val="none"/>
        </w:rPr>
        <w:fldChar w:fldCharType="separate"/>
      </w:r>
      <w:r>
        <w:rPr>
          <w:rFonts w:hint="eastAsia" w:ascii="仿宋" w:hAnsi="仿宋" w:eastAsia="仿宋" w:cs="仿宋"/>
          <w:szCs w:val="24"/>
        </w:rPr>
        <w:t xml:space="preserve">4. </w:t>
      </w:r>
      <w:r>
        <w:rPr>
          <w:rFonts w:hint="eastAsia" w:ascii="仿宋" w:hAnsi="仿宋" w:eastAsia="仿宋" w:cs="仿宋"/>
          <w:szCs w:val="24"/>
          <w:highlight w:val="none"/>
        </w:rPr>
        <w:t>合格的投标人</w:t>
      </w:r>
      <w:r>
        <w:tab/>
      </w:r>
      <w:r>
        <w:fldChar w:fldCharType="begin"/>
      </w:r>
      <w:r>
        <w:instrText xml:space="preserve"> PAGEREF _Toc11184 \h </w:instrText>
      </w:r>
      <w:r>
        <w:fldChar w:fldCharType="separate"/>
      </w:r>
      <w:r>
        <w:t>10</w:t>
      </w:r>
      <w:r>
        <w:fldChar w:fldCharType="end"/>
      </w:r>
      <w:r>
        <w:rPr>
          <w:rFonts w:hint="eastAsia" w:ascii="仿宋" w:hAnsi="仿宋" w:eastAsia="仿宋" w:cs="仿宋"/>
          <w:color w:val="auto"/>
          <w:highlight w:val="none"/>
        </w:rPr>
        <w:fldChar w:fldCharType="end"/>
      </w:r>
    </w:p>
    <w:p w14:paraId="608F7453">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_Toc18588 </w:instrText>
      </w:r>
      <w:r>
        <w:rPr>
          <w:rFonts w:hint="eastAsia" w:ascii="仿宋" w:hAnsi="仿宋" w:eastAsia="仿宋" w:cs="仿宋"/>
          <w:highlight w:val="none"/>
        </w:rPr>
        <w:fldChar w:fldCharType="separate"/>
      </w:r>
      <w:r>
        <w:rPr>
          <w:rFonts w:hint="eastAsia" w:ascii="仿宋" w:hAnsi="仿宋" w:eastAsia="仿宋" w:cs="仿宋"/>
          <w:szCs w:val="24"/>
        </w:rPr>
        <w:t xml:space="preserve">6. </w:t>
      </w:r>
      <w:r>
        <w:rPr>
          <w:rFonts w:hint="eastAsia" w:ascii="仿宋" w:hAnsi="仿宋" w:eastAsia="仿宋" w:cs="仿宋"/>
          <w:szCs w:val="24"/>
          <w:highlight w:val="none"/>
        </w:rPr>
        <w:t>质疑</w:t>
      </w:r>
      <w:r>
        <w:tab/>
      </w:r>
      <w:r>
        <w:fldChar w:fldCharType="begin"/>
      </w:r>
      <w:r>
        <w:instrText xml:space="preserve"> PAGEREF _Toc18588 \h </w:instrText>
      </w:r>
      <w:r>
        <w:fldChar w:fldCharType="separate"/>
      </w:r>
      <w:r>
        <w:t>10</w:t>
      </w:r>
      <w:r>
        <w:fldChar w:fldCharType="end"/>
      </w:r>
      <w:r>
        <w:rPr>
          <w:rFonts w:hint="eastAsia" w:ascii="仿宋" w:hAnsi="仿宋" w:eastAsia="仿宋" w:cs="仿宋"/>
          <w:color w:val="auto"/>
          <w:highlight w:val="none"/>
        </w:rPr>
        <w:fldChar w:fldCharType="end"/>
      </w:r>
    </w:p>
    <w:p w14:paraId="329A4AF2">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_Toc22623 </w:instrText>
      </w:r>
      <w:r>
        <w:rPr>
          <w:rFonts w:hint="eastAsia" w:ascii="仿宋" w:hAnsi="仿宋" w:eastAsia="仿宋" w:cs="仿宋"/>
          <w:highlight w:val="none"/>
        </w:rPr>
        <w:fldChar w:fldCharType="separate"/>
      </w:r>
      <w:r>
        <w:rPr>
          <w:rFonts w:hint="eastAsia" w:ascii="仿宋" w:hAnsi="仿宋" w:eastAsia="仿宋" w:cs="仿宋"/>
          <w:szCs w:val="24"/>
        </w:rPr>
        <w:t xml:space="preserve">7. </w:t>
      </w:r>
      <w:r>
        <w:rPr>
          <w:rFonts w:hint="eastAsia" w:ascii="仿宋" w:hAnsi="仿宋" w:eastAsia="仿宋" w:cs="仿宋"/>
          <w:szCs w:val="24"/>
          <w:highlight w:val="none"/>
        </w:rPr>
        <w:t>投诉</w:t>
      </w:r>
      <w:r>
        <w:tab/>
      </w:r>
      <w:r>
        <w:fldChar w:fldCharType="begin"/>
      </w:r>
      <w:r>
        <w:instrText xml:space="preserve"> PAGEREF _Toc22623 \h </w:instrText>
      </w:r>
      <w:r>
        <w:fldChar w:fldCharType="separate"/>
      </w:r>
      <w:r>
        <w:t>11</w:t>
      </w:r>
      <w:r>
        <w:fldChar w:fldCharType="end"/>
      </w:r>
      <w:r>
        <w:rPr>
          <w:rFonts w:hint="eastAsia" w:ascii="仿宋" w:hAnsi="仿宋" w:eastAsia="仿宋" w:cs="仿宋"/>
          <w:color w:val="auto"/>
          <w:highlight w:val="none"/>
        </w:rPr>
        <w:fldChar w:fldCharType="end"/>
      </w:r>
    </w:p>
    <w:p w14:paraId="3D9FF0A9">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_Toc18163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二、招标文件</w:t>
      </w:r>
      <w:r>
        <w:tab/>
      </w:r>
      <w:r>
        <w:fldChar w:fldCharType="begin"/>
      </w:r>
      <w:r>
        <w:instrText xml:space="preserve"> PAGEREF _Toc18163 \h </w:instrText>
      </w:r>
      <w:r>
        <w:fldChar w:fldCharType="separate"/>
      </w:r>
      <w:r>
        <w:t>12</w:t>
      </w:r>
      <w:r>
        <w:fldChar w:fldCharType="end"/>
      </w:r>
      <w:r>
        <w:rPr>
          <w:rFonts w:hint="eastAsia" w:ascii="仿宋" w:hAnsi="仿宋" w:eastAsia="仿宋" w:cs="仿宋"/>
          <w:color w:val="auto"/>
          <w:highlight w:val="none"/>
        </w:rPr>
        <w:fldChar w:fldCharType="end"/>
      </w:r>
    </w:p>
    <w:p w14:paraId="2A88B05B">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_Toc27978 </w:instrText>
      </w:r>
      <w:r>
        <w:rPr>
          <w:rFonts w:hint="eastAsia" w:ascii="仿宋" w:hAnsi="仿宋" w:eastAsia="仿宋" w:cs="仿宋"/>
          <w:highlight w:val="none"/>
        </w:rPr>
        <w:fldChar w:fldCharType="separate"/>
      </w:r>
      <w:r>
        <w:rPr>
          <w:rFonts w:hint="eastAsia" w:ascii="仿宋" w:hAnsi="仿宋" w:eastAsia="仿宋" w:cs="仿宋"/>
          <w:szCs w:val="24"/>
        </w:rPr>
        <w:t xml:space="preserve">8. </w:t>
      </w:r>
      <w:r>
        <w:rPr>
          <w:rFonts w:hint="eastAsia" w:ascii="仿宋" w:hAnsi="仿宋" w:eastAsia="仿宋" w:cs="仿宋"/>
          <w:szCs w:val="24"/>
          <w:highlight w:val="none"/>
        </w:rPr>
        <w:t>招标文件构成</w:t>
      </w:r>
      <w:r>
        <w:tab/>
      </w:r>
      <w:r>
        <w:fldChar w:fldCharType="begin"/>
      </w:r>
      <w:r>
        <w:instrText xml:space="preserve"> PAGEREF _Toc27978 \h </w:instrText>
      </w:r>
      <w:r>
        <w:fldChar w:fldCharType="separate"/>
      </w:r>
      <w:r>
        <w:t>12</w:t>
      </w:r>
      <w:r>
        <w:fldChar w:fldCharType="end"/>
      </w:r>
      <w:r>
        <w:rPr>
          <w:rFonts w:hint="eastAsia" w:ascii="仿宋" w:hAnsi="仿宋" w:eastAsia="仿宋" w:cs="仿宋"/>
          <w:color w:val="auto"/>
          <w:highlight w:val="none"/>
        </w:rPr>
        <w:fldChar w:fldCharType="end"/>
      </w:r>
    </w:p>
    <w:p w14:paraId="77AC29C6">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_Toc255 </w:instrText>
      </w:r>
      <w:r>
        <w:rPr>
          <w:rFonts w:hint="eastAsia" w:ascii="仿宋" w:hAnsi="仿宋" w:eastAsia="仿宋" w:cs="仿宋"/>
          <w:highlight w:val="none"/>
        </w:rPr>
        <w:fldChar w:fldCharType="separate"/>
      </w:r>
      <w:r>
        <w:rPr>
          <w:rFonts w:hint="eastAsia" w:ascii="仿宋" w:hAnsi="仿宋" w:eastAsia="仿宋" w:cs="仿宋"/>
          <w:szCs w:val="24"/>
        </w:rPr>
        <w:t xml:space="preserve">9. </w:t>
      </w:r>
      <w:r>
        <w:rPr>
          <w:rFonts w:hint="eastAsia" w:ascii="仿宋" w:hAnsi="仿宋" w:eastAsia="仿宋" w:cs="仿宋"/>
          <w:szCs w:val="24"/>
          <w:highlight w:val="none"/>
        </w:rPr>
        <w:t>招标文件的澄清或者修改</w:t>
      </w:r>
      <w:r>
        <w:tab/>
      </w:r>
      <w:r>
        <w:fldChar w:fldCharType="begin"/>
      </w:r>
      <w:r>
        <w:instrText xml:space="preserve"> PAGEREF _Toc255 \h </w:instrText>
      </w:r>
      <w:r>
        <w:fldChar w:fldCharType="separate"/>
      </w:r>
      <w:r>
        <w:t>12</w:t>
      </w:r>
      <w:r>
        <w:fldChar w:fldCharType="end"/>
      </w:r>
      <w:r>
        <w:rPr>
          <w:rFonts w:hint="eastAsia" w:ascii="仿宋" w:hAnsi="仿宋" w:eastAsia="仿宋" w:cs="仿宋"/>
          <w:color w:val="auto"/>
          <w:highlight w:val="none"/>
        </w:rPr>
        <w:fldChar w:fldCharType="end"/>
      </w:r>
    </w:p>
    <w:p w14:paraId="1D32F975">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_Toc23269 </w:instrText>
      </w:r>
      <w:r>
        <w:rPr>
          <w:rFonts w:hint="eastAsia" w:ascii="仿宋" w:hAnsi="仿宋" w:eastAsia="仿宋" w:cs="仿宋"/>
          <w:highlight w:val="none"/>
        </w:rPr>
        <w:fldChar w:fldCharType="separate"/>
      </w:r>
      <w:r>
        <w:rPr>
          <w:rFonts w:hint="eastAsia" w:ascii="仿宋" w:hAnsi="仿宋" w:eastAsia="仿宋" w:cs="仿宋"/>
          <w:szCs w:val="28"/>
          <w:highlight w:val="none"/>
        </w:rPr>
        <w:t>三、投标文件的编制</w:t>
      </w:r>
      <w:r>
        <w:tab/>
      </w:r>
      <w:r>
        <w:fldChar w:fldCharType="begin"/>
      </w:r>
      <w:r>
        <w:instrText xml:space="preserve"> PAGEREF _Toc23269 \h </w:instrText>
      </w:r>
      <w:r>
        <w:fldChar w:fldCharType="separate"/>
      </w:r>
      <w:r>
        <w:t>13</w:t>
      </w:r>
      <w:r>
        <w:fldChar w:fldCharType="end"/>
      </w:r>
      <w:r>
        <w:rPr>
          <w:rFonts w:hint="eastAsia" w:ascii="仿宋" w:hAnsi="仿宋" w:eastAsia="仿宋" w:cs="仿宋"/>
          <w:color w:val="auto"/>
          <w:highlight w:val="none"/>
        </w:rPr>
        <w:fldChar w:fldCharType="end"/>
      </w:r>
    </w:p>
    <w:p w14:paraId="58817967">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_Toc21136 </w:instrText>
      </w:r>
      <w:r>
        <w:rPr>
          <w:rFonts w:hint="eastAsia" w:ascii="仿宋" w:hAnsi="仿宋" w:eastAsia="仿宋" w:cs="仿宋"/>
          <w:highlight w:val="none"/>
        </w:rPr>
        <w:fldChar w:fldCharType="separate"/>
      </w:r>
      <w:r>
        <w:rPr>
          <w:rFonts w:hint="eastAsia" w:ascii="仿宋" w:hAnsi="仿宋" w:eastAsia="仿宋" w:cs="仿宋"/>
          <w:szCs w:val="24"/>
        </w:rPr>
        <w:t xml:space="preserve">10. </w:t>
      </w:r>
      <w:r>
        <w:rPr>
          <w:rFonts w:hint="eastAsia" w:ascii="仿宋" w:hAnsi="仿宋" w:eastAsia="仿宋" w:cs="仿宋"/>
          <w:szCs w:val="24"/>
          <w:highlight w:val="none"/>
        </w:rPr>
        <w:t>投标文件编写注意事项</w:t>
      </w:r>
      <w:r>
        <w:tab/>
      </w:r>
      <w:r>
        <w:fldChar w:fldCharType="begin"/>
      </w:r>
      <w:r>
        <w:instrText xml:space="preserve"> PAGEREF _Toc21136 \h </w:instrText>
      </w:r>
      <w:r>
        <w:fldChar w:fldCharType="separate"/>
      </w:r>
      <w:r>
        <w:t>13</w:t>
      </w:r>
      <w:r>
        <w:fldChar w:fldCharType="end"/>
      </w:r>
      <w:r>
        <w:rPr>
          <w:rFonts w:hint="eastAsia" w:ascii="仿宋" w:hAnsi="仿宋" w:eastAsia="仿宋" w:cs="仿宋"/>
          <w:color w:val="auto"/>
          <w:highlight w:val="none"/>
        </w:rPr>
        <w:fldChar w:fldCharType="end"/>
      </w:r>
    </w:p>
    <w:p w14:paraId="4F5B5E63">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_Toc20008 </w:instrText>
      </w:r>
      <w:r>
        <w:rPr>
          <w:rFonts w:hint="eastAsia" w:ascii="仿宋" w:hAnsi="仿宋" w:eastAsia="仿宋" w:cs="仿宋"/>
          <w:highlight w:val="none"/>
        </w:rPr>
        <w:fldChar w:fldCharType="separate"/>
      </w:r>
      <w:r>
        <w:rPr>
          <w:rFonts w:hint="eastAsia" w:ascii="仿宋" w:hAnsi="仿宋" w:eastAsia="仿宋" w:cs="仿宋"/>
          <w:szCs w:val="24"/>
        </w:rPr>
        <w:t xml:space="preserve">11. </w:t>
      </w:r>
      <w:r>
        <w:rPr>
          <w:rFonts w:hint="eastAsia" w:ascii="仿宋" w:hAnsi="仿宋" w:eastAsia="仿宋" w:cs="仿宋"/>
          <w:szCs w:val="24"/>
          <w:highlight w:val="none"/>
        </w:rPr>
        <w:t>投标的语言及计量单位</w:t>
      </w:r>
      <w:r>
        <w:tab/>
      </w:r>
      <w:r>
        <w:fldChar w:fldCharType="begin"/>
      </w:r>
      <w:r>
        <w:instrText xml:space="preserve"> PAGEREF _Toc20008 \h </w:instrText>
      </w:r>
      <w:r>
        <w:fldChar w:fldCharType="separate"/>
      </w:r>
      <w:r>
        <w:t>13</w:t>
      </w:r>
      <w:r>
        <w:fldChar w:fldCharType="end"/>
      </w:r>
      <w:r>
        <w:rPr>
          <w:rFonts w:hint="eastAsia" w:ascii="仿宋" w:hAnsi="仿宋" w:eastAsia="仿宋" w:cs="仿宋"/>
          <w:color w:val="auto"/>
          <w:highlight w:val="none"/>
        </w:rPr>
        <w:fldChar w:fldCharType="end"/>
      </w:r>
    </w:p>
    <w:p w14:paraId="46E0273C">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_Toc7044 </w:instrText>
      </w:r>
      <w:r>
        <w:rPr>
          <w:rFonts w:hint="eastAsia" w:ascii="仿宋" w:hAnsi="仿宋" w:eastAsia="仿宋" w:cs="仿宋"/>
          <w:highlight w:val="none"/>
        </w:rPr>
        <w:fldChar w:fldCharType="separate"/>
      </w:r>
      <w:r>
        <w:rPr>
          <w:rFonts w:hint="eastAsia" w:ascii="仿宋" w:hAnsi="仿宋" w:eastAsia="仿宋" w:cs="仿宋"/>
          <w:szCs w:val="24"/>
        </w:rPr>
        <w:t xml:space="preserve">12. </w:t>
      </w:r>
      <w:r>
        <w:rPr>
          <w:rFonts w:hint="eastAsia" w:ascii="仿宋" w:hAnsi="仿宋" w:eastAsia="仿宋" w:cs="仿宋"/>
          <w:szCs w:val="24"/>
          <w:highlight w:val="none"/>
        </w:rPr>
        <w:t>投标文件的格式要求</w:t>
      </w:r>
      <w:r>
        <w:tab/>
      </w:r>
      <w:r>
        <w:fldChar w:fldCharType="begin"/>
      </w:r>
      <w:r>
        <w:instrText xml:space="preserve"> PAGEREF _Toc7044 \h </w:instrText>
      </w:r>
      <w:r>
        <w:fldChar w:fldCharType="separate"/>
      </w:r>
      <w:r>
        <w:t>13</w:t>
      </w:r>
      <w:r>
        <w:fldChar w:fldCharType="end"/>
      </w:r>
      <w:r>
        <w:rPr>
          <w:rFonts w:hint="eastAsia" w:ascii="仿宋" w:hAnsi="仿宋" w:eastAsia="仿宋" w:cs="仿宋"/>
          <w:color w:val="auto"/>
          <w:highlight w:val="none"/>
        </w:rPr>
        <w:fldChar w:fldCharType="end"/>
      </w:r>
    </w:p>
    <w:p w14:paraId="76905828">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_Toc31541 </w:instrText>
      </w:r>
      <w:r>
        <w:rPr>
          <w:rFonts w:hint="eastAsia" w:ascii="仿宋" w:hAnsi="仿宋" w:eastAsia="仿宋" w:cs="仿宋"/>
          <w:highlight w:val="none"/>
        </w:rPr>
        <w:fldChar w:fldCharType="separate"/>
      </w:r>
      <w:r>
        <w:rPr>
          <w:rFonts w:hint="eastAsia" w:ascii="仿宋" w:hAnsi="仿宋" w:eastAsia="仿宋" w:cs="仿宋"/>
          <w:szCs w:val="24"/>
        </w:rPr>
        <w:t xml:space="preserve">13. </w:t>
      </w:r>
      <w:r>
        <w:rPr>
          <w:rFonts w:hint="eastAsia" w:ascii="仿宋" w:hAnsi="仿宋" w:eastAsia="仿宋" w:cs="仿宋"/>
          <w:szCs w:val="24"/>
          <w:highlight w:val="none"/>
        </w:rPr>
        <w:t>投标报价</w:t>
      </w:r>
      <w:r>
        <w:tab/>
      </w:r>
      <w:r>
        <w:fldChar w:fldCharType="begin"/>
      </w:r>
      <w:r>
        <w:instrText xml:space="preserve"> PAGEREF _Toc31541 \h </w:instrText>
      </w:r>
      <w:r>
        <w:fldChar w:fldCharType="separate"/>
      </w:r>
      <w:r>
        <w:t>13</w:t>
      </w:r>
      <w:r>
        <w:fldChar w:fldCharType="end"/>
      </w:r>
      <w:r>
        <w:rPr>
          <w:rFonts w:hint="eastAsia" w:ascii="仿宋" w:hAnsi="仿宋" w:eastAsia="仿宋" w:cs="仿宋"/>
          <w:color w:val="auto"/>
          <w:highlight w:val="none"/>
        </w:rPr>
        <w:fldChar w:fldCharType="end"/>
      </w:r>
    </w:p>
    <w:p w14:paraId="3A779669">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_Toc11337 </w:instrText>
      </w:r>
      <w:r>
        <w:rPr>
          <w:rFonts w:hint="eastAsia" w:ascii="仿宋" w:hAnsi="仿宋" w:eastAsia="仿宋" w:cs="仿宋"/>
          <w:highlight w:val="none"/>
        </w:rPr>
        <w:fldChar w:fldCharType="separate"/>
      </w:r>
      <w:r>
        <w:rPr>
          <w:rFonts w:hint="eastAsia" w:ascii="仿宋" w:hAnsi="仿宋" w:eastAsia="仿宋" w:cs="仿宋"/>
          <w:szCs w:val="24"/>
        </w:rPr>
        <w:t xml:space="preserve">14. </w:t>
      </w:r>
      <w:r>
        <w:rPr>
          <w:rFonts w:hint="eastAsia" w:ascii="仿宋" w:hAnsi="仿宋" w:eastAsia="仿宋" w:cs="仿宋"/>
          <w:szCs w:val="24"/>
          <w:highlight w:val="none"/>
        </w:rPr>
        <w:t>投标货币</w:t>
      </w:r>
      <w:r>
        <w:tab/>
      </w:r>
      <w:r>
        <w:fldChar w:fldCharType="begin"/>
      </w:r>
      <w:r>
        <w:instrText xml:space="preserve"> PAGEREF _Toc11337 \h </w:instrText>
      </w:r>
      <w:r>
        <w:fldChar w:fldCharType="separate"/>
      </w:r>
      <w:r>
        <w:t>13</w:t>
      </w:r>
      <w:r>
        <w:fldChar w:fldCharType="end"/>
      </w:r>
      <w:r>
        <w:rPr>
          <w:rFonts w:hint="eastAsia" w:ascii="仿宋" w:hAnsi="仿宋" w:eastAsia="仿宋" w:cs="仿宋"/>
          <w:color w:val="auto"/>
          <w:highlight w:val="none"/>
        </w:rPr>
        <w:fldChar w:fldCharType="end"/>
      </w:r>
    </w:p>
    <w:p w14:paraId="741C9DDB">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_Toc29255 </w:instrText>
      </w:r>
      <w:r>
        <w:rPr>
          <w:rFonts w:hint="eastAsia" w:ascii="仿宋" w:hAnsi="仿宋" w:eastAsia="仿宋" w:cs="仿宋"/>
          <w:highlight w:val="none"/>
        </w:rPr>
        <w:fldChar w:fldCharType="separate"/>
      </w:r>
      <w:r>
        <w:rPr>
          <w:rFonts w:hint="eastAsia" w:ascii="仿宋" w:hAnsi="仿宋" w:eastAsia="仿宋" w:cs="仿宋"/>
          <w:szCs w:val="24"/>
        </w:rPr>
        <w:t xml:space="preserve">15. </w:t>
      </w:r>
      <w:r>
        <w:rPr>
          <w:rFonts w:hint="eastAsia" w:ascii="仿宋" w:hAnsi="仿宋" w:eastAsia="仿宋" w:cs="仿宋"/>
          <w:szCs w:val="24"/>
          <w:highlight w:val="none"/>
        </w:rPr>
        <w:t>投标有效期</w:t>
      </w:r>
      <w:r>
        <w:tab/>
      </w:r>
      <w:r>
        <w:fldChar w:fldCharType="begin"/>
      </w:r>
      <w:r>
        <w:instrText xml:space="preserve"> PAGEREF _Toc29255 \h </w:instrText>
      </w:r>
      <w:r>
        <w:fldChar w:fldCharType="separate"/>
      </w:r>
      <w:r>
        <w:t>14</w:t>
      </w:r>
      <w:r>
        <w:fldChar w:fldCharType="end"/>
      </w:r>
      <w:r>
        <w:rPr>
          <w:rFonts w:hint="eastAsia" w:ascii="仿宋" w:hAnsi="仿宋" w:eastAsia="仿宋" w:cs="仿宋"/>
          <w:color w:val="auto"/>
          <w:highlight w:val="none"/>
        </w:rPr>
        <w:fldChar w:fldCharType="end"/>
      </w:r>
    </w:p>
    <w:p w14:paraId="28AD2AF9">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_Toc30602 </w:instrText>
      </w:r>
      <w:r>
        <w:rPr>
          <w:rFonts w:hint="eastAsia" w:ascii="仿宋" w:hAnsi="仿宋" w:eastAsia="仿宋" w:cs="仿宋"/>
          <w:highlight w:val="none"/>
        </w:rPr>
        <w:fldChar w:fldCharType="separate"/>
      </w:r>
      <w:r>
        <w:rPr>
          <w:rFonts w:hint="eastAsia" w:ascii="仿宋" w:hAnsi="仿宋" w:eastAsia="仿宋" w:cs="仿宋"/>
          <w:szCs w:val="24"/>
        </w:rPr>
        <w:t xml:space="preserve">16. </w:t>
      </w:r>
      <w:r>
        <w:rPr>
          <w:rFonts w:hint="eastAsia" w:ascii="仿宋" w:hAnsi="仿宋" w:eastAsia="仿宋" w:cs="仿宋"/>
          <w:szCs w:val="24"/>
          <w:highlight w:val="none"/>
        </w:rPr>
        <w:t>投标保证金</w:t>
      </w:r>
      <w:r>
        <w:tab/>
      </w:r>
      <w:r>
        <w:fldChar w:fldCharType="begin"/>
      </w:r>
      <w:r>
        <w:instrText xml:space="preserve"> PAGEREF _Toc30602 \h </w:instrText>
      </w:r>
      <w:r>
        <w:fldChar w:fldCharType="separate"/>
      </w:r>
      <w:r>
        <w:t>14</w:t>
      </w:r>
      <w:r>
        <w:fldChar w:fldCharType="end"/>
      </w:r>
      <w:r>
        <w:rPr>
          <w:rFonts w:hint="eastAsia" w:ascii="仿宋" w:hAnsi="仿宋" w:eastAsia="仿宋" w:cs="仿宋"/>
          <w:color w:val="auto"/>
          <w:highlight w:val="none"/>
        </w:rPr>
        <w:fldChar w:fldCharType="end"/>
      </w:r>
    </w:p>
    <w:p w14:paraId="2316E7C7">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_Toc31037 </w:instrText>
      </w:r>
      <w:r>
        <w:rPr>
          <w:rFonts w:hint="eastAsia" w:ascii="仿宋" w:hAnsi="仿宋" w:eastAsia="仿宋" w:cs="仿宋"/>
          <w:highlight w:val="none"/>
        </w:rPr>
        <w:fldChar w:fldCharType="separate"/>
      </w:r>
      <w:r>
        <w:rPr>
          <w:rFonts w:hint="eastAsia" w:ascii="仿宋" w:hAnsi="仿宋" w:eastAsia="仿宋" w:cs="仿宋"/>
          <w:szCs w:val="28"/>
          <w:highlight w:val="none"/>
        </w:rPr>
        <w:t>四、投标文件的提交</w:t>
      </w:r>
      <w:r>
        <w:tab/>
      </w:r>
      <w:r>
        <w:fldChar w:fldCharType="begin"/>
      </w:r>
      <w:r>
        <w:instrText xml:space="preserve"> PAGEREF _Toc31037 \h </w:instrText>
      </w:r>
      <w:r>
        <w:fldChar w:fldCharType="separate"/>
      </w:r>
      <w:r>
        <w:t>14</w:t>
      </w:r>
      <w:r>
        <w:fldChar w:fldCharType="end"/>
      </w:r>
      <w:r>
        <w:rPr>
          <w:rFonts w:hint="eastAsia" w:ascii="仿宋" w:hAnsi="仿宋" w:eastAsia="仿宋" w:cs="仿宋"/>
          <w:color w:val="auto"/>
          <w:highlight w:val="none"/>
        </w:rPr>
        <w:fldChar w:fldCharType="end"/>
      </w:r>
    </w:p>
    <w:p w14:paraId="6B043EE4">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_Toc14881 </w:instrText>
      </w:r>
      <w:r>
        <w:rPr>
          <w:rFonts w:hint="eastAsia" w:ascii="仿宋" w:hAnsi="仿宋" w:eastAsia="仿宋" w:cs="仿宋"/>
          <w:highlight w:val="none"/>
        </w:rPr>
        <w:fldChar w:fldCharType="separate"/>
      </w:r>
      <w:r>
        <w:rPr>
          <w:rFonts w:hint="eastAsia" w:ascii="仿宋" w:hAnsi="仿宋" w:eastAsia="仿宋" w:cs="仿宋"/>
          <w:szCs w:val="24"/>
        </w:rPr>
        <w:t xml:space="preserve">17. </w:t>
      </w:r>
      <w:r>
        <w:rPr>
          <w:rFonts w:hint="eastAsia" w:ascii="仿宋" w:hAnsi="仿宋" w:eastAsia="仿宋" w:cs="仿宋"/>
          <w:szCs w:val="24"/>
          <w:highlight w:val="none"/>
        </w:rPr>
        <w:t>投标文件的密封、标记</w:t>
      </w:r>
      <w:r>
        <w:tab/>
      </w:r>
      <w:r>
        <w:fldChar w:fldCharType="begin"/>
      </w:r>
      <w:r>
        <w:instrText xml:space="preserve"> PAGEREF _Toc14881 \h </w:instrText>
      </w:r>
      <w:r>
        <w:fldChar w:fldCharType="separate"/>
      </w:r>
      <w:r>
        <w:t>14</w:t>
      </w:r>
      <w:r>
        <w:fldChar w:fldCharType="end"/>
      </w:r>
      <w:r>
        <w:rPr>
          <w:rFonts w:hint="eastAsia" w:ascii="仿宋" w:hAnsi="仿宋" w:eastAsia="仿宋" w:cs="仿宋"/>
          <w:color w:val="auto"/>
          <w:highlight w:val="none"/>
        </w:rPr>
        <w:fldChar w:fldCharType="end"/>
      </w:r>
    </w:p>
    <w:p w14:paraId="179D7964">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_Toc30254 </w:instrText>
      </w:r>
      <w:r>
        <w:rPr>
          <w:rFonts w:hint="eastAsia" w:ascii="仿宋" w:hAnsi="仿宋" w:eastAsia="仿宋" w:cs="仿宋"/>
          <w:highlight w:val="none"/>
        </w:rPr>
        <w:fldChar w:fldCharType="separate"/>
      </w:r>
      <w:r>
        <w:rPr>
          <w:rFonts w:hint="eastAsia" w:ascii="仿宋" w:hAnsi="仿宋" w:eastAsia="仿宋" w:cs="仿宋"/>
          <w:szCs w:val="24"/>
        </w:rPr>
        <w:t xml:space="preserve">18. </w:t>
      </w:r>
      <w:r>
        <w:rPr>
          <w:rFonts w:hint="eastAsia" w:ascii="仿宋" w:hAnsi="仿宋" w:eastAsia="仿宋" w:cs="仿宋"/>
          <w:szCs w:val="24"/>
          <w:highlight w:val="none"/>
        </w:rPr>
        <w:t>提交投标文件的截止时间和地点</w:t>
      </w:r>
      <w:r>
        <w:tab/>
      </w:r>
      <w:r>
        <w:fldChar w:fldCharType="begin"/>
      </w:r>
      <w:r>
        <w:instrText xml:space="preserve"> PAGEREF _Toc30254 \h </w:instrText>
      </w:r>
      <w:r>
        <w:fldChar w:fldCharType="separate"/>
      </w:r>
      <w:r>
        <w:t>14</w:t>
      </w:r>
      <w:r>
        <w:fldChar w:fldCharType="end"/>
      </w:r>
      <w:r>
        <w:rPr>
          <w:rFonts w:hint="eastAsia" w:ascii="仿宋" w:hAnsi="仿宋" w:eastAsia="仿宋" w:cs="仿宋"/>
          <w:color w:val="auto"/>
          <w:highlight w:val="none"/>
        </w:rPr>
        <w:fldChar w:fldCharType="end"/>
      </w:r>
    </w:p>
    <w:p w14:paraId="72BACEDB">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_Toc5063 </w:instrText>
      </w:r>
      <w:r>
        <w:rPr>
          <w:rFonts w:hint="eastAsia" w:ascii="仿宋" w:hAnsi="仿宋" w:eastAsia="仿宋" w:cs="仿宋"/>
          <w:highlight w:val="none"/>
        </w:rPr>
        <w:fldChar w:fldCharType="separate"/>
      </w:r>
      <w:r>
        <w:rPr>
          <w:rFonts w:hint="eastAsia" w:ascii="仿宋" w:hAnsi="仿宋" w:eastAsia="仿宋" w:cs="仿宋"/>
          <w:szCs w:val="24"/>
        </w:rPr>
        <w:t xml:space="preserve">19. </w:t>
      </w:r>
      <w:r>
        <w:rPr>
          <w:rFonts w:hint="eastAsia" w:ascii="仿宋" w:hAnsi="仿宋" w:eastAsia="仿宋" w:cs="仿宋"/>
          <w:szCs w:val="24"/>
          <w:highlight w:val="none"/>
        </w:rPr>
        <w:t>提交投标文件的截止时间和地点</w:t>
      </w:r>
      <w:r>
        <w:tab/>
      </w:r>
      <w:r>
        <w:fldChar w:fldCharType="begin"/>
      </w:r>
      <w:r>
        <w:instrText xml:space="preserve"> PAGEREF _Toc5063 \h </w:instrText>
      </w:r>
      <w:r>
        <w:fldChar w:fldCharType="separate"/>
      </w:r>
      <w:r>
        <w:t>14</w:t>
      </w:r>
      <w:r>
        <w:fldChar w:fldCharType="end"/>
      </w:r>
      <w:r>
        <w:rPr>
          <w:rFonts w:hint="eastAsia" w:ascii="仿宋" w:hAnsi="仿宋" w:eastAsia="仿宋" w:cs="仿宋"/>
          <w:color w:val="auto"/>
          <w:highlight w:val="none"/>
        </w:rPr>
        <w:fldChar w:fldCharType="end"/>
      </w:r>
    </w:p>
    <w:p w14:paraId="06AC9C39">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_Toc7149 </w:instrText>
      </w:r>
      <w:r>
        <w:rPr>
          <w:rFonts w:hint="eastAsia" w:ascii="仿宋" w:hAnsi="仿宋" w:eastAsia="仿宋" w:cs="仿宋"/>
          <w:highlight w:val="none"/>
        </w:rPr>
        <w:fldChar w:fldCharType="separate"/>
      </w:r>
      <w:r>
        <w:rPr>
          <w:rFonts w:hint="eastAsia" w:ascii="仿宋" w:hAnsi="仿宋" w:eastAsia="仿宋" w:cs="仿宋"/>
          <w:szCs w:val="28"/>
          <w:highlight w:val="none"/>
        </w:rPr>
        <w:t>五、开标与评标</w:t>
      </w:r>
      <w:r>
        <w:tab/>
      </w:r>
      <w:r>
        <w:fldChar w:fldCharType="begin"/>
      </w:r>
      <w:r>
        <w:instrText xml:space="preserve"> PAGEREF _Toc7149 \h </w:instrText>
      </w:r>
      <w:r>
        <w:fldChar w:fldCharType="separate"/>
      </w:r>
      <w:r>
        <w:t>15</w:t>
      </w:r>
      <w:r>
        <w:fldChar w:fldCharType="end"/>
      </w:r>
      <w:r>
        <w:rPr>
          <w:rFonts w:hint="eastAsia" w:ascii="仿宋" w:hAnsi="仿宋" w:eastAsia="仿宋" w:cs="仿宋"/>
          <w:color w:val="auto"/>
          <w:highlight w:val="none"/>
        </w:rPr>
        <w:fldChar w:fldCharType="end"/>
      </w:r>
    </w:p>
    <w:p w14:paraId="1D9218C2">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_Toc7706 </w:instrText>
      </w:r>
      <w:r>
        <w:rPr>
          <w:rFonts w:hint="eastAsia" w:ascii="仿宋" w:hAnsi="仿宋" w:eastAsia="仿宋" w:cs="仿宋"/>
          <w:highlight w:val="none"/>
        </w:rPr>
        <w:fldChar w:fldCharType="separate"/>
      </w:r>
      <w:r>
        <w:rPr>
          <w:rFonts w:hint="eastAsia" w:ascii="仿宋" w:hAnsi="仿宋" w:eastAsia="仿宋" w:cs="仿宋"/>
          <w:szCs w:val="24"/>
        </w:rPr>
        <w:t xml:space="preserve">20. </w:t>
      </w:r>
      <w:r>
        <w:rPr>
          <w:rFonts w:hint="eastAsia" w:ascii="仿宋" w:hAnsi="仿宋" w:eastAsia="仿宋" w:cs="仿宋"/>
          <w:szCs w:val="24"/>
          <w:highlight w:val="none"/>
        </w:rPr>
        <w:t>开标</w:t>
      </w:r>
      <w:r>
        <w:tab/>
      </w:r>
      <w:r>
        <w:fldChar w:fldCharType="begin"/>
      </w:r>
      <w:r>
        <w:instrText xml:space="preserve"> PAGEREF _Toc7706 \h </w:instrText>
      </w:r>
      <w:r>
        <w:fldChar w:fldCharType="separate"/>
      </w:r>
      <w:r>
        <w:t>15</w:t>
      </w:r>
      <w:r>
        <w:fldChar w:fldCharType="end"/>
      </w:r>
      <w:r>
        <w:rPr>
          <w:rFonts w:hint="eastAsia" w:ascii="仿宋" w:hAnsi="仿宋" w:eastAsia="仿宋" w:cs="仿宋"/>
          <w:color w:val="auto"/>
          <w:highlight w:val="none"/>
        </w:rPr>
        <w:fldChar w:fldCharType="end"/>
      </w:r>
    </w:p>
    <w:p w14:paraId="78736FE6">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_Toc20329 </w:instrText>
      </w:r>
      <w:r>
        <w:rPr>
          <w:rFonts w:hint="eastAsia" w:ascii="仿宋" w:hAnsi="仿宋" w:eastAsia="仿宋" w:cs="仿宋"/>
          <w:highlight w:val="none"/>
        </w:rPr>
        <w:fldChar w:fldCharType="separate"/>
      </w:r>
      <w:r>
        <w:rPr>
          <w:rFonts w:hint="eastAsia" w:ascii="仿宋" w:hAnsi="仿宋" w:eastAsia="仿宋" w:cs="仿宋"/>
          <w:szCs w:val="24"/>
        </w:rPr>
        <w:t xml:space="preserve">21. </w:t>
      </w:r>
      <w:r>
        <w:rPr>
          <w:rFonts w:hint="eastAsia" w:ascii="仿宋" w:hAnsi="仿宋" w:eastAsia="仿宋" w:cs="仿宋"/>
          <w:szCs w:val="24"/>
          <w:highlight w:val="none"/>
        </w:rPr>
        <w:t>资格审查</w:t>
      </w:r>
      <w:r>
        <w:tab/>
      </w:r>
      <w:r>
        <w:fldChar w:fldCharType="begin"/>
      </w:r>
      <w:r>
        <w:instrText xml:space="preserve"> PAGEREF _Toc20329 \h </w:instrText>
      </w:r>
      <w:r>
        <w:fldChar w:fldCharType="separate"/>
      </w:r>
      <w:r>
        <w:t>15</w:t>
      </w:r>
      <w:r>
        <w:fldChar w:fldCharType="end"/>
      </w:r>
      <w:r>
        <w:rPr>
          <w:rFonts w:hint="eastAsia" w:ascii="仿宋" w:hAnsi="仿宋" w:eastAsia="仿宋" w:cs="仿宋"/>
          <w:color w:val="auto"/>
          <w:highlight w:val="none"/>
        </w:rPr>
        <w:fldChar w:fldCharType="end"/>
      </w:r>
    </w:p>
    <w:p w14:paraId="31DA79C4">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_Toc15594 </w:instrText>
      </w:r>
      <w:r>
        <w:rPr>
          <w:rFonts w:hint="eastAsia" w:ascii="仿宋" w:hAnsi="仿宋" w:eastAsia="仿宋" w:cs="仿宋"/>
          <w:highlight w:val="none"/>
        </w:rPr>
        <w:fldChar w:fldCharType="separate"/>
      </w:r>
      <w:r>
        <w:rPr>
          <w:rFonts w:hint="eastAsia" w:ascii="仿宋" w:hAnsi="仿宋" w:eastAsia="仿宋" w:cs="仿宋"/>
          <w:szCs w:val="24"/>
        </w:rPr>
        <w:t xml:space="preserve">22. </w:t>
      </w:r>
      <w:r>
        <w:rPr>
          <w:rFonts w:hint="eastAsia" w:ascii="仿宋" w:hAnsi="仿宋" w:eastAsia="仿宋" w:cs="仿宋"/>
          <w:szCs w:val="24"/>
          <w:highlight w:val="none"/>
        </w:rPr>
        <w:t>评标</w:t>
      </w:r>
      <w:r>
        <w:tab/>
      </w:r>
      <w:r>
        <w:fldChar w:fldCharType="begin"/>
      </w:r>
      <w:r>
        <w:instrText xml:space="preserve"> PAGEREF _Toc15594 \h </w:instrText>
      </w:r>
      <w:r>
        <w:fldChar w:fldCharType="separate"/>
      </w:r>
      <w:r>
        <w:t>15</w:t>
      </w:r>
      <w:r>
        <w:fldChar w:fldCharType="end"/>
      </w:r>
      <w:r>
        <w:rPr>
          <w:rFonts w:hint="eastAsia" w:ascii="仿宋" w:hAnsi="仿宋" w:eastAsia="仿宋" w:cs="仿宋"/>
          <w:color w:val="auto"/>
          <w:highlight w:val="none"/>
        </w:rPr>
        <w:fldChar w:fldCharType="end"/>
      </w:r>
    </w:p>
    <w:p w14:paraId="33075204">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_Toc13641 </w:instrText>
      </w:r>
      <w:r>
        <w:rPr>
          <w:rFonts w:hint="eastAsia" w:ascii="仿宋" w:hAnsi="仿宋" w:eastAsia="仿宋" w:cs="仿宋"/>
          <w:highlight w:val="none"/>
        </w:rPr>
        <w:fldChar w:fldCharType="separate"/>
      </w:r>
      <w:r>
        <w:rPr>
          <w:rFonts w:hint="eastAsia" w:ascii="仿宋" w:hAnsi="仿宋" w:eastAsia="仿宋" w:cs="仿宋"/>
          <w:szCs w:val="24"/>
        </w:rPr>
        <w:t xml:space="preserve">23. </w:t>
      </w:r>
      <w:r>
        <w:rPr>
          <w:rFonts w:hint="eastAsia" w:ascii="仿宋" w:hAnsi="仿宋" w:eastAsia="仿宋" w:cs="仿宋"/>
          <w:szCs w:val="24"/>
          <w:highlight w:val="none"/>
        </w:rPr>
        <w:t>评标过程的保密</w:t>
      </w:r>
      <w:r>
        <w:tab/>
      </w:r>
      <w:r>
        <w:fldChar w:fldCharType="begin"/>
      </w:r>
      <w:r>
        <w:instrText xml:space="preserve"> PAGEREF _Toc13641 \h </w:instrText>
      </w:r>
      <w:r>
        <w:fldChar w:fldCharType="separate"/>
      </w:r>
      <w:r>
        <w:t>16</w:t>
      </w:r>
      <w:r>
        <w:fldChar w:fldCharType="end"/>
      </w:r>
      <w:r>
        <w:rPr>
          <w:rFonts w:hint="eastAsia" w:ascii="仿宋" w:hAnsi="仿宋" w:eastAsia="仿宋" w:cs="仿宋"/>
          <w:color w:val="auto"/>
          <w:highlight w:val="none"/>
        </w:rPr>
        <w:fldChar w:fldCharType="end"/>
      </w:r>
    </w:p>
    <w:p w14:paraId="5C50CCEB">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_Toc31223 </w:instrText>
      </w:r>
      <w:r>
        <w:rPr>
          <w:rFonts w:hint="eastAsia" w:ascii="仿宋" w:hAnsi="仿宋" w:eastAsia="仿宋" w:cs="仿宋"/>
          <w:highlight w:val="none"/>
        </w:rPr>
        <w:fldChar w:fldCharType="separate"/>
      </w:r>
      <w:r>
        <w:rPr>
          <w:rFonts w:hint="eastAsia" w:ascii="仿宋" w:hAnsi="仿宋" w:eastAsia="仿宋" w:cs="仿宋"/>
          <w:szCs w:val="24"/>
        </w:rPr>
        <w:t xml:space="preserve">24. </w:t>
      </w:r>
      <w:r>
        <w:rPr>
          <w:rFonts w:hint="eastAsia" w:ascii="仿宋" w:hAnsi="仿宋" w:eastAsia="仿宋" w:cs="仿宋"/>
          <w:szCs w:val="24"/>
          <w:highlight w:val="none"/>
        </w:rPr>
        <w:t>投标人存在下列情况之一的，投标无效：</w:t>
      </w:r>
      <w:r>
        <w:tab/>
      </w:r>
      <w:r>
        <w:fldChar w:fldCharType="begin"/>
      </w:r>
      <w:r>
        <w:instrText xml:space="preserve"> PAGEREF _Toc31223 \h </w:instrText>
      </w:r>
      <w:r>
        <w:fldChar w:fldCharType="separate"/>
      </w:r>
      <w:r>
        <w:t>16</w:t>
      </w:r>
      <w:r>
        <w:fldChar w:fldCharType="end"/>
      </w:r>
      <w:r>
        <w:rPr>
          <w:rFonts w:hint="eastAsia" w:ascii="仿宋" w:hAnsi="仿宋" w:eastAsia="仿宋" w:cs="仿宋"/>
          <w:color w:val="auto"/>
          <w:highlight w:val="none"/>
        </w:rPr>
        <w:fldChar w:fldCharType="end"/>
      </w:r>
    </w:p>
    <w:p w14:paraId="0CD72694">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_Toc4409 </w:instrText>
      </w:r>
      <w:r>
        <w:rPr>
          <w:rFonts w:hint="eastAsia" w:ascii="仿宋" w:hAnsi="仿宋" w:eastAsia="仿宋" w:cs="仿宋"/>
          <w:highlight w:val="none"/>
        </w:rPr>
        <w:fldChar w:fldCharType="separate"/>
      </w:r>
      <w:r>
        <w:rPr>
          <w:rFonts w:hint="eastAsia" w:ascii="仿宋" w:hAnsi="仿宋" w:eastAsia="仿宋" w:cs="仿宋"/>
          <w:szCs w:val="24"/>
        </w:rPr>
        <w:t xml:space="preserve">25. </w:t>
      </w:r>
      <w:r>
        <w:rPr>
          <w:rFonts w:hint="eastAsia" w:ascii="仿宋" w:hAnsi="仿宋" w:eastAsia="仿宋" w:cs="仿宋"/>
          <w:szCs w:val="24"/>
          <w:highlight w:val="none"/>
        </w:rPr>
        <w:t>有下列情形之一的，视为投标人串通投标，其投标无效：</w:t>
      </w:r>
      <w:r>
        <w:tab/>
      </w:r>
      <w:r>
        <w:fldChar w:fldCharType="begin"/>
      </w:r>
      <w:r>
        <w:instrText xml:space="preserve"> PAGEREF _Toc4409 \h </w:instrText>
      </w:r>
      <w:r>
        <w:fldChar w:fldCharType="separate"/>
      </w:r>
      <w:r>
        <w:t>16</w:t>
      </w:r>
      <w:r>
        <w:fldChar w:fldCharType="end"/>
      </w:r>
      <w:r>
        <w:rPr>
          <w:rFonts w:hint="eastAsia" w:ascii="仿宋" w:hAnsi="仿宋" w:eastAsia="仿宋" w:cs="仿宋"/>
          <w:color w:val="auto"/>
          <w:highlight w:val="none"/>
        </w:rPr>
        <w:fldChar w:fldCharType="end"/>
      </w:r>
    </w:p>
    <w:p w14:paraId="2C153519">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_Toc3966 </w:instrText>
      </w:r>
      <w:r>
        <w:rPr>
          <w:rFonts w:hint="eastAsia" w:ascii="仿宋" w:hAnsi="仿宋" w:eastAsia="仿宋" w:cs="仿宋"/>
          <w:highlight w:val="none"/>
        </w:rPr>
        <w:fldChar w:fldCharType="separate"/>
      </w:r>
      <w:r>
        <w:rPr>
          <w:rFonts w:hint="eastAsia" w:ascii="仿宋" w:hAnsi="仿宋" w:eastAsia="仿宋" w:cs="仿宋"/>
          <w:szCs w:val="24"/>
        </w:rPr>
        <w:t xml:space="preserve">26. </w:t>
      </w:r>
      <w:r>
        <w:rPr>
          <w:rFonts w:hint="eastAsia" w:ascii="仿宋" w:hAnsi="仿宋" w:eastAsia="仿宋" w:cs="仿宋"/>
          <w:szCs w:val="24"/>
          <w:highlight w:val="none"/>
        </w:rPr>
        <w:t>在招标采购中，出现下列情形之一的，应予废标：</w:t>
      </w:r>
      <w:r>
        <w:tab/>
      </w:r>
      <w:r>
        <w:fldChar w:fldCharType="begin"/>
      </w:r>
      <w:r>
        <w:instrText xml:space="preserve"> PAGEREF _Toc3966 \h </w:instrText>
      </w:r>
      <w:r>
        <w:fldChar w:fldCharType="separate"/>
      </w:r>
      <w:r>
        <w:t>16</w:t>
      </w:r>
      <w:r>
        <w:fldChar w:fldCharType="end"/>
      </w:r>
      <w:r>
        <w:rPr>
          <w:rFonts w:hint="eastAsia" w:ascii="仿宋" w:hAnsi="仿宋" w:eastAsia="仿宋" w:cs="仿宋"/>
          <w:color w:val="auto"/>
          <w:highlight w:val="none"/>
        </w:rPr>
        <w:fldChar w:fldCharType="end"/>
      </w:r>
    </w:p>
    <w:p w14:paraId="76758960">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_Toc11453 </w:instrText>
      </w:r>
      <w:r>
        <w:rPr>
          <w:rFonts w:hint="eastAsia" w:ascii="仿宋" w:hAnsi="仿宋" w:eastAsia="仿宋" w:cs="仿宋"/>
          <w:highlight w:val="none"/>
        </w:rPr>
        <w:fldChar w:fldCharType="separate"/>
      </w:r>
      <w:r>
        <w:rPr>
          <w:rFonts w:hint="eastAsia" w:ascii="仿宋" w:hAnsi="仿宋" w:eastAsia="仿宋" w:cs="仿宋"/>
          <w:szCs w:val="28"/>
          <w:highlight w:val="none"/>
        </w:rPr>
        <w:t>六、中标结果</w:t>
      </w:r>
      <w:r>
        <w:tab/>
      </w:r>
      <w:r>
        <w:fldChar w:fldCharType="begin"/>
      </w:r>
      <w:r>
        <w:instrText xml:space="preserve"> PAGEREF _Toc11453 \h </w:instrText>
      </w:r>
      <w:r>
        <w:fldChar w:fldCharType="separate"/>
      </w:r>
      <w:r>
        <w:t>17</w:t>
      </w:r>
      <w:r>
        <w:fldChar w:fldCharType="end"/>
      </w:r>
      <w:r>
        <w:rPr>
          <w:rFonts w:hint="eastAsia" w:ascii="仿宋" w:hAnsi="仿宋" w:eastAsia="仿宋" w:cs="仿宋"/>
          <w:color w:val="auto"/>
          <w:highlight w:val="none"/>
        </w:rPr>
        <w:fldChar w:fldCharType="end"/>
      </w:r>
    </w:p>
    <w:p w14:paraId="45F20A84">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_Toc8262 </w:instrText>
      </w:r>
      <w:r>
        <w:rPr>
          <w:rFonts w:hint="eastAsia" w:ascii="仿宋" w:hAnsi="仿宋" w:eastAsia="仿宋" w:cs="仿宋"/>
          <w:highlight w:val="none"/>
        </w:rPr>
        <w:fldChar w:fldCharType="separate"/>
      </w:r>
      <w:r>
        <w:rPr>
          <w:rFonts w:hint="eastAsia" w:ascii="仿宋" w:hAnsi="仿宋" w:eastAsia="仿宋" w:cs="仿宋"/>
          <w:szCs w:val="24"/>
        </w:rPr>
        <w:t xml:space="preserve">27. </w:t>
      </w:r>
      <w:r>
        <w:rPr>
          <w:rFonts w:hint="eastAsia" w:ascii="仿宋" w:hAnsi="仿宋" w:eastAsia="仿宋" w:cs="仿宋"/>
          <w:szCs w:val="24"/>
          <w:highlight w:val="none"/>
        </w:rPr>
        <w:t>中标人的确定</w:t>
      </w:r>
      <w:r>
        <w:tab/>
      </w:r>
      <w:r>
        <w:fldChar w:fldCharType="begin"/>
      </w:r>
      <w:r>
        <w:instrText xml:space="preserve"> PAGEREF _Toc8262 \h </w:instrText>
      </w:r>
      <w:r>
        <w:fldChar w:fldCharType="separate"/>
      </w:r>
      <w:r>
        <w:t>17</w:t>
      </w:r>
      <w:r>
        <w:fldChar w:fldCharType="end"/>
      </w:r>
      <w:r>
        <w:rPr>
          <w:rFonts w:hint="eastAsia" w:ascii="仿宋" w:hAnsi="仿宋" w:eastAsia="仿宋" w:cs="仿宋"/>
          <w:color w:val="auto"/>
          <w:highlight w:val="none"/>
        </w:rPr>
        <w:fldChar w:fldCharType="end"/>
      </w:r>
    </w:p>
    <w:p w14:paraId="5A4FF81D">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_Toc27018 </w:instrText>
      </w:r>
      <w:r>
        <w:rPr>
          <w:rFonts w:hint="eastAsia" w:ascii="仿宋" w:hAnsi="仿宋" w:eastAsia="仿宋" w:cs="仿宋"/>
          <w:highlight w:val="none"/>
        </w:rPr>
        <w:fldChar w:fldCharType="separate"/>
      </w:r>
      <w:r>
        <w:rPr>
          <w:rFonts w:hint="eastAsia" w:ascii="仿宋" w:hAnsi="仿宋" w:eastAsia="仿宋" w:cs="仿宋"/>
          <w:szCs w:val="24"/>
        </w:rPr>
        <w:t xml:space="preserve">28. </w:t>
      </w:r>
      <w:r>
        <w:rPr>
          <w:rFonts w:hint="eastAsia" w:ascii="仿宋" w:hAnsi="仿宋" w:eastAsia="仿宋" w:cs="仿宋"/>
          <w:szCs w:val="24"/>
          <w:highlight w:val="none"/>
        </w:rPr>
        <w:t>中标通知书</w:t>
      </w:r>
      <w:r>
        <w:tab/>
      </w:r>
      <w:r>
        <w:fldChar w:fldCharType="begin"/>
      </w:r>
      <w:r>
        <w:instrText xml:space="preserve"> PAGEREF _Toc27018 \h </w:instrText>
      </w:r>
      <w:r>
        <w:fldChar w:fldCharType="separate"/>
      </w:r>
      <w:r>
        <w:t>17</w:t>
      </w:r>
      <w:r>
        <w:fldChar w:fldCharType="end"/>
      </w:r>
      <w:r>
        <w:rPr>
          <w:rFonts w:hint="eastAsia" w:ascii="仿宋" w:hAnsi="仿宋" w:eastAsia="仿宋" w:cs="仿宋"/>
          <w:color w:val="auto"/>
          <w:highlight w:val="none"/>
        </w:rPr>
        <w:fldChar w:fldCharType="end"/>
      </w:r>
    </w:p>
    <w:p w14:paraId="2BA330E2">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_Toc20754 </w:instrText>
      </w:r>
      <w:r>
        <w:rPr>
          <w:rFonts w:hint="eastAsia" w:ascii="仿宋" w:hAnsi="仿宋" w:eastAsia="仿宋" w:cs="仿宋"/>
          <w:highlight w:val="none"/>
        </w:rPr>
        <w:fldChar w:fldCharType="separate"/>
      </w:r>
      <w:r>
        <w:rPr>
          <w:rFonts w:hint="eastAsia" w:ascii="仿宋" w:hAnsi="仿宋" w:eastAsia="仿宋" w:cs="仿宋"/>
          <w:szCs w:val="24"/>
        </w:rPr>
        <w:t xml:space="preserve">29. </w:t>
      </w:r>
      <w:r>
        <w:rPr>
          <w:rFonts w:hint="eastAsia" w:ascii="仿宋" w:hAnsi="仿宋" w:eastAsia="仿宋" w:cs="仿宋"/>
          <w:szCs w:val="24"/>
          <w:highlight w:val="none"/>
        </w:rPr>
        <w:t>签订合同</w:t>
      </w:r>
      <w:r>
        <w:tab/>
      </w:r>
      <w:r>
        <w:fldChar w:fldCharType="begin"/>
      </w:r>
      <w:r>
        <w:instrText xml:space="preserve"> PAGEREF _Toc20754 \h </w:instrText>
      </w:r>
      <w:r>
        <w:fldChar w:fldCharType="separate"/>
      </w:r>
      <w:r>
        <w:t>17</w:t>
      </w:r>
      <w:r>
        <w:fldChar w:fldCharType="end"/>
      </w:r>
      <w:r>
        <w:rPr>
          <w:rFonts w:hint="eastAsia" w:ascii="仿宋" w:hAnsi="仿宋" w:eastAsia="仿宋" w:cs="仿宋"/>
          <w:color w:val="auto"/>
          <w:highlight w:val="none"/>
        </w:rPr>
        <w:fldChar w:fldCharType="end"/>
      </w:r>
    </w:p>
    <w:p w14:paraId="22A16FAB">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_Toc945 </w:instrText>
      </w:r>
      <w:r>
        <w:rPr>
          <w:rFonts w:hint="eastAsia" w:ascii="仿宋" w:hAnsi="仿宋" w:eastAsia="仿宋" w:cs="仿宋"/>
          <w:highlight w:val="none"/>
        </w:rPr>
        <w:fldChar w:fldCharType="separate"/>
      </w:r>
      <w:r>
        <w:rPr>
          <w:rFonts w:hint="eastAsia" w:ascii="仿宋" w:hAnsi="仿宋" w:eastAsia="仿宋" w:cs="仿宋"/>
          <w:szCs w:val="24"/>
        </w:rPr>
        <w:t xml:space="preserve">30. </w:t>
      </w:r>
      <w:r>
        <w:rPr>
          <w:rFonts w:hint="eastAsia" w:ascii="仿宋" w:hAnsi="仿宋" w:eastAsia="仿宋" w:cs="仿宋"/>
          <w:szCs w:val="24"/>
          <w:highlight w:val="none"/>
        </w:rPr>
        <w:t>履约保证金</w:t>
      </w:r>
      <w:r>
        <w:tab/>
      </w:r>
      <w:r>
        <w:fldChar w:fldCharType="begin"/>
      </w:r>
      <w:r>
        <w:instrText xml:space="preserve"> PAGEREF _Toc945 \h </w:instrText>
      </w:r>
      <w:r>
        <w:fldChar w:fldCharType="separate"/>
      </w:r>
      <w:r>
        <w:t>17</w:t>
      </w:r>
      <w:r>
        <w:fldChar w:fldCharType="end"/>
      </w:r>
      <w:r>
        <w:rPr>
          <w:rFonts w:hint="eastAsia" w:ascii="仿宋" w:hAnsi="仿宋" w:eastAsia="仿宋" w:cs="仿宋"/>
          <w:color w:val="auto"/>
          <w:highlight w:val="none"/>
        </w:rPr>
        <w:fldChar w:fldCharType="end"/>
      </w:r>
    </w:p>
    <w:p w14:paraId="2DD75F4A">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_Toc22174 </w:instrText>
      </w:r>
      <w:r>
        <w:rPr>
          <w:rFonts w:hint="eastAsia" w:ascii="仿宋" w:hAnsi="仿宋" w:eastAsia="仿宋" w:cs="仿宋"/>
          <w:highlight w:val="none"/>
        </w:rPr>
        <w:fldChar w:fldCharType="separate"/>
      </w:r>
      <w:r>
        <w:rPr>
          <w:rFonts w:hint="eastAsia" w:ascii="仿宋" w:hAnsi="仿宋" w:eastAsia="仿宋" w:cs="仿宋"/>
          <w:szCs w:val="28"/>
          <w:highlight w:val="none"/>
        </w:rPr>
        <w:t>七、其他事项</w:t>
      </w:r>
      <w:r>
        <w:tab/>
      </w:r>
      <w:r>
        <w:fldChar w:fldCharType="begin"/>
      </w:r>
      <w:r>
        <w:instrText xml:space="preserve"> PAGEREF _Toc22174 \h </w:instrText>
      </w:r>
      <w:r>
        <w:fldChar w:fldCharType="separate"/>
      </w:r>
      <w:r>
        <w:t>17</w:t>
      </w:r>
      <w:r>
        <w:fldChar w:fldCharType="end"/>
      </w:r>
      <w:r>
        <w:rPr>
          <w:rFonts w:hint="eastAsia" w:ascii="仿宋" w:hAnsi="仿宋" w:eastAsia="仿宋" w:cs="仿宋"/>
          <w:color w:val="auto"/>
          <w:highlight w:val="none"/>
        </w:rPr>
        <w:fldChar w:fldCharType="end"/>
      </w:r>
    </w:p>
    <w:p w14:paraId="0D6F5508">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_Toc27173 </w:instrText>
      </w:r>
      <w:r>
        <w:rPr>
          <w:rFonts w:hint="eastAsia" w:ascii="仿宋" w:hAnsi="仿宋" w:eastAsia="仿宋" w:cs="仿宋"/>
          <w:highlight w:val="none"/>
        </w:rPr>
        <w:fldChar w:fldCharType="separate"/>
      </w:r>
      <w:r>
        <w:rPr>
          <w:rFonts w:hint="eastAsia" w:ascii="仿宋" w:hAnsi="仿宋" w:eastAsia="仿宋" w:cs="仿宋"/>
          <w:szCs w:val="24"/>
        </w:rPr>
        <w:t xml:space="preserve">31. </w:t>
      </w:r>
      <w:r>
        <w:rPr>
          <w:rFonts w:hint="eastAsia" w:ascii="仿宋" w:hAnsi="仿宋" w:eastAsia="仿宋" w:cs="仿宋"/>
          <w:szCs w:val="24"/>
          <w:highlight w:val="none"/>
        </w:rPr>
        <w:t>采购代理服务费</w:t>
      </w:r>
      <w:r>
        <w:tab/>
      </w:r>
      <w:r>
        <w:fldChar w:fldCharType="begin"/>
      </w:r>
      <w:r>
        <w:instrText xml:space="preserve"> PAGEREF _Toc27173 \h </w:instrText>
      </w:r>
      <w:r>
        <w:fldChar w:fldCharType="separate"/>
      </w:r>
      <w:r>
        <w:t>17</w:t>
      </w:r>
      <w:r>
        <w:fldChar w:fldCharType="end"/>
      </w:r>
      <w:r>
        <w:rPr>
          <w:rFonts w:hint="eastAsia" w:ascii="仿宋" w:hAnsi="仿宋" w:eastAsia="仿宋" w:cs="仿宋"/>
          <w:color w:val="auto"/>
          <w:highlight w:val="none"/>
        </w:rPr>
        <w:fldChar w:fldCharType="end"/>
      </w:r>
    </w:p>
    <w:p w14:paraId="541E4788">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_Toc25751 </w:instrText>
      </w:r>
      <w:r>
        <w:rPr>
          <w:rFonts w:hint="eastAsia" w:ascii="仿宋" w:hAnsi="仿宋" w:eastAsia="仿宋" w:cs="仿宋"/>
          <w:highlight w:val="none"/>
        </w:rPr>
        <w:fldChar w:fldCharType="separate"/>
      </w:r>
      <w:r>
        <w:rPr>
          <w:rFonts w:hint="eastAsia" w:ascii="仿宋" w:hAnsi="仿宋" w:eastAsia="仿宋" w:cs="仿宋"/>
          <w:szCs w:val="24"/>
        </w:rPr>
        <w:t xml:space="preserve">32. </w:t>
      </w:r>
      <w:r>
        <w:rPr>
          <w:rFonts w:hint="eastAsia" w:ascii="仿宋" w:hAnsi="仿宋" w:eastAsia="仿宋" w:cs="仿宋"/>
          <w:szCs w:val="24"/>
          <w:highlight w:val="none"/>
        </w:rPr>
        <w:t>解释权</w:t>
      </w:r>
      <w:r>
        <w:tab/>
      </w:r>
      <w:r>
        <w:fldChar w:fldCharType="begin"/>
      </w:r>
      <w:r>
        <w:instrText xml:space="preserve"> PAGEREF _Toc25751 \h </w:instrText>
      </w:r>
      <w:r>
        <w:fldChar w:fldCharType="separate"/>
      </w:r>
      <w:r>
        <w:t>17</w:t>
      </w:r>
      <w:r>
        <w:fldChar w:fldCharType="end"/>
      </w:r>
      <w:r>
        <w:rPr>
          <w:rFonts w:hint="eastAsia" w:ascii="仿宋" w:hAnsi="仿宋" w:eastAsia="仿宋" w:cs="仿宋"/>
          <w:color w:val="auto"/>
          <w:highlight w:val="none"/>
        </w:rPr>
        <w:fldChar w:fldCharType="end"/>
      </w:r>
    </w:p>
    <w:p w14:paraId="2A52297A">
      <w:pPr>
        <w:pStyle w:val="16"/>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_Toc2142 </w:instrText>
      </w:r>
      <w:r>
        <w:rPr>
          <w:rFonts w:hint="eastAsia" w:ascii="仿宋" w:hAnsi="仿宋" w:eastAsia="仿宋" w:cs="仿宋"/>
          <w:highlight w:val="none"/>
        </w:rPr>
        <w:fldChar w:fldCharType="separate"/>
      </w:r>
      <w:r>
        <w:rPr>
          <w:rFonts w:hint="eastAsia" w:ascii="仿宋" w:hAnsi="仿宋" w:eastAsia="仿宋" w:cs="仿宋"/>
          <w:szCs w:val="24"/>
        </w:rPr>
        <w:t xml:space="preserve">33. </w:t>
      </w:r>
      <w:r>
        <w:rPr>
          <w:rFonts w:hint="eastAsia" w:ascii="仿宋" w:hAnsi="仿宋" w:eastAsia="仿宋" w:cs="仿宋"/>
          <w:szCs w:val="24"/>
          <w:highlight w:val="none"/>
        </w:rPr>
        <w:t>需要补充的其他内容</w:t>
      </w:r>
      <w:r>
        <w:tab/>
      </w:r>
      <w:r>
        <w:fldChar w:fldCharType="begin"/>
      </w:r>
      <w:r>
        <w:instrText xml:space="preserve"> PAGEREF _Toc2142 \h </w:instrText>
      </w:r>
      <w:r>
        <w:fldChar w:fldCharType="separate"/>
      </w:r>
      <w:r>
        <w:t>18</w:t>
      </w:r>
      <w:r>
        <w:fldChar w:fldCharType="end"/>
      </w:r>
      <w:r>
        <w:rPr>
          <w:rFonts w:hint="eastAsia" w:ascii="仿宋" w:hAnsi="仿宋" w:eastAsia="仿宋" w:cs="仿宋"/>
          <w:color w:val="auto"/>
          <w:highlight w:val="none"/>
        </w:rPr>
        <w:fldChar w:fldCharType="end"/>
      </w:r>
    </w:p>
    <w:p w14:paraId="2E9A4428">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_Toc3366 </w:instrText>
      </w:r>
      <w:r>
        <w:rPr>
          <w:rFonts w:hint="eastAsia" w:ascii="仿宋" w:hAnsi="仿宋" w:eastAsia="仿宋" w:cs="仿宋"/>
          <w:highlight w:val="none"/>
        </w:rPr>
        <w:fldChar w:fldCharType="separate"/>
      </w:r>
      <w:r>
        <w:rPr>
          <w:rFonts w:hint="eastAsia" w:ascii="仿宋" w:hAnsi="仿宋" w:eastAsia="仿宋" w:cs="仿宋"/>
          <w:szCs w:val="32"/>
          <w:highlight w:val="none"/>
        </w:rPr>
        <w:t>第三章  合同书样式及主要条款</w:t>
      </w:r>
      <w:r>
        <w:tab/>
      </w:r>
      <w:r>
        <w:fldChar w:fldCharType="begin"/>
      </w:r>
      <w:r>
        <w:instrText xml:space="preserve"> PAGEREF _Toc3366 \h </w:instrText>
      </w:r>
      <w:r>
        <w:fldChar w:fldCharType="separate"/>
      </w:r>
      <w:r>
        <w:t>19</w:t>
      </w:r>
      <w:r>
        <w:fldChar w:fldCharType="end"/>
      </w:r>
      <w:r>
        <w:rPr>
          <w:rFonts w:hint="eastAsia" w:ascii="仿宋" w:hAnsi="仿宋" w:eastAsia="仿宋" w:cs="仿宋"/>
          <w:color w:val="auto"/>
          <w:highlight w:val="none"/>
        </w:rPr>
        <w:fldChar w:fldCharType="end"/>
      </w:r>
    </w:p>
    <w:p w14:paraId="0F711879">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_Toc29223 </w:instrText>
      </w:r>
      <w:r>
        <w:rPr>
          <w:rFonts w:hint="eastAsia" w:ascii="仿宋" w:hAnsi="仿宋" w:eastAsia="仿宋" w:cs="仿宋"/>
          <w:highlight w:val="none"/>
        </w:rPr>
        <w:fldChar w:fldCharType="separate"/>
      </w:r>
      <w:r>
        <w:rPr>
          <w:rFonts w:hint="eastAsia" w:ascii="仿宋" w:hAnsi="仿宋" w:eastAsia="仿宋" w:cs="仿宋"/>
          <w:szCs w:val="32"/>
          <w:highlight w:val="none"/>
        </w:rPr>
        <w:t>第四章  投标文件格式</w:t>
      </w:r>
      <w:r>
        <w:tab/>
      </w:r>
      <w:r>
        <w:fldChar w:fldCharType="begin"/>
      </w:r>
      <w:r>
        <w:instrText xml:space="preserve"> PAGEREF _Toc29223 \h </w:instrText>
      </w:r>
      <w:r>
        <w:fldChar w:fldCharType="separate"/>
      </w:r>
      <w:r>
        <w:t>32</w:t>
      </w:r>
      <w:r>
        <w:fldChar w:fldCharType="end"/>
      </w:r>
      <w:r>
        <w:rPr>
          <w:rFonts w:hint="eastAsia" w:ascii="仿宋" w:hAnsi="仿宋" w:eastAsia="仿宋" w:cs="仿宋"/>
          <w:color w:val="auto"/>
          <w:highlight w:val="none"/>
        </w:rPr>
        <w:fldChar w:fldCharType="end"/>
      </w:r>
    </w:p>
    <w:p w14:paraId="3376B4DA">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_Toc24073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一、开标一览表</w:t>
      </w:r>
      <w:r>
        <w:tab/>
      </w:r>
      <w:r>
        <w:fldChar w:fldCharType="begin"/>
      </w:r>
      <w:r>
        <w:instrText xml:space="preserve"> PAGEREF _Toc24073 \h </w:instrText>
      </w:r>
      <w:r>
        <w:fldChar w:fldCharType="separate"/>
      </w:r>
      <w:r>
        <w:t>32</w:t>
      </w:r>
      <w:r>
        <w:fldChar w:fldCharType="end"/>
      </w:r>
      <w:r>
        <w:rPr>
          <w:rFonts w:hint="eastAsia" w:ascii="仿宋" w:hAnsi="仿宋" w:eastAsia="仿宋" w:cs="仿宋"/>
          <w:color w:val="auto"/>
          <w:highlight w:val="none"/>
        </w:rPr>
        <w:fldChar w:fldCharType="end"/>
      </w:r>
    </w:p>
    <w:p w14:paraId="2CE00089">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_Toc10976 </w:instrText>
      </w:r>
      <w:r>
        <w:rPr>
          <w:rFonts w:hint="eastAsia" w:ascii="仿宋" w:hAnsi="仿宋" w:eastAsia="仿宋" w:cs="仿宋"/>
          <w:highlight w:val="none"/>
        </w:rPr>
        <w:fldChar w:fldCharType="separate"/>
      </w:r>
      <w:r>
        <w:rPr>
          <w:rFonts w:hint="eastAsia" w:ascii="仿宋" w:hAnsi="仿宋" w:eastAsia="仿宋" w:cs="仿宋"/>
          <w:szCs w:val="28"/>
        </w:rPr>
        <w:t xml:space="preserve">二、 </w:t>
      </w:r>
      <w:r>
        <w:rPr>
          <w:rFonts w:hint="eastAsia" w:ascii="仿宋" w:hAnsi="仿宋" w:eastAsia="仿宋" w:cs="仿宋"/>
          <w:szCs w:val="28"/>
          <w:highlight w:val="none"/>
        </w:rPr>
        <w:t>投标文件资格审查部分格式</w:t>
      </w:r>
      <w:r>
        <w:tab/>
      </w:r>
      <w:r>
        <w:fldChar w:fldCharType="begin"/>
      </w:r>
      <w:r>
        <w:instrText xml:space="preserve"> PAGEREF _Toc10976 \h </w:instrText>
      </w:r>
      <w:r>
        <w:fldChar w:fldCharType="separate"/>
      </w:r>
      <w:r>
        <w:t>33</w:t>
      </w:r>
      <w:r>
        <w:fldChar w:fldCharType="end"/>
      </w:r>
      <w:r>
        <w:rPr>
          <w:rFonts w:hint="eastAsia" w:ascii="仿宋" w:hAnsi="仿宋" w:eastAsia="仿宋" w:cs="仿宋"/>
          <w:color w:val="auto"/>
          <w:highlight w:val="none"/>
        </w:rPr>
        <w:fldChar w:fldCharType="end"/>
      </w:r>
    </w:p>
    <w:p w14:paraId="09CF8A6C">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_Toc12118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（一）具有独立承担民事责任的能力</w:t>
      </w:r>
      <w:r>
        <w:tab/>
      </w:r>
      <w:r>
        <w:fldChar w:fldCharType="begin"/>
      </w:r>
      <w:r>
        <w:instrText xml:space="preserve"> PAGEREF _Toc12118 \h </w:instrText>
      </w:r>
      <w:r>
        <w:fldChar w:fldCharType="separate"/>
      </w:r>
      <w:r>
        <w:t>33</w:t>
      </w:r>
      <w:r>
        <w:fldChar w:fldCharType="end"/>
      </w:r>
      <w:r>
        <w:rPr>
          <w:rFonts w:hint="eastAsia" w:ascii="仿宋" w:hAnsi="仿宋" w:eastAsia="仿宋" w:cs="仿宋"/>
          <w:color w:val="auto"/>
          <w:highlight w:val="none"/>
        </w:rPr>
        <w:fldChar w:fldCharType="end"/>
      </w:r>
    </w:p>
    <w:p w14:paraId="3C7C2093">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_Toc19378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（二）具有良好的商业信誉和健全的财务会计制度</w:t>
      </w:r>
      <w:r>
        <w:tab/>
      </w:r>
      <w:r>
        <w:fldChar w:fldCharType="begin"/>
      </w:r>
      <w:r>
        <w:instrText xml:space="preserve"> PAGEREF _Toc19378 \h </w:instrText>
      </w:r>
      <w:r>
        <w:fldChar w:fldCharType="separate"/>
      </w:r>
      <w:r>
        <w:t>33</w:t>
      </w:r>
      <w:r>
        <w:fldChar w:fldCharType="end"/>
      </w:r>
      <w:r>
        <w:rPr>
          <w:rFonts w:hint="eastAsia" w:ascii="仿宋" w:hAnsi="仿宋" w:eastAsia="仿宋" w:cs="仿宋"/>
          <w:color w:val="auto"/>
          <w:highlight w:val="none"/>
        </w:rPr>
        <w:fldChar w:fldCharType="end"/>
      </w:r>
    </w:p>
    <w:p w14:paraId="7C440182">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_Toc31058 </w:instrText>
      </w:r>
      <w:r>
        <w:rPr>
          <w:rFonts w:hint="eastAsia" w:ascii="仿宋" w:hAnsi="仿宋" w:eastAsia="仿宋" w:cs="仿宋"/>
          <w:highlight w:val="none"/>
        </w:rPr>
        <w:fldChar w:fldCharType="separate"/>
      </w:r>
      <w:r>
        <w:rPr>
          <w:rFonts w:hint="eastAsia" w:ascii="仿宋" w:hAnsi="仿宋" w:eastAsia="仿宋" w:cs="仿宋"/>
          <w:szCs w:val="28"/>
          <w:highlight w:val="none"/>
        </w:rPr>
        <w:t>（三）具有履行合同所必需的设备和专业技术能力</w:t>
      </w:r>
      <w:r>
        <w:tab/>
      </w:r>
      <w:r>
        <w:fldChar w:fldCharType="begin"/>
      </w:r>
      <w:r>
        <w:instrText xml:space="preserve"> PAGEREF _Toc31058 \h </w:instrText>
      </w:r>
      <w:r>
        <w:fldChar w:fldCharType="separate"/>
      </w:r>
      <w:r>
        <w:t>33</w:t>
      </w:r>
      <w:r>
        <w:fldChar w:fldCharType="end"/>
      </w:r>
      <w:r>
        <w:rPr>
          <w:rFonts w:hint="eastAsia" w:ascii="仿宋" w:hAnsi="仿宋" w:eastAsia="仿宋" w:cs="仿宋"/>
          <w:color w:val="auto"/>
          <w:highlight w:val="none"/>
        </w:rPr>
        <w:fldChar w:fldCharType="end"/>
      </w:r>
    </w:p>
    <w:p w14:paraId="738E0C73">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_Toc10380 </w:instrText>
      </w:r>
      <w:r>
        <w:rPr>
          <w:rFonts w:hint="eastAsia" w:ascii="仿宋" w:hAnsi="仿宋" w:eastAsia="仿宋" w:cs="仿宋"/>
          <w:highlight w:val="none"/>
        </w:rPr>
        <w:fldChar w:fldCharType="separate"/>
      </w:r>
      <w:r>
        <w:rPr>
          <w:rFonts w:hint="eastAsia" w:ascii="仿宋" w:hAnsi="仿宋" w:eastAsia="仿宋" w:cs="仿宋"/>
          <w:szCs w:val="28"/>
          <w:highlight w:val="none"/>
        </w:rPr>
        <w:t>（四）有依法缴纳税收和社会保障资金的良好记录</w:t>
      </w:r>
      <w:r>
        <w:tab/>
      </w:r>
      <w:r>
        <w:fldChar w:fldCharType="begin"/>
      </w:r>
      <w:r>
        <w:instrText xml:space="preserve"> PAGEREF _Toc10380 \h </w:instrText>
      </w:r>
      <w:r>
        <w:fldChar w:fldCharType="separate"/>
      </w:r>
      <w:r>
        <w:t>33</w:t>
      </w:r>
      <w:r>
        <w:fldChar w:fldCharType="end"/>
      </w:r>
      <w:r>
        <w:rPr>
          <w:rFonts w:hint="eastAsia" w:ascii="仿宋" w:hAnsi="仿宋" w:eastAsia="仿宋" w:cs="仿宋"/>
          <w:color w:val="auto"/>
          <w:highlight w:val="none"/>
        </w:rPr>
        <w:fldChar w:fldCharType="end"/>
      </w:r>
    </w:p>
    <w:p w14:paraId="2B3502C4">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_Toc29186 </w:instrText>
      </w:r>
      <w:r>
        <w:rPr>
          <w:rFonts w:hint="eastAsia" w:ascii="仿宋" w:hAnsi="仿宋" w:eastAsia="仿宋" w:cs="仿宋"/>
          <w:highlight w:val="none"/>
        </w:rPr>
        <w:fldChar w:fldCharType="separate"/>
      </w:r>
      <w:r>
        <w:rPr>
          <w:rFonts w:hint="eastAsia" w:ascii="仿宋" w:hAnsi="仿宋" w:eastAsia="仿宋" w:cs="仿宋"/>
          <w:szCs w:val="28"/>
          <w:highlight w:val="none"/>
        </w:rPr>
        <w:t>（五）参加政府采购活动前三年内，在经营活动中没有重大违法记录</w:t>
      </w:r>
      <w:r>
        <w:tab/>
      </w:r>
      <w:r>
        <w:fldChar w:fldCharType="begin"/>
      </w:r>
      <w:r>
        <w:instrText xml:space="preserve"> PAGEREF _Toc29186 \h </w:instrText>
      </w:r>
      <w:r>
        <w:fldChar w:fldCharType="separate"/>
      </w:r>
      <w:r>
        <w:t>33</w:t>
      </w:r>
      <w:r>
        <w:fldChar w:fldCharType="end"/>
      </w:r>
      <w:r>
        <w:rPr>
          <w:rFonts w:hint="eastAsia" w:ascii="仿宋" w:hAnsi="仿宋" w:eastAsia="仿宋" w:cs="仿宋"/>
          <w:color w:val="auto"/>
          <w:highlight w:val="none"/>
        </w:rPr>
        <w:fldChar w:fldCharType="end"/>
      </w:r>
    </w:p>
    <w:p w14:paraId="3A8F40A1">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_Toc20962 </w:instrText>
      </w:r>
      <w:r>
        <w:rPr>
          <w:rFonts w:hint="eastAsia" w:ascii="仿宋" w:hAnsi="仿宋" w:eastAsia="仿宋" w:cs="仿宋"/>
          <w:highlight w:val="none"/>
        </w:rPr>
        <w:fldChar w:fldCharType="separate"/>
      </w:r>
      <w:r>
        <w:rPr>
          <w:rFonts w:hint="eastAsia" w:ascii="仿宋" w:hAnsi="仿宋" w:eastAsia="仿宋" w:cs="仿宋"/>
          <w:szCs w:val="28"/>
          <w:highlight w:val="none"/>
        </w:rPr>
        <w:t>（六）法律、行政法规规定的其他条件</w:t>
      </w:r>
      <w:r>
        <w:tab/>
      </w:r>
      <w:r>
        <w:fldChar w:fldCharType="begin"/>
      </w:r>
      <w:r>
        <w:instrText xml:space="preserve"> PAGEREF _Toc20962 \h </w:instrText>
      </w:r>
      <w:r>
        <w:fldChar w:fldCharType="separate"/>
      </w:r>
      <w:r>
        <w:t>33</w:t>
      </w:r>
      <w:r>
        <w:fldChar w:fldCharType="end"/>
      </w:r>
      <w:r>
        <w:rPr>
          <w:rFonts w:hint="eastAsia" w:ascii="仿宋" w:hAnsi="仿宋" w:eastAsia="仿宋" w:cs="仿宋"/>
          <w:color w:val="auto"/>
          <w:highlight w:val="none"/>
        </w:rPr>
        <w:fldChar w:fldCharType="end"/>
      </w:r>
    </w:p>
    <w:p w14:paraId="04D484CF">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_Toc30827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八</w:t>
      </w:r>
      <w:r>
        <w:rPr>
          <w:rFonts w:hint="eastAsia" w:ascii="仿宋" w:hAnsi="仿宋" w:eastAsia="仿宋" w:cs="仿宋"/>
          <w:szCs w:val="28"/>
          <w:highlight w:val="none"/>
        </w:rPr>
        <w:t>）本项目的特定资格要求</w:t>
      </w:r>
      <w:r>
        <w:tab/>
      </w:r>
      <w:r>
        <w:fldChar w:fldCharType="begin"/>
      </w:r>
      <w:r>
        <w:instrText xml:space="preserve"> PAGEREF _Toc30827 \h </w:instrText>
      </w:r>
      <w:r>
        <w:fldChar w:fldCharType="separate"/>
      </w:r>
      <w:r>
        <w:t>35</w:t>
      </w:r>
      <w:r>
        <w:fldChar w:fldCharType="end"/>
      </w:r>
      <w:r>
        <w:rPr>
          <w:rFonts w:hint="eastAsia" w:ascii="仿宋" w:hAnsi="仿宋" w:eastAsia="仿宋" w:cs="仿宋"/>
          <w:color w:val="auto"/>
          <w:highlight w:val="none"/>
        </w:rPr>
        <w:fldChar w:fldCharType="end"/>
      </w:r>
    </w:p>
    <w:p w14:paraId="473A043C">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_Toc387 </w:instrText>
      </w:r>
      <w:r>
        <w:rPr>
          <w:rFonts w:hint="eastAsia" w:ascii="仿宋" w:hAnsi="仿宋" w:eastAsia="仿宋" w:cs="仿宋"/>
          <w:highlight w:val="none"/>
        </w:rPr>
        <w:fldChar w:fldCharType="separate"/>
      </w:r>
      <w:r>
        <w:rPr>
          <w:rFonts w:hint="eastAsia" w:ascii="仿宋" w:hAnsi="仿宋" w:eastAsia="仿宋" w:cs="仿宋"/>
          <w:szCs w:val="28"/>
          <w:highlight w:val="none"/>
        </w:rPr>
        <w:t>三、投标文件商务技术部分格式</w:t>
      </w:r>
      <w:r>
        <w:tab/>
      </w:r>
      <w:r>
        <w:fldChar w:fldCharType="begin"/>
      </w:r>
      <w:r>
        <w:instrText xml:space="preserve"> PAGEREF _Toc387 \h </w:instrText>
      </w:r>
      <w:r>
        <w:fldChar w:fldCharType="separate"/>
      </w:r>
      <w:r>
        <w:t>36</w:t>
      </w:r>
      <w:r>
        <w:fldChar w:fldCharType="end"/>
      </w:r>
      <w:r>
        <w:rPr>
          <w:rFonts w:hint="eastAsia" w:ascii="仿宋" w:hAnsi="仿宋" w:eastAsia="仿宋" w:cs="仿宋"/>
          <w:color w:val="auto"/>
          <w:highlight w:val="none"/>
        </w:rPr>
        <w:fldChar w:fldCharType="end"/>
      </w:r>
    </w:p>
    <w:p w14:paraId="2E3D70B2">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_Toc17044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（一）法定代表人身份证明书</w:t>
      </w:r>
      <w:r>
        <w:tab/>
      </w:r>
      <w:r>
        <w:fldChar w:fldCharType="begin"/>
      </w:r>
      <w:r>
        <w:instrText xml:space="preserve"> PAGEREF _Toc17044 \h </w:instrText>
      </w:r>
      <w:r>
        <w:fldChar w:fldCharType="separate"/>
      </w:r>
      <w:r>
        <w:t>36</w:t>
      </w:r>
      <w:r>
        <w:fldChar w:fldCharType="end"/>
      </w:r>
      <w:r>
        <w:rPr>
          <w:rFonts w:hint="eastAsia" w:ascii="仿宋" w:hAnsi="仿宋" w:eastAsia="仿宋" w:cs="仿宋"/>
          <w:color w:val="auto"/>
          <w:highlight w:val="none"/>
        </w:rPr>
        <w:fldChar w:fldCharType="end"/>
      </w:r>
    </w:p>
    <w:p w14:paraId="6662D868">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_Toc13059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（二）法定代表人授权委托书</w:t>
      </w:r>
      <w:r>
        <w:tab/>
      </w:r>
      <w:r>
        <w:fldChar w:fldCharType="begin"/>
      </w:r>
      <w:r>
        <w:instrText xml:space="preserve"> PAGEREF _Toc13059 \h </w:instrText>
      </w:r>
      <w:r>
        <w:fldChar w:fldCharType="separate"/>
      </w:r>
      <w:r>
        <w:t>37</w:t>
      </w:r>
      <w:r>
        <w:fldChar w:fldCharType="end"/>
      </w:r>
      <w:r>
        <w:rPr>
          <w:rFonts w:hint="eastAsia" w:ascii="仿宋" w:hAnsi="仿宋" w:eastAsia="仿宋" w:cs="仿宋"/>
          <w:color w:val="auto"/>
          <w:highlight w:val="none"/>
        </w:rPr>
        <w:fldChar w:fldCharType="end"/>
      </w:r>
    </w:p>
    <w:p w14:paraId="0EFFA5B7">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_Toc11460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三</w:t>
      </w:r>
      <w:r>
        <w:rPr>
          <w:rFonts w:hint="eastAsia" w:ascii="仿宋" w:hAnsi="仿宋" w:eastAsia="仿宋" w:cs="仿宋"/>
          <w:szCs w:val="28"/>
          <w:highlight w:val="none"/>
        </w:rPr>
        <w:t>）投标人承诺书</w:t>
      </w:r>
      <w:r>
        <w:tab/>
      </w:r>
      <w:r>
        <w:fldChar w:fldCharType="begin"/>
      </w:r>
      <w:r>
        <w:instrText xml:space="preserve"> PAGEREF _Toc11460 \h </w:instrText>
      </w:r>
      <w:r>
        <w:fldChar w:fldCharType="separate"/>
      </w:r>
      <w:r>
        <w:t>38</w:t>
      </w:r>
      <w:r>
        <w:fldChar w:fldCharType="end"/>
      </w:r>
      <w:r>
        <w:rPr>
          <w:rFonts w:hint="eastAsia" w:ascii="仿宋" w:hAnsi="仿宋" w:eastAsia="仿宋" w:cs="仿宋"/>
          <w:color w:val="auto"/>
          <w:highlight w:val="none"/>
        </w:rPr>
        <w:fldChar w:fldCharType="end"/>
      </w:r>
    </w:p>
    <w:p w14:paraId="11D5FB2D">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_Toc27783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四</w:t>
      </w:r>
      <w:r>
        <w:rPr>
          <w:rFonts w:hint="eastAsia" w:ascii="仿宋" w:hAnsi="仿宋" w:eastAsia="仿宋" w:cs="仿宋"/>
          <w:szCs w:val="28"/>
          <w:highlight w:val="none"/>
        </w:rPr>
        <w:t>）投标函</w:t>
      </w:r>
      <w:r>
        <w:tab/>
      </w:r>
      <w:r>
        <w:fldChar w:fldCharType="begin"/>
      </w:r>
      <w:r>
        <w:instrText xml:space="preserve"> PAGEREF _Toc27783 \h </w:instrText>
      </w:r>
      <w:r>
        <w:fldChar w:fldCharType="separate"/>
      </w:r>
      <w:r>
        <w:t>39</w:t>
      </w:r>
      <w:r>
        <w:fldChar w:fldCharType="end"/>
      </w:r>
      <w:r>
        <w:rPr>
          <w:rFonts w:hint="eastAsia" w:ascii="仿宋" w:hAnsi="仿宋" w:eastAsia="仿宋" w:cs="仿宋"/>
          <w:color w:val="auto"/>
          <w:highlight w:val="none"/>
        </w:rPr>
        <w:fldChar w:fldCharType="end"/>
      </w:r>
    </w:p>
    <w:p w14:paraId="277B62DA">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_Toc15257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五</w:t>
      </w:r>
      <w:r>
        <w:rPr>
          <w:rFonts w:hint="eastAsia" w:ascii="仿宋" w:hAnsi="仿宋" w:eastAsia="仿宋" w:cs="仿宋"/>
          <w:szCs w:val="28"/>
          <w:highlight w:val="none"/>
        </w:rPr>
        <w:t>）投标</w:t>
      </w:r>
      <w:r>
        <w:rPr>
          <w:rFonts w:hint="eastAsia" w:ascii="仿宋" w:hAnsi="仿宋" w:eastAsia="仿宋" w:cs="仿宋"/>
          <w:szCs w:val="28"/>
          <w:highlight w:val="none"/>
          <w:lang w:val="en-US" w:eastAsia="zh-CN"/>
        </w:rPr>
        <w:t>分项表</w:t>
      </w:r>
      <w:r>
        <w:tab/>
      </w:r>
      <w:r>
        <w:fldChar w:fldCharType="begin"/>
      </w:r>
      <w:r>
        <w:instrText xml:space="preserve"> PAGEREF _Toc15257 \h </w:instrText>
      </w:r>
      <w:r>
        <w:fldChar w:fldCharType="separate"/>
      </w:r>
      <w:r>
        <w:t>40</w:t>
      </w:r>
      <w:r>
        <w:fldChar w:fldCharType="end"/>
      </w:r>
      <w:r>
        <w:rPr>
          <w:rFonts w:hint="eastAsia" w:ascii="仿宋" w:hAnsi="仿宋" w:eastAsia="仿宋" w:cs="仿宋"/>
          <w:color w:val="auto"/>
          <w:highlight w:val="none"/>
        </w:rPr>
        <w:fldChar w:fldCharType="end"/>
      </w:r>
    </w:p>
    <w:p w14:paraId="1554CF24">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_Toc8961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六</w:t>
      </w:r>
      <w:r>
        <w:rPr>
          <w:rFonts w:hint="eastAsia" w:ascii="仿宋" w:hAnsi="仿宋" w:eastAsia="仿宋" w:cs="仿宋"/>
          <w:szCs w:val="28"/>
          <w:highlight w:val="none"/>
        </w:rPr>
        <w:t>）商务条款偏离表</w:t>
      </w:r>
      <w:r>
        <w:tab/>
      </w:r>
      <w:r>
        <w:fldChar w:fldCharType="begin"/>
      </w:r>
      <w:r>
        <w:instrText xml:space="preserve"> PAGEREF _Toc8961 \h </w:instrText>
      </w:r>
      <w:r>
        <w:fldChar w:fldCharType="separate"/>
      </w:r>
      <w:r>
        <w:t>41</w:t>
      </w:r>
      <w:r>
        <w:fldChar w:fldCharType="end"/>
      </w:r>
      <w:r>
        <w:rPr>
          <w:rFonts w:hint="eastAsia" w:ascii="仿宋" w:hAnsi="仿宋" w:eastAsia="仿宋" w:cs="仿宋"/>
          <w:color w:val="auto"/>
          <w:highlight w:val="none"/>
        </w:rPr>
        <w:fldChar w:fldCharType="end"/>
      </w:r>
    </w:p>
    <w:p w14:paraId="0424BFC0">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_Toc12262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七</w:t>
      </w:r>
      <w:r>
        <w:rPr>
          <w:rFonts w:hint="eastAsia" w:ascii="仿宋" w:hAnsi="仿宋" w:eastAsia="仿宋" w:cs="仿宋"/>
          <w:szCs w:val="28"/>
          <w:highlight w:val="none"/>
        </w:rPr>
        <w:t>）技术规格偏离表</w:t>
      </w:r>
      <w:r>
        <w:tab/>
      </w:r>
      <w:r>
        <w:fldChar w:fldCharType="begin"/>
      </w:r>
      <w:r>
        <w:instrText xml:space="preserve"> PAGEREF _Toc12262 \h </w:instrText>
      </w:r>
      <w:r>
        <w:fldChar w:fldCharType="separate"/>
      </w:r>
      <w:r>
        <w:t>42</w:t>
      </w:r>
      <w:r>
        <w:fldChar w:fldCharType="end"/>
      </w:r>
      <w:r>
        <w:rPr>
          <w:rFonts w:hint="eastAsia" w:ascii="仿宋" w:hAnsi="仿宋" w:eastAsia="仿宋" w:cs="仿宋"/>
          <w:color w:val="auto"/>
          <w:highlight w:val="none"/>
        </w:rPr>
        <w:fldChar w:fldCharType="end"/>
      </w:r>
    </w:p>
    <w:p w14:paraId="624F275A">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_Toc15630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九</w:t>
      </w:r>
      <w:r>
        <w:rPr>
          <w:rFonts w:hint="eastAsia" w:ascii="仿宋" w:hAnsi="仿宋" w:eastAsia="仿宋" w:cs="仿宋"/>
          <w:szCs w:val="28"/>
          <w:highlight w:val="none"/>
        </w:rPr>
        <w:t>）类似业绩表</w:t>
      </w:r>
      <w:r>
        <w:tab/>
      </w:r>
      <w:r>
        <w:fldChar w:fldCharType="begin"/>
      </w:r>
      <w:r>
        <w:instrText xml:space="preserve"> PAGEREF _Toc15630 \h </w:instrText>
      </w:r>
      <w:r>
        <w:fldChar w:fldCharType="separate"/>
      </w:r>
      <w:r>
        <w:t>44</w:t>
      </w:r>
      <w:r>
        <w:fldChar w:fldCharType="end"/>
      </w:r>
      <w:r>
        <w:rPr>
          <w:rFonts w:hint="eastAsia" w:ascii="仿宋" w:hAnsi="仿宋" w:eastAsia="仿宋" w:cs="仿宋"/>
          <w:color w:val="auto"/>
          <w:highlight w:val="none"/>
        </w:rPr>
        <w:fldChar w:fldCharType="end"/>
      </w:r>
    </w:p>
    <w:p w14:paraId="4D5AEFE1">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_Toc17023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十</w:t>
      </w:r>
      <w:r>
        <w:rPr>
          <w:rFonts w:hint="eastAsia" w:ascii="仿宋" w:hAnsi="仿宋" w:eastAsia="仿宋" w:cs="仿宋"/>
          <w:szCs w:val="28"/>
          <w:highlight w:val="none"/>
        </w:rPr>
        <w:t>）技术文件</w:t>
      </w:r>
      <w:r>
        <w:tab/>
      </w:r>
      <w:r>
        <w:fldChar w:fldCharType="begin"/>
      </w:r>
      <w:r>
        <w:instrText xml:space="preserve"> PAGEREF _Toc17023 \h </w:instrText>
      </w:r>
      <w:r>
        <w:fldChar w:fldCharType="separate"/>
      </w:r>
      <w:r>
        <w:t>45</w:t>
      </w:r>
      <w:r>
        <w:fldChar w:fldCharType="end"/>
      </w:r>
      <w:r>
        <w:rPr>
          <w:rFonts w:hint="eastAsia" w:ascii="仿宋" w:hAnsi="仿宋" w:eastAsia="仿宋" w:cs="仿宋"/>
          <w:color w:val="auto"/>
          <w:highlight w:val="none"/>
        </w:rPr>
        <w:fldChar w:fldCharType="end"/>
      </w:r>
    </w:p>
    <w:p w14:paraId="0555AEBF">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_Toc4639 </w:instrText>
      </w:r>
      <w:r>
        <w:rPr>
          <w:rFonts w:hint="eastAsia" w:ascii="仿宋" w:hAnsi="仿宋" w:eastAsia="仿宋" w:cs="仿宋"/>
          <w:highlight w:val="none"/>
        </w:rPr>
        <w:fldChar w:fldCharType="separate"/>
      </w:r>
      <w:r>
        <w:rPr>
          <w:rFonts w:hint="eastAsia" w:ascii="仿宋" w:hAnsi="仿宋" w:eastAsia="仿宋" w:cs="仿宋"/>
          <w:szCs w:val="28"/>
          <w:highlight w:val="none"/>
        </w:rPr>
        <w:t>（十</w:t>
      </w:r>
      <w:r>
        <w:rPr>
          <w:rFonts w:hint="eastAsia" w:ascii="仿宋" w:hAnsi="仿宋" w:eastAsia="仿宋" w:cs="仿宋"/>
          <w:szCs w:val="28"/>
          <w:highlight w:val="none"/>
          <w:lang w:val="en-US" w:eastAsia="zh-CN"/>
        </w:rPr>
        <w:t>一</w:t>
      </w:r>
      <w:r>
        <w:rPr>
          <w:rFonts w:hint="eastAsia" w:ascii="仿宋" w:hAnsi="仿宋" w:eastAsia="仿宋" w:cs="仿宋"/>
          <w:szCs w:val="28"/>
          <w:highlight w:val="none"/>
        </w:rPr>
        <w:t>）构成投标文件的</w:t>
      </w:r>
      <w:r>
        <w:rPr>
          <w:rFonts w:hint="eastAsia" w:ascii="仿宋" w:hAnsi="仿宋" w:eastAsia="仿宋" w:cs="仿宋"/>
          <w:szCs w:val="28"/>
          <w:highlight w:val="none"/>
          <w:lang w:eastAsia="zh-CN"/>
        </w:rPr>
        <w:t>其他</w:t>
      </w:r>
      <w:r>
        <w:rPr>
          <w:rFonts w:hint="eastAsia" w:ascii="仿宋" w:hAnsi="仿宋" w:eastAsia="仿宋" w:cs="仿宋"/>
          <w:szCs w:val="28"/>
          <w:highlight w:val="none"/>
        </w:rPr>
        <w:t>资料</w:t>
      </w:r>
      <w:r>
        <w:tab/>
      </w:r>
      <w:r>
        <w:fldChar w:fldCharType="begin"/>
      </w:r>
      <w:r>
        <w:instrText xml:space="preserve"> PAGEREF _Toc4639 \h </w:instrText>
      </w:r>
      <w:r>
        <w:fldChar w:fldCharType="separate"/>
      </w:r>
      <w:r>
        <w:t>46</w:t>
      </w:r>
      <w:r>
        <w:fldChar w:fldCharType="end"/>
      </w:r>
      <w:r>
        <w:rPr>
          <w:rFonts w:hint="eastAsia" w:ascii="仿宋" w:hAnsi="仿宋" w:eastAsia="仿宋" w:cs="仿宋"/>
          <w:color w:val="auto"/>
          <w:highlight w:val="none"/>
        </w:rPr>
        <w:fldChar w:fldCharType="end"/>
      </w:r>
    </w:p>
    <w:p w14:paraId="379A0BB0">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_Toc3927 </w:instrText>
      </w:r>
      <w:r>
        <w:rPr>
          <w:rFonts w:hint="eastAsia" w:ascii="仿宋" w:hAnsi="仿宋" w:eastAsia="仿宋" w:cs="仿宋"/>
          <w:highlight w:val="none"/>
        </w:rPr>
        <w:fldChar w:fldCharType="separate"/>
      </w:r>
      <w:r>
        <w:rPr>
          <w:rFonts w:hint="eastAsia" w:ascii="仿宋" w:hAnsi="仿宋" w:eastAsia="仿宋" w:cs="仿宋"/>
          <w:szCs w:val="32"/>
          <w:highlight w:val="none"/>
          <w:lang w:eastAsia="zh-CN"/>
        </w:rPr>
        <w:t>（</w:t>
      </w:r>
      <w:r>
        <w:rPr>
          <w:rFonts w:hint="eastAsia" w:ascii="仿宋" w:hAnsi="仿宋" w:eastAsia="仿宋" w:cs="仿宋"/>
          <w:szCs w:val="32"/>
          <w:highlight w:val="none"/>
          <w:lang w:val="en-US" w:eastAsia="zh-CN"/>
        </w:rPr>
        <w:t>十二</w:t>
      </w:r>
      <w:r>
        <w:rPr>
          <w:rFonts w:hint="eastAsia" w:ascii="仿宋" w:hAnsi="仿宋" w:eastAsia="仿宋" w:cs="仿宋"/>
          <w:szCs w:val="32"/>
          <w:highlight w:val="none"/>
          <w:lang w:eastAsia="zh-CN"/>
        </w:rPr>
        <w:t>）</w:t>
      </w:r>
      <w:r>
        <w:rPr>
          <w:rFonts w:hint="eastAsia" w:ascii="仿宋" w:hAnsi="仿宋" w:eastAsia="仿宋" w:cs="仿宋"/>
          <w:szCs w:val="32"/>
          <w:highlight w:val="none"/>
        </w:rPr>
        <w:t>关于符合本国产品标准的声明函</w:t>
      </w:r>
      <w:r>
        <w:tab/>
      </w:r>
      <w:r>
        <w:fldChar w:fldCharType="begin"/>
      </w:r>
      <w:r>
        <w:instrText xml:space="preserve"> PAGEREF _Toc3927 \h </w:instrText>
      </w:r>
      <w:r>
        <w:fldChar w:fldCharType="separate"/>
      </w:r>
      <w:r>
        <w:t>47</w:t>
      </w:r>
      <w:r>
        <w:fldChar w:fldCharType="end"/>
      </w:r>
      <w:r>
        <w:rPr>
          <w:rFonts w:hint="eastAsia" w:ascii="仿宋" w:hAnsi="仿宋" w:eastAsia="仿宋" w:cs="仿宋"/>
          <w:color w:val="auto"/>
          <w:highlight w:val="none"/>
        </w:rPr>
        <w:fldChar w:fldCharType="end"/>
      </w:r>
    </w:p>
    <w:p w14:paraId="66117C74">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_Toc28565 </w:instrText>
      </w:r>
      <w:r>
        <w:rPr>
          <w:rFonts w:hint="eastAsia" w:ascii="仿宋" w:hAnsi="仿宋" w:eastAsia="仿宋" w:cs="仿宋"/>
          <w:highlight w:val="none"/>
        </w:rPr>
        <w:fldChar w:fldCharType="separate"/>
      </w:r>
      <w:r>
        <w:rPr>
          <w:rFonts w:hint="eastAsia" w:ascii="仿宋" w:hAnsi="仿宋" w:eastAsia="仿宋" w:cs="仿宋"/>
          <w:szCs w:val="32"/>
          <w:highlight w:val="none"/>
        </w:rPr>
        <w:t>（十</w:t>
      </w:r>
      <w:r>
        <w:rPr>
          <w:rFonts w:hint="eastAsia" w:ascii="仿宋" w:hAnsi="仿宋" w:eastAsia="仿宋" w:cs="仿宋"/>
          <w:szCs w:val="32"/>
          <w:highlight w:val="none"/>
          <w:lang w:val="en-US" w:eastAsia="zh-CN"/>
        </w:rPr>
        <w:t>三</w:t>
      </w:r>
      <w:r>
        <w:rPr>
          <w:rFonts w:hint="eastAsia" w:ascii="仿宋" w:hAnsi="仿宋" w:eastAsia="仿宋" w:cs="仿宋"/>
          <w:szCs w:val="32"/>
          <w:highlight w:val="none"/>
        </w:rPr>
        <w:t>）残疾人福利性单位声明函</w:t>
      </w:r>
      <w:r>
        <w:rPr>
          <w:rFonts w:hint="eastAsia" w:ascii="仿宋" w:hAnsi="仿宋" w:eastAsia="仿宋" w:cs="仿宋"/>
          <w:szCs w:val="32"/>
          <w:highlight w:val="none"/>
          <w:lang w:eastAsia="zh-CN"/>
        </w:rPr>
        <w:t>、监狱企业</w:t>
      </w:r>
      <w:r>
        <w:tab/>
      </w:r>
      <w:r>
        <w:fldChar w:fldCharType="begin"/>
      </w:r>
      <w:r>
        <w:instrText xml:space="preserve"> PAGEREF _Toc28565 \h </w:instrText>
      </w:r>
      <w:r>
        <w:fldChar w:fldCharType="separate"/>
      </w:r>
      <w:r>
        <w:t>48</w:t>
      </w:r>
      <w:r>
        <w:fldChar w:fldCharType="end"/>
      </w:r>
      <w:r>
        <w:rPr>
          <w:rFonts w:hint="eastAsia" w:ascii="仿宋" w:hAnsi="仿宋" w:eastAsia="仿宋" w:cs="仿宋"/>
          <w:color w:val="auto"/>
          <w:highlight w:val="none"/>
        </w:rPr>
        <w:fldChar w:fldCharType="end"/>
      </w:r>
    </w:p>
    <w:p w14:paraId="053B5699">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_Toc12956 </w:instrText>
      </w:r>
      <w:r>
        <w:rPr>
          <w:rFonts w:hint="eastAsia" w:ascii="仿宋" w:hAnsi="仿宋" w:eastAsia="仿宋" w:cs="仿宋"/>
          <w:highlight w:val="none"/>
        </w:rPr>
        <w:fldChar w:fldCharType="separate"/>
      </w:r>
      <w:r>
        <w:rPr>
          <w:rFonts w:hint="eastAsia" w:ascii="仿宋" w:hAnsi="仿宋" w:eastAsia="仿宋" w:cs="仿宋"/>
          <w:highlight w:val="none"/>
        </w:rPr>
        <w:t>第五章  采购需求</w:t>
      </w:r>
      <w:r>
        <w:tab/>
      </w:r>
      <w:r>
        <w:fldChar w:fldCharType="begin"/>
      </w:r>
      <w:r>
        <w:instrText xml:space="preserve"> PAGEREF _Toc12956 \h </w:instrText>
      </w:r>
      <w:r>
        <w:fldChar w:fldCharType="separate"/>
      </w:r>
      <w:r>
        <w:t>51</w:t>
      </w:r>
      <w:r>
        <w:fldChar w:fldCharType="end"/>
      </w:r>
      <w:r>
        <w:rPr>
          <w:rFonts w:hint="eastAsia" w:ascii="仿宋" w:hAnsi="仿宋" w:eastAsia="仿宋" w:cs="仿宋"/>
          <w:color w:val="auto"/>
          <w:highlight w:val="none"/>
        </w:rPr>
        <w:fldChar w:fldCharType="end"/>
      </w:r>
    </w:p>
    <w:p w14:paraId="6443BD56">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_Toc15340 </w:instrText>
      </w:r>
      <w:r>
        <w:rPr>
          <w:rFonts w:hint="eastAsia" w:ascii="仿宋" w:hAnsi="仿宋" w:eastAsia="仿宋" w:cs="仿宋"/>
          <w:highlight w:val="none"/>
        </w:rPr>
        <w:fldChar w:fldCharType="separate"/>
      </w:r>
      <w:r>
        <w:rPr>
          <w:rFonts w:hint="eastAsia" w:ascii="仿宋" w:hAnsi="仿宋" w:eastAsia="仿宋" w:cs="仿宋"/>
          <w:szCs w:val="28"/>
          <w:highlight w:val="none"/>
        </w:rPr>
        <w:t>资格审查前附表</w:t>
      </w:r>
      <w:r>
        <w:tab/>
      </w:r>
      <w:r>
        <w:fldChar w:fldCharType="begin"/>
      </w:r>
      <w:r>
        <w:instrText xml:space="preserve"> PAGEREF _Toc15340 \h </w:instrText>
      </w:r>
      <w:r>
        <w:fldChar w:fldCharType="separate"/>
      </w:r>
      <w:r>
        <w:t>61</w:t>
      </w:r>
      <w:r>
        <w:fldChar w:fldCharType="end"/>
      </w:r>
      <w:r>
        <w:rPr>
          <w:rFonts w:hint="eastAsia" w:ascii="仿宋" w:hAnsi="仿宋" w:eastAsia="仿宋" w:cs="仿宋"/>
          <w:color w:val="auto"/>
          <w:highlight w:val="none"/>
        </w:rPr>
        <w:fldChar w:fldCharType="end"/>
      </w:r>
    </w:p>
    <w:p w14:paraId="4E26CB37">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_Toc28605 </w:instrText>
      </w:r>
      <w:r>
        <w:rPr>
          <w:rFonts w:hint="eastAsia" w:ascii="仿宋" w:hAnsi="仿宋" w:eastAsia="仿宋" w:cs="仿宋"/>
          <w:highlight w:val="none"/>
        </w:rPr>
        <w:fldChar w:fldCharType="separate"/>
      </w:r>
      <w:r>
        <w:rPr>
          <w:rFonts w:hint="eastAsia" w:ascii="仿宋" w:hAnsi="仿宋" w:eastAsia="仿宋" w:cs="仿宋"/>
          <w:szCs w:val="28"/>
          <w:highlight w:val="none"/>
        </w:rPr>
        <w:t>1. 资格审查</w:t>
      </w:r>
      <w:r>
        <w:tab/>
      </w:r>
      <w:r>
        <w:fldChar w:fldCharType="begin"/>
      </w:r>
      <w:r>
        <w:instrText xml:space="preserve"> PAGEREF _Toc28605 \h </w:instrText>
      </w:r>
      <w:r>
        <w:fldChar w:fldCharType="separate"/>
      </w:r>
      <w:r>
        <w:t>61</w:t>
      </w:r>
      <w:r>
        <w:fldChar w:fldCharType="end"/>
      </w:r>
      <w:r>
        <w:rPr>
          <w:rFonts w:hint="eastAsia" w:ascii="仿宋" w:hAnsi="仿宋" w:eastAsia="仿宋" w:cs="仿宋"/>
          <w:color w:val="auto"/>
          <w:highlight w:val="none"/>
        </w:rPr>
        <w:fldChar w:fldCharType="end"/>
      </w:r>
    </w:p>
    <w:p w14:paraId="5638CDA0">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_Toc20535 </w:instrText>
      </w:r>
      <w:r>
        <w:rPr>
          <w:rFonts w:hint="eastAsia" w:ascii="仿宋" w:hAnsi="仿宋" w:eastAsia="仿宋" w:cs="仿宋"/>
          <w:highlight w:val="none"/>
        </w:rPr>
        <w:fldChar w:fldCharType="separate"/>
      </w:r>
      <w:r>
        <w:rPr>
          <w:rFonts w:hint="eastAsia" w:ascii="仿宋" w:hAnsi="仿宋" w:eastAsia="仿宋" w:cs="仿宋"/>
          <w:szCs w:val="28"/>
          <w:highlight w:val="none"/>
        </w:rPr>
        <w:t>2. 资格审查标准</w:t>
      </w:r>
      <w:r>
        <w:tab/>
      </w:r>
      <w:r>
        <w:fldChar w:fldCharType="begin"/>
      </w:r>
      <w:r>
        <w:instrText xml:space="preserve"> PAGEREF _Toc20535 \h </w:instrText>
      </w:r>
      <w:r>
        <w:fldChar w:fldCharType="separate"/>
      </w:r>
      <w:r>
        <w:t>61</w:t>
      </w:r>
      <w:r>
        <w:fldChar w:fldCharType="end"/>
      </w:r>
      <w:r>
        <w:rPr>
          <w:rFonts w:hint="eastAsia" w:ascii="仿宋" w:hAnsi="仿宋" w:eastAsia="仿宋" w:cs="仿宋"/>
          <w:color w:val="auto"/>
          <w:highlight w:val="none"/>
        </w:rPr>
        <w:fldChar w:fldCharType="end"/>
      </w:r>
    </w:p>
    <w:p w14:paraId="2A484AFB">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_Toc14707 </w:instrText>
      </w:r>
      <w:r>
        <w:rPr>
          <w:rFonts w:hint="eastAsia" w:ascii="仿宋" w:hAnsi="仿宋" w:eastAsia="仿宋" w:cs="仿宋"/>
          <w:highlight w:val="none"/>
        </w:rPr>
        <w:fldChar w:fldCharType="separate"/>
      </w:r>
      <w:r>
        <w:rPr>
          <w:rFonts w:hint="eastAsia" w:ascii="仿宋" w:hAnsi="仿宋" w:eastAsia="仿宋" w:cs="仿宋"/>
          <w:szCs w:val="28"/>
          <w:highlight w:val="none"/>
        </w:rPr>
        <w:t>3. 资格审查程序</w:t>
      </w:r>
      <w:r>
        <w:tab/>
      </w:r>
      <w:r>
        <w:fldChar w:fldCharType="begin"/>
      </w:r>
      <w:r>
        <w:instrText xml:space="preserve"> PAGEREF _Toc14707 \h </w:instrText>
      </w:r>
      <w:r>
        <w:fldChar w:fldCharType="separate"/>
      </w:r>
      <w:r>
        <w:t>62</w:t>
      </w:r>
      <w:r>
        <w:fldChar w:fldCharType="end"/>
      </w:r>
      <w:r>
        <w:rPr>
          <w:rFonts w:hint="eastAsia" w:ascii="仿宋" w:hAnsi="仿宋" w:eastAsia="仿宋" w:cs="仿宋"/>
          <w:color w:val="auto"/>
          <w:highlight w:val="none"/>
        </w:rPr>
        <w:fldChar w:fldCharType="end"/>
      </w:r>
    </w:p>
    <w:p w14:paraId="6B262DEA">
      <w:pPr>
        <w:pStyle w:val="24"/>
        <w:tabs>
          <w:tab w:val="right" w:leader="dot" w:pos="935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_Toc8820 </w:instrText>
      </w:r>
      <w:r>
        <w:rPr>
          <w:rFonts w:hint="eastAsia" w:ascii="仿宋" w:hAnsi="仿宋" w:eastAsia="仿宋" w:cs="仿宋"/>
          <w:highlight w:val="none"/>
        </w:rPr>
        <w:fldChar w:fldCharType="separate"/>
      </w:r>
      <w:r>
        <w:rPr>
          <w:rFonts w:hint="eastAsia" w:ascii="仿宋" w:hAnsi="仿宋" w:eastAsia="仿宋" w:cs="仿宋"/>
          <w:highlight w:val="none"/>
        </w:rPr>
        <w:t>第七章  评标办法（综合评分法）</w:t>
      </w:r>
      <w:r>
        <w:tab/>
      </w:r>
      <w:r>
        <w:fldChar w:fldCharType="begin"/>
      </w:r>
      <w:r>
        <w:instrText xml:space="preserve"> PAGEREF _Toc8820 \h </w:instrText>
      </w:r>
      <w:r>
        <w:fldChar w:fldCharType="separate"/>
      </w:r>
      <w:r>
        <w:t>63</w:t>
      </w:r>
      <w:r>
        <w:fldChar w:fldCharType="end"/>
      </w:r>
      <w:r>
        <w:rPr>
          <w:rFonts w:hint="eastAsia" w:ascii="仿宋" w:hAnsi="仿宋" w:eastAsia="仿宋" w:cs="仿宋"/>
          <w:color w:val="auto"/>
          <w:highlight w:val="none"/>
        </w:rPr>
        <w:fldChar w:fldCharType="end"/>
      </w:r>
    </w:p>
    <w:p w14:paraId="668C8A0F">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_Toc27463 </w:instrText>
      </w:r>
      <w:r>
        <w:rPr>
          <w:rFonts w:hint="eastAsia" w:ascii="仿宋" w:hAnsi="仿宋" w:eastAsia="仿宋" w:cs="仿宋"/>
          <w:highlight w:val="none"/>
        </w:rPr>
        <w:fldChar w:fldCharType="separate"/>
      </w:r>
      <w:r>
        <w:rPr>
          <w:rFonts w:hint="eastAsia" w:ascii="仿宋" w:hAnsi="仿宋" w:eastAsia="仿宋" w:cs="仿宋"/>
          <w:szCs w:val="28"/>
          <w:highlight w:val="none"/>
        </w:rPr>
        <w:t>评标办法前附表</w:t>
      </w:r>
      <w:r>
        <w:tab/>
      </w:r>
      <w:r>
        <w:fldChar w:fldCharType="begin"/>
      </w:r>
      <w:r>
        <w:instrText xml:space="preserve"> PAGEREF _Toc27463 \h </w:instrText>
      </w:r>
      <w:r>
        <w:fldChar w:fldCharType="separate"/>
      </w:r>
      <w:r>
        <w:t>63</w:t>
      </w:r>
      <w:r>
        <w:fldChar w:fldCharType="end"/>
      </w:r>
      <w:r>
        <w:rPr>
          <w:rFonts w:hint="eastAsia" w:ascii="仿宋" w:hAnsi="仿宋" w:eastAsia="仿宋" w:cs="仿宋"/>
          <w:color w:val="auto"/>
          <w:highlight w:val="none"/>
        </w:rPr>
        <w:fldChar w:fldCharType="end"/>
      </w:r>
    </w:p>
    <w:p w14:paraId="5DC0D223">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_Toc28542 </w:instrText>
      </w:r>
      <w:r>
        <w:rPr>
          <w:rFonts w:hint="eastAsia" w:ascii="仿宋" w:hAnsi="仿宋" w:eastAsia="仿宋" w:cs="仿宋"/>
          <w:highlight w:val="none"/>
        </w:rPr>
        <w:fldChar w:fldCharType="separate"/>
      </w:r>
      <w:r>
        <w:rPr>
          <w:rFonts w:hint="eastAsia" w:ascii="仿宋" w:hAnsi="仿宋" w:eastAsia="仿宋" w:cs="仿宋"/>
          <w:szCs w:val="28"/>
          <w:highlight w:val="none"/>
        </w:rPr>
        <w:t>1. 评标方法：</w:t>
      </w:r>
      <w:r>
        <w:tab/>
      </w:r>
      <w:r>
        <w:fldChar w:fldCharType="begin"/>
      </w:r>
      <w:r>
        <w:instrText xml:space="preserve"> PAGEREF _Toc28542 \h </w:instrText>
      </w:r>
      <w:r>
        <w:fldChar w:fldCharType="separate"/>
      </w:r>
      <w:r>
        <w:t>66</w:t>
      </w:r>
      <w:r>
        <w:fldChar w:fldCharType="end"/>
      </w:r>
      <w:r>
        <w:rPr>
          <w:rFonts w:hint="eastAsia" w:ascii="仿宋" w:hAnsi="仿宋" w:eastAsia="仿宋" w:cs="仿宋"/>
          <w:color w:val="auto"/>
          <w:highlight w:val="none"/>
        </w:rPr>
        <w:fldChar w:fldCharType="end"/>
      </w:r>
    </w:p>
    <w:p w14:paraId="2F111531">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_Toc18483 </w:instrText>
      </w:r>
      <w:r>
        <w:rPr>
          <w:rFonts w:hint="eastAsia" w:ascii="仿宋" w:hAnsi="仿宋" w:eastAsia="仿宋" w:cs="仿宋"/>
          <w:highlight w:val="none"/>
        </w:rPr>
        <w:fldChar w:fldCharType="separate"/>
      </w:r>
      <w:r>
        <w:rPr>
          <w:rFonts w:hint="eastAsia" w:ascii="仿宋" w:hAnsi="仿宋" w:eastAsia="仿宋" w:cs="仿宋"/>
          <w:szCs w:val="28"/>
          <w:highlight w:val="none"/>
        </w:rPr>
        <w:t>2. 评审标准</w:t>
      </w:r>
      <w:r>
        <w:tab/>
      </w:r>
      <w:r>
        <w:fldChar w:fldCharType="begin"/>
      </w:r>
      <w:r>
        <w:instrText xml:space="preserve"> PAGEREF _Toc18483 \h </w:instrText>
      </w:r>
      <w:r>
        <w:fldChar w:fldCharType="separate"/>
      </w:r>
      <w:r>
        <w:t>66</w:t>
      </w:r>
      <w:r>
        <w:fldChar w:fldCharType="end"/>
      </w:r>
      <w:r>
        <w:rPr>
          <w:rFonts w:hint="eastAsia" w:ascii="仿宋" w:hAnsi="仿宋" w:eastAsia="仿宋" w:cs="仿宋"/>
          <w:color w:val="auto"/>
          <w:highlight w:val="none"/>
        </w:rPr>
        <w:fldChar w:fldCharType="end"/>
      </w:r>
    </w:p>
    <w:p w14:paraId="4522F309">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_Toc18867 </w:instrText>
      </w:r>
      <w:r>
        <w:rPr>
          <w:rFonts w:hint="eastAsia" w:ascii="仿宋" w:hAnsi="仿宋" w:eastAsia="仿宋" w:cs="仿宋"/>
          <w:highlight w:val="none"/>
        </w:rPr>
        <w:fldChar w:fldCharType="separate"/>
      </w:r>
      <w:r>
        <w:rPr>
          <w:rFonts w:hint="eastAsia" w:ascii="仿宋" w:hAnsi="仿宋" w:eastAsia="仿宋" w:cs="仿宋"/>
          <w:szCs w:val="28"/>
          <w:highlight w:val="none"/>
        </w:rPr>
        <w:t>3. 评标程序</w:t>
      </w:r>
      <w:r>
        <w:tab/>
      </w:r>
      <w:r>
        <w:fldChar w:fldCharType="begin"/>
      </w:r>
      <w:r>
        <w:instrText xml:space="preserve"> PAGEREF _Toc18867 \h </w:instrText>
      </w:r>
      <w:r>
        <w:fldChar w:fldCharType="separate"/>
      </w:r>
      <w:r>
        <w:t>67</w:t>
      </w:r>
      <w:r>
        <w:fldChar w:fldCharType="end"/>
      </w:r>
      <w:r>
        <w:rPr>
          <w:rFonts w:hint="eastAsia" w:ascii="仿宋" w:hAnsi="仿宋" w:eastAsia="仿宋" w:cs="仿宋"/>
          <w:color w:val="auto"/>
          <w:highlight w:val="none"/>
        </w:rPr>
        <w:fldChar w:fldCharType="end"/>
      </w:r>
    </w:p>
    <w:p w14:paraId="75D44B02">
      <w:pPr>
        <w:pStyle w:val="28"/>
        <w:tabs>
          <w:tab w:val="right" w:leader="dot" w:pos="9354"/>
          <w:tab w:val="clear" w:pos="9344"/>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_Toc12105 </w:instrText>
      </w:r>
      <w:r>
        <w:rPr>
          <w:rFonts w:hint="eastAsia" w:ascii="仿宋" w:hAnsi="仿宋" w:eastAsia="仿宋" w:cs="仿宋"/>
          <w:highlight w:val="none"/>
        </w:rPr>
        <w:fldChar w:fldCharType="separate"/>
      </w:r>
      <w:r>
        <w:rPr>
          <w:rFonts w:hint="eastAsia" w:ascii="仿宋" w:hAnsi="仿宋" w:eastAsia="仿宋" w:cs="仿宋"/>
          <w:szCs w:val="28"/>
          <w:highlight w:val="none"/>
        </w:rPr>
        <w:t>4. 政府采购政策</w:t>
      </w:r>
      <w:r>
        <w:tab/>
      </w:r>
      <w:r>
        <w:fldChar w:fldCharType="begin"/>
      </w:r>
      <w:r>
        <w:instrText xml:space="preserve"> PAGEREF _Toc12105 \h </w:instrText>
      </w:r>
      <w:r>
        <w:fldChar w:fldCharType="separate"/>
      </w:r>
      <w:r>
        <w:t>69</w:t>
      </w:r>
      <w:r>
        <w:fldChar w:fldCharType="end"/>
      </w:r>
      <w:r>
        <w:rPr>
          <w:rFonts w:hint="eastAsia" w:ascii="仿宋" w:hAnsi="仿宋" w:eastAsia="仿宋" w:cs="仿宋"/>
          <w:color w:val="auto"/>
          <w:highlight w:val="none"/>
        </w:rPr>
        <w:fldChar w:fldCharType="end"/>
      </w:r>
    </w:p>
    <w:p w14:paraId="19C2FDE5">
      <w:pPr>
        <w:pStyle w:val="16"/>
        <w:tabs>
          <w:tab w:val="right" w:leader="dot" w:pos="9353"/>
        </w:tabs>
        <w:snapToGrid w:val="0"/>
        <w:spacing w:line="300" w:lineRule="exact"/>
        <w:ind w:left="0" w:leftChars="0"/>
        <w:rPr>
          <w:rFonts w:hint="eastAsia" w:ascii="仿宋" w:hAnsi="仿宋" w:eastAsia="仿宋" w:cs="仿宋"/>
          <w:color w:val="auto"/>
          <w:highlight w:val="none"/>
        </w:rPr>
        <w:sectPr>
          <w:pgSz w:w="11906" w:h="16838"/>
          <w:pgMar w:top="1418" w:right="1134" w:bottom="1134" w:left="1418" w:header="779" w:footer="720" w:gutter="0"/>
          <w:pgNumType w:start="1"/>
          <w:cols w:space="720" w:num="1"/>
          <w:docGrid w:type="linesAndChars" w:linePitch="331" w:charSpace="0"/>
        </w:sectPr>
      </w:pPr>
      <w:r>
        <w:rPr>
          <w:rFonts w:hint="eastAsia" w:ascii="仿宋" w:hAnsi="仿宋" w:eastAsia="仿宋" w:cs="仿宋"/>
          <w:color w:val="auto"/>
          <w:highlight w:val="none"/>
        </w:rPr>
        <w:fldChar w:fldCharType="end"/>
      </w:r>
    </w:p>
    <w:p w14:paraId="000B77E5">
      <w:pPr>
        <w:pStyle w:val="2"/>
        <w:numPr>
          <w:ilvl w:val="0"/>
          <w:numId w:val="2"/>
        </w:numPr>
        <w:spacing w:before="0"/>
        <w:jc w:val="center"/>
        <w:rPr>
          <w:rFonts w:hint="eastAsia" w:ascii="仿宋" w:hAnsi="仿宋" w:eastAsia="仿宋" w:cs="仿宋"/>
          <w:color w:val="auto"/>
          <w:sz w:val="32"/>
          <w:szCs w:val="32"/>
          <w:highlight w:val="none"/>
        </w:rPr>
      </w:pPr>
      <w:bookmarkStart w:id="0" w:name="_Toc27721"/>
      <w:r>
        <w:rPr>
          <w:rFonts w:hint="eastAsia" w:ascii="仿宋" w:hAnsi="仿宋" w:eastAsia="仿宋" w:cs="仿宋"/>
          <w:color w:val="auto"/>
          <w:sz w:val="32"/>
          <w:szCs w:val="32"/>
          <w:highlight w:val="none"/>
        </w:rPr>
        <w:t>招标公告</w:t>
      </w:r>
      <w:bookmarkEnd w:id="0"/>
    </w:p>
    <w:p w14:paraId="6A0AFEC7">
      <w:pPr>
        <w:widowControl/>
        <w:jc w:val="left"/>
        <w:rPr>
          <w:rFonts w:hint="eastAsia" w:ascii="仿宋" w:hAnsi="仿宋" w:eastAsia="仿宋" w:cs="仿宋"/>
          <w:color w:val="auto"/>
          <w:highlight w:val="none"/>
        </w:rPr>
      </w:pPr>
    </w:p>
    <w:tbl>
      <w:tblPr>
        <w:tblStyle w:val="36"/>
        <w:tblW w:w="928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280"/>
      </w:tblGrid>
      <w:tr w14:paraId="39E0D6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57" w:hRule="atLeast"/>
          <w:jc w:val="center"/>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7D2195FA">
            <w:pPr>
              <w:widowControl/>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项目概况                                                                </w:t>
            </w:r>
          </w:p>
          <w:p w14:paraId="40E4539F">
            <w:pPr>
              <w:widowControl/>
              <w:jc w:val="left"/>
              <w:rPr>
                <w:rFonts w:hint="eastAsia" w:ascii="仿宋" w:hAnsi="仿宋" w:eastAsia="仿宋" w:cs="仿宋"/>
                <w:color w:val="auto"/>
                <w:highlight w:val="none"/>
              </w:rPr>
            </w:pPr>
            <w:r>
              <w:rPr>
                <w:rFonts w:hint="eastAsia" w:ascii="仿宋" w:hAnsi="仿宋" w:eastAsia="仿宋" w:cs="仿宋"/>
                <w:color w:val="auto"/>
                <w:highlight w:val="none"/>
                <w:lang w:eastAsia="zh-CN"/>
              </w:rPr>
              <w:t>2026采购殡葬用品项目</w:t>
            </w:r>
            <w:r>
              <w:rPr>
                <w:rFonts w:hint="eastAsia" w:ascii="仿宋" w:hAnsi="仿宋" w:eastAsia="仿宋" w:cs="仿宋"/>
                <w:color w:val="auto"/>
                <w:highlight w:val="none"/>
              </w:rPr>
              <w:t>采购项目的潜在投标人应在云南省政府采购电子交易平台（政采云https://www.zcygov.cn/）获取招标文件，并于2026年</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08</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14:00</w:t>
            </w:r>
            <w:r>
              <w:rPr>
                <w:rFonts w:hint="eastAsia" w:ascii="仿宋" w:hAnsi="仿宋" w:eastAsia="仿宋" w:cs="仿宋"/>
                <w:color w:val="auto"/>
                <w:highlight w:val="none"/>
              </w:rPr>
              <w:t>（北京时间）前递交投标文件。</w:t>
            </w:r>
          </w:p>
        </w:tc>
      </w:tr>
    </w:tbl>
    <w:p w14:paraId="738BCACF">
      <w:pPr>
        <w:widowControl/>
        <w:jc w:val="left"/>
        <w:rPr>
          <w:rFonts w:hint="eastAsia" w:ascii="仿宋" w:hAnsi="仿宋" w:eastAsia="仿宋" w:cs="仿宋"/>
          <w:color w:val="auto"/>
          <w:highlight w:val="none"/>
        </w:rPr>
      </w:pPr>
    </w:p>
    <w:p w14:paraId="5929E095">
      <w:pPr>
        <w:widowControl/>
        <w:shd w:val="clear" w:color="auto" w:fill="FFFFFF"/>
        <w:spacing w:line="440" w:lineRule="exact"/>
        <w:jc w:val="left"/>
        <w:outlineLvl w:val="1"/>
        <w:rPr>
          <w:rFonts w:hint="eastAsia" w:ascii="仿宋" w:hAnsi="仿宋" w:eastAsia="仿宋" w:cs="仿宋"/>
          <w:color w:val="auto"/>
          <w:kern w:val="0"/>
          <w:szCs w:val="21"/>
          <w:highlight w:val="none"/>
          <w:shd w:val="clear" w:color="auto" w:fill="FFFFFF"/>
        </w:rPr>
      </w:pPr>
      <w:r>
        <w:rPr>
          <w:rFonts w:hint="eastAsia" w:ascii="仿宋" w:hAnsi="仿宋" w:eastAsia="仿宋" w:cs="仿宋"/>
          <w:b/>
          <w:bCs/>
          <w:color w:val="auto"/>
          <w:kern w:val="0"/>
          <w:szCs w:val="21"/>
          <w:highlight w:val="none"/>
          <w:shd w:val="clear" w:color="auto" w:fill="FFFFFF"/>
        </w:rPr>
        <w:t>一、项目基本情况</w:t>
      </w:r>
      <w:r>
        <w:rPr>
          <w:rFonts w:hint="eastAsia" w:ascii="仿宋" w:hAnsi="仿宋" w:eastAsia="仿宋" w:cs="仿宋"/>
          <w:color w:val="auto"/>
          <w:kern w:val="0"/>
          <w:szCs w:val="21"/>
          <w:highlight w:val="none"/>
          <w:shd w:val="clear" w:color="auto" w:fill="FFFFFF"/>
        </w:rPr>
        <w:t xml:space="preserve">                                                </w:t>
      </w:r>
    </w:p>
    <w:p w14:paraId="0D93BA61">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项目编号：</w:t>
      </w:r>
      <w:r>
        <w:rPr>
          <w:rFonts w:hint="eastAsia" w:ascii="仿宋" w:hAnsi="仿宋" w:eastAsia="仿宋" w:cs="仿宋"/>
          <w:color w:val="auto"/>
          <w:kern w:val="0"/>
          <w:szCs w:val="21"/>
          <w:highlight w:val="none"/>
          <w:shd w:val="clear" w:color="auto" w:fill="FFFFFF"/>
          <w:lang w:eastAsia="zh-CN"/>
        </w:rPr>
        <w:t>KMZC2026-G1-02419-YNJS-0041</w:t>
      </w:r>
    </w:p>
    <w:p w14:paraId="1AE24B6D">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项目名称：</w:t>
      </w:r>
      <w:r>
        <w:rPr>
          <w:rFonts w:hint="eastAsia" w:ascii="仿宋" w:hAnsi="仿宋" w:eastAsia="仿宋" w:cs="仿宋"/>
          <w:color w:val="auto"/>
          <w:kern w:val="0"/>
          <w:szCs w:val="21"/>
          <w:highlight w:val="none"/>
          <w:shd w:val="clear" w:color="auto" w:fill="FFFFFF"/>
          <w:lang w:eastAsia="zh-CN"/>
        </w:rPr>
        <w:t>2026采购殡葬用品项目</w:t>
      </w:r>
      <w:r>
        <w:rPr>
          <w:rFonts w:hint="eastAsia" w:ascii="仿宋" w:hAnsi="仿宋" w:eastAsia="仿宋" w:cs="仿宋"/>
          <w:color w:val="auto"/>
          <w:kern w:val="0"/>
          <w:szCs w:val="21"/>
          <w:highlight w:val="none"/>
          <w:shd w:val="clear" w:color="auto" w:fill="FFFFFF"/>
        </w:rPr>
        <w:t xml:space="preserve">       </w:t>
      </w:r>
    </w:p>
    <w:p w14:paraId="27D01711">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val="en-US" w:eastAsia="zh-CN"/>
        </w:rPr>
      </w:pPr>
      <w:r>
        <w:rPr>
          <w:rFonts w:hint="eastAsia" w:ascii="仿宋" w:hAnsi="仿宋" w:eastAsia="仿宋" w:cs="仿宋"/>
          <w:color w:val="auto"/>
          <w:kern w:val="0"/>
          <w:szCs w:val="21"/>
          <w:highlight w:val="none"/>
          <w:shd w:val="clear" w:color="auto" w:fill="FFFFFF"/>
        </w:rPr>
        <w:t>预算金额（元）：</w:t>
      </w:r>
      <w:r>
        <w:rPr>
          <w:rFonts w:hint="eastAsia" w:ascii="仿宋" w:hAnsi="仿宋" w:eastAsia="仿宋" w:cs="仿宋"/>
          <w:color w:val="auto"/>
          <w:kern w:val="0"/>
          <w:szCs w:val="21"/>
          <w:highlight w:val="none"/>
          <w:shd w:val="clear" w:color="auto" w:fill="FFFFFF"/>
          <w:lang w:val="en-US" w:eastAsia="zh-CN"/>
        </w:rPr>
        <w:t>1420000</w:t>
      </w:r>
    </w:p>
    <w:p w14:paraId="42B99A24">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最高限价（元）：</w:t>
      </w:r>
      <w:r>
        <w:rPr>
          <w:rFonts w:hint="eastAsia" w:ascii="仿宋" w:hAnsi="仿宋" w:eastAsia="仿宋" w:cs="仿宋"/>
          <w:color w:val="auto"/>
          <w:kern w:val="0"/>
          <w:szCs w:val="21"/>
          <w:highlight w:val="none"/>
          <w:shd w:val="clear" w:color="auto" w:fill="FFFFFF"/>
          <w:lang w:val="en-US" w:eastAsia="zh-CN"/>
        </w:rPr>
        <w:t>1420000</w:t>
      </w:r>
    </w:p>
    <w:p w14:paraId="28A8A26E">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采购需求： </w:t>
      </w:r>
    </w:p>
    <w:p w14:paraId="70A4518B">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 xml:space="preserve">标项名称: </w:t>
      </w:r>
      <w:r>
        <w:rPr>
          <w:rFonts w:hint="eastAsia" w:ascii="仿宋" w:hAnsi="仿宋" w:eastAsia="仿宋" w:cs="仿宋"/>
          <w:color w:val="auto"/>
          <w:kern w:val="0"/>
          <w:szCs w:val="21"/>
          <w:highlight w:val="none"/>
          <w:shd w:val="clear" w:color="auto" w:fill="FFFFFF"/>
          <w:lang w:eastAsia="zh-CN"/>
        </w:rPr>
        <w:t>2026采购殡葬用品项目</w:t>
      </w:r>
    </w:p>
    <w:p w14:paraId="34576F96">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数量: </w:t>
      </w:r>
      <w:r>
        <w:rPr>
          <w:rFonts w:hint="eastAsia" w:ascii="仿宋" w:hAnsi="仿宋" w:eastAsia="仿宋" w:cs="仿宋"/>
          <w:color w:val="auto"/>
          <w:kern w:val="0"/>
          <w:szCs w:val="21"/>
          <w:highlight w:val="none"/>
          <w:shd w:val="clear" w:color="auto" w:fill="FFFFFF"/>
          <w:lang w:val="en-US" w:eastAsia="zh-CN"/>
        </w:rPr>
        <w:t>1</w:t>
      </w:r>
      <w:r>
        <w:rPr>
          <w:rFonts w:hint="eastAsia" w:ascii="仿宋" w:hAnsi="仿宋" w:eastAsia="仿宋" w:cs="仿宋"/>
          <w:color w:val="auto"/>
          <w:kern w:val="0"/>
          <w:szCs w:val="21"/>
          <w:highlight w:val="none"/>
          <w:shd w:val="clear" w:color="auto" w:fill="FFFFFF"/>
        </w:rPr>
        <w:t xml:space="preserve"> </w:t>
      </w:r>
    </w:p>
    <w:p w14:paraId="5F9C13E8">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预算金额（元）：</w:t>
      </w:r>
      <w:r>
        <w:rPr>
          <w:rFonts w:hint="eastAsia" w:ascii="仿宋" w:hAnsi="仿宋" w:eastAsia="仿宋" w:cs="仿宋"/>
          <w:color w:val="auto"/>
          <w:kern w:val="0"/>
          <w:szCs w:val="21"/>
          <w:highlight w:val="none"/>
          <w:shd w:val="clear" w:color="auto" w:fill="FFFFFF"/>
          <w:lang w:val="en-US" w:eastAsia="zh-CN"/>
        </w:rPr>
        <w:t>1420000</w:t>
      </w:r>
    </w:p>
    <w:p w14:paraId="19FAD1A1">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简要规格描述或项目基本概况介绍、用途：采购品类具体包含：实木骨灰盒系列、一次性环保可降解纸棺、标准化一次性捡灰托盘、成套棉质寿衣裤、遗体收纳尸袋、高温防护石棉垫、殡仪专用鲜花等全品类配套殡葬物资，均为日常殡仪服务、遗体处置、告别祭祀、应急保障必备物资。所有采购物资需符合国家及行业相关质量标准、环保要求，做工规范、安全耐用，适配日常殡葬服务使用场景，供货数量、供货频次完全依据采购人实际销售及业务需求动态调整。</w:t>
      </w:r>
    </w:p>
    <w:p w14:paraId="2C9B3772">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合同履约期限：标段（包） 1， 本项目合同服务期限为1年，合同履行期间若项目预算金额提前使用完毕，合同自动终止，采购人将不再继续履约供货，后续采购事宜另行安排。</w:t>
      </w:r>
    </w:p>
    <w:p w14:paraId="3479D1C8">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本项目（否）接受联合体投标。        </w:t>
      </w:r>
    </w:p>
    <w:p w14:paraId="35BCAE01">
      <w:pPr>
        <w:widowControl/>
        <w:shd w:val="clear" w:color="auto" w:fill="FFFFFF"/>
        <w:spacing w:line="440" w:lineRule="exact"/>
        <w:jc w:val="left"/>
        <w:outlineLvl w:val="1"/>
        <w:rPr>
          <w:rFonts w:hint="eastAsia" w:ascii="仿宋" w:hAnsi="仿宋" w:eastAsia="仿宋" w:cs="仿宋"/>
          <w:color w:val="auto"/>
          <w:kern w:val="0"/>
          <w:szCs w:val="21"/>
          <w:highlight w:val="none"/>
          <w:shd w:val="clear" w:color="auto" w:fill="FFFFFF"/>
        </w:rPr>
      </w:pPr>
      <w:r>
        <w:rPr>
          <w:rFonts w:hint="eastAsia" w:ascii="仿宋" w:hAnsi="仿宋" w:eastAsia="仿宋" w:cs="仿宋"/>
          <w:b/>
          <w:bCs/>
          <w:color w:val="auto"/>
          <w:kern w:val="0"/>
          <w:szCs w:val="21"/>
          <w:highlight w:val="none"/>
          <w:shd w:val="clear" w:color="auto" w:fill="FFFFFF"/>
        </w:rPr>
        <w:t>二、申请人的资格要求：</w:t>
      </w:r>
      <w:r>
        <w:rPr>
          <w:rFonts w:hint="eastAsia" w:ascii="仿宋" w:hAnsi="仿宋" w:eastAsia="仿宋" w:cs="仿宋"/>
          <w:color w:val="auto"/>
          <w:kern w:val="0"/>
          <w:szCs w:val="21"/>
          <w:highlight w:val="none"/>
          <w:shd w:val="clear" w:color="auto" w:fill="FFFFFF"/>
        </w:rPr>
        <w:t xml:space="preserve">     </w:t>
      </w:r>
    </w:p>
    <w:p w14:paraId="7ECB6982">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1.满足《中华人民共和国政府采购法》第二十二条规定；符合《中华人民共和国政府采购法实施条例》第十八条规定；    </w:t>
      </w:r>
    </w:p>
    <w:p w14:paraId="461F7061">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2.落实政府采购政策需满足的资格要求：标段（包）1：本项目专门面向中小微企业采购。</w:t>
      </w:r>
    </w:p>
    <w:p w14:paraId="2F872CD5">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3.本项目的特定资格要求：【标段（包）1】</w:t>
      </w:r>
      <w:r>
        <w:rPr>
          <w:rFonts w:hint="eastAsia" w:ascii="仿宋" w:hAnsi="仿宋" w:eastAsia="仿宋" w:cs="仿宋"/>
          <w:color w:val="auto"/>
          <w:kern w:val="0"/>
          <w:szCs w:val="21"/>
          <w:highlight w:val="none"/>
          <w:shd w:val="clear" w:color="auto" w:fill="FFFFFF"/>
          <w:lang w:val="en-US" w:eastAsia="zh-CN"/>
        </w:rPr>
        <w:t>无</w:t>
      </w:r>
      <w:r>
        <w:rPr>
          <w:rFonts w:hint="eastAsia" w:ascii="仿宋" w:hAnsi="仿宋" w:eastAsia="仿宋" w:cs="仿宋"/>
          <w:color w:val="auto"/>
          <w:kern w:val="0"/>
          <w:szCs w:val="21"/>
          <w:highlight w:val="none"/>
          <w:shd w:val="clear" w:color="auto" w:fill="FFFFFF"/>
        </w:rPr>
        <w:t>。</w:t>
      </w:r>
    </w:p>
    <w:p w14:paraId="668E18C7">
      <w:pPr>
        <w:widowControl/>
        <w:shd w:val="clear" w:color="auto" w:fill="FFFFFF"/>
        <w:spacing w:line="440" w:lineRule="exact"/>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b/>
          <w:bCs/>
          <w:color w:val="auto"/>
          <w:kern w:val="0"/>
          <w:szCs w:val="21"/>
          <w:highlight w:val="none"/>
          <w:shd w:val="clear" w:color="auto" w:fill="FFFFFF"/>
        </w:rPr>
        <w:t>三、获取招标文件</w:t>
      </w:r>
      <w:r>
        <w:rPr>
          <w:rFonts w:hint="eastAsia" w:ascii="仿宋" w:hAnsi="仿宋" w:eastAsia="仿宋" w:cs="仿宋"/>
          <w:color w:val="auto"/>
          <w:kern w:val="0"/>
          <w:szCs w:val="21"/>
          <w:highlight w:val="none"/>
          <w:shd w:val="clear" w:color="auto" w:fill="FFFFFF"/>
        </w:rPr>
        <w:t xml:space="preserve">    </w:t>
      </w:r>
    </w:p>
    <w:p w14:paraId="36ACD06E">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时间：2026年0</w:t>
      </w:r>
      <w:r>
        <w:rPr>
          <w:rFonts w:hint="eastAsia" w:ascii="仿宋" w:hAnsi="仿宋" w:eastAsia="仿宋" w:cs="仿宋"/>
          <w:color w:val="auto"/>
          <w:kern w:val="0"/>
          <w:szCs w:val="21"/>
          <w:highlight w:val="none"/>
          <w:shd w:val="clear" w:color="auto" w:fill="FFFFFF"/>
          <w:lang w:val="en-US" w:eastAsia="zh-CN"/>
        </w:rPr>
        <w:t>9</w:t>
      </w:r>
      <w:r>
        <w:rPr>
          <w:rFonts w:hint="eastAsia" w:ascii="仿宋" w:hAnsi="仿宋" w:eastAsia="仿宋" w:cs="仿宋"/>
          <w:color w:val="auto"/>
          <w:kern w:val="0"/>
          <w:szCs w:val="21"/>
          <w:highlight w:val="none"/>
          <w:shd w:val="clear" w:color="auto" w:fill="FFFFFF"/>
        </w:rPr>
        <w:t>月</w:t>
      </w:r>
      <w:r>
        <w:rPr>
          <w:rFonts w:hint="eastAsia" w:ascii="仿宋" w:hAnsi="仿宋" w:eastAsia="仿宋" w:cs="仿宋"/>
          <w:color w:val="auto"/>
          <w:kern w:val="0"/>
          <w:szCs w:val="21"/>
          <w:highlight w:val="none"/>
          <w:shd w:val="clear" w:color="auto" w:fill="FFFFFF"/>
          <w:lang w:val="en-US" w:eastAsia="zh-CN"/>
        </w:rPr>
        <w:t>11</w:t>
      </w:r>
      <w:r>
        <w:rPr>
          <w:rFonts w:hint="eastAsia" w:ascii="仿宋" w:hAnsi="仿宋" w:eastAsia="仿宋" w:cs="仿宋"/>
          <w:color w:val="auto"/>
          <w:kern w:val="0"/>
          <w:szCs w:val="21"/>
          <w:highlight w:val="none"/>
          <w:shd w:val="clear" w:color="auto" w:fill="FFFFFF"/>
        </w:rPr>
        <w:t>日至2026年0</w:t>
      </w:r>
      <w:r>
        <w:rPr>
          <w:rFonts w:hint="eastAsia" w:ascii="仿宋" w:hAnsi="仿宋" w:eastAsia="仿宋" w:cs="仿宋"/>
          <w:color w:val="auto"/>
          <w:kern w:val="0"/>
          <w:szCs w:val="21"/>
          <w:highlight w:val="none"/>
          <w:shd w:val="clear" w:color="auto" w:fill="FFFFFF"/>
          <w:lang w:val="en-US" w:eastAsia="zh-CN"/>
        </w:rPr>
        <w:t>9</w:t>
      </w:r>
      <w:r>
        <w:rPr>
          <w:rFonts w:hint="eastAsia" w:ascii="仿宋" w:hAnsi="仿宋" w:eastAsia="仿宋" w:cs="仿宋"/>
          <w:color w:val="auto"/>
          <w:kern w:val="0"/>
          <w:szCs w:val="21"/>
          <w:highlight w:val="none"/>
          <w:shd w:val="clear" w:color="auto" w:fill="FFFFFF"/>
        </w:rPr>
        <w:t>月</w:t>
      </w:r>
      <w:r>
        <w:rPr>
          <w:rFonts w:hint="eastAsia" w:ascii="仿宋" w:hAnsi="仿宋" w:eastAsia="仿宋" w:cs="仿宋"/>
          <w:color w:val="auto"/>
          <w:kern w:val="0"/>
          <w:szCs w:val="21"/>
          <w:highlight w:val="none"/>
          <w:shd w:val="clear" w:color="auto" w:fill="FFFFFF"/>
          <w:lang w:val="en-US" w:eastAsia="zh-CN"/>
        </w:rPr>
        <w:t>18</w:t>
      </w:r>
      <w:r>
        <w:rPr>
          <w:rFonts w:hint="eastAsia" w:ascii="仿宋" w:hAnsi="仿宋" w:eastAsia="仿宋" w:cs="仿宋"/>
          <w:color w:val="auto"/>
          <w:kern w:val="0"/>
          <w:szCs w:val="21"/>
          <w:highlight w:val="none"/>
          <w:shd w:val="clear" w:color="auto" w:fill="FFFFFF"/>
        </w:rPr>
        <w:t xml:space="preserve">日，每天上午06:00至12:00，下午12:00至23:59（北京时间，法定节假日除外）        </w:t>
      </w:r>
    </w:p>
    <w:p w14:paraId="1BDA7F5B">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地点：云南省政府采购电子交易平台（政采云https://www.zcygov.cn/）</w:t>
      </w:r>
    </w:p>
    <w:p w14:paraId="7A74AA13">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方式：1.凡有意参加投标者，须持与云南省政府采购电子交易平台（政采云）兼容的数字证书（CA），在平台绑定后，线上获取采购文件及其它采购资料。CA申领链接：https://middle.zcygov.cn/ca/apply/list?_app_=zcy.sys</w:t>
      </w:r>
    </w:p>
    <w:p w14:paraId="5B280076">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2.按上述要求获取文件的供应商视为合法获取了本项目采购文件，具备本项目的投标资格。</w:t>
      </w:r>
    </w:p>
    <w:p w14:paraId="06F1F9E9">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售价（元）：0</w:t>
      </w:r>
    </w:p>
    <w:p w14:paraId="5DB0FA1A">
      <w:pPr>
        <w:widowControl/>
        <w:shd w:val="clear" w:color="auto" w:fill="FFFFFF"/>
        <w:spacing w:line="440" w:lineRule="exact"/>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b/>
          <w:bCs/>
          <w:color w:val="auto"/>
          <w:kern w:val="0"/>
          <w:szCs w:val="21"/>
          <w:highlight w:val="none"/>
          <w:shd w:val="clear" w:color="auto" w:fill="FFFFFF"/>
        </w:rPr>
        <w:t>四、提交投标文件截止时间、开标时间和地点</w:t>
      </w:r>
      <w:r>
        <w:rPr>
          <w:rFonts w:hint="eastAsia" w:ascii="仿宋" w:hAnsi="仿宋" w:eastAsia="仿宋" w:cs="仿宋"/>
          <w:color w:val="auto"/>
          <w:kern w:val="0"/>
          <w:szCs w:val="21"/>
          <w:highlight w:val="none"/>
          <w:shd w:val="clear" w:color="auto" w:fill="FFFFFF"/>
        </w:rPr>
        <w:t xml:space="preserve">    </w:t>
      </w:r>
    </w:p>
    <w:p w14:paraId="39E40B2E">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提交投标文件截止时间：2026年10月08日14:00（北京时间）        </w:t>
      </w:r>
    </w:p>
    <w:p w14:paraId="1C772A3B">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投标地点（网址）：请登录云南省政府采购电子交易平台（政采云）投标客户端投标</w:t>
      </w:r>
    </w:p>
    <w:p w14:paraId="1021915F">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 xml:space="preserve">开标时间：2026年10月08日14:00 </w:t>
      </w:r>
      <w:r>
        <w:rPr>
          <w:rFonts w:hint="eastAsia" w:ascii="仿宋" w:hAnsi="仿宋" w:eastAsia="仿宋" w:cs="仿宋"/>
          <w:color w:val="auto"/>
          <w:kern w:val="0"/>
          <w:szCs w:val="21"/>
          <w:highlight w:val="none"/>
          <w:shd w:val="clear" w:color="auto" w:fill="FFFFFF"/>
          <w:lang w:val="en-US" w:eastAsia="zh-CN"/>
        </w:rPr>
        <w:t xml:space="preserve"> </w:t>
      </w:r>
    </w:p>
    <w:p w14:paraId="47A50286">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开标地点：</w:t>
      </w:r>
      <w:r>
        <w:rPr>
          <w:rFonts w:hint="eastAsia" w:ascii="仿宋" w:hAnsi="仿宋" w:eastAsia="仿宋" w:cs="仿宋"/>
          <w:color w:val="auto"/>
          <w:kern w:val="0"/>
          <w:szCs w:val="21"/>
          <w:highlight w:val="none"/>
          <w:shd w:val="clear" w:color="auto" w:fill="FFFFFF"/>
          <w:lang w:eastAsia="zh-CN"/>
        </w:rPr>
        <w:t>昆明市五华区黑林铺街道滇缅大道2743号景秀西苑2幢一层6号附1商铺</w:t>
      </w:r>
    </w:p>
    <w:p w14:paraId="7C2783B5">
      <w:pPr>
        <w:widowControl/>
        <w:shd w:val="clear" w:color="auto" w:fill="FFFFFF"/>
        <w:spacing w:line="440" w:lineRule="exact"/>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b/>
          <w:bCs/>
          <w:color w:val="auto"/>
          <w:kern w:val="0"/>
          <w:szCs w:val="21"/>
          <w:highlight w:val="none"/>
          <w:shd w:val="clear" w:color="auto" w:fill="FFFFFF"/>
        </w:rPr>
        <w:t>五、投标保证金信息</w:t>
      </w:r>
    </w:p>
    <w:p w14:paraId="0E4E9821">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是否需要缴纳投标保证金：是</w:t>
      </w:r>
    </w:p>
    <w:p w14:paraId="63C2A164">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标段（包）1</w:t>
      </w:r>
    </w:p>
    <w:p w14:paraId="33C25E38">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缴纳形式：</w:t>
      </w:r>
    </w:p>
    <w:p w14:paraId="6ADDE6CD">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保函</w:t>
      </w:r>
    </w:p>
    <w:p w14:paraId="0EA01BD9">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供应商在云南省政府采购电子交易平台-金融支撑服务模块（https://jinrong.zcygov.cn/luban/finance/yunnan）申请电子保函的，平台自动提交和验真，具体办理流程详见：https://jinrong.zcygov.cn/luban/anti-disease/detail/yn?id=1007531；申请纸质保函的，送达地址：</w:t>
      </w:r>
      <w:r>
        <w:rPr>
          <w:rFonts w:hint="eastAsia" w:ascii="仿宋" w:hAnsi="仿宋" w:eastAsia="仿宋" w:cs="仿宋"/>
          <w:color w:val="auto"/>
          <w:kern w:val="0"/>
          <w:szCs w:val="21"/>
          <w:highlight w:val="none"/>
          <w:shd w:val="clear" w:color="auto" w:fill="FFFFFF"/>
          <w:lang w:eastAsia="zh-CN"/>
        </w:rPr>
        <w:t>云南嘉顺工程项目管理有限公司</w:t>
      </w:r>
      <w:r>
        <w:rPr>
          <w:rFonts w:hint="eastAsia" w:ascii="仿宋" w:hAnsi="仿宋" w:eastAsia="仿宋" w:cs="仿宋"/>
          <w:color w:val="auto"/>
          <w:kern w:val="0"/>
          <w:szCs w:val="21"/>
          <w:highlight w:val="none"/>
          <w:shd w:val="clear" w:color="auto" w:fill="FFFFFF"/>
        </w:rPr>
        <w:t>。</w:t>
      </w:r>
    </w:p>
    <w:p w14:paraId="68F9085D">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银行转账</w:t>
      </w:r>
    </w:p>
    <w:p w14:paraId="3D101CDA">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开户银行：</w:t>
      </w:r>
      <w:r>
        <w:rPr>
          <w:rFonts w:hint="eastAsia" w:ascii="仿宋" w:hAnsi="仿宋" w:eastAsia="仿宋" w:cs="仿宋"/>
          <w:color w:val="auto"/>
          <w:kern w:val="0"/>
          <w:szCs w:val="21"/>
          <w:highlight w:val="none"/>
          <w:shd w:val="clear" w:color="auto" w:fill="FFFFFF"/>
          <w:lang w:eastAsia="zh-CN"/>
        </w:rPr>
        <w:t>上海浦东发展银行保山分行</w:t>
      </w:r>
    </w:p>
    <w:p w14:paraId="56136882">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收款户名：</w:t>
      </w:r>
      <w:r>
        <w:rPr>
          <w:rFonts w:hint="eastAsia" w:ascii="仿宋" w:hAnsi="仿宋" w:eastAsia="仿宋" w:cs="仿宋"/>
          <w:color w:val="auto"/>
          <w:kern w:val="0"/>
          <w:szCs w:val="21"/>
          <w:highlight w:val="none"/>
          <w:shd w:val="clear" w:color="auto" w:fill="FFFFFF"/>
          <w:lang w:eastAsia="zh-CN"/>
        </w:rPr>
        <w:t>云南嘉顺工程项目管理有限公司</w:t>
      </w:r>
    </w:p>
    <w:p w14:paraId="3E678E4E">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收款账号：</w:t>
      </w:r>
      <w:r>
        <w:rPr>
          <w:rFonts w:hint="eastAsia" w:ascii="仿宋" w:hAnsi="仿宋" w:eastAsia="仿宋" w:cs="仿宋"/>
          <w:color w:val="auto"/>
          <w:kern w:val="0"/>
          <w:szCs w:val="21"/>
          <w:highlight w:val="none"/>
          <w:shd w:val="clear" w:color="auto" w:fill="FFFFFF"/>
          <w:lang w:eastAsia="zh-CN"/>
        </w:rPr>
        <w:t>28410078801300000242</w:t>
      </w:r>
    </w:p>
    <w:p w14:paraId="237C7F84">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支票、本票、汇票</w:t>
      </w:r>
    </w:p>
    <w:p w14:paraId="7C45D965">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送达地址：</w:t>
      </w:r>
      <w:r>
        <w:rPr>
          <w:rFonts w:hint="eastAsia" w:ascii="仿宋" w:hAnsi="仿宋" w:eastAsia="仿宋" w:cs="仿宋"/>
          <w:color w:val="auto"/>
          <w:kern w:val="0"/>
          <w:szCs w:val="21"/>
          <w:highlight w:val="none"/>
          <w:shd w:val="clear" w:color="auto" w:fill="FFFFFF"/>
          <w:lang w:eastAsia="zh-CN"/>
        </w:rPr>
        <w:t>云南嘉顺工程项目管理有限公司</w:t>
      </w:r>
      <w:r>
        <w:rPr>
          <w:rFonts w:hint="eastAsia" w:ascii="仿宋" w:hAnsi="仿宋" w:eastAsia="仿宋" w:cs="仿宋"/>
          <w:color w:val="auto"/>
          <w:kern w:val="0"/>
          <w:szCs w:val="21"/>
          <w:highlight w:val="none"/>
          <w:shd w:val="clear" w:color="auto" w:fill="FFFFFF"/>
        </w:rPr>
        <w:t>。</w:t>
      </w:r>
    </w:p>
    <w:p w14:paraId="0A7E7077">
      <w:pPr>
        <w:widowControl/>
        <w:shd w:val="clear" w:color="auto" w:fill="FFFFFF"/>
        <w:spacing w:line="440" w:lineRule="exact"/>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b/>
          <w:bCs/>
          <w:color w:val="auto"/>
          <w:kern w:val="0"/>
          <w:szCs w:val="21"/>
          <w:highlight w:val="none"/>
          <w:shd w:val="clear" w:color="auto" w:fill="FFFFFF"/>
        </w:rPr>
        <w:t>六、公告期限</w:t>
      </w:r>
      <w:r>
        <w:rPr>
          <w:rFonts w:hint="eastAsia" w:ascii="仿宋" w:hAnsi="仿宋" w:eastAsia="仿宋" w:cs="仿宋"/>
          <w:color w:val="auto"/>
          <w:kern w:val="0"/>
          <w:szCs w:val="21"/>
          <w:highlight w:val="none"/>
          <w:shd w:val="clear" w:color="auto" w:fill="FFFFFF"/>
        </w:rPr>
        <w:t xml:space="preserve">     </w:t>
      </w:r>
    </w:p>
    <w:p w14:paraId="33B089C5">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自本公告发布之日起5个工作日。    </w:t>
      </w:r>
    </w:p>
    <w:p w14:paraId="2CA52945">
      <w:pPr>
        <w:widowControl/>
        <w:shd w:val="clear" w:color="auto" w:fill="FFFFFF"/>
        <w:spacing w:line="440" w:lineRule="exact"/>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b/>
          <w:bCs/>
          <w:color w:val="auto"/>
          <w:kern w:val="0"/>
          <w:szCs w:val="21"/>
          <w:highlight w:val="none"/>
          <w:shd w:val="clear" w:color="auto" w:fill="FFFFFF"/>
        </w:rPr>
        <w:t>七、其他补充事宜</w:t>
      </w:r>
      <w:r>
        <w:rPr>
          <w:rFonts w:hint="eastAsia" w:ascii="仿宋" w:hAnsi="仿宋" w:eastAsia="仿宋" w:cs="仿宋"/>
          <w:color w:val="auto"/>
          <w:kern w:val="0"/>
          <w:szCs w:val="21"/>
          <w:highlight w:val="none"/>
          <w:shd w:val="clear" w:color="auto" w:fill="FFFFFF"/>
        </w:rPr>
        <w:t xml:space="preserve">    </w:t>
      </w:r>
    </w:p>
    <w:p w14:paraId="270208AC">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1.本次采购公告在云南省政府采购网上发布。请各位供应商在递交投标（响应）文件前随时查看，以获取最新的消息。2.本次项目采用全流程电子化采购方式，各供应商认真学习云南省政府采购电子交易平台（政采云）发布的相关操作手册。操作手</w:t>
      </w:r>
      <w:bookmarkStart w:id="251" w:name="_GoBack"/>
      <w:bookmarkEnd w:id="251"/>
      <w:r>
        <w:rPr>
          <w:rFonts w:hint="eastAsia" w:ascii="仿宋" w:hAnsi="仿宋" w:eastAsia="仿宋" w:cs="仿宋"/>
          <w:color w:val="auto"/>
          <w:kern w:val="0"/>
          <w:szCs w:val="21"/>
          <w:highlight w:val="none"/>
          <w:shd w:val="clear" w:color="auto" w:fill="FFFFFF"/>
        </w:rPr>
        <w:t>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驱动故障、网络故障、加密CA与解密CA不一致等）。操作路径：云南省政府采购电子交易平台-我的工作台-项目采购-开标评标-进入开标大厅。</w:t>
      </w:r>
    </w:p>
    <w:p w14:paraId="1656D9E9">
      <w:pPr>
        <w:widowControl/>
        <w:shd w:val="clear" w:color="auto" w:fill="FFFFFF"/>
        <w:spacing w:line="440" w:lineRule="exact"/>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b/>
          <w:bCs/>
          <w:color w:val="auto"/>
          <w:kern w:val="0"/>
          <w:szCs w:val="21"/>
          <w:highlight w:val="none"/>
          <w:shd w:val="clear" w:color="auto" w:fill="FFFFFF"/>
        </w:rPr>
        <w:t>八、对本次采购提出询问，请按以下方式联系</w:t>
      </w:r>
      <w:r>
        <w:rPr>
          <w:rFonts w:hint="eastAsia" w:ascii="仿宋" w:hAnsi="仿宋" w:eastAsia="仿宋" w:cs="仿宋"/>
          <w:color w:val="auto"/>
          <w:kern w:val="0"/>
          <w:szCs w:val="21"/>
          <w:highlight w:val="none"/>
          <w:shd w:val="clear" w:color="auto" w:fill="FFFFFF"/>
        </w:rPr>
        <w:t xml:space="preserve">    </w:t>
      </w:r>
    </w:p>
    <w:p w14:paraId="5598A9EC">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1.采购人信息        </w:t>
      </w:r>
    </w:p>
    <w:p w14:paraId="383F2142">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名    称：</w:t>
      </w:r>
      <w:r>
        <w:rPr>
          <w:rFonts w:hint="eastAsia" w:ascii="仿宋" w:hAnsi="仿宋" w:eastAsia="仿宋" w:cs="仿宋"/>
          <w:color w:val="auto"/>
          <w:kern w:val="0"/>
          <w:szCs w:val="21"/>
          <w:highlight w:val="none"/>
          <w:shd w:val="clear" w:color="auto" w:fill="FFFFFF"/>
          <w:lang w:eastAsia="zh-CN"/>
        </w:rPr>
        <w:t>昆明市东川区殡仪馆</w:t>
      </w:r>
    </w:p>
    <w:p w14:paraId="6D83F3BC">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地    址：</w:t>
      </w:r>
      <w:r>
        <w:rPr>
          <w:rFonts w:hint="eastAsia" w:ascii="仿宋" w:hAnsi="仿宋" w:eastAsia="仿宋" w:cs="仿宋"/>
          <w:color w:val="auto"/>
          <w:kern w:val="0"/>
          <w:szCs w:val="21"/>
          <w:highlight w:val="none"/>
          <w:shd w:val="clear" w:color="auto" w:fill="FFFFFF"/>
          <w:lang w:eastAsia="zh-CN"/>
        </w:rPr>
        <w:t>昆明市东川区新村北郊</w:t>
      </w:r>
    </w:p>
    <w:p w14:paraId="0DCD215D">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联系方式：</w:t>
      </w:r>
      <w:r>
        <w:rPr>
          <w:rFonts w:hint="eastAsia" w:ascii="仿宋" w:hAnsi="仿宋" w:eastAsia="仿宋" w:cs="仿宋"/>
          <w:color w:val="auto"/>
          <w:kern w:val="0"/>
          <w:szCs w:val="21"/>
          <w:highlight w:val="none"/>
          <w:shd w:val="clear" w:color="auto" w:fill="FFFFFF"/>
          <w:lang w:eastAsia="zh-CN"/>
        </w:rPr>
        <w:t>0871-62422583</w:t>
      </w:r>
    </w:p>
    <w:p w14:paraId="48C3A13E">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2.采购代理机构信息        </w:t>
      </w:r>
    </w:p>
    <w:p w14:paraId="45A5DF72">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 xml:space="preserve">名    称： </w:t>
      </w:r>
      <w:r>
        <w:rPr>
          <w:rFonts w:hint="eastAsia" w:ascii="仿宋" w:hAnsi="仿宋" w:eastAsia="仿宋" w:cs="仿宋"/>
          <w:color w:val="auto"/>
          <w:kern w:val="0"/>
          <w:szCs w:val="21"/>
          <w:highlight w:val="none"/>
          <w:shd w:val="clear" w:color="auto" w:fill="FFFFFF"/>
          <w:lang w:eastAsia="zh-CN"/>
        </w:rPr>
        <w:t>云南嘉顺工程项目管理有限公司</w:t>
      </w:r>
      <w:r>
        <w:rPr>
          <w:rFonts w:hint="eastAsia" w:ascii="仿宋" w:hAnsi="仿宋" w:eastAsia="仿宋" w:cs="仿宋"/>
          <w:color w:val="auto"/>
          <w:kern w:val="0"/>
          <w:szCs w:val="21"/>
          <w:highlight w:val="none"/>
          <w:shd w:val="clear" w:color="auto" w:fill="FFFFFF"/>
        </w:rPr>
        <w:t xml:space="preserve">                   </w:t>
      </w:r>
    </w:p>
    <w:p w14:paraId="72295BD5">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地    址：</w:t>
      </w:r>
      <w:r>
        <w:rPr>
          <w:rFonts w:hint="eastAsia" w:ascii="仿宋" w:hAnsi="仿宋" w:eastAsia="仿宋" w:cs="仿宋"/>
          <w:color w:val="auto"/>
          <w:kern w:val="0"/>
          <w:szCs w:val="21"/>
          <w:highlight w:val="none"/>
          <w:shd w:val="clear" w:color="auto" w:fill="FFFFFF"/>
          <w:lang w:eastAsia="zh-CN"/>
        </w:rPr>
        <w:t>昆明市五华区黑林铺街道滇缅大道2743号景秀西苑2幢一层6号附1商铺</w:t>
      </w:r>
    </w:p>
    <w:p w14:paraId="4B55CDA8">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联系方式：</w:t>
      </w:r>
      <w:r>
        <w:rPr>
          <w:rFonts w:hint="eastAsia" w:ascii="仿宋" w:hAnsi="仿宋" w:eastAsia="仿宋" w:cs="仿宋"/>
          <w:color w:val="auto"/>
          <w:kern w:val="0"/>
          <w:szCs w:val="21"/>
          <w:highlight w:val="none"/>
          <w:shd w:val="clear" w:color="auto" w:fill="FFFFFF"/>
          <w:lang w:eastAsia="zh-CN"/>
        </w:rPr>
        <w:t>0871-63635863</w:t>
      </w:r>
    </w:p>
    <w:p w14:paraId="1E5B003B">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项目联系人：</w:t>
      </w:r>
      <w:r>
        <w:rPr>
          <w:rFonts w:hint="eastAsia" w:ascii="仿宋" w:hAnsi="仿宋" w:eastAsia="仿宋" w:cs="仿宋"/>
          <w:color w:val="auto"/>
          <w:kern w:val="0"/>
          <w:szCs w:val="21"/>
          <w:highlight w:val="none"/>
          <w:shd w:val="clear" w:color="auto" w:fill="FFFFFF"/>
          <w:lang w:eastAsia="zh-CN"/>
        </w:rPr>
        <w:t>许晌达、张海鹏</w:t>
      </w:r>
    </w:p>
    <w:p w14:paraId="3F1CC775">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rPr>
      </w:pPr>
      <w:r>
        <w:rPr>
          <w:rFonts w:hint="eastAsia" w:ascii="仿宋" w:hAnsi="仿宋" w:eastAsia="仿宋" w:cs="仿宋"/>
          <w:color w:val="auto"/>
          <w:kern w:val="0"/>
          <w:szCs w:val="21"/>
          <w:highlight w:val="none"/>
          <w:shd w:val="clear" w:color="auto" w:fill="FFFFFF"/>
        </w:rPr>
        <w:t>3.项目联系方式</w:t>
      </w:r>
    </w:p>
    <w:p w14:paraId="10727F73">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项目联系人：</w:t>
      </w:r>
      <w:r>
        <w:rPr>
          <w:rFonts w:hint="eastAsia" w:ascii="仿宋" w:hAnsi="仿宋" w:eastAsia="仿宋" w:cs="仿宋"/>
          <w:color w:val="auto"/>
          <w:kern w:val="0"/>
          <w:szCs w:val="21"/>
          <w:highlight w:val="none"/>
          <w:shd w:val="clear" w:color="auto" w:fill="FFFFFF"/>
          <w:lang w:eastAsia="zh-CN"/>
        </w:rPr>
        <w:t>许晌达、张海鹏</w:t>
      </w:r>
    </w:p>
    <w:p w14:paraId="25AE1C16">
      <w:pPr>
        <w:widowControl/>
        <w:shd w:val="clear" w:color="auto" w:fill="FFFFFF"/>
        <w:spacing w:line="440" w:lineRule="exact"/>
        <w:ind w:firstLine="420" w:firstLineChars="200"/>
        <w:jc w:val="left"/>
        <w:rPr>
          <w:rFonts w:hint="eastAsia" w:ascii="仿宋" w:hAnsi="仿宋" w:eastAsia="仿宋" w:cs="仿宋"/>
          <w:color w:val="auto"/>
          <w:kern w:val="0"/>
          <w:szCs w:val="21"/>
          <w:highlight w:val="none"/>
          <w:shd w:val="clear" w:color="auto" w:fill="FFFFFF"/>
          <w:lang w:eastAsia="zh-CN"/>
        </w:rPr>
      </w:pPr>
      <w:r>
        <w:rPr>
          <w:rFonts w:hint="eastAsia" w:ascii="仿宋" w:hAnsi="仿宋" w:eastAsia="仿宋" w:cs="仿宋"/>
          <w:color w:val="auto"/>
          <w:kern w:val="0"/>
          <w:szCs w:val="21"/>
          <w:highlight w:val="none"/>
          <w:shd w:val="clear" w:color="auto" w:fill="FFFFFF"/>
        </w:rPr>
        <w:t>电    话：</w:t>
      </w:r>
      <w:r>
        <w:rPr>
          <w:rFonts w:hint="eastAsia" w:ascii="仿宋" w:hAnsi="仿宋" w:eastAsia="仿宋" w:cs="仿宋"/>
          <w:color w:val="auto"/>
          <w:kern w:val="0"/>
          <w:szCs w:val="21"/>
          <w:highlight w:val="none"/>
          <w:shd w:val="clear" w:color="auto" w:fill="FFFFFF"/>
          <w:lang w:eastAsia="zh-CN"/>
        </w:rPr>
        <w:t>0871-63635863</w:t>
      </w:r>
    </w:p>
    <w:p w14:paraId="0CDE1531">
      <w:pPr>
        <w:rPr>
          <w:rFonts w:hint="eastAsia" w:ascii="仿宋" w:hAnsi="仿宋" w:eastAsia="仿宋" w:cs="仿宋"/>
          <w:color w:val="auto"/>
          <w:highlight w:val="none"/>
        </w:rPr>
      </w:pPr>
    </w:p>
    <w:p w14:paraId="7753609D">
      <w:pPr>
        <w:rPr>
          <w:rFonts w:hint="eastAsia" w:ascii="仿宋" w:hAnsi="仿宋" w:eastAsia="仿宋" w:cs="仿宋"/>
          <w:color w:val="auto"/>
          <w:sz w:val="32"/>
          <w:szCs w:val="32"/>
          <w:highlight w:val="none"/>
        </w:rPr>
      </w:pPr>
      <w:bookmarkStart w:id="1" w:name="_Toc89692602"/>
      <w:r>
        <w:rPr>
          <w:rFonts w:hint="eastAsia" w:ascii="仿宋" w:hAnsi="仿宋" w:eastAsia="仿宋" w:cs="仿宋"/>
          <w:color w:val="auto"/>
          <w:sz w:val="32"/>
          <w:szCs w:val="32"/>
          <w:highlight w:val="none"/>
        </w:rPr>
        <w:br w:type="page"/>
      </w:r>
    </w:p>
    <w:p w14:paraId="5A61EB31">
      <w:pPr>
        <w:pStyle w:val="2"/>
        <w:numPr>
          <w:ilvl w:val="0"/>
          <w:numId w:val="0"/>
        </w:numPr>
        <w:spacing w:before="0"/>
        <w:jc w:val="center"/>
        <w:rPr>
          <w:rFonts w:hint="eastAsia" w:ascii="仿宋" w:hAnsi="仿宋" w:eastAsia="仿宋" w:cs="仿宋"/>
          <w:color w:val="auto"/>
          <w:sz w:val="32"/>
          <w:szCs w:val="32"/>
          <w:highlight w:val="none"/>
        </w:rPr>
      </w:pPr>
      <w:bookmarkStart w:id="2" w:name="_Toc829"/>
      <w:r>
        <w:rPr>
          <w:rFonts w:hint="eastAsia" w:ascii="仿宋" w:hAnsi="仿宋" w:eastAsia="仿宋" w:cs="仿宋"/>
          <w:color w:val="auto"/>
          <w:sz w:val="32"/>
          <w:szCs w:val="32"/>
          <w:highlight w:val="none"/>
        </w:rPr>
        <w:t>第二章  投标人须知</w:t>
      </w:r>
      <w:bookmarkEnd w:id="1"/>
      <w:bookmarkEnd w:id="2"/>
    </w:p>
    <w:p w14:paraId="39645FA1">
      <w:pPr>
        <w:pStyle w:val="4"/>
        <w:numPr>
          <w:ilvl w:val="0"/>
          <w:numId w:val="0"/>
        </w:numPr>
        <w:tabs>
          <w:tab w:val="left" w:pos="1021"/>
          <w:tab w:val="clear" w:pos="900"/>
          <w:tab w:val="clear" w:pos="1588"/>
        </w:tabs>
        <w:spacing w:before="0"/>
        <w:jc w:val="center"/>
        <w:rPr>
          <w:rFonts w:hint="eastAsia" w:ascii="仿宋" w:hAnsi="仿宋" w:eastAsia="仿宋" w:cs="仿宋"/>
          <w:color w:val="auto"/>
          <w:szCs w:val="28"/>
          <w:highlight w:val="none"/>
        </w:rPr>
      </w:pPr>
      <w:bookmarkStart w:id="3" w:name="_Toc89692603"/>
      <w:bookmarkStart w:id="4" w:name="_Toc13354"/>
      <w:r>
        <w:rPr>
          <w:rFonts w:hint="eastAsia" w:ascii="仿宋" w:hAnsi="仿宋" w:eastAsia="仿宋" w:cs="仿宋"/>
          <w:color w:val="auto"/>
          <w:szCs w:val="28"/>
          <w:highlight w:val="none"/>
        </w:rPr>
        <w:t>投标人须知前附表</w:t>
      </w:r>
      <w:bookmarkEnd w:id="3"/>
      <w:bookmarkEnd w:id="4"/>
    </w:p>
    <w:tbl>
      <w:tblPr>
        <w:tblStyle w:val="36"/>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2126"/>
        <w:gridCol w:w="6672"/>
      </w:tblGrid>
      <w:tr w14:paraId="5B0C5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147" w:type="dxa"/>
            <w:vAlign w:val="center"/>
          </w:tcPr>
          <w:p w14:paraId="62EFA6D2">
            <w:pPr>
              <w:pStyle w:val="17"/>
              <w:spacing w:line="276"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2126" w:type="dxa"/>
            <w:vAlign w:val="center"/>
          </w:tcPr>
          <w:p w14:paraId="7E0B0312">
            <w:pPr>
              <w:pStyle w:val="17"/>
              <w:spacing w:line="276"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 款 名 称</w:t>
            </w:r>
          </w:p>
        </w:tc>
        <w:tc>
          <w:tcPr>
            <w:tcW w:w="6672" w:type="dxa"/>
            <w:vAlign w:val="center"/>
          </w:tcPr>
          <w:p w14:paraId="1BE91C07">
            <w:pPr>
              <w:pStyle w:val="17"/>
              <w:spacing w:line="276"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 列 内 容</w:t>
            </w:r>
          </w:p>
        </w:tc>
      </w:tr>
      <w:tr w14:paraId="16EED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27265E22">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1.2</w:t>
            </w:r>
          </w:p>
        </w:tc>
        <w:tc>
          <w:tcPr>
            <w:tcW w:w="2126" w:type="dxa"/>
            <w:vAlign w:val="center"/>
          </w:tcPr>
          <w:p w14:paraId="01C9E384">
            <w:pPr>
              <w:pStyle w:val="17"/>
              <w:spacing w:line="276" w:lineRule="auto"/>
              <w:rPr>
                <w:rFonts w:hint="eastAsia" w:ascii="仿宋" w:hAnsi="仿宋" w:eastAsia="仿宋" w:cs="仿宋"/>
                <w:color w:val="auto"/>
                <w:szCs w:val="21"/>
                <w:highlight w:val="none"/>
                <w:u w:val="single"/>
              </w:rPr>
            </w:pPr>
            <w:r>
              <w:rPr>
                <w:rFonts w:hint="eastAsia" w:ascii="仿宋" w:hAnsi="仿宋" w:eastAsia="仿宋" w:cs="仿宋"/>
                <w:bCs/>
                <w:color w:val="auto"/>
                <w:szCs w:val="21"/>
                <w:highlight w:val="none"/>
              </w:rPr>
              <w:t>采购人</w:t>
            </w:r>
          </w:p>
        </w:tc>
        <w:tc>
          <w:tcPr>
            <w:tcW w:w="6672" w:type="dxa"/>
            <w:vAlign w:val="center"/>
          </w:tcPr>
          <w:p w14:paraId="2FDCF8A8">
            <w:pPr>
              <w:pStyle w:val="17"/>
              <w:spacing w:line="276" w:lineRule="auto"/>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名 称：</w:t>
            </w:r>
            <w:r>
              <w:rPr>
                <w:rFonts w:hint="eastAsia" w:ascii="仿宋" w:hAnsi="仿宋" w:eastAsia="仿宋" w:cs="仿宋"/>
                <w:bCs/>
                <w:color w:val="auto"/>
                <w:szCs w:val="21"/>
                <w:highlight w:val="none"/>
                <w:lang w:eastAsia="zh-CN"/>
              </w:rPr>
              <w:t>昆明市东川区殡仪馆</w:t>
            </w:r>
          </w:p>
          <w:p w14:paraId="5E37BD74">
            <w:pPr>
              <w:pStyle w:val="17"/>
              <w:spacing w:line="276" w:lineRule="auto"/>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地 址：</w:t>
            </w:r>
            <w:r>
              <w:rPr>
                <w:rFonts w:hint="eastAsia" w:ascii="仿宋" w:hAnsi="仿宋" w:eastAsia="仿宋" w:cs="仿宋"/>
                <w:bCs/>
                <w:color w:val="auto"/>
                <w:szCs w:val="21"/>
                <w:highlight w:val="none"/>
                <w:lang w:eastAsia="zh-CN"/>
              </w:rPr>
              <w:t>昆明市东川区新村北郊</w:t>
            </w:r>
          </w:p>
          <w:p w14:paraId="27E13886">
            <w:pPr>
              <w:pStyle w:val="17"/>
              <w:spacing w:line="276" w:lineRule="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联系人：</w:t>
            </w:r>
            <w:r>
              <w:rPr>
                <w:rFonts w:hint="eastAsia" w:ascii="仿宋" w:hAnsi="仿宋" w:eastAsia="仿宋" w:cs="仿宋"/>
                <w:bCs/>
                <w:color w:val="auto"/>
                <w:szCs w:val="21"/>
                <w:highlight w:val="none"/>
                <w:lang w:val="en-US" w:eastAsia="zh-CN"/>
              </w:rPr>
              <w:t>邵春镶</w:t>
            </w:r>
          </w:p>
          <w:p w14:paraId="04225606">
            <w:pPr>
              <w:pStyle w:val="17"/>
              <w:spacing w:line="276" w:lineRule="auto"/>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联系方式：</w:t>
            </w:r>
            <w:r>
              <w:rPr>
                <w:rFonts w:hint="eastAsia" w:ascii="仿宋" w:hAnsi="仿宋" w:eastAsia="仿宋" w:cs="仿宋"/>
                <w:color w:val="auto"/>
                <w:kern w:val="0"/>
                <w:szCs w:val="21"/>
                <w:highlight w:val="none"/>
                <w:lang w:eastAsia="zh-CN"/>
              </w:rPr>
              <w:t>0871-62422583</w:t>
            </w:r>
          </w:p>
        </w:tc>
      </w:tr>
      <w:tr w14:paraId="31C1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2E873EBF">
            <w:pPr>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1.3</w:t>
            </w:r>
          </w:p>
        </w:tc>
        <w:tc>
          <w:tcPr>
            <w:tcW w:w="2126" w:type="dxa"/>
            <w:vAlign w:val="center"/>
          </w:tcPr>
          <w:p w14:paraId="6F91A73A">
            <w:pPr>
              <w:pStyle w:val="17"/>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采购代理机构</w:t>
            </w:r>
          </w:p>
        </w:tc>
        <w:tc>
          <w:tcPr>
            <w:tcW w:w="6672" w:type="dxa"/>
            <w:vAlign w:val="center"/>
          </w:tcPr>
          <w:p w14:paraId="380061B3">
            <w:pPr>
              <w:pStyle w:val="17"/>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采购代理机构：云南嘉顺工程项目管理有限公司</w:t>
            </w:r>
          </w:p>
          <w:p w14:paraId="5AA52126">
            <w:pPr>
              <w:pStyle w:val="17"/>
              <w:spacing w:line="276" w:lineRule="auto"/>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地址：</w:t>
            </w:r>
            <w:r>
              <w:rPr>
                <w:rFonts w:hint="eastAsia" w:ascii="仿宋" w:hAnsi="仿宋" w:eastAsia="仿宋" w:cs="仿宋"/>
                <w:color w:val="auto"/>
                <w:kern w:val="0"/>
                <w:szCs w:val="21"/>
                <w:highlight w:val="none"/>
                <w:lang w:eastAsia="zh-CN"/>
              </w:rPr>
              <w:t>昆明市五华区黑林铺街道滇缅大道2743号景秀西苑2幢一层6号附1商铺</w:t>
            </w:r>
          </w:p>
          <w:p w14:paraId="66DF1633">
            <w:pPr>
              <w:pStyle w:val="17"/>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项目联系人：</w:t>
            </w:r>
            <w:r>
              <w:rPr>
                <w:rFonts w:hint="eastAsia" w:ascii="仿宋" w:hAnsi="仿宋" w:eastAsia="仿宋" w:cs="仿宋"/>
                <w:color w:val="auto"/>
                <w:kern w:val="0"/>
                <w:szCs w:val="21"/>
                <w:highlight w:val="none"/>
                <w:shd w:val="clear" w:color="auto" w:fill="FFFFFF"/>
              </w:rPr>
              <w:t>许晌达、张海鹏</w:t>
            </w:r>
          </w:p>
          <w:p w14:paraId="37C4840F">
            <w:pPr>
              <w:pStyle w:val="17"/>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联系方式：0871-63635863</w:t>
            </w:r>
          </w:p>
        </w:tc>
      </w:tr>
      <w:tr w14:paraId="1AB42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6F83F91B">
            <w:pPr>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1.4</w:t>
            </w:r>
          </w:p>
        </w:tc>
        <w:tc>
          <w:tcPr>
            <w:tcW w:w="2126" w:type="dxa"/>
            <w:vAlign w:val="center"/>
          </w:tcPr>
          <w:p w14:paraId="4D110A29">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6672" w:type="dxa"/>
            <w:vAlign w:val="center"/>
          </w:tcPr>
          <w:p w14:paraId="1C3F52D7">
            <w:pPr>
              <w:pStyle w:val="17"/>
              <w:spacing w:line="276" w:lineRule="auto"/>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lang w:eastAsia="zh-CN"/>
              </w:rPr>
              <w:t>2026采购殡葬用品项目</w:t>
            </w:r>
          </w:p>
        </w:tc>
      </w:tr>
      <w:tr w14:paraId="0E16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0427DE3C">
            <w:pPr>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w:t>
            </w:r>
          </w:p>
        </w:tc>
        <w:tc>
          <w:tcPr>
            <w:tcW w:w="2126" w:type="dxa"/>
            <w:vAlign w:val="center"/>
          </w:tcPr>
          <w:p w14:paraId="6910C6C5">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资金落实情况</w:t>
            </w:r>
          </w:p>
        </w:tc>
        <w:tc>
          <w:tcPr>
            <w:tcW w:w="6672" w:type="dxa"/>
            <w:vAlign w:val="center"/>
          </w:tcPr>
          <w:p w14:paraId="0652DE59">
            <w:pPr>
              <w:pStyle w:val="17"/>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已落实</w:t>
            </w:r>
          </w:p>
        </w:tc>
      </w:tr>
      <w:tr w14:paraId="641C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6F1A2E98">
            <w:pPr>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2.2</w:t>
            </w:r>
          </w:p>
        </w:tc>
        <w:tc>
          <w:tcPr>
            <w:tcW w:w="2126" w:type="dxa"/>
            <w:vAlign w:val="center"/>
          </w:tcPr>
          <w:p w14:paraId="5C72ED5F">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项目预算（最高限价）</w:t>
            </w:r>
          </w:p>
        </w:tc>
        <w:tc>
          <w:tcPr>
            <w:tcW w:w="6672" w:type="dxa"/>
            <w:vAlign w:val="center"/>
          </w:tcPr>
          <w:p w14:paraId="44BDA157">
            <w:pPr>
              <w:pStyle w:val="17"/>
              <w:spacing w:line="276" w:lineRule="auto"/>
              <w:rPr>
                <w:rFonts w:hint="eastAsia" w:ascii="仿宋" w:hAnsi="仿宋" w:eastAsia="仿宋" w:cs="仿宋"/>
                <w:bCs/>
                <w:color w:val="auto"/>
                <w:sz w:val="20"/>
                <w:szCs w:val="21"/>
                <w:highlight w:val="none"/>
              </w:rPr>
            </w:pPr>
            <w:r>
              <w:rPr>
                <w:rFonts w:hint="eastAsia" w:ascii="仿宋" w:hAnsi="仿宋" w:eastAsia="仿宋" w:cs="仿宋"/>
                <w:bCs/>
                <w:color w:val="auto"/>
                <w:szCs w:val="21"/>
                <w:highlight w:val="none"/>
              </w:rPr>
              <w:t>详见第一章“招标公告”</w:t>
            </w:r>
          </w:p>
        </w:tc>
      </w:tr>
      <w:tr w14:paraId="0CB2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147" w:type="dxa"/>
            <w:vAlign w:val="center"/>
          </w:tcPr>
          <w:p w14:paraId="2554966B">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3.1</w:t>
            </w:r>
          </w:p>
        </w:tc>
        <w:tc>
          <w:tcPr>
            <w:tcW w:w="2126" w:type="dxa"/>
            <w:vAlign w:val="center"/>
          </w:tcPr>
          <w:p w14:paraId="0E7143F2">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招标范围</w:t>
            </w:r>
          </w:p>
        </w:tc>
        <w:tc>
          <w:tcPr>
            <w:tcW w:w="6672" w:type="dxa"/>
            <w:vAlign w:val="center"/>
          </w:tcPr>
          <w:p w14:paraId="384CDBE9">
            <w:pPr>
              <w:pStyle w:val="17"/>
              <w:spacing w:line="276" w:lineRule="auto"/>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详见第五章“</w:t>
            </w:r>
            <w:r>
              <w:rPr>
                <w:rFonts w:hint="eastAsia" w:ascii="仿宋" w:hAnsi="仿宋" w:eastAsia="仿宋" w:cs="仿宋"/>
                <w:color w:val="auto"/>
                <w:szCs w:val="21"/>
                <w:highlight w:val="none"/>
              </w:rPr>
              <w:t>采购需求</w:t>
            </w:r>
            <w:r>
              <w:rPr>
                <w:rFonts w:hint="eastAsia" w:ascii="仿宋" w:hAnsi="仿宋" w:eastAsia="仿宋" w:cs="仿宋"/>
                <w:bCs/>
                <w:color w:val="auto"/>
                <w:szCs w:val="21"/>
                <w:highlight w:val="none"/>
              </w:rPr>
              <w:t>”</w:t>
            </w:r>
          </w:p>
        </w:tc>
      </w:tr>
      <w:tr w14:paraId="2F2B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07F89A1D">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3.2</w:t>
            </w:r>
          </w:p>
        </w:tc>
        <w:tc>
          <w:tcPr>
            <w:tcW w:w="2126" w:type="dxa"/>
            <w:vAlign w:val="center"/>
          </w:tcPr>
          <w:p w14:paraId="2D176AB8">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合同履行期限</w:t>
            </w:r>
          </w:p>
        </w:tc>
        <w:tc>
          <w:tcPr>
            <w:tcW w:w="6672" w:type="dxa"/>
            <w:vAlign w:val="center"/>
          </w:tcPr>
          <w:p w14:paraId="4811635F">
            <w:pPr>
              <w:pStyle w:val="17"/>
              <w:spacing w:line="276" w:lineRule="auto"/>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详见第一章“招标公告”</w:t>
            </w:r>
          </w:p>
        </w:tc>
      </w:tr>
      <w:tr w14:paraId="506A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6BBA4670">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3.3</w:t>
            </w:r>
          </w:p>
        </w:tc>
        <w:tc>
          <w:tcPr>
            <w:tcW w:w="2126" w:type="dxa"/>
            <w:vAlign w:val="center"/>
          </w:tcPr>
          <w:p w14:paraId="5F36667B">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供货地点</w:t>
            </w:r>
          </w:p>
        </w:tc>
        <w:tc>
          <w:tcPr>
            <w:tcW w:w="6672" w:type="dxa"/>
            <w:vAlign w:val="center"/>
          </w:tcPr>
          <w:p w14:paraId="7E780DF1">
            <w:pPr>
              <w:pStyle w:val="17"/>
              <w:spacing w:line="276" w:lineRule="auto"/>
              <w:jc w:val="left"/>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昆明市东川区</w:t>
            </w:r>
          </w:p>
        </w:tc>
      </w:tr>
      <w:tr w14:paraId="17875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7B33F3F3">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3.4</w:t>
            </w:r>
          </w:p>
        </w:tc>
        <w:tc>
          <w:tcPr>
            <w:tcW w:w="2126" w:type="dxa"/>
            <w:vAlign w:val="center"/>
          </w:tcPr>
          <w:p w14:paraId="7FC9A207">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质量目标</w:t>
            </w:r>
          </w:p>
        </w:tc>
        <w:tc>
          <w:tcPr>
            <w:tcW w:w="6672" w:type="dxa"/>
            <w:vAlign w:val="center"/>
          </w:tcPr>
          <w:p w14:paraId="475A0ECA">
            <w:pPr>
              <w:pStyle w:val="17"/>
              <w:spacing w:line="276" w:lineRule="auto"/>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符合《木质骨灰盒通用技术条件》（GB/T 23288-2023）、《火化随葬品使用要求》（MZ/T 105-2017）、《寿衣及相关纺织品》（T/SFITA 005—2025）、《阻燃纸和纸板燃烧性能试验方法》（GB/T 14656-2009）等国家、省、市殡葬行业管理规范及环保、安全、消防、防疫标准，择优采购质量合格、工艺合规、性价比优良、安全环保、合规溯源的殡葬用品，全面满足辖区常态化殡葬服务及应急保障需求</w:t>
            </w:r>
            <w:r>
              <w:rPr>
                <w:rFonts w:hint="eastAsia" w:ascii="仿宋" w:hAnsi="仿宋" w:eastAsia="仿宋" w:cs="仿宋"/>
                <w:bCs/>
                <w:color w:val="auto"/>
                <w:szCs w:val="21"/>
                <w:highlight w:val="none"/>
              </w:rPr>
              <w:t>。</w:t>
            </w:r>
          </w:p>
        </w:tc>
      </w:tr>
      <w:tr w14:paraId="63213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2FA92285">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4.1</w:t>
            </w:r>
          </w:p>
        </w:tc>
        <w:tc>
          <w:tcPr>
            <w:tcW w:w="2126" w:type="dxa"/>
            <w:vAlign w:val="center"/>
          </w:tcPr>
          <w:p w14:paraId="42CBAA41">
            <w:pPr>
              <w:pStyle w:val="17"/>
              <w:spacing w:line="276" w:lineRule="auto"/>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申请人资格要求</w:t>
            </w:r>
          </w:p>
        </w:tc>
        <w:tc>
          <w:tcPr>
            <w:tcW w:w="6672" w:type="dxa"/>
          </w:tcPr>
          <w:p w14:paraId="257A47DD">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1.满足《中华人民共和国政府采购法》第二十二条规定</w:t>
            </w:r>
          </w:p>
          <w:p w14:paraId="4B3C35BC">
            <w:pPr>
              <w:spacing w:line="40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（1）具有独立承担民事责任的能力；</w:t>
            </w:r>
            <w:r>
              <w:rPr>
                <w:rFonts w:hint="eastAsia" w:ascii="仿宋" w:hAnsi="仿宋" w:eastAsia="仿宋" w:cs="仿宋"/>
                <w:color w:val="auto"/>
                <w:szCs w:val="21"/>
                <w:highlight w:val="none"/>
              </w:rPr>
              <w:t>[法人或者其他组织的营业执照等证明文件</w:t>
            </w:r>
            <w:r>
              <w:rPr>
                <w:rFonts w:hint="eastAsia" w:ascii="仿宋" w:hAnsi="仿宋" w:eastAsia="仿宋" w:cs="仿宋"/>
                <w:color w:val="auto"/>
                <w:szCs w:val="21"/>
                <w:highlight w:val="none"/>
                <w:lang w:eastAsia="zh-CN"/>
              </w:rPr>
              <w:t>]</w:t>
            </w:r>
          </w:p>
          <w:p w14:paraId="6CC3AFCF">
            <w:pPr>
              <w:spacing w:line="40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（2）具有良好的商业信誉和健全的财务会计制度；</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eastAsia="zh-CN"/>
              </w:rPr>
              <w:t>提供2023年至今任意一年经赋码的审计财务报告（包含资产负债表、利润表、现金流量表、所有者权益变动表及附注即“四表一注”）或其基本开户银行出具的资信证明或财政部门认可的政府采购专业担保机构出具的投标担保函。工商登记注册之日起至磋商截止时间不满一年的需提供自成立至今的财务报表或承诺书。]</w:t>
            </w:r>
          </w:p>
          <w:p w14:paraId="70EA7CAD">
            <w:pPr>
              <w:spacing w:line="40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（3）具有履行合同所必需的设备和专业技术能力；</w:t>
            </w:r>
            <w:r>
              <w:rPr>
                <w:rFonts w:hint="eastAsia" w:ascii="仿宋" w:hAnsi="仿宋" w:eastAsia="仿宋" w:cs="仿宋"/>
                <w:color w:val="auto"/>
                <w:szCs w:val="21"/>
                <w:highlight w:val="none"/>
              </w:rPr>
              <w:t>[提供书面声明或相关证明材料</w:t>
            </w:r>
            <w:r>
              <w:rPr>
                <w:rFonts w:hint="eastAsia" w:ascii="仿宋" w:hAnsi="仿宋" w:eastAsia="仿宋" w:cs="仿宋"/>
                <w:color w:val="auto"/>
                <w:szCs w:val="21"/>
                <w:highlight w:val="none"/>
                <w:lang w:eastAsia="zh-CN"/>
              </w:rPr>
              <w:t>。]</w:t>
            </w:r>
          </w:p>
          <w:p w14:paraId="4EBB3460">
            <w:pPr>
              <w:spacing w:line="400" w:lineRule="exact"/>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rPr>
              <w:t>（4）有依法缴纳税收和社会保障资金的良好记录；</w:t>
            </w:r>
            <w:r>
              <w:rPr>
                <w:rFonts w:hint="eastAsia" w:ascii="仿宋" w:hAnsi="仿宋" w:eastAsia="仿宋" w:cs="仿宋"/>
                <w:color w:val="auto"/>
                <w:szCs w:val="21"/>
                <w:highlight w:val="none"/>
              </w:rPr>
              <w:t>[①提供在投标截止之日前十二个月内</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税款所属时期</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任意2个月的税务局税收通用缴款书扫描件或银行电子缴税</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费</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凭证扫描件或税务局出具纳税情况的相关证明，依法免税的，应提供依法免税的相关证明文件；成立至今不足2个月的投标人须提供承诺书；②提供在投标截止之日前十二个月内</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费款所属时期</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任意2个月的社会保险费缴款书扫描件或银行电子缴税</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费</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凭证扫描件或社保管理部门出具的有效的缴款证明，依法免缴的，应提供依法免缴的相关证明文件；成立至今不足2个月的投标人须提供承诺书</w:t>
            </w:r>
            <w:r>
              <w:rPr>
                <w:rFonts w:hint="eastAsia" w:ascii="仿宋" w:hAnsi="仿宋" w:eastAsia="仿宋" w:cs="仿宋"/>
                <w:color w:val="auto"/>
                <w:szCs w:val="21"/>
                <w:highlight w:val="none"/>
                <w:lang w:eastAsia="zh-CN"/>
              </w:rPr>
              <w:t>。]</w:t>
            </w:r>
          </w:p>
          <w:p w14:paraId="72B4AC55">
            <w:pPr>
              <w:spacing w:line="40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（5）</w:t>
            </w:r>
            <w:r>
              <w:rPr>
                <w:rFonts w:hint="eastAsia" w:ascii="仿宋" w:hAnsi="仿宋" w:eastAsia="仿宋" w:cs="仿宋"/>
                <w:b/>
                <w:bCs/>
                <w:color w:val="auto"/>
                <w:szCs w:val="21"/>
                <w:highlight w:val="none"/>
                <w:shd w:val="clear" w:color="auto" w:fill="FFFFFF"/>
              </w:rPr>
              <w:t>参加政府采购活动前三年内，在经营活动中没有重大违法记录</w:t>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[重大违法记录，是指投标人因违法经营受到刑事处罚或者责令停产停业、吊销许可证或者执照、较大数额罚款等</w:t>
            </w:r>
            <w:r>
              <w:rPr>
                <w:rFonts w:hint="eastAsia" w:ascii="仿宋" w:hAnsi="仿宋" w:eastAsia="仿宋" w:cs="仿宋"/>
                <w:color w:val="auto"/>
                <w:szCs w:val="21"/>
                <w:highlight w:val="none"/>
                <w:lang w:eastAsia="zh-CN"/>
              </w:rPr>
              <w:t>行政处罚</w:t>
            </w:r>
            <w:r>
              <w:rPr>
                <w:rFonts w:hint="eastAsia" w:ascii="仿宋" w:hAnsi="仿宋" w:eastAsia="仿宋" w:cs="仿宋"/>
                <w:color w:val="auto"/>
                <w:szCs w:val="21"/>
                <w:highlight w:val="none"/>
              </w:rPr>
              <w:t>。提供书面声明或相关证明材料</w:t>
            </w:r>
            <w:r>
              <w:rPr>
                <w:rFonts w:hint="eastAsia" w:ascii="仿宋" w:hAnsi="仿宋" w:eastAsia="仿宋" w:cs="仿宋"/>
                <w:color w:val="auto"/>
                <w:szCs w:val="21"/>
                <w:highlight w:val="none"/>
                <w:lang w:eastAsia="zh-CN"/>
              </w:rPr>
              <w:t>。]</w:t>
            </w:r>
          </w:p>
          <w:p w14:paraId="4DABD585">
            <w:pPr>
              <w:widowControl/>
              <w:shd w:val="clear" w:color="auto" w:fill="FFFFFF"/>
              <w:jc w:val="left"/>
              <w:rPr>
                <w:rFonts w:hint="eastAsia" w:ascii="仿宋" w:hAnsi="仿宋" w:eastAsia="仿宋" w:cs="仿宋"/>
                <w:color w:val="auto"/>
                <w:highlight w:val="none"/>
                <w:lang w:val="en-US" w:eastAsia="zh-CN"/>
              </w:rPr>
            </w:pPr>
            <w:r>
              <w:rPr>
                <w:rFonts w:hint="eastAsia" w:ascii="仿宋" w:hAnsi="仿宋" w:eastAsia="仿宋" w:cs="仿宋"/>
                <w:b/>
                <w:bCs/>
                <w:color w:val="auto"/>
                <w:szCs w:val="21"/>
                <w:highlight w:val="none"/>
              </w:rPr>
              <w:t>（6）法律、行政法规规定的其他条件</w:t>
            </w:r>
            <w:r>
              <w:rPr>
                <w:rFonts w:hint="eastAsia" w:ascii="仿宋" w:hAnsi="仿宋" w:eastAsia="仿宋" w:cs="仿宋"/>
                <w:color w:val="auto"/>
                <w:szCs w:val="21"/>
                <w:highlight w:val="none"/>
              </w:rPr>
              <w:t>[①投标人未被列入“信用中国”网站（www.creditchina.gov.cn）失信被执行人、重大税收违法失信主体、严重失信主体名单及中国政府采购网（www.ccgp.gov.cn）“政府采购严重违法失信行为信息记录”。（被禁止在一定期限内参加政府采购活动但期限届满的除外）。评标前由采购代理机构查询，交由评标委员会审查后存档。②法律、行政法规规定的其他条件。③单位负责人为同一人或者存在直接控股、管理关系的不同单位，不得同时参加本项目的投标活动</w:t>
            </w:r>
            <w:r>
              <w:rPr>
                <w:rFonts w:hint="eastAsia" w:ascii="仿宋" w:hAnsi="仿宋" w:eastAsia="仿宋" w:cs="仿宋"/>
                <w:color w:val="auto"/>
                <w:szCs w:val="21"/>
                <w:highlight w:val="none"/>
                <w:lang w:eastAsia="zh-CN"/>
              </w:rPr>
              <w:t>。]</w:t>
            </w:r>
          </w:p>
          <w:p w14:paraId="07AEEE9A">
            <w:pPr>
              <w:pStyle w:val="17"/>
              <w:spacing w:line="276" w:lineRule="auto"/>
              <w:jc w:val="left"/>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 w:val="21"/>
                <w:szCs w:val="21"/>
                <w:highlight w:val="none"/>
                <w:lang w:val="en-US" w:eastAsia="zh-CN"/>
              </w:rPr>
              <w:t>2.落实政府采购政策需满足的资格要求：</w:t>
            </w:r>
            <w:r>
              <w:rPr>
                <w:rFonts w:hint="eastAsia" w:ascii="仿宋" w:hAnsi="仿宋" w:eastAsia="仿宋" w:cs="仿宋"/>
                <w:b w:val="0"/>
                <w:bCs w:val="0"/>
                <w:color w:val="auto"/>
                <w:sz w:val="21"/>
                <w:szCs w:val="21"/>
                <w:highlight w:val="none"/>
                <w:lang w:val="en-US" w:eastAsia="zh-CN"/>
              </w:rPr>
              <w:t>本项目专门面向中小微企业采购；</w:t>
            </w:r>
          </w:p>
          <w:p w14:paraId="7A409C8D">
            <w:pPr>
              <w:pStyle w:val="17"/>
              <w:spacing w:line="276" w:lineRule="auto"/>
              <w:jc w:val="lef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.本项目的特定资格要求：</w:t>
            </w:r>
            <w:r>
              <w:rPr>
                <w:rFonts w:hint="eastAsia" w:ascii="仿宋" w:hAnsi="仿宋" w:eastAsia="仿宋" w:cs="仿宋"/>
                <w:b/>
                <w:bCs/>
                <w:color w:val="auto"/>
                <w:szCs w:val="21"/>
                <w:highlight w:val="none"/>
                <w:lang w:val="en-US" w:eastAsia="zh-CN"/>
              </w:rPr>
              <w:t>无</w:t>
            </w:r>
            <w:r>
              <w:rPr>
                <w:rFonts w:hint="eastAsia" w:ascii="仿宋" w:hAnsi="仿宋" w:eastAsia="仿宋" w:cs="仿宋"/>
                <w:color w:val="auto"/>
                <w:kern w:val="0"/>
                <w:szCs w:val="21"/>
                <w:highlight w:val="none"/>
              </w:rPr>
              <w:t>。</w:t>
            </w:r>
          </w:p>
        </w:tc>
      </w:tr>
      <w:tr w14:paraId="060D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65AC366A">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4.2</w:t>
            </w:r>
          </w:p>
        </w:tc>
        <w:tc>
          <w:tcPr>
            <w:tcW w:w="2126" w:type="dxa"/>
            <w:vAlign w:val="center"/>
          </w:tcPr>
          <w:p w14:paraId="43660A85">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是否接受联合体投标</w:t>
            </w:r>
          </w:p>
        </w:tc>
        <w:tc>
          <w:tcPr>
            <w:tcW w:w="6672" w:type="dxa"/>
            <w:vAlign w:val="center"/>
          </w:tcPr>
          <w:p w14:paraId="7021FDBF">
            <w:pPr>
              <w:pStyle w:val="17"/>
              <w:spacing w:line="276" w:lineRule="auto"/>
              <w:jc w:val="left"/>
              <w:rPr>
                <w:rFonts w:hint="eastAsia" w:ascii="仿宋" w:hAnsi="仿宋" w:eastAsia="仿宋" w:cs="仿宋"/>
                <w:color w:val="auto"/>
                <w:szCs w:val="21"/>
                <w:highlight w:val="none"/>
              </w:rPr>
            </w:pPr>
            <w:r>
              <w:rPr>
                <w:rFonts w:hint="eastAsia" w:ascii="仿宋" w:hAnsi="仿宋" w:eastAsia="仿宋" w:cs="仿宋"/>
                <w:b/>
                <w:color w:val="auto"/>
                <w:sz w:val="24"/>
                <w:szCs w:val="24"/>
                <w:highlight w:val="none"/>
              </w:rPr>
              <w:fldChar w:fldCharType="begin"/>
            </w:r>
            <w:r>
              <w:rPr>
                <w:rFonts w:hint="eastAsia" w:ascii="仿宋" w:hAnsi="仿宋" w:eastAsia="仿宋" w:cs="仿宋"/>
                <w:b/>
                <w:color w:val="auto"/>
                <w:sz w:val="24"/>
                <w:szCs w:val="24"/>
                <w:highlight w:val="none"/>
              </w:rPr>
              <w:instrText xml:space="preserve"> EQ \o(□,</w:instrText>
            </w:r>
            <w:r>
              <w:rPr>
                <w:rFonts w:hint="eastAsia" w:ascii="仿宋" w:hAnsi="仿宋" w:eastAsia="仿宋" w:cs="仿宋"/>
                <w:b/>
                <w:color w:val="auto"/>
                <w:position w:val="2"/>
                <w:sz w:val="16"/>
                <w:szCs w:val="24"/>
                <w:highlight w:val="none"/>
              </w:rPr>
              <w:instrText xml:space="preserve">√</w:instrText>
            </w:r>
            <w:r>
              <w:rPr>
                <w:rFonts w:hint="eastAsia" w:ascii="仿宋" w:hAnsi="仿宋" w:eastAsia="仿宋" w:cs="仿宋"/>
                <w:b/>
                <w:color w:val="auto"/>
                <w:sz w:val="24"/>
                <w:szCs w:val="24"/>
                <w:highlight w:val="none"/>
              </w:rPr>
              <w:instrText xml:space="preserve">)</w:instrText>
            </w:r>
            <w:r>
              <w:rPr>
                <w:rFonts w:hint="eastAsia" w:ascii="仿宋" w:hAnsi="仿宋" w:eastAsia="仿宋" w:cs="仿宋"/>
                <w:b/>
                <w:color w:val="auto"/>
                <w:sz w:val="24"/>
                <w:szCs w:val="24"/>
                <w:highlight w:val="none"/>
              </w:rPr>
              <w:fldChar w:fldCharType="end"/>
            </w:r>
            <w:r>
              <w:rPr>
                <w:rFonts w:hint="eastAsia" w:ascii="仿宋" w:hAnsi="仿宋" w:eastAsia="仿宋" w:cs="仿宋"/>
                <w:color w:val="auto"/>
                <w:szCs w:val="21"/>
                <w:highlight w:val="none"/>
              </w:rPr>
              <w:t xml:space="preserve">不接受     </w:t>
            </w:r>
            <w:r>
              <w:rPr>
                <w:rFonts w:hint="eastAsia" w:ascii="仿宋" w:hAnsi="仿宋" w:eastAsia="仿宋" w:cs="仿宋"/>
                <w:b/>
                <w:color w:val="auto"/>
                <w:sz w:val="24"/>
                <w:szCs w:val="24"/>
                <w:highlight w:val="none"/>
              </w:rPr>
              <w:fldChar w:fldCharType="begin"/>
            </w:r>
            <w:r>
              <w:rPr>
                <w:rFonts w:hint="eastAsia" w:ascii="仿宋" w:hAnsi="仿宋" w:eastAsia="仿宋" w:cs="仿宋"/>
                <w:b/>
                <w:color w:val="auto"/>
                <w:sz w:val="24"/>
                <w:szCs w:val="24"/>
                <w:highlight w:val="none"/>
              </w:rPr>
              <w:instrText xml:space="preserve"> EQ \o(□)</w:instrText>
            </w:r>
            <w:r>
              <w:rPr>
                <w:rFonts w:hint="eastAsia" w:ascii="仿宋" w:hAnsi="仿宋" w:eastAsia="仿宋" w:cs="仿宋"/>
                <w:b/>
                <w:color w:val="auto"/>
                <w:sz w:val="24"/>
                <w:szCs w:val="24"/>
                <w:highlight w:val="none"/>
              </w:rPr>
              <w:fldChar w:fldCharType="end"/>
            </w:r>
            <w:r>
              <w:rPr>
                <w:rFonts w:hint="eastAsia" w:ascii="仿宋" w:hAnsi="仿宋" w:eastAsia="仿宋" w:cs="仿宋"/>
                <w:color w:val="auto"/>
                <w:szCs w:val="21"/>
                <w:highlight w:val="none"/>
              </w:rPr>
              <w:t>接受</w:t>
            </w:r>
          </w:p>
        </w:tc>
      </w:tr>
      <w:tr w14:paraId="0929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1D928D9A">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9.1</w:t>
            </w:r>
          </w:p>
        </w:tc>
        <w:tc>
          <w:tcPr>
            <w:tcW w:w="2126" w:type="dxa"/>
            <w:vAlign w:val="center"/>
          </w:tcPr>
          <w:p w14:paraId="1A72BF50">
            <w:pPr>
              <w:autoSpaceDE w:val="0"/>
              <w:autoSpaceDN w:val="0"/>
              <w:snapToGrid w:val="0"/>
              <w:spacing w:line="276" w:lineRule="auto"/>
              <w:textAlignment w:val="bottom"/>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招标文件澄清截止时间</w:t>
            </w:r>
          </w:p>
        </w:tc>
        <w:tc>
          <w:tcPr>
            <w:tcW w:w="6672" w:type="dxa"/>
            <w:vAlign w:val="center"/>
          </w:tcPr>
          <w:p w14:paraId="341FCF5D">
            <w:pPr>
              <w:autoSpaceDE w:val="0"/>
              <w:autoSpaceDN w:val="0"/>
              <w:snapToGrid w:val="0"/>
              <w:spacing w:line="276" w:lineRule="auto"/>
              <w:textAlignment w:val="bottom"/>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提交投标文件截止时间十五日前</w:t>
            </w:r>
          </w:p>
        </w:tc>
      </w:tr>
      <w:tr w14:paraId="51032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147" w:type="dxa"/>
            <w:vAlign w:val="center"/>
          </w:tcPr>
          <w:p w14:paraId="7C032E45">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10.3</w:t>
            </w:r>
          </w:p>
        </w:tc>
        <w:tc>
          <w:tcPr>
            <w:tcW w:w="2126" w:type="dxa"/>
            <w:vAlign w:val="center"/>
          </w:tcPr>
          <w:p w14:paraId="2FCACDD3">
            <w:pPr>
              <w:autoSpaceDE w:val="0"/>
              <w:autoSpaceDN w:val="0"/>
              <w:snapToGrid w:val="0"/>
              <w:spacing w:line="276" w:lineRule="auto"/>
              <w:textAlignment w:val="bottom"/>
              <w:rPr>
                <w:rFonts w:hint="eastAsia" w:ascii="仿宋" w:hAnsi="仿宋" w:eastAsia="仿宋" w:cs="仿宋"/>
                <w:color w:val="auto"/>
                <w:szCs w:val="21"/>
                <w:highlight w:val="none"/>
              </w:rPr>
            </w:pPr>
            <w:r>
              <w:rPr>
                <w:rFonts w:hint="eastAsia" w:ascii="仿宋" w:hAnsi="仿宋" w:eastAsia="仿宋" w:cs="仿宋"/>
                <w:color w:val="auto"/>
                <w:szCs w:val="21"/>
                <w:highlight w:val="none"/>
              </w:rPr>
              <w:t>实质性要求和条件</w:t>
            </w:r>
          </w:p>
        </w:tc>
        <w:tc>
          <w:tcPr>
            <w:tcW w:w="6672" w:type="dxa"/>
            <w:vAlign w:val="center"/>
          </w:tcPr>
          <w:p w14:paraId="2251EB33">
            <w:pPr>
              <w:autoSpaceDE w:val="0"/>
              <w:autoSpaceDN w:val="0"/>
              <w:snapToGrid w:val="0"/>
              <w:spacing w:line="400" w:lineRule="exact"/>
              <w:textAlignment w:val="bottom"/>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本招标文件中的实质性要求和条件，</w:t>
            </w:r>
            <w:r>
              <w:rPr>
                <w:rFonts w:hint="eastAsia" w:ascii="仿宋" w:hAnsi="仿宋" w:eastAsia="仿宋" w:cs="仿宋"/>
                <w:b/>
                <w:bCs/>
                <w:color w:val="auto"/>
                <w:szCs w:val="21"/>
                <w:highlight w:val="none"/>
              </w:rPr>
              <w:t>不满足任何一条将导致投标无效。</w:t>
            </w:r>
            <w:r>
              <w:rPr>
                <w:rFonts w:hint="eastAsia" w:ascii="仿宋" w:hAnsi="仿宋" w:eastAsia="仿宋" w:cs="仿宋"/>
                <w:bCs/>
                <w:color w:val="auto"/>
                <w:szCs w:val="21"/>
                <w:highlight w:val="none"/>
              </w:rPr>
              <w:t>请各投标人仔细阅读。</w:t>
            </w:r>
          </w:p>
        </w:tc>
      </w:tr>
      <w:tr w14:paraId="07B6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0CCF846F">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15.1</w:t>
            </w:r>
          </w:p>
        </w:tc>
        <w:tc>
          <w:tcPr>
            <w:tcW w:w="2126" w:type="dxa"/>
            <w:vAlign w:val="center"/>
          </w:tcPr>
          <w:p w14:paraId="046EAD1E">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6672" w:type="dxa"/>
            <w:vAlign w:val="center"/>
          </w:tcPr>
          <w:p w14:paraId="5B89B102">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highlight w:val="none"/>
              </w:rPr>
              <w:t>从提交投标文件截止之日起</w:t>
            </w:r>
            <w:r>
              <w:rPr>
                <w:rFonts w:hint="eastAsia" w:ascii="仿宋" w:hAnsi="仿宋" w:eastAsia="仿宋" w:cs="仿宋"/>
                <w:color w:val="auto"/>
                <w:highlight w:val="none"/>
                <w:u w:val="single"/>
              </w:rPr>
              <w:t>90</w:t>
            </w:r>
            <w:r>
              <w:rPr>
                <w:rFonts w:hint="eastAsia" w:ascii="仿宋" w:hAnsi="仿宋" w:eastAsia="仿宋" w:cs="仿宋"/>
                <w:color w:val="auto"/>
                <w:highlight w:val="none"/>
              </w:rPr>
              <w:t>日历天</w:t>
            </w:r>
          </w:p>
        </w:tc>
      </w:tr>
      <w:tr w14:paraId="6775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39E6503F">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16.1</w:t>
            </w:r>
          </w:p>
        </w:tc>
        <w:tc>
          <w:tcPr>
            <w:tcW w:w="2126" w:type="dxa"/>
            <w:vAlign w:val="center"/>
          </w:tcPr>
          <w:p w14:paraId="28281803">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6672" w:type="dxa"/>
            <w:vAlign w:val="center"/>
          </w:tcPr>
          <w:p w14:paraId="64F72A34">
            <w:pPr>
              <w:autoSpaceDE w:val="0"/>
              <w:autoSpaceDN w:val="0"/>
              <w:snapToGrid w:val="0"/>
              <w:spacing w:line="400" w:lineRule="exact"/>
              <w:textAlignment w:val="bottom"/>
              <w:rPr>
                <w:rFonts w:hint="eastAsia" w:ascii="仿宋" w:hAnsi="仿宋" w:eastAsia="仿宋" w:cs="仿宋"/>
                <w:b/>
                <w:bCs/>
                <w:color w:val="auto"/>
                <w:szCs w:val="20"/>
                <w:highlight w:val="none"/>
                <w:lang w:val="en-US" w:eastAsia="zh-CN"/>
              </w:rPr>
            </w:pPr>
            <w:r>
              <w:rPr>
                <w:rFonts w:hint="eastAsia" w:ascii="仿宋" w:hAnsi="仿宋" w:eastAsia="仿宋" w:cs="仿宋"/>
                <w:b/>
                <w:bCs/>
                <w:color w:val="auto"/>
                <w:szCs w:val="20"/>
                <w:highlight w:val="none"/>
              </w:rPr>
              <w:t>投标保证金的金额：</w:t>
            </w:r>
            <w:r>
              <w:rPr>
                <w:rFonts w:hint="eastAsia" w:ascii="仿宋" w:hAnsi="仿宋" w:eastAsia="仿宋" w:cs="仿宋"/>
                <w:b/>
                <w:bCs/>
                <w:color w:val="auto"/>
                <w:szCs w:val="20"/>
                <w:highlight w:val="none"/>
                <w:lang w:val="en-US" w:eastAsia="zh-CN"/>
              </w:rPr>
              <w:t>15000.00元</w:t>
            </w:r>
          </w:p>
          <w:p w14:paraId="6A26CE4D">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提交时间：截止时间为投标截止时间，未按时到账的保证金视为未提交。</w:t>
            </w:r>
          </w:p>
          <w:p w14:paraId="234DFB62">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投标保证金的形式：支票、汇票、本票、保函、转账或电汇等非现金形式</w:t>
            </w:r>
          </w:p>
          <w:p w14:paraId="2050B944">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投标保证金</w:t>
            </w:r>
            <w:r>
              <w:rPr>
                <w:rFonts w:hint="eastAsia" w:ascii="仿宋" w:hAnsi="仿宋" w:eastAsia="仿宋" w:cs="仿宋"/>
                <w:color w:val="auto"/>
                <w:szCs w:val="20"/>
                <w:highlight w:val="none"/>
                <w:lang w:eastAsia="zh-CN"/>
              </w:rPr>
              <w:t>账户</w:t>
            </w:r>
            <w:r>
              <w:rPr>
                <w:rFonts w:hint="eastAsia" w:ascii="仿宋" w:hAnsi="仿宋" w:eastAsia="仿宋" w:cs="仿宋"/>
                <w:color w:val="auto"/>
                <w:szCs w:val="20"/>
                <w:highlight w:val="none"/>
              </w:rPr>
              <w:t>：</w:t>
            </w:r>
          </w:p>
          <w:p w14:paraId="480985BF">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开户名称：云南嘉顺工程项目管理有限公司</w:t>
            </w:r>
          </w:p>
          <w:p w14:paraId="04178B2F">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开户银行：</w:t>
            </w:r>
            <w:r>
              <w:rPr>
                <w:rFonts w:hint="eastAsia" w:ascii="仿宋" w:hAnsi="仿宋" w:eastAsia="仿宋" w:cs="仿宋"/>
                <w:color w:val="auto"/>
                <w:szCs w:val="20"/>
                <w:highlight w:val="none"/>
                <w:lang w:eastAsia="zh-CN"/>
              </w:rPr>
              <w:t>上海浦东发展银行</w:t>
            </w:r>
            <w:r>
              <w:rPr>
                <w:rFonts w:hint="eastAsia" w:ascii="仿宋" w:hAnsi="仿宋" w:eastAsia="仿宋" w:cs="仿宋"/>
                <w:color w:val="auto"/>
                <w:szCs w:val="20"/>
                <w:highlight w:val="none"/>
              </w:rPr>
              <w:t>保山分行</w:t>
            </w:r>
          </w:p>
          <w:p w14:paraId="5C3F5EEF">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账   号：28410078801300000242</w:t>
            </w:r>
          </w:p>
          <w:p w14:paraId="760E2B50">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请投标人在汇款时务必注明所投项目的</w:t>
            </w:r>
            <w:r>
              <w:rPr>
                <w:rFonts w:hint="eastAsia" w:ascii="仿宋" w:hAnsi="仿宋" w:eastAsia="仿宋" w:cs="仿宋"/>
                <w:b/>
                <w:bCs/>
                <w:color w:val="auto"/>
                <w:szCs w:val="20"/>
                <w:highlight w:val="none"/>
              </w:rPr>
              <w:t>项目编号</w:t>
            </w:r>
            <w:r>
              <w:rPr>
                <w:rFonts w:hint="eastAsia" w:ascii="仿宋" w:hAnsi="仿宋" w:eastAsia="仿宋" w:cs="仿宋"/>
                <w:b/>
                <w:bCs/>
                <w:color w:val="auto"/>
                <w:szCs w:val="20"/>
                <w:highlight w:val="none"/>
                <w:lang w:val="en-US" w:eastAsia="zh-CN"/>
              </w:rPr>
              <w:t>或项目名称</w:t>
            </w:r>
            <w:r>
              <w:rPr>
                <w:rFonts w:hint="eastAsia" w:ascii="仿宋" w:hAnsi="仿宋" w:eastAsia="仿宋" w:cs="仿宋"/>
                <w:color w:val="auto"/>
                <w:szCs w:val="20"/>
                <w:highlight w:val="none"/>
              </w:rPr>
              <w:t>，否则，因款项用途不明导致投标无效等后果由投标人自行承担。</w:t>
            </w:r>
          </w:p>
          <w:p w14:paraId="402F026B">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注：</w:t>
            </w:r>
          </w:p>
          <w:p w14:paraId="5C77ECA7">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（一）银行转账或电汇：</w:t>
            </w:r>
          </w:p>
          <w:p w14:paraId="13278D68">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投标保证金应以投标人自身的名义提交，不得以分支机构等其他名义提交（按照规定，投标人可以为自然人的项目除外）；</w:t>
            </w:r>
          </w:p>
          <w:p w14:paraId="7D43C995">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（二）银行保函</w:t>
            </w:r>
          </w:p>
          <w:p w14:paraId="1B10D31B">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lang w:eastAsia="zh-CN"/>
              </w:rPr>
              <w:t>1.</w:t>
            </w:r>
            <w:r>
              <w:rPr>
                <w:rFonts w:hint="eastAsia" w:ascii="仿宋" w:hAnsi="仿宋" w:eastAsia="仿宋" w:cs="仿宋"/>
                <w:color w:val="auto"/>
                <w:szCs w:val="20"/>
                <w:highlight w:val="none"/>
              </w:rPr>
              <w:t>银行保函申请人必须是投标人，受益人必须是采购人；</w:t>
            </w:r>
          </w:p>
          <w:p w14:paraId="695296E7">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lang w:eastAsia="zh-CN"/>
              </w:rPr>
              <w:t>2.</w:t>
            </w:r>
            <w:r>
              <w:rPr>
                <w:rFonts w:hint="eastAsia" w:ascii="仿宋" w:hAnsi="仿宋" w:eastAsia="仿宋" w:cs="仿宋"/>
                <w:color w:val="auto"/>
                <w:szCs w:val="20"/>
                <w:highlight w:val="none"/>
              </w:rPr>
              <w:t>银行保函必须正确填写受益人和申请人的全称，并与</w:t>
            </w:r>
            <w:r>
              <w:rPr>
                <w:rFonts w:hint="eastAsia" w:ascii="仿宋" w:hAnsi="仿宋" w:eastAsia="仿宋" w:cs="仿宋"/>
                <w:color w:val="auto"/>
                <w:szCs w:val="20"/>
                <w:highlight w:val="none"/>
                <w:lang w:eastAsia="zh-CN"/>
              </w:rPr>
              <w:t>招标文件</w:t>
            </w:r>
            <w:r>
              <w:rPr>
                <w:rFonts w:hint="eastAsia" w:ascii="仿宋" w:hAnsi="仿宋" w:eastAsia="仿宋" w:cs="仿宋"/>
                <w:color w:val="auto"/>
                <w:szCs w:val="20"/>
                <w:highlight w:val="none"/>
              </w:rPr>
              <w:t>规定的名称相一致。银行保函的有效期应当不小于投标有效期，以免造成投标无效。</w:t>
            </w:r>
          </w:p>
          <w:p w14:paraId="03CF683A">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（三）保证保险</w:t>
            </w:r>
          </w:p>
          <w:p w14:paraId="2569B3AC">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lang w:eastAsia="zh-CN"/>
              </w:rPr>
              <w:t>1.</w:t>
            </w:r>
            <w:r>
              <w:rPr>
                <w:rFonts w:hint="eastAsia" w:ascii="仿宋" w:hAnsi="仿宋" w:eastAsia="仿宋" w:cs="仿宋"/>
                <w:color w:val="auto"/>
                <w:szCs w:val="20"/>
                <w:highlight w:val="none"/>
              </w:rPr>
              <w:t>保证保险申请人必须是投标人，受益人必须是采购人；</w:t>
            </w:r>
          </w:p>
          <w:p w14:paraId="01B5C575">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lang w:eastAsia="zh-CN"/>
              </w:rPr>
              <w:t>2.</w:t>
            </w:r>
            <w:r>
              <w:rPr>
                <w:rFonts w:hint="eastAsia" w:ascii="仿宋" w:hAnsi="仿宋" w:eastAsia="仿宋" w:cs="仿宋"/>
                <w:color w:val="auto"/>
                <w:szCs w:val="20"/>
                <w:highlight w:val="none"/>
              </w:rPr>
              <w:t>保证保险必须正确填写受益人和申请人的全称，并与</w:t>
            </w:r>
            <w:r>
              <w:rPr>
                <w:rFonts w:hint="eastAsia" w:ascii="仿宋" w:hAnsi="仿宋" w:eastAsia="仿宋" w:cs="仿宋"/>
                <w:color w:val="auto"/>
                <w:szCs w:val="20"/>
                <w:highlight w:val="none"/>
                <w:lang w:eastAsia="zh-CN"/>
              </w:rPr>
              <w:t>招标文件</w:t>
            </w:r>
            <w:r>
              <w:rPr>
                <w:rFonts w:hint="eastAsia" w:ascii="仿宋" w:hAnsi="仿宋" w:eastAsia="仿宋" w:cs="仿宋"/>
                <w:color w:val="auto"/>
                <w:szCs w:val="20"/>
                <w:highlight w:val="none"/>
              </w:rPr>
              <w:t>规定的名称相一致。保证保险的有效期应当不小于投标有效期，以免造成投标无效。</w:t>
            </w:r>
          </w:p>
          <w:p w14:paraId="4CE332C4">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（四）法律法规规定的其他形式</w:t>
            </w:r>
          </w:p>
          <w:p w14:paraId="2CB74C67">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法律法规规定的其他形式包括支票、汇票、本票。</w:t>
            </w:r>
          </w:p>
          <w:p w14:paraId="001D3EBC">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lang w:eastAsia="zh-CN"/>
              </w:rPr>
              <w:t>（</w:t>
            </w:r>
            <w:r>
              <w:rPr>
                <w:rFonts w:hint="eastAsia" w:ascii="仿宋" w:hAnsi="仿宋" w:eastAsia="仿宋" w:cs="仿宋"/>
                <w:color w:val="auto"/>
                <w:szCs w:val="20"/>
                <w:highlight w:val="none"/>
                <w:lang w:val="en-US" w:eastAsia="zh-CN"/>
              </w:rPr>
              <w:t>五</w:t>
            </w:r>
            <w:r>
              <w:rPr>
                <w:rFonts w:hint="eastAsia" w:ascii="仿宋" w:hAnsi="仿宋" w:eastAsia="仿宋" w:cs="仿宋"/>
                <w:color w:val="auto"/>
                <w:szCs w:val="20"/>
                <w:highlight w:val="none"/>
                <w:lang w:eastAsia="zh-CN"/>
              </w:rPr>
              <w:t>）</w:t>
            </w:r>
            <w:r>
              <w:rPr>
                <w:rFonts w:hint="eastAsia" w:ascii="仿宋" w:hAnsi="仿宋" w:eastAsia="仿宋" w:cs="仿宋"/>
                <w:color w:val="auto"/>
                <w:szCs w:val="20"/>
                <w:highlight w:val="none"/>
              </w:rPr>
              <w:t>保证金提交的程序</w:t>
            </w:r>
          </w:p>
          <w:p w14:paraId="4110D984">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投标人</w:t>
            </w:r>
            <w:r>
              <w:rPr>
                <w:rFonts w:hint="eastAsia" w:ascii="仿宋" w:hAnsi="仿宋" w:eastAsia="仿宋" w:cs="仿宋"/>
                <w:color w:val="auto"/>
                <w:szCs w:val="20"/>
                <w:highlight w:val="none"/>
                <w:lang w:val="en-US" w:eastAsia="zh-CN"/>
              </w:rPr>
              <w:t>参与</w:t>
            </w:r>
            <w:r>
              <w:rPr>
                <w:rFonts w:hint="eastAsia" w:ascii="仿宋" w:hAnsi="仿宋" w:eastAsia="仿宋" w:cs="仿宋"/>
                <w:color w:val="auto"/>
                <w:szCs w:val="20"/>
                <w:highlight w:val="none"/>
              </w:rPr>
              <w:t>同一项目下两个及以上包件的，应按包件分别提交保证金。</w:t>
            </w:r>
          </w:p>
          <w:p w14:paraId="5A01A46F">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（一）采用银行转账方式提交的：投标人从其名下的账户向</w:t>
            </w:r>
            <w:r>
              <w:rPr>
                <w:rFonts w:hint="eastAsia" w:ascii="仿宋" w:hAnsi="仿宋" w:eastAsia="仿宋" w:cs="仿宋"/>
                <w:color w:val="auto"/>
                <w:szCs w:val="20"/>
                <w:highlight w:val="none"/>
                <w:lang w:val="en-US" w:eastAsia="zh-CN"/>
              </w:rPr>
              <w:t>招标</w:t>
            </w:r>
            <w:r>
              <w:rPr>
                <w:rFonts w:hint="eastAsia" w:ascii="仿宋" w:hAnsi="仿宋" w:eastAsia="仿宋" w:cs="仿宋"/>
                <w:color w:val="auto"/>
                <w:szCs w:val="20"/>
                <w:highlight w:val="none"/>
              </w:rPr>
              <w:t>文件中载明的保证金</w:t>
            </w:r>
            <w:r>
              <w:rPr>
                <w:rFonts w:hint="eastAsia" w:ascii="仿宋" w:hAnsi="仿宋" w:eastAsia="仿宋" w:cs="仿宋"/>
                <w:color w:val="auto"/>
                <w:szCs w:val="20"/>
                <w:highlight w:val="none"/>
                <w:lang w:val="en-US" w:eastAsia="zh-CN"/>
              </w:rPr>
              <w:t>账</w:t>
            </w:r>
            <w:r>
              <w:rPr>
                <w:rFonts w:hint="eastAsia" w:ascii="仿宋" w:hAnsi="仿宋" w:eastAsia="仿宋" w:cs="仿宋"/>
                <w:color w:val="auto"/>
                <w:szCs w:val="20"/>
                <w:highlight w:val="none"/>
              </w:rPr>
              <w:t>户转入保证金。</w:t>
            </w:r>
          </w:p>
          <w:p w14:paraId="36DF45E0">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（二）采用银行保函、保证保险、支票、汇票、本票提交的，</w:t>
            </w:r>
            <w:r>
              <w:rPr>
                <w:rFonts w:hint="eastAsia" w:ascii="仿宋" w:hAnsi="仿宋" w:eastAsia="仿宋" w:cs="仿宋"/>
                <w:color w:val="auto"/>
                <w:szCs w:val="20"/>
                <w:highlight w:val="none"/>
                <w:lang w:val="en-US" w:eastAsia="zh-CN"/>
              </w:rPr>
              <w:t>需告知</w:t>
            </w:r>
            <w:r>
              <w:rPr>
                <w:rFonts w:hint="eastAsia" w:ascii="仿宋" w:hAnsi="仿宋" w:eastAsia="仿宋" w:cs="仿宋"/>
                <w:color w:val="auto"/>
                <w:szCs w:val="20"/>
                <w:highlight w:val="none"/>
              </w:rPr>
              <w:t>采购代理机构。</w:t>
            </w:r>
          </w:p>
          <w:p w14:paraId="2443749F">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lang w:val="en-US" w:eastAsia="zh-CN"/>
              </w:rPr>
              <w:t>投标</w:t>
            </w:r>
            <w:r>
              <w:rPr>
                <w:rFonts w:hint="eastAsia" w:ascii="仿宋" w:hAnsi="仿宋" w:eastAsia="仿宋" w:cs="仿宋"/>
                <w:color w:val="auto"/>
                <w:szCs w:val="20"/>
                <w:highlight w:val="none"/>
              </w:rPr>
              <w:t>保证金退还：</w:t>
            </w:r>
          </w:p>
          <w:p w14:paraId="4F0B7C74">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1.以电汇、网银、转账方式缴纳的保证金，以网银对公转账的方式退还</w:t>
            </w:r>
            <w:r>
              <w:rPr>
                <w:rFonts w:hint="eastAsia" w:ascii="仿宋" w:hAnsi="仿宋" w:eastAsia="仿宋" w:cs="仿宋"/>
                <w:color w:val="auto"/>
                <w:szCs w:val="20"/>
                <w:highlight w:val="none"/>
                <w:lang w:eastAsia="zh-CN"/>
              </w:rPr>
              <w:t>至</w:t>
            </w:r>
            <w:r>
              <w:rPr>
                <w:rFonts w:hint="eastAsia" w:ascii="仿宋" w:hAnsi="仿宋" w:eastAsia="仿宋" w:cs="仿宋"/>
                <w:color w:val="auto"/>
                <w:szCs w:val="20"/>
                <w:highlight w:val="none"/>
                <w:lang w:val="en-US" w:eastAsia="zh-CN"/>
              </w:rPr>
              <w:t>投标人</w:t>
            </w:r>
            <w:r>
              <w:rPr>
                <w:rFonts w:hint="eastAsia" w:ascii="仿宋" w:hAnsi="仿宋" w:eastAsia="仿宋" w:cs="仿宋"/>
                <w:color w:val="auto"/>
                <w:szCs w:val="20"/>
                <w:highlight w:val="none"/>
              </w:rPr>
              <w:t>打款账户；</w:t>
            </w:r>
          </w:p>
          <w:p w14:paraId="07162DA2">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2.以支票、汇票及本票等票据方式缴纳的保证金，经财务查账确认后以对公转账的方式退还</w:t>
            </w:r>
            <w:r>
              <w:rPr>
                <w:rFonts w:hint="eastAsia" w:ascii="仿宋" w:hAnsi="仿宋" w:eastAsia="仿宋" w:cs="仿宋"/>
                <w:color w:val="auto"/>
                <w:szCs w:val="20"/>
                <w:highlight w:val="none"/>
                <w:lang w:eastAsia="zh-CN"/>
              </w:rPr>
              <w:t>至</w:t>
            </w:r>
            <w:r>
              <w:rPr>
                <w:rFonts w:hint="eastAsia" w:ascii="仿宋" w:hAnsi="仿宋" w:eastAsia="仿宋" w:cs="仿宋"/>
                <w:color w:val="auto"/>
                <w:szCs w:val="20"/>
                <w:highlight w:val="none"/>
                <w:lang w:val="en-US" w:eastAsia="zh-CN"/>
              </w:rPr>
              <w:t>投标人</w:t>
            </w:r>
            <w:r>
              <w:rPr>
                <w:rFonts w:hint="eastAsia" w:ascii="仿宋" w:hAnsi="仿宋" w:eastAsia="仿宋" w:cs="仿宋"/>
                <w:color w:val="auto"/>
                <w:szCs w:val="20"/>
                <w:highlight w:val="none"/>
              </w:rPr>
              <w:t>开户账户；</w:t>
            </w:r>
          </w:p>
          <w:p w14:paraId="5E6C0E44">
            <w:pPr>
              <w:autoSpaceDE w:val="0"/>
              <w:autoSpaceDN w:val="0"/>
              <w:snapToGrid w:val="0"/>
              <w:spacing w:line="400" w:lineRule="exact"/>
              <w:textAlignment w:val="bottom"/>
              <w:rPr>
                <w:rFonts w:hint="eastAsia" w:ascii="仿宋" w:hAnsi="仿宋" w:eastAsia="仿宋" w:cs="仿宋"/>
                <w:color w:val="auto"/>
                <w:szCs w:val="20"/>
                <w:highlight w:val="none"/>
              </w:rPr>
            </w:pPr>
            <w:r>
              <w:rPr>
                <w:rFonts w:hint="eastAsia" w:ascii="仿宋" w:hAnsi="仿宋" w:eastAsia="仿宋" w:cs="仿宋"/>
                <w:color w:val="auto"/>
                <w:szCs w:val="20"/>
                <w:highlight w:val="none"/>
              </w:rPr>
              <w:t>3.以银行保函或者保证保险方式缴纳的保证金由</w:t>
            </w:r>
            <w:r>
              <w:rPr>
                <w:rFonts w:hint="eastAsia" w:ascii="仿宋" w:hAnsi="仿宋" w:eastAsia="仿宋" w:cs="仿宋"/>
                <w:color w:val="auto"/>
                <w:szCs w:val="20"/>
                <w:highlight w:val="none"/>
                <w:lang w:val="en-US" w:eastAsia="zh-CN"/>
              </w:rPr>
              <w:t>投标人</w:t>
            </w:r>
            <w:r>
              <w:rPr>
                <w:rFonts w:hint="eastAsia" w:ascii="仿宋" w:hAnsi="仿宋" w:eastAsia="仿宋" w:cs="仿宋"/>
                <w:color w:val="auto"/>
                <w:szCs w:val="20"/>
                <w:highlight w:val="none"/>
              </w:rPr>
              <w:t>自行联系出函机构。</w:t>
            </w:r>
          </w:p>
          <w:p w14:paraId="7D6BA0B9">
            <w:pPr>
              <w:autoSpaceDE w:val="0"/>
              <w:autoSpaceDN w:val="0"/>
              <w:snapToGrid w:val="0"/>
              <w:spacing w:line="400" w:lineRule="exact"/>
              <w:textAlignment w:val="bottom"/>
              <w:rPr>
                <w:rFonts w:hint="eastAsia" w:ascii="仿宋" w:hAnsi="仿宋" w:eastAsia="仿宋" w:cs="仿宋"/>
                <w:color w:val="auto"/>
                <w:highlight w:val="none"/>
              </w:rPr>
            </w:pPr>
            <w:r>
              <w:rPr>
                <w:rFonts w:hint="eastAsia" w:ascii="仿宋" w:hAnsi="仿宋" w:eastAsia="仿宋" w:cs="仿宋"/>
                <w:color w:val="auto"/>
                <w:szCs w:val="20"/>
                <w:highlight w:val="none"/>
              </w:rPr>
              <w:t>4.</w:t>
            </w:r>
            <w:r>
              <w:rPr>
                <w:rFonts w:hint="eastAsia" w:ascii="仿宋" w:hAnsi="仿宋" w:eastAsia="仿宋" w:cs="仿宋"/>
                <w:color w:val="auto"/>
                <w:szCs w:val="20"/>
                <w:highlight w:val="none"/>
                <w:lang w:val="en-US" w:eastAsia="zh-CN"/>
              </w:rPr>
              <w:t>投标</w:t>
            </w:r>
            <w:r>
              <w:rPr>
                <w:rFonts w:hint="eastAsia" w:ascii="仿宋" w:hAnsi="仿宋" w:eastAsia="仿宋" w:cs="仿宋"/>
                <w:color w:val="auto"/>
                <w:szCs w:val="20"/>
                <w:highlight w:val="none"/>
              </w:rPr>
              <w:t>保证金退还时限：（1）未</w:t>
            </w:r>
            <w:r>
              <w:rPr>
                <w:rFonts w:hint="eastAsia" w:ascii="仿宋" w:hAnsi="仿宋" w:eastAsia="仿宋" w:cs="仿宋"/>
                <w:color w:val="auto"/>
                <w:szCs w:val="20"/>
                <w:highlight w:val="none"/>
                <w:lang w:val="en-US" w:eastAsia="zh-CN"/>
              </w:rPr>
              <w:t>中标投标人</w:t>
            </w:r>
            <w:r>
              <w:rPr>
                <w:rFonts w:hint="eastAsia" w:ascii="仿宋" w:hAnsi="仿宋" w:eastAsia="仿宋" w:cs="仿宋"/>
                <w:color w:val="auto"/>
                <w:szCs w:val="20"/>
                <w:highlight w:val="none"/>
              </w:rPr>
              <w:t>的</w:t>
            </w:r>
            <w:r>
              <w:rPr>
                <w:rFonts w:hint="eastAsia" w:ascii="仿宋" w:hAnsi="仿宋" w:eastAsia="仿宋" w:cs="仿宋"/>
                <w:color w:val="auto"/>
                <w:szCs w:val="20"/>
                <w:highlight w:val="none"/>
                <w:lang w:val="en-US" w:eastAsia="zh-CN"/>
              </w:rPr>
              <w:t>投标</w:t>
            </w:r>
            <w:r>
              <w:rPr>
                <w:rFonts w:hint="eastAsia" w:ascii="仿宋" w:hAnsi="仿宋" w:eastAsia="仿宋" w:cs="仿宋"/>
                <w:color w:val="auto"/>
                <w:szCs w:val="20"/>
                <w:highlight w:val="none"/>
              </w:rPr>
              <w:t>保证金在</w:t>
            </w:r>
            <w:r>
              <w:rPr>
                <w:rFonts w:hint="eastAsia" w:ascii="仿宋" w:hAnsi="仿宋" w:eastAsia="仿宋" w:cs="仿宋"/>
                <w:color w:val="auto"/>
                <w:szCs w:val="20"/>
                <w:highlight w:val="none"/>
                <w:lang w:val="en-US" w:eastAsia="zh-CN"/>
              </w:rPr>
              <w:t>中标</w:t>
            </w:r>
            <w:r>
              <w:rPr>
                <w:rFonts w:hint="eastAsia" w:ascii="仿宋" w:hAnsi="仿宋" w:eastAsia="仿宋" w:cs="仿宋"/>
                <w:color w:val="auto"/>
                <w:szCs w:val="20"/>
                <w:highlight w:val="none"/>
              </w:rPr>
              <w:t>通知书发出后5个工作日内退还。（2）</w:t>
            </w:r>
            <w:r>
              <w:rPr>
                <w:rFonts w:hint="eastAsia" w:ascii="仿宋" w:hAnsi="仿宋" w:eastAsia="仿宋" w:cs="仿宋"/>
                <w:color w:val="auto"/>
                <w:szCs w:val="20"/>
                <w:highlight w:val="none"/>
                <w:lang w:val="en-US" w:eastAsia="zh-CN"/>
              </w:rPr>
              <w:t>中标人</w:t>
            </w:r>
            <w:r>
              <w:rPr>
                <w:rFonts w:hint="eastAsia" w:ascii="仿宋" w:hAnsi="仿宋" w:eastAsia="仿宋" w:cs="仿宋"/>
                <w:color w:val="auto"/>
                <w:szCs w:val="20"/>
                <w:highlight w:val="none"/>
              </w:rPr>
              <w:t>的</w:t>
            </w:r>
            <w:r>
              <w:rPr>
                <w:rFonts w:hint="eastAsia" w:ascii="仿宋" w:hAnsi="仿宋" w:eastAsia="仿宋" w:cs="仿宋"/>
                <w:color w:val="auto"/>
                <w:szCs w:val="20"/>
                <w:highlight w:val="none"/>
                <w:lang w:val="en-US" w:eastAsia="zh-CN"/>
              </w:rPr>
              <w:t>投标</w:t>
            </w:r>
            <w:r>
              <w:rPr>
                <w:rFonts w:hint="eastAsia" w:ascii="仿宋" w:hAnsi="仿宋" w:eastAsia="仿宋" w:cs="仿宋"/>
                <w:color w:val="auto"/>
                <w:szCs w:val="20"/>
                <w:highlight w:val="none"/>
              </w:rPr>
              <w:t>保证金在</w:t>
            </w:r>
            <w:r>
              <w:rPr>
                <w:rFonts w:hint="eastAsia" w:ascii="仿宋" w:hAnsi="仿宋" w:eastAsia="仿宋" w:cs="仿宋"/>
                <w:color w:val="auto"/>
                <w:szCs w:val="20"/>
                <w:highlight w:val="none"/>
                <w:lang w:val="en-US" w:eastAsia="zh-CN"/>
              </w:rPr>
              <w:t>中标人</w:t>
            </w:r>
            <w:r>
              <w:rPr>
                <w:rFonts w:hint="eastAsia" w:ascii="仿宋" w:hAnsi="仿宋" w:eastAsia="仿宋" w:cs="仿宋"/>
                <w:color w:val="auto"/>
                <w:szCs w:val="20"/>
                <w:highlight w:val="none"/>
              </w:rPr>
              <w:t>与采购人签订合同后5个工作日内退还。</w:t>
            </w:r>
          </w:p>
        </w:tc>
      </w:tr>
      <w:tr w14:paraId="059A7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147" w:type="dxa"/>
            <w:vAlign w:val="center"/>
          </w:tcPr>
          <w:p w14:paraId="487E373B">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17.1</w:t>
            </w:r>
          </w:p>
        </w:tc>
        <w:tc>
          <w:tcPr>
            <w:tcW w:w="2126" w:type="dxa"/>
            <w:vAlign w:val="center"/>
          </w:tcPr>
          <w:p w14:paraId="5ED2FE49">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投标文件密封</w:t>
            </w:r>
          </w:p>
        </w:tc>
        <w:tc>
          <w:tcPr>
            <w:tcW w:w="6672" w:type="dxa"/>
            <w:vAlign w:val="center"/>
          </w:tcPr>
          <w:p w14:paraId="131B3C81">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登录“政采云”平台（https://www.zcygov.cn），</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须在投标截止时间前完成投标文件的电子签章、加密及上传，投标截止时间前未完成投标文件上传的，视为撤回投标文件。</w:t>
            </w:r>
          </w:p>
        </w:tc>
      </w:tr>
      <w:tr w14:paraId="2516E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3E181275">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18.1</w:t>
            </w:r>
          </w:p>
        </w:tc>
        <w:tc>
          <w:tcPr>
            <w:tcW w:w="2126" w:type="dxa"/>
            <w:vAlign w:val="center"/>
          </w:tcPr>
          <w:p w14:paraId="7A414403">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投标文件递交截止时间（同投标截止时间）</w:t>
            </w:r>
          </w:p>
        </w:tc>
        <w:tc>
          <w:tcPr>
            <w:tcW w:w="6672" w:type="dxa"/>
            <w:vAlign w:val="center"/>
          </w:tcPr>
          <w:p w14:paraId="64760FE1">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highlight w:val="none"/>
              </w:rPr>
              <w:t>见第一章“招标公告”</w:t>
            </w:r>
          </w:p>
        </w:tc>
      </w:tr>
      <w:tr w14:paraId="4949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47" w:type="dxa"/>
            <w:vAlign w:val="center"/>
          </w:tcPr>
          <w:p w14:paraId="3E0C0867">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18.2</w:t>
            </w:r>
          </w:p>
        </w:tc>
        <w:tc>
          <w:tcPr>
            <w:tcW w:w="2126" w:type="dxa"/>
            <w:vAlign w:val="center"/>
          </w:tcPr>
          <w:p w14:paraId="4103022E">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投标文件递交地点</w:t>
            </w:r>
          </w:p>
        </w:tc>
        <w:tc>
          <w:tcPr>
            <w:tcW w:w="6672" w:type="dxa"/>
            <w:vAlign w:val="center"/>
          </w:tcPr>
          <w:p w14:paraId="02DA080F">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highlight w:val="none"/>
              </w:rPr>
              <w:t>见第一章“招标公告”</w:t>
            </w:r>
          </w:p>
        </w:tc>
      </w:tr>
      <w:tr w14:paraId="3BB7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0A3837AE">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18.3</w:t>
            </w:r>
          </w:p>
        </w:tc>
        <w:tc>
          <w:tcPr>
            <w:tcW w:w="2126" w:type="dxa"/>
            <w:vAlign w:val="center"/>
          </w:tcPr>
          <w:p w14:paraId="2C8D53FA">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是否退还投标文件</w:t>
            </w:r>
          </w:p>
        </w:tc>
        <w:tc>
          <w:tcPr>
            <w:tcW w:w="6672" w:type="dxa"/>
            <w:vAlign w:val="center"/>
          </w:tcPr>
          <w:p w14:paraId="21002DE5">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否</w:t>
            </w:r>
          </w:p>
        </w:tc>
      </w:tr>
      <w:tr w14:paraId="4C9E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147" w:type="dxa"/>
            <w:vAlign w:val="center"/>
          </w:tcPr>
          <w:p w14:paraId="1256AB4F">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20.1</w:t>
            </w:r>
          </w:p>
        </w:tc>
        <w:tc>
          <w:tcPr>
            <w:tcW w:w="2126" w:type="dxa"/>
            <w:vAlign w:val="center"/>
          </w:tcPr>
          <w:p w14:paraId="32A083CF">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开标时间和地点</w:t>
            </w:r>
          </w:p>
        </w:tc>
        <w:tc>
          <w:tcPr>
            <w:tcW w:w="6672" w:type="dxa"/>
            <w:vAlign w:val="center"/>
          </w:tcPr>
          <w:p w14:paraId="46EBBA40">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highlight w:val="none"/>
              </w:rPr>
              <w:t>同提交投标文件截止时间和地点</w:t>
            </w:r>
          </w:p>
        </w:tc>
      </w:tr>
      <w:tr w14:paraId="6DD4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147" w:type="dxa"/>
            <w:vAlign w:val="center"/>
          </w:tcPr>
          <w:p w14:paraId="147AEE75">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20.4</w:t>
            </w:r>
          </w:p>
        </w:tc>
        <w:tc>
          <w:tcPr>
            <w:tcW w:w="2126" w:type="dxa"/>
            <w:vAlign w:val="center"/>
          </w:tcPr>
          <w:p w14:paraId="00A295AA">
            <w:pPr>
              <w:pStyle w:val="17"/>
              <w:spacing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响应</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文件解密</w:t>
            </w:r>
          </w:p>
        </w:tc>
        <w:tc>
          <w:tcPr>
            <w:tcW w:w="6672" w:type="dxa"/>
            <w:vAlign w:val="center"/>
          </w:tcPr>
          <w:p w14:paraId="1A572882">
            <w:pPr>
              <w:pStyle w:val="17"/>
              <w:spacing w:line="276"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招标</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采购</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代理机构将依托电子交易平台发起开始解密指令，供应商</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的法定代表人或其委托代理人须携带加密时所用的CA锁按平台提示和</w:t>
            </w:r>
            <w:r>
              <w:rPr>
                <w:rFonts w:hint="eastAsia" w:ascii="仿宋" w:hAnsi="仿宋" w:eastAsia="仿宋" w:cs="仿宋"/>
                <w:color w:val="auto"/>
                <w:highlight w:val="none"/>
                <w:lang w:val="en-US" w:eastAsia="zh-CN"/>
              </w:rPr>
              <w:t>招标（</w:t>
            </w:r>
            <w:r>
              <w:rPr>
                <w:rFonts w:hint="eastAsia" w:ascii="仿宋" w:hAnsi="仿宋" w:eastAsia="仿宋" w:cs="仿宋"/>
                <w:color w:val="auto"/>
                <w:highlight w:val="none"/>
              </w:rPr>
              <w:t>采购</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文件的规定登录到“政采云”平台电子开标大厅签到并在发起解密指令之时起30分钟内完成对电子</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响应</w:t>
            </w:r>
            <w:r>
              <w:rPr>
                <w:rFonts w:hint="eastAsia" w:ascii="仿宋" w:hAnsi="仿宋" w:eastAsia="仿宋" w:cs="仿宋"/>
                <w:color w:val="auto"/>
                <w:szCs w:val="21"/>
                <w:highlight w:val="none"/>
                <w:lang w:eastAsia="zh-CN"/>
              </w:rPr>
              <w:t>）</w:t>
            </w:r>
            <w:r>
              <w:rPr>
                <w:rFonts w:hint="eastAsia" w:ascii="仿宋" w:hAnsi="仿宋" w:eastAsia="仿宋" w:cs="仿宋"/>
                <w:color w:val="auto"/>
                <w:highlight w:val="none"/>
              </w:rPr>
              <w:t>文件在线解密。</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响应</w:t>
            </w:r>
            <w:r>
              <w:rPr>
                <w:rFonts w:hint="eastAsia" w:ascii="仿宋" w:hAnsi="仿宋" w:eastAsia="仿宋" w:cs="仿宋"/>
                <w:color w:val="auto"/>
                <w:szCs w:val="21"/>
                <w:highlight w:val="none"/>
                <w:lang w:eastAsia="zh-CN"/>
              </w:rPr>
              <w:t>）</w:t>
            </w:r>
            <w:r>
              <w:rPr>
                <w:rFonts w:hint="eastAsia" w:ascii="仿宋" w:hAnsi="仿宋" w:eastAsia="仿宋" w:cs="仿宋"/>
                <w:color w:val="auto"/>
                <w:highlight w:val="none"/>
              </w:rPr>
              <w:t>文件未按时解密的，视为</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响应</w:t>
            </w:r>
            <w:r>
              <w:rPr>
                <w:rFonts w:hint="eastAsia" w:ascii="仿宋" w:hAnsi="仿宋" w:eastAsia="仿宋" w:cs="仿宋"/>
                <w:color w:val="auto"/>
                <w:szCs w:val="21"/>
                <w:highlight w:val="none"/>
                <w:lang w:eastAsia="zh-CN"/>
              </w:rPr>
              <w:t>）</w:t>
            </w:r>
            <w:r>
              <w:rPr>
                <w:rFonts w:hint="eastAsia" w:ascii="仿宋" w:hAnsi="仿宋" w:eastAsia="仿宋" w:cs="仿宋"/>
                <w:color w:val="auto"/>
                <w:highlight w:val="none"/>
              </w:rPr>
              <w:t>文件无效。</w:t>
            </w:r>
          </w:p>
        </w:tc>
      </w:tr>
      <w:tr w14:paraId="31BB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7" w:type="dxa"/>
            <w:vAlign w:val="center"/>
          </w:tcPr>
          <w:p w14:paraId="56A95081">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30</w:t>
            </w:r>
          </w:p>
        </w:tc>
        <w:tc>
          <w:tcPr>
            <w:tcW w:w="2126" w:type="dxa"/>
            <w:vAlign w:val="center"/>
          </w:tcPr>
          <w:p w14:paraId="12A5BC37">
            <w:pPr>
              <w:pStyle w:val="17"/>
              <w:spacing w:line="276" w:lineRule="auto"/>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履约保证金</w:t>
            </w:r>
            <w:r>
              <w:rPr>
                <w:rFonts w:hint="eastAsia" w:ascii="仿宋" w:hAnsi="仿宋" w:eastAsia="仿宋" w:cs="仿宋"/>
                <w:color w:val="auto"/>
                <w:szCs w:val="21"/>
                <w:highlight w:val="none"/>
              </w:rPr>
              <w:t>金额</w:t>
            </w:r>
          </w:p>
        </w:tc>
        <w:tc>
          <w:tcPr>
            <w:tcW w:w="6672" w:type="dxa"/>
            <w:vAlign w:val="center"/>
          </w:tcPr>
          <w:p w14:paraId="5A2624CB">
            <w:pPr>
              <w:pStyle w:val="17"/>
              <w:rPr>
                <w:rFonts w:hint="eastAsia" w:ascii="仿宋" w:hAnsi="仿宋" w:eastAsia="仿宋" w:cs="仿宋"/>
                <w:color w:val="auto"/>
                <w:szCs w:val="21"/>
                <w:highlight w:val="none"/>
              </w:rPr>
            </w:pPr>
            <w:r>
              <w:rPr>
                <w:rFonts w:hint="eastAsia" w:ascii="仿宋" w:hAnsi="仿宋" w:eastAsia="仿宋" w:cs="仿宋"/>
                <w:color w:val="auto"/>
                <w:szCs w:val="21"/>
                <w:highlight w:val="none"/>
              </w:rPr>
              <w:t>无</w:t>
            </w:r>
          </w:p>
        </w:tc>
      </w:tr>
      <w:tr w14:paraId="4174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147" w:type="dxa"/>
            <w:vAlign w:val="center"/>
          </w:tcPr>
          <w:p w14:paraId="219EDE54">
            <w:pPr>
              <w:pStyle w:val="17"/>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31</w:t>
            </w:r>
          </w:p>
        </w:tc>
        <w:tc>
          <w:tcPr>
            <w:tcW w:w="2126" w:type="dxa"/>
            <w:vAlign w:val="center"/>
          </w:tcPr>
          <w:p w14:paraId="1CCE4679">
            <w:pPr>
              <w:pStyle w:val="17"/>
              <w:spacing w:line="28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采购代理服务费</w:t>
            </w:r>
          </w:p>
        </w:tc>
        <w:tc>
          <w:tcPr>
            <w:tcW w:w="6672" w:type="dxa"/>
            <w:vAlign w:val="center"/>
          </w:tcPr>
          <w:p w14:paraId="2EE7C919">
            <w:pPr>
              <w:pStyle w:val="17"/>
              <w:spacing w:line="276"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采购代理服务费为</w:t>
            </w:r>
            <w:r>
              <w:rPr>
                <w:rFonts w:hint="eastAsia" w:ascii="仿宋" w:hAnsi="仿宋" w:eastAsia="仿宋" w:cs="仿宋"/>
                <w:color w:val="auto"/>
                <w:highlight w:val="none"/>
                <w:lang w:val="en-US" w:eastAsia="zh-CN"/>
              </w:rPr>
              <w:t>16300.00</w:t>
            </w:r>
            <w:r>
              <w:rPr>
                <w:rFonts w:hint="eastAsia" w:ascii="仿宋" w:hAnsi="仿宋" w:eastAsia="仿宋" w:cs="仿宋"/>
                <w:color w:val="auto"/>
                <w:highlight w:val="none"/>
                <w:lang w:eastAsia="zh-CN"/>
              </w:rPr>
              <w:t>元（采购代理服务费按差额定率累进法计算</w:t>
            </w:r>
            <w:r>
              <w:rPr>
                <w:rFonts w:hint="eastAsia" w:ascii="仿宋" w:hAnsi="仿宋" w:eastAsia="仿宋" w:cs="仿宋"/>
                <w:color w:val="auto"/>
                <w:highlight w:val="none"/>
                <w:lang w:val="en-US" w:eastAsia="zh-CN"/>
              </w:rPr>
              <w:t>下浮20%收取</w:t>
            </w:r>
            <w:r>
              <w:rPr>
                <w:rFonts w:hint="eastAsia" w:ascii="仿宋" w:hAnsi="仿宋" w:eastAsia="仿宋" w:cs="仿宋"/>
                <w:color w:val="auto"/>
                <w:highlight w:val="none"/>
                <w:lang w:eastAsia="zh-CN"/>
              </w:rPr>
              <w:t>；差额定率累进法计算为100万元以下为1.5%；100万元至500万元为1.3%；500万元至1000万元为</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lang w:eastAsia="zh-CN"/>
              </w:rPr>
              <w:t>%）</w:t>
            </w:r>
          </w:p>
        </w:tc>
      </w:tr>
      <w:tr w14:paraId="153FE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147" w:type="dxa"/>
            <w:vAlign w:val="center"/>
          </w:tcPr>
          <w:p w14:paraId="28773B80">
            <w:pPr>
              <w:pStyle w:val="17"/>
              <w:spacing w:line="276" w:lineRule="auto"/>
              <w:jc w:val="center"/>
              <w:rPr>
                <w:rFonts w:hint="eastAsia" w:ascii="仿宋" w:hAnsi="仿宋" w:eastAsia="仿宋" w:cs="仿宋"/>
                <w:color w:val="auto"/>
                <w:szCs w:val="21"/>
                <w:highlight w:val="none"/>
                <w:lang w:val="en-US" w:eastAsia="zh-CN"/>
              </w:rPr>
            </w:pPr>
            <w:bookmarkStart w:id="5" w:name="_Toc89692604"/>
            <w:r>
              <w:rPr>
                <w:rFonts w:hint="eastAsia" w:ascii="仿宋" w:hAnsi="仿宋" w:eastAsia="仿宋" w:cs="仿宋"/>
                <w:color w:val="auto"/>
                <w:szCs w:val="21"/>
                <w:highlight w:val="none"/>
                <w:lang w:val="en-US" w:eastAsia="zh-CN"/>
              </w:rPr>
              <w:t>33</w:t>
            </w:r>
          </w:p>
        </w:tc>
        <w:tc>
          <w:tcPr>
            <w:tcW w:w="2126" w:type="dxa"/>
            <w:vAlign w:val="center"/>
          </w:tcPr>
          <w:p w14:paraId="4E5FBC62">
            <w:pPr>
              <w:pStyle w:val="17"/>
              <w:spacing w:line="28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需要补充的其他内容</w:t>
            </w:r>
          </w:p>
        </w:tc>
        <w:tc>
          <w:tcPr>
            <w:tcW w:w="6672" w:type="dxa"/>
            <w:vAlign w:val="center"/>
          </w:tcPr>
          <w:p w14:paraId="42F8BB84">
            <w:pPr>
              <w:pStyle w:val="17"/>
              <w:spacing w:line="276"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无</w:t>
            </w:r>
          </w:p>
        </w:tc>
      </w:tr>
    </w:tbl>
    <w:p w14:paraId="39549F4E">
      <w:pPr>
        <w:pStyle w:val="48"/>
        <w:rPr>
          <w:rFonts w:hint="eastAsia" w:ascii="仿宋" w:hAnsi="仿宋" w:eastAsia="仿宋" w:cs="仿宋"/>
          <w:color w:val="auto"/>
          <w:highlight w:val="none"/>
        </w:rPr>
      </w:pPr>
    </w:p>
    <w:p w14:paraId="2993D376">
      <w:pPr>
        <w:pStyle w:val="48"/>
        <w:rPr>
          <w:rFonts w:hint="eastAsia" w:ascii="仿宋" w:hAnsi="仿宋" w:eastAsia="仿宋" w:cs="仿宋"/>
          <w:color w:val="auto"/>
          <w:highlight w:val="none"/>
        </w:rPr>
      </w:pPr>
    </w:p>
    <w:p w14:paraId="6ECDF10C">
      <w:pPr>
        <w:pStyle w:val="48"/>
        <w:rPr>
          <w:rFonts w:hint="eastAsia" w:ascii="仿宋" w:hAnsi="仿宋" w:eastAsia="仿宋" w:cs="仿宋"/>
          <w:color w:val="auto"/>
          <w:highlight w:val="none"/>
        </w:rPr>
      </w:pPr>
    </w:p>
    <w:p w14:paraId="10589D30">
      <w:pPr>
        <w:pStyle w:val="48"/>
        <w:rPr>
          <w:rFonts w:hint="eastAsia" w:ascii="仿宋" w:hAnsi="仿宋" w:eastAsia="仿宋" w:cs="仿宋"/>
          <w:color w:val="auto"/>
          <w:highlight w:val="none"/>
        </w:rPr>
      </w:pPr>
    </w:p>
    <w:p w14:paraId="26879074">
      <w:pPr>
        <w:pStyle w:val="48"/>
        <w:rPr>
          <w:rFonts w:hint="eastAsia" w:ascii="仿宋" w:hAnsi="仿宋" w:eastAsia="仿宋" w:cs="仿宋"/>
          <w:color w:val="auto"/>
          <w:highlight w:val="none"/>
        </w:rPr>
      </w:pPr>
    </w:p>
    <w:p w14:paraId="6773AB80">
      <w:pPr>
        <w:pStyle w:val="48"/>
        <w:rPr>
          <w:rFonts w:hint="eastAsia" w:ascii="仿宋" w:hAnsi="仿宋" w:eastAsia="仿宋" w:cs="仿宋"/>
          <w:color w:val="auto"/>
          <w:highlight w:val="none"/>
        </w:rPr>
      </w:pPr>
    </w:p>
    <w:p w14:paraId="329EDB7C">
      <w:pPr>
        <w:pStyle w:val="48"/>
        <w:rPr>
          <w:rFonts w:hint="eastAsia" w:ascii="仿宋" w:hAnsi="仿宋" w:eastAsia="仿宋" w:cs="仿宋"/>
          <w:color w:val="auto"/>
          <w:highlight w:val="none"/>
        </w:rPr>
      </w:pPr>
    </w:p>
    <w:p w14:paraId="6B32605C">
      <w:pPr>
        <w:pStyle w:val="48"/>
        <w:rPr>
          <w:rFonts w:hint="eastAsia" w:ascii="仿宋" w:hAnsi="仿宋" w:eastAsia="仿宋" w:cs="仿宋"/>
          <w:color w:val="auto"/>
          <w:highlight w:val="none"/>
        </w:rPr>
      </w:pPr>
    </w:p>
    <w:p w14:paraId="53F6EF81">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720BAE0D">
      <w:pPr>
        <w:pStyle w:val="3"/>
        <w:numPr>
          <w:ilvl w:val="0"/>
          <w:numId w:val="0"/>
        </w:numPr>
        <w:spacing w:before="0"/>
        <w:ind w:firstLine="3626" w:firstLineChars="1290"/>
        <w:rPr>
          <w:rFonts w:hint="eastAsia" w:ascii="仿宋" w:hAnsi="仿宋" w:eastAsia="仿宋" w:cs="仿宋"/>
          <w:color w:val="auto"/>
          <w:szCs w:val="28"/>
          <w:highlight w:val="none"/>
        </w:rPr>
      </w:pPr>
      <w:bookmarkStart w:id="6" w:name="_Toc19900"/>
      <w:r>
        <w:rPr>
          <w:rFonts w:hint="eastAsia" w:ascii="仿宋" w:hAnsi="仿宋" w:eastAsia="仿宋" w:cs="仿宋"/>
          <w:color w:val="auto"/>
          <w:szCs w:val="28"/>
          <w:highlight w:val="none"/>
        </w:rPr>
        <w:t>一、总  则</w:t>
      </w:r>
      <w:bookmarkEnd w:id="5"/>
      <w:bookmarkEnd w:id="6"/>
    </w:p>
    <w:p w14:paraId="54A21644">
      <w:pPr>
        <w:pStyle w:val="4"/>
        <w:numPr>
          <w:ilvl w:val="0"/>
          <w:numId w:val="3"/>
        </w:numPr>
        <w:spacing w:before="0"/>
        <w:rPr>
          <w:rFonts w:hint="eastAsia" w:ascii="仿宋" w:hAnsi="仿宋" w:eastAsia="仿宋" w:cs="仿宋"/>
          <w:color w:val="auto"/>
          <w:sz w:val="24"/>
          <w:szCs w:val="24"/>
          <w:highlight w:val="none"/>
        </w:rPr>
      </w:pPr>
      <w:bookmarkStart w:id="7" w:name="_Toc4842"/>
      <w:bookmarkStart w:id="8" w:name="_Toc89692605"/>
      <w:r>
        <w:rPr>
          <w:rFonts w:hint="eastAsia" w:ascii="仿宋" w:hAnsi="仿宋" w:eastAsia="仿宋" w:cs="仿宋"/>
          <w:color w:val="auto"/>
          <w:sz w:val="24"/>
          <w:szCs w:val="24"/>
          <w:highlight w:val="none"/>
        </w:rPr>
        <w:t>项目概况</w:t>
      </w:r>
      <w:bookmarkEnd w:id="7"/>
      <w:bookmarkEnd w:id="8"/>
    </w:p>
    <w:p w14:paraId="5CF5A98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根据《中华人民共和国政府采购法》、《中华人民共和国政府采购法实施条例》、《政府采购货物和服务招标投标管理办法》（财政部令第 87 号）</w:t>
      </w:r>
      <w:r>
        <w:rPr>
          <w:rFonts w:hint="eastAsia" w:ascii="仿宋" w:hAnsi="仿宋" w:eastAsia="仿宋" w:cs="仿宋"/>
          <w:color w:val="auto"/>
          <w:highlight w:val="none"/>
        </w:rPr>
        <w:t xml:space="preserve"> </w:t>
      </w:r>
      <w:r>
        <w:rPr>
          <w:rFonts w:hint="eastAsia" w:ascii="仿宋" w:hAnsi="仿宋" w:eastAsia="仿宋" w:cs="仿宋"/>
          <w:color w:val="auto"/>
          <w:szCs w:val="21"/>
          <w:highlight w:val="none"/>
        </w:rPr>
        <w:t>等有关法律、法规和规章的规定，本项目已获得政府采购主管部门的批准，项目资金已落实。现对本项目进行公开招标。</w:t>
      </w:r>
    </w:p>
    <w:p w14:paraId="5C20ADC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1.2采购人：见投标人须知前附表。</w:t>
      </w:r>
    </w:p>
    <w:p w14:paraId="1CABE988">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1.3采购代理机构：见投标人须知前附表。</w:t>
      </w:r>
    </w:p>
    <w:p w14:paraId="2F247B67">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szCs w:val="21"/>
          <w:highlight w:val="none"/>
        </w:rPr>
        <w:t>1.4招标项目名称：见投标人须知前附表。</w:t>
      </w:r>
    </w:p>
    <w:p w14:paraId="35B62141">
      <w:pPr>
        <w:pStyle w:val="4"/>
        <w:numPr>
          <w:ilvl w:val="0"/>
          <w:numId w:val="3"/>
        </w:numPr>
        <w:spacing w:before="0"/>
        <w:rPr>
          <w:rFonts w:hint="eastAsia" w:ascii="仿宋" w:hAnsi="仿宋" w:eastAsia="仿宋" w:cs="仿宋"/>
          <w:color w:val="auto"/>
          <w:sz w:val="24"/>
          <w:szCs w:val="24"/>
          <w:highlight w:val="none"/>
        </w:rPr>
      </w:pPr>
      <w:bookmarkStart w:id="9" w:name="_Toc89692606"/>
      <w:bookmarkStart w:id="10" w:name="_Toc2272"/>
      <w:bookmarkStart w:id="11" w:name="_Toc468805854"/>
      <w:r>
        <w:rPr>
          <w:rFonts w:hint="eastAsia" w:ascii="仿宋" w:hAnsi="仿宋" w:eastAsia="仿宋" w:cs="仿宋"/>
          <w:color w:val="auto"/>
          <w:sz w:val="24"/>
          <w:szCs w:val="24"/>
          <w:highlight w:val="none"/>
        </w:rPr>
        <w:t>资金来源</w:t>
      </w:r>
      <w:bookmarkEnd w:id="9"/>
      <w:bookmarkEnd w:id="10"/>
    </w:p>
    <w:p w14:paraId="32E8D182">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资金落实情况：见投标人须知前附表。</w:t>
      </w:r>
    </w:p>
    <w:p w14:paraId="5F0399EF">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预算金额：见投标人须知前附表。</w:t>
      </w:r>
    </w:p>
    <w:p w14:paraId="248F1A55">
      <w:pPr>
        <w:pStyle w:val="4"/>
        <w:numPr>
          <w:ilvl w:val="0"/>
          <w:numId w:val="3"/>
        </w:numPr>
        <w:spacing w:before="0"/>
        <w:rPr>
          <w:rFonts w:hint="eastAsia" w:ascii="仿宋" w:hAnsi="仿宋" w:eastAsia="仿宋" w:cs="仿宋"/>
          <w:color w:val="auto"/>
          <w:sz w:val="24"/>
          <w:szCs w:val="24"/>
          <w:highlight w:val="none"/>
        </w:rPr>
      </w:pPr>
      <w:bookmarkStart w:id="12" w:name="_Toc9452"/>
      <w:bookmarkStart w:id="13" w:name="_Toc89692607"/>
      <w:r>
        <w:rPr>
          <w:rFonts w:hint="eastAsia" w:ascii="仿宋" w:hAnsi="仿宋" w:eastAsia="仿宋" w:cs="仿宋"/>
          <w:color w:val="auto"/>
          <w:sz w:val="24"/>
          <w:szCs w:val="24"/>
          <w:highlight w:val="none"/>
        </w:rPr>
        <w:t>招标范围</w:t>
      </w:r>
      <w:bookmarkEnd w:id="12"/>
      <w:bookmarkEnd w:id="13"/>
    </w:p>
    <w:p w14:paraId="420412C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3.1 本项目招标范围：见“</w:t>
      </w:r>
      <w:r>
        <w:rPr>
          <w:rFonts w:hint="eastAsia" w:ascii="仿宋" w:hAnsi="仿宋" w:eastAsia="仿宋" w:cs="仿宋"/>
          <w:color w:val="auto"/>
          <w:kern w:val="0"/>
          <w:szCs w:val="21"/>
          <w:highlight w:val="none"/>
        </w:rPr>
        <w:t>投标人</w:t>
      </w:r>
      <w:r>
        <w:rPr>
          <w:rFonts w:hint="eastAsia" w:ascii="仿宋" w:hAnsi="仿宋" w:eastAsia="仿宋" w:cs="仿宋"/>
          <w:bCs/>
          <w:color w:val="auto"/>
          <w:szCs w:val="21"/>
          <w:highlight w:val="none"/>
        </w:rPr>
        <w:t>须知前附表</w:t>
      </w:r>
      <w:r>
        <w:rPr>
          <w:rFonts w:hint="eastAsia" w:ascii="仿宋" w:hAnsi="仿宋" w:eastAsia="仿宋" w:cs="仿宋"/>
          <w:color w:val="auto"/>
          <w:szCs w:val="21"/>
          <w:highlight w:val="none"/>
        </w:rPr>
        <w:t>”。</w:t>
      </w:r>
    </w:p>
    <w:p w14:paraId="48F39091">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3.2 本项目合同履行期限：见“</w:t>
      </w:r>
      <w:r>
        <w:rPr>
          <w:rFonts w:hint="eastAsia" w:ascii="仿宋" w:hAnsi="仿宋" w:eastAsia="仿宋" w:cs="仿宋"/>
          <w:color w:val="auto"/>
          <w:kern w:val="0"/>
          <w:szCs w:val="21"/>
          <w:highlight w:val="none"/>
        </w:rPr>
        <w:t>投标人</w:t>
      </w:r>
      <w:r>
        <w:rPr>
          <w:rFonts w:hint="eastAsia" w:ascii="仿宋" w:hAnsi="仿宋" w:eastAsia="仿宋" w:cs="仿宋"/>
          <w:bCs/>
          <w:color w:val="auto"/>
          <w:szCs w:val="21"/>
          <w:highlight w:val="none"/>
        </w:rPr>
        <w:t>须知前附表</w:t>
      </w:r>
      <w:r>
        <w:rPr>
          <w:rFonts w:hint="eastAsia" w:ascii="仿宋" w:hAnsi="仿宋" w:eastAsia="仿宋" w:cs="仿宋"/>
          <w:color w:val="auto"/>
          <w:szCs w:val="21"/>
          <w:highlight w:val="none"/>
        </w:rPr>
        <w:t>”。</w:t>
      </w:r>
    </w:p>
    <w:p w14:paraId="0988260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3.3 本项目供货地点：见“</w:t>
      </w:r>
      <w:r>
        <w:rPr>
          <w:rFonts w:hint="eastAsia" w:ascii="仿宋" w:hAnsi="仿宋" w:eastAsia="仿宋" w:cs="仿宋"/>
          <w:color w:val="auto"/>
          <w:kern w:val="0"/>
          <w:szCs w:val="21"/>
          <w:highlight w:val="none"/>
        </w:rPr>
        <w:t>投标人</w:t>
      </w:r>
      <w:r>
        <w:rPr>
          <w:rFonts w:hint="eastAsia" w:ascii="仿宋" w:hAnsi="仿宋" w:eastAsia="仿宋" w:cs="仿宋"/>
          <w:bCs/>
          <w:color w:val="auto"/>
          <w:szCs w:val="21"/>
          <w:highlight w:val="none"/>
        </w:rPr>
        <w:t>须知前附表</w:t>
      </w:r>
      <w:r>
        <w:rPr>
          <w:rFonts w:hint="eastAsia" w:ascii="仿宋" w:hAnsi="仿宋" w:eastAsia="仿宋" w:cs="仿宋"/>
          <w:color w:val="auto"/>
          <w:szCs w:val="21"/>
          <w:highlight w:val="none"/>
        </w:rPr>
        <w:t>”。</w:t>
      </w:r>
    </w:p>
    <w:p w14:paraId="3098A412">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3.4 本项目质量要求：见“</w:t>
      </w:r>
      <w:r>
        <w:rPr>
          <w:rFonts w:hint="eastAsia" w:ascii="仿宋" w:hAnsi="仿宋" w:eastAsia="仿宋" w:cs="仿宋"/>
          <w:color w:val="auto"/>
          <w:kern w:val="0"/>
          <w:szCs w:val="21"/>
          <w:highlight w:val="none"/>
        </w:rPr>
        <w:t>投标人</w:t>
      </w:r>
      <w:r>
        <w:rPr>
          <w:rFonts w:hint="eastAsia" w:ascii="仿宋" w:hAnsi="仿宋" w:eastAsia="仿宋" w:cs="仿宋"/>
          <w:bCs/>
          <w:color w:val="auto"/>
          <w:szCs w:val="21"/>
          <w:highlight w:val="none"/>
        </w:rPr>
        <w:t>须知前附表</w:t>
      </w:r>
      <w:r>
        <w:rPr>
          <w:rFonts w:hint="eastAsia" w:ascii="仿宋" w:hAnsi="仿宋" w:eastAsia="仿宋" w:cs="仿宋"/>
          <w:color w:val="auto"/>
          <w:szCs w:val="21"/>
          <w:highlight w:val="none"/>
        </w:rPr>
        <w:t>”。</w:t>
      </w:r>
    </w:p>
    <w:p w14:paraId="6910E47A">
      <w:pPr>
        <w:pStyle w:val="4"/>
        <w:numPr>
          <w:ilvl w:val="0"/>
          <w:numId w:val="3"/>
        </w:numPr>
        <w:spacing w:before="0"/>
        <w:rPr>
          <w:rFonts w:hint="eastAsia" w:ascii="仿宋" w:hAnsi="仿宋" w:eastAsia="仿宋" w:cs="仿宋"/>
          <w:color w:val="auto"/>
          <w:sz w:val="24"/>
          <w:szCs w:val="24"/>
          <w:highlight w:val="none"/>
        </w:rPr>
      </w:pPr>
      <w:bookmarkStart w:id="14" w:name="_Toc11184"/>
      <w:bookmarkStart w:id="15" w:name="_Toc89692608"/>
      <w:r>
        <w:rPr>
          <w:rFonts w:hint="eastAsia" w:ascii="仿宋" w:hAnsi="仿宋" w:eastAsia="仿宋" w:cs="仿宋"/>
          <w:color w:val="auto"/>
          <w:sz w:val="24"/>
          <w:szCs w:val="24"/>
          <w:highlight w:val="none"/>
        </w:rPr>
        <w:t>合格的投标人</w:t>
      </w:r>
      <w:bookmarkEnd w:id="14"/>
      <w:bookmarkEnd w:id="15"/>
    </w:p>
    <w:p w14:paraId="58440695">
      <w:pPr>
        <w:spacing w:line="360" w:lineRule="auto"/>
        <w:ind w:firstLine="420" w:firstLineChars="200"/>
        <w:jc w:val="left"/>
        <w:rPr>
          <w:rFonts w:hint="eastAsia" w:ascii="仿宋" w:hAnsi="仿宋" w:eastAsia="仿宋" w:cs="仿宋"/>
          <w:color w:val="auto"/>
          <w:szCs w:val="21"/>
          <w:highlight w:val="none"/>
        </w:rPr>
      </w:pPr>
      <w:bookmarkStart w:id="16" w:name="_Hlk56374896"/>
      <w:r>
        <w:rPr>
          <w:rFonts w:hint="eastAsia" w:ascii="仿宋" w:hAnsi="仿宋" w:eastAsia="仿宋" w:cs="仿宋"/>
          <w:color w:val="auto"/>
          <w:szCs w:val="21"/>
          <w:highlight w:val="none"/>
        </w:rPr>
        <w:t>4.1合格的投标人：见“投标人</w:t>
      </w:r>
      <w:r>
        <w:rPr>
          <w:rFonts w:hint="eastAsia" w:ascii="仿宋" w:hAnsi="仿宋" w:eastAsia="仿宋" w:cs="仿宋"/>
          <w:bCs/>
          <w:color w:val="auto"/>
          <w:szCs w:val="21"/>
          <w:highlight w:val="none"/>
        </w:rPr>
        <w:t>须知前附表</w:t>
      </w:r>
      <w:r>
        <w:rPr>
          <w:rFonts w:hint="eastAsia" w:ascii="仿宋" w:hAnsi="仿宋" w:eastAsia="仿宋" w:cs="仿宋"/>
          <w:color w:val="auto"/>
          <w:szCs w:val="21"/>
          <w:highlight w:val="none"/>
        </w:rPr>
        <w:t>”。</w:t>
      </w:r>
    </w:p>
    <w:p w14:paraId="7E14A7DA">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4.2 本次招标 </w:t>
      </w:r>
      <w:r>
        <w:rPr>
          <w:rFonts w:hint="eastAsia" w:ascii="仿宋" w:hAnsi="仿宋" w:eastAsia="仿宋" w:cs="仿宋"/>
          <w:b/>
          <w:bCs/>
          <w:color w:val="auto"/>
          <w:szCs w:val="21"/>
          <w:highlight w:val="none"/>
        </w:rPr>
        <w:t>不接受</w:t>
      </w:r>
      <w:r>
        <w:rPr>
          <w:rFonts w:hint="eastAsia" w:ascii="仿宋" w:hAnsi="仿宋" w:eastAsia="仿宋" w:cs="仿宋"/>
          <w:color w:val="auto"/>
          <w:szCs w:val="21"/>
          <w:highlight w:val="none"/>
        </w:rPr>
        <w:t xml:space="preserve"> 联合体投标。</w:t>
      </w:r>
    </w:p>
    <w:bookmarkEnd w:id="16"/>
    <w:p w14:paraId="00533845">
      <w:pPr>
        <w:numPr>
          <w:ilvl w:val="0"/>
          <w:numId w:val="3"/>
        </w:numPr>
        <w:spacing w:line="360" w:lineRule="auto"/>
        <w:jc w:val="left"/>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投标费用</w:t>
      </w:r>
    </w:p>
    <w:p w14:paraId="2D6A5C38">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5.1 不论投标结果如何，投标人均应自行承担所有与准备和参加投标活动有关的全部费用。</w:t>
      </w:r>
    </w:p>
    <w:p w14:paraId="53E8CFB9">
      <w:pPr>
        <w:pStyle w:val="4"/>
        <w:numPr>
          <w:ilvl w:val="0"/>
          <w:numId w:val="3"/>
        </w:numPr>
        <w:spacing w:before="0"/>
        <w:rPr>
          <w:rFonts w:hint="eastAsia" w:ascii="仿宋" w:hAnsi="仿宋" w:eastAsia="仿宋" w:cs="仿宋"/>
          <w:color w:val="auto"/>
          <w:sz w:val="24"/>
          <w:szCs w:val="24"/>
          <w:highlight w:val="none"/>
        </w:rPr>
      </w:pPr>
      <w:bookmarkStart w:id="17" w:name="_Toc18588"/>
      <w:bookmarkStart w:id="18" w:name="_Toc89692609"/>
      <w:r>
        <w:rPr>
          <w:rFonts w:hint="eastAsia" w:ascii="仿宋" w:hAnsi="仿宋" w:eastAsia="仿宋" w:cs="仿宋"/>
          <w:color w:val="auto"/>
          <w:sz w:val="24"/>
          <w:szCs w:val="24"/>
          <w:highlight w:val="none"/>
        </w:rPr>
        <w:t>质疑</w:t>
      </w:r>
      <w:bookmarkEnd w:id="17"/>
      <w:bookmarkEnd w:id="18"/>
    </w:p>
    <w:p w14:paraId="5406254B">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6.1 投标人认为</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采购过程、中标或者成交结果使自己的权益受到损害的，可以在知道或者应知其权益受到损害之日起7个工作日内，以书面形式向采购人、采购代理机构提出质疑。提出质疑的投标人（以下简称质疑投标人）应当是参与所质疑项目采购活动的投标人。潜在投标人已依法获取其可质疑的</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的，可以对该文件提出质疑。对</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提出质疑的，应当在获取</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或者</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公告期限届满之日起7个工作日内提出。</w:t>
      </w:r>
    </w:p>
    <w:p w14:paraId="2A4643BB">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EF59DA4">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受理质疑部门：采购人或采购代理机构</w:t>
      </w:r>
    </w:p>
    <w:p w14:paraId="6089D0F0">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6.2 投标人提出质疑应当提交质疑函和必要的证明材料。质疑函应当包括下列内容：</w:t>
      </w:r>
    </w:p>
    <w:p w14:paraId="62819C94">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（一）投标人的姓名或者名称、地址、邮编、联系人及联系电话；</w:t>
      </w:r>
    </w:p>
    <w:p w14:paraId="7A03C486">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（二）质疑项目的名称、编号；</w:t>
      </w:r>
    </w:p>
    <w:p w14:paraId="435F0AD8">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（三）具体、明确的质疑事项和与质疑事项相关的请求；</w:t>
      </w:r>
    </w:p>
    <w:p w14:paraId="2CE4C49C">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（四）事实依据；</w:t>
      </w:r>
    </w:p>
    <w:p w14:paraId="3300CBB1">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（五）必要的法律依据；</w:t>
      </w:r>
    </w:p>
    <w:p w14:paraId="2B4FBB05">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（六）提出质疑的日期。</w:t>
      </w:r>
    </w:p>
    <w:p w14:paraId="2F388705">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投标人为自然人的，应当由本人签字；投标人为法人或者其他组织的，应当由法定代表人、主要负责人，或者其授权代表签字或者盖章，并加盖公章。</w:t>
      </w:r>
    </w:p>
    <w:p w14:paraId="45DD4C9C">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6.3采购人、采购代理机构不得拒收质疑投标人在法定质疑期内发出的质疑函，应当在收到质疑函后7个工作日内作出答复，并以书面形式通知质疑投标人和其他有关投标人。</w:t>
      </w:r>
    </w:p>
    <w:p w14:paraId="2E0A857B">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6.4投标人对评审过程、中标或者成交结果提出质疑的，采购人、采购代理机构可以组织原评标委员会、竞争性谈判小组、询价小组或者竞争性</w:t>
      </w:r>
      <w:r>
        <w:rPr>
          <w:rFonts w:hint="eastAsia" w:ascii="仿宋" w:hAnsi="仿宋" w:eastAsia="仿宋" w:cs="仿宋"/>
          <w:color w:val="auto"/>
          <w:highlight w:val="none"/>
          <w:lang w:val="en-US" w:eastAsia="zh-CN"/>
        </w:rPr>
        <w:t>磋商</w:t>
      </w:r>
      <w:r>
        <w:rPr>
          <w:rFonts w:hint="eastAsia" w:ascii="仿宋" w:hAnsi="仿宋" w:eastAsia="仿宋" w:cs="仿宋"/>
          <w:color w:val="auto"/>
          <w:highlight w:val="none"/>
        </w:rPr>
        <w:t>小组协助答复质疑。</w:t>
      </w:r>
    </w:p>
    <w:p w14:paraId="0636286F">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质疑答复应当包括下列内容：</w:t>
      </w:r>
    </w:p>
    <w:p w14:paraId="76419B63">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（一）质疑投标人的姓名或者名称；</w:t>
      </w:r>
    </w:p>
    <w:p w14:paraId="3395D7CB">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（二）收到质疑函的日期、质疑项目名称及编号；</w:t>
      </w:r>
    </w:p>
    <w:p w14:paraId="57176E82">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（三）质疑事项、质疑答复的具体内容、事实依据和法律依据；</w:t>
      </w:r>
    </w:p>
    <w:p w14:paraId="7C6E90CA">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（四）告知质疑投标人依法投诉的权利；</w:t>
      </w:r>
    </w:p>
    <w:p w14:paraId="56A7BFB8">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（五）质疑答复人名称；</w:t>
      </w:r>
    </w:p>
    <w:p w14:paraId="17C31CC5">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（六）答复质疑的日期。</w:t>
      </w:r>
    </w:p>
    <w:p w14:paraId="64F1E439">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　　质疑答复的内容不得涉及商业秘密。</w:t>
      </w:r>
    </w:p>
    <w:p w14:paraId="355F7729">
      <w:pPr>
        <w:spacing w:line="360" w:lineRule="auto"/>
        <w:ind w:firstLine="435"/>
        <w:rPr>
          <w:rFonts w:hint="eastAsia" w:ascii="仿宋" w:hAnsi="仿宋" w:eastAsia="仿宋" w:cs="仿宋"/>
          <w:color w:val="auto"/>
          <w:highlight w:val="none"/>
        </w:rPr>
      </w:pPr>
      <w:r>
        <w:rPr>
          <w:rFonts w:hint="eastAsia" w:ascii="仿宋" w:hAnsi="仿宋" w:eastAsia="仿宋" w:cs="仿宋"/>
          <w:color w:val="auto"/>
          <w:highlight w:val="none"/>
        </w:rPr>
        <w:t>具体规定按中华人民共和国财政部令第94号--《政府采购质疑和投诉办法》办法处理。</w:t>
      </w:r>
    </w:p>
    <w:p w14:paraId="2FBED8B3">
      <w:pPr>
        <w:pStyle w:val="4"/>
        <w:numPr>
          <w:ilvl w:val="0"/>
          <w:numId w:val="3"/>
        </w:numPr>
        <w:spacing w:before="0"/>
        <w:rPr>
          <w:rFonts w:hint="eastAsia" w:ascii="仿宋" w:hAnsi="仿宋" w:eastAsia="仿宋" w:cs="仿宋"/>
          <w:color w:val="auto"/>
          <w:sz w:val="24"/>
          <w:szCs w:val="24"/>
          <w:highlight w:val="none"/>
        </w:rPr>
      </w:pPr>
      <w:bookmarkStart w:id="19" w:name="_Toc89692610"/>
      <w:bookmarkStart w:id="20" w:name="_Toc22623"/>
      <w:bookmarkStart w:id="21" w:name="_Toc517252749"/>
      <w:r>
        <w:rPr>
          <w:rFonts w:hint="eastAsia" w:ascii="仿宋" w:hAnsi="仿宋" w:eastAsia="仿宋" w:cs="仿宋"/>
          <w:color w:val="auto"/>
          <w:sz w:val="24"/>
          <w:szCs w:val="24"/>
          <w:highlight w:val="none"/>
        </w:rPr>
        <w:t>投诉</w:t>
      </w:r>
      <w:bookmarkEnd w:id="19"/>
      <w:bookmarkEnd w:id="20"/>
      <w:bookmarkEnd w:id="21"/>
    </w:p>
    <w:p w14:paraId="71D6983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质疑投标人对采购人、采购代理机构的答复不满意，或者采购人、采购代理机构未在规定时间内作出答复的，可以在答复期满后15个工作日内向财政局提出投诉。</w:t>
      </w:r>
    </w:p>
    <w:p w14:paraId="45362D04">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投诉人投诉时，应当提交投诉书和必要的证明材料，并按照被投诉采购人、采购代理机构（以下简称被投诉人）和与投诉事项有关的投标人数量提供投诉书的副本。投诉书应当包括下列内容：</w:t>
      </w:r>
    </w:p>
    <w:p w14:paraId="2F3037C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（一）投诉人和被投诉人的姓名或者名称、通讯地址、邮编、联系人及联系电话；</w:t>
      </w:r>
    </w:p>
    <w:p w14:paraId="2056F31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（二）质疑和质疑答复情况说明及相关证明材料；</w:t>
      </w:r>
    </w:p>
    <w:p w14:paraId="540A368B">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（三）具体、明确的投诉事项和与投诉事项相关的投诉请求；</w:t>
      </w:r>
    </w:p>
    <w:p w14:paraId="5CDE662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（四）事实依据；</w:t>
      </w:r>
    </w:p>
    <w:p w14:paraId="4B23AC89">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（五）法律依据；</w:t>
      </w:r>
    </w:p>
    <w:p w14:paraId="666E934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（六）提起投诉的日期。</w:t>
      </w:r>
    </w:p>
    <w:p w14:paraId="057AECF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投诉人为自然人的，应当由本人签字；投诉人为法人或者其他组织的，应当由法定代表人、主要负责人，或者其授权代表签字或者盖章，并加盖公章。</w:t>
      </w:r>
    </w:p>
    <w:p w14:paraId="18A9EC44">
      <w:pPr>
        <w:pStyle w:val="3"/>
        <w:numPr>
          <w:ilvl w:val="0"/>
          <w:numId w:val="0"/>
        </w:numPr>
        <w:spacing w:before="0"/>
        <w:ind w:firstLine="3626" w:firstLineChars="1290"/>
        <w:rPr>
          <w:rFonts w:hint="eastAsia" w:ascii="仿宋" w:hAnsi="仿宋" w:eastAsia="仿宋" w:cs="仿宋"/>
          <w:color w:val="auto"/>
          <w:szCs w:val="28"/>
          <w:highlight w:val="none"/>
        </w:rPr>
      </w:pPr>
      <w:bookmarkStart w:id="22" w:name="_Toc89692611"/>
      <w:bookmarkStart w:id="23" w:name="_Toc18163"/>
      <w:r>
        <w:rPr>
          <w:rFonts w:hint="eastAsia" w:ascii="仿宋" w:hAnsi="仿宋" w:eastAsia="仿宋" w:cs="仿宋"/>
          <w:color w:val="auto"/>
          <w:szCs w:val="28"/>
          <w:highlight w:val="none"/>
        </w:rPr>
        <w:t>二、招标文件</w:t>
      </w:r>
      <w:bookmarkEnd w:id="22"/>
      <w:bookmarkEnd w:id="23"/>
    </w:p>
    <w:p w14:paraId="6479A72A">
      <w:pPr>
        <w:pStyle w:val="4"/>
        <w:numPr>
          <w:ilvl w:val="0"/>
          <w:numId w:val="3"/>
        </w:numPr>
        <w:spacing w:before="0"/>
        <w:rPr>
          <w:rFonts w:hint="eastAsia" w:ascii="仿宋" w:hAnsi="仿宋" w:eastAsia="仿宋" w:cs="仿宋"/>
          <w:color w:val="auto"/>
          <w:sz w:val="24"/>
          <w:szCs w:val="24"/>
          <w:highlight w:val="none"/>
        </w:rPr>
      </w:pPr>
      <w:bookmarkStart w:id="24" w:name="_Toc27978"/>
      <w:bookmarkStart w:id="25" w:name="_Toc89692612"/>
      <w:r>
        <w:rPr>
          <w:rFonts w:hint="eastAsia" w:ascii="仿宋" w:hAnsi="仿宋" w:eastAsia="仿宋" w:cs="仿宋"/>
          <w:color w:val="auto"/>
          <w:sz w:val="24"/>
          <w:szCs w:val="24"/>
          <w:highlight w:val="none"/>
        </w:rPr>
        <w:t>招标文件构成</w:t>
      </w:r>
      <w:bookmarkEnd w:id="24"/>
      <w:bookmarkEnd w:id="25"/>
    </w:p>
    <w:p w14:paraId="4739C69A">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8.1 要求提供的货物、采购过程及合同条款在招标文件中均有说明，招标文件共七章，各章的内容如下：</w:t>
      </w:r>
    </w:p>
    <w:p w14:paraId="00C02894">
      <w:pPr>
        <w:spacing w:line="360" w:lineRule="auto"/>
        <w:ind w:firstLine="359" w:firstLineChars="17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第一章  招标公告</w:t>
      </w:r>
    </w:p>
    <w:p w14:paraId="33B5A76F">
      <w:pPr>
        <w:spacing w:line="360" w:lineRule="auto"/>
        <w:ind w:firstLine="359" w:firstLineChars="17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第二章  投标人须知</w:t>
      </w:r>
    </w:p>
    <w:p w14:paraId="5EF9CD7B">
      <w:pPr>
        <w:spacing w:line="360" w:lineRule="auto"/>
        <w:ind w:firstLine="359" w:firstLineChars="17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第三章  合同书样式及主要条款</w:t>
      </w:r>
    </w:p>
    <w:p w14:paraId="1B0E06A6">
      <w:pPr>
        <w:spacing w:line="360" w:lineRule="auto"/>
        <w:ind w:firstLine="359" w:firstLineChars="17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第四章  投标文件格式</w:t>
      </w:r>
    </w:p>
    <w:p w14:paraId="54349D2C">
      <w:pPr>
        <w:spacing w:line="360" w:lineRule="auto"/>
        <w:ind w:firstLine="359" w:firstLineChars="17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第五章  采购需求</w:t>
      </w:r>
    </w:p>
    <w:p w14:paraId="3D8CBE03">
      <w:pPr>
        <w:spacing w:line="360" w:lineRule="auto"/>
        <w:ind w:firstLine="359" w:firstLineChars="17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第六章  资格审查</w:t>
      </w:r>
    </w:p>
    <w:p w14:paraId="0C0021FB">
      <w:pPr>
        <w:spacing w:line="360" w:lineRule="auto"/>
        <w:ind w:firstLine="359" w:firstLineChars="17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第七章  评标办法</w:t>
      </w:r>
    </w:p>
    <w:p w14:paraId="2106EBF9">
      <w:pPr>
        <w:pStyle w:val="4"/>
        <w:numPr>
          <w:ilvl w:val="0"/>
          <w:numId w:val="3"/>
        </w:numPr>
        <w:spacing w:before="0"/>
        <w:rPr>
          <w:rFonts w:hint="eastAsia" w:ascii="仿宋" w:hAnsi="仿宋" w:eastAsia="仿宋" w:cs="仿宋"/>
          <w:color w:val="auto"/>
          <w:sz w:val="24"/>
          <w:szCs w:val="24"/>
          <w:highlight w:val="none"/>
        </w:rPr>
      </w:pPr>
      <w:bookmarkStart w:id="26" w:name="_Toc255"/>
      <w:bookmarkStart w:id="27" w:name="_Toc89692613"/>
      <w:r>
        <w:rPr>
          <w:rFonts w:hint="eastAsia" w:ascii="仿宋" w:hAnsi="仿宋" w:eastAsia="仿宋" w:cs="仿宋"/>
          <w:color w:val="auto"/>
          <w:sz w:val="24"/>
          <w:szCs w:val="24"/>
          <w:highlight w:val="none"/>
        </w:rPr>
        <w:t>招标文件的澄清或者修改</w:t>
      </w:r>
      <w:bookmarkEnd w:id="26"/>
      <w:bookmarkEnd w:id="27"/>
    </w:p>
    <w:p w14:paraId="68EC61D7">
      <w:pPr>
        <w:wordWrap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9.1投标人应仔细阅读和检查招标文件的全部内容。如发现缺页或附件不全，应及时向采购人提出，以便补齐。如有疑问，应在投标人须知前附表规定的时间前以在线不署名提交方式登录政采云平台https://www.zcygov.cn，要求采购人对招标文件予以澄清。 </w:t>
      </w:r>
    </w:p>
    <w:p w14:paraId="4830F979">
      <w:pPr>
        <w:wordWrap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9.2招标澄清和补遗全部通过网络送达，请投标人在开标截止日前，务必查询网站信息，投标人自行登录政采云平台https://www.zcygov.cn获取澄清，无须回复确认已收到该澄清。</w:t>
      </w:r>
    </w:p>
    <w:p w14:paraId="70A8031B">
      <w:pPr>
        <w:wordWrap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9.1 在投标截止时间15天前，</w:t>
      </w:r>
      <w:r>
        <w:rPr>
          <w:rFonts w:hint="eastAsia" w:ascii="仿宋" w:hAnsi="仿宋" w:eastAsia="仿宋" w:cs="仿宋"/>
          <w:color w:val="auto"/>
          <w:szCs w:val="21"/>
          <w:highlight w:val="none"/>
          <w:lang w:eastAsia="zh-CN"/>
        </w:rPr>
        <w:t>确实</w:t>
      </w:r>
      <w:r>
        <w:rPr>
          <w:rFonts w:hint="eastAsia" w:ascii="仿宋" w:hAnsi="仿宋" w:eastAsia="仿宋" w:cs="仿宋"/>
          <w:color w:val="auto"/>
          <w:szCs w:val="21"/>
          <w:highlight w:val="none"/>
        </w:rPr>
        <w:t>需要变更招标文件内容的，采购人可主动或在解答投标人提出的澄清问题时对招标文件进行修改，并同时报主管部门备案。无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云南省政府采购网、政采云平台https://www.zcygov.cn”发布，招标文件的修改作为招标文件的组成部分，并具有约束力。</w:t>
      </w:r>
    </w:p>
    <w:p w14:paraId="731AFD4C">
      <w:pPr>
        <w:wordWrap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9.2 投标人自行登录政采云平台https://www.zcygov.cn收取修改内容，无须回复确认已收到该修改。投标人应在截标时间前随时查看“政采云平台https://www.zcygov.cn”中有关该项目招标文件的答疑、补遗内容。否则，由此引起的投标损失自负。</w:t>
      </w:r>
    </w:p>
    <w:p w14:paraId="355CC968">
      <w:pPr>
        <w:wordWrap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9.3 招标文件、招标文件澄清、招标文件修改文件内容均以网上发布的为准，当招标文件、 招标文件澄清、招标文件修改文件内容相互矛盾时，以最后发出的为准。</w:t>
      </w:r>
    </w:p>
    <w:p w14:paraId="59668726">
      <w:pPr>
        <w:pStyle w:val="48"/>
        <w:rPr>
          <w:rFonts w:hint="eastAsia" w:ascii="仿宋" w:hAnsi="仿宋" w:eastAsia="仿宋" w:cs="仿宋"/>
          <w:color w:val="auto"/>
          <w:highlight w:val="none"/>
        </w:rPr>
      </w:pPr>
    </w:p>
    <w:p w14:paraId="418849BF">
      <w:pPr>
        <w:pStyle w:val="3"/>
        <w:numPr>
          <w:ilvl w:val="0"/>
          <w:numId w:val="0"/>
        </w:numPr>
        <w:spacing w:before="0"/>
        <w:ind w:firstLine="3626" w:firstLineChars="1290"/>
        <w:rPr>
          <w:rFonts w:hint="eastAsia" w:ascii="仿宋" w:hAnsi="仿宋" w:eastAsia="仿宋" w:cs="仿宋"/>
          <w:color w:val="auto"/>
          <w:szCs w:val="28"/>
          <w:highlight w:val="none"/>
        </w:rPr>
      </w:pPr>
      <w:bookmarkStart w:id="28" w:name="_Toc89692614"/>
      <w:bookmarkStart w:id="29" w:name="_Toc23269"/>
      <w:r>
        <w:rPr>
          <w:rFonts w:hint="eastAsia" w:ascii="仿宋" w:hAnsi="仿宋" w:eastAsia="仿宋" w:cs="仿宋"/>
          <w:color w:val="auto"/>
          <w:szCs w:val="28"/>
          <w:highlight w:val="none"/>
        </w:rPr>
        <w:t>三、投标文件的编制</w:t>
      </w:r>
      <w:bookmarkEnd w:id="28"/>
      <w:bookmarkEnd w:id="29"/>
    </w:p>
    <w:p w14:paraId="3B2F338A">
      <w:pPr>
        <w:pStyle w:val="4"/>
        <w:numPr>
          <w:ilvl w:val="0"/>
          <w:numId w:val="3"/>
        </w:numPr>
        <w:spacing w:before="0"/>
        <w:rPr>
          <w:rFonts w:hint="eastAsia" w:ascii="仿宋" w:hAnsi="仿宋" w:eastAsia="仿宋" w:cs="仿宋"/>
          <w:color w:val="auto"/>
          <w:sz w:val="24"/>
          <w:szCs w:val="24"/>
          <w:highlight w:val="none"/>
        </w:rPr>
      </w:pPr>
      <w:bookmarkStart w:id="30" w:name="_Toc21136"/>
      <w:bookmarkStart w:id="31" w:name="_Toc89692615"/>
      <w:r>
        <w:rPr>
          <w:rFonts w:hint="eastAsia" w:ascii="仿宋" w:hAnsi="仿宋" w:eastAsia="仿宋" w:cs="仿宋"/>
          <w:color w:val="auto"/>
          <w:sz w:val="24"/>
          <w:szCs w:val="24"/>
          <w:highlight w:val="none"/>
        </w:rPr>
        <w:t>投标文件编写注意事项</w:t>
      </w:r>
      <w:bookmarkEnd w:id="30"/>
      <w:bookmarkEnd w:id="31"/>
    </w:p>
    <w:p w14:paraId="481558F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10.1 投标人应仔细阅读招标文件，在完全了解采购的内容、技术性能要求（见第五章</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采购需求</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）和商务条件后，编写投标文件。如果没有按照招标文件要求提交全部投标文件或者资料，没有对招标文件的实质性要求和条件作出响应是投标人的风险，并可能导致该投标无效。</w:t>
      </w:r>
    </w:p>
    <w:p w14:paraId="5A7ED17C">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10.2对招标文件提出的实质性要求和条件作出响应是指投标人必须对招标文件中标明的实质性要求和条件的内容作出满足或者优于原要求和条件的承诺。</w:t>
      </w:r>
    </w:p>
    <w:p w14:paraId="12C2B27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10.3实质性要求和条件详见“投标人须知前附表”。</w:t>
      </w:r>
    </w:p>
    <w:p w14:paraId="03BA2309">
      <w:pPr>
        <w:pStyle w:val="4"/>
        <w:numPr>
          <w:ilvl w:val="0"/>
          <w:numId w:val="3"/>
        </w:numPr>
        <w:spacing w:before="0"/>
        <w:rPr>
          <w:rFonts w:hint="eastAsia" w:ascii="仿宋" w:hAnsi="仿宋" w:eastAsia="仿宋" w:cs="仿宋"/>
          <w:color w:val="auto"/>
          <w:sz w:val="24"/>
          <w:szCs w:val="24"/>
          <w:highlight w:val="none"/>
        </w:rPr>
      </w:pPr>
      <w:bookmarkStart w:id="32" w:name="_Toc89692616"/>
      <w:bookmarkStart w:id="33" w:name="_Toc20008"/>
      <w:r>
        <w:rPr>
          <w:rFonts w:hint="eastAsia" w:ascii="仿宋" w:hAnsi="仿宋" w:eastAsia="仿宋" w:cs="仿宋"/>
          <w:color w:val="auto"/>
          <w:sz w:val="24"/>
          <w:szCs w:val="24"/>
          <w:highlight w:val="none"/>
        </w:rPr>
        <w:t>投标的语言及计量单位</w:t>
      </w:r>
      <w:bookmarkEnd w:id="32"/>
      <w:bookmarkEnd w:id="33"/>
    </w:p>
    <w:p w14:paraId="4B835F4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 投标人的投标文件以及投标人与采购代理机构就有关投标的所有来往函电统一使用中文（特别规定除外）。</w:t>
      </w:r>
    </w:p>
    <w:p w14:paraId="5C62E2AE">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 投标文件中使用的计量单位除招标文件中有特殊规定外，一律使用中国法定计量单位。</w:t>
      </w:r>
    </w:p>
    <w:p w14:paraId="43EA02CE">
      <w:pPr>
        <w:pStyle w:val="4"/>
        <w:numPr>
          <w:ilvl w:val="0"/>
          <w:numId w:val="3"/>
        </w:numPr>
        <w:spacing w:before="0"/>
        <w:rPr>
          <w:rFonts w:hint="eastAsia" w:ascii="仿宋" w:hAnsi="仿宋" w:eastAsia="仿宋" w:cs="仿宋"/>
          <w:color w:val="auto"/>
          <w:sz w:val="24"/>
          <w:szCs w:val="24"/>
          <w:highlight w:val="none"/>
        </w:rPr>
      </w:pPr>
      <w:bookmarkStart w:id="34" w:name="_Toc89692617"/>
      <w:bookmarkStart w:id="35" w:name="_Toc7044"/>
      <w:r>
        <w:rPr>
          <w:rFonts w:hint="eastAsia" w:ascii="仿宋" w:hAnsi="仿宋" w:eastAsia="仿宋" w:cs="仿宋"/>
          <w:color w:val="auto"/>
          <w:sz w:val="24"/>
          <w:szCs w:val="24"/>
          <w:highlight w:val="none"/>
        </w:rPr>
        <w:t>投标文件的格式要求</w:t>
      </w:r>
      <w:bookmarkEnd w:id="34"/>
      <w:bookmarkEnd w:id="35"/>
    </w:p>
    <w:p w14:paraId="4CFBC267">
      <w:pPr>
        <w:spacing w:line="360" w:lineRule="auto"/>
        <w:ind w:firstLine="420" w:firstLineChars="200"/>
        <w:jc w:val="left"/>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12.1投标人应按第四章“投标文件格式”提供的格式完整地填写。</w:t>
      </w:r>
    </w:p>
    <w:p w14:paraId="50BAF5A2">
      <w:pPr>
        <w:pStyle w:val="4"/>
        <w:numPr>
          <w:ilvl w:val="0"/>
          <w:numId w:val="3"/>
        </w:numPr>
        <w:spacing w:before="0"/>
        <w:rPr>
          <w:rFonts w:hint="eastAsia" w:ascii="仿宋" w:hAnsi="仿宋" w:eastAsia="仿宋" w:cs="仿宋"/>
          <w:color w:val="auto"/>
          <w:sz w:val="24"/>
          <w:szCs w:val="24"/>
          <w:highlight w:val="none"/>
        </w:rPr>
      </w:pPr>
      <w:bookmarkStart w:id="36" w:name="_Toc31541"/>
      <w:bookmarkStart w:id="37" w:name="_Toc89692618"/>
      <w:r>
        <w:rPr>
          <w:rFonts w:hint="eastAsia" w:ascii="仿宋" w:hAnsi="仿宋" w:eastAsia="仿宋" w:cs="仿宋"/>
          <w:color w:val="auto"/>
          <w:sz w:val="24"/>
          <w:szCs w:val="24"/>
          <w:highlight w:val="none"/>
        </w:rPr>
        <w:t>投标报价</w:t>
      </w:r>
      <w:bookmarkEnd w:id="36"/>
      <w:bookmarkEnd w:id="37"/>
    </w:p>
    <w:p w14:paraId="231B5E6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13.1本项目</w:t>
      </w:r>
      <w:bookmarkStart w:id="38" w:name="OLE_LINK4"/>
      <w:r>
        <w:rPr>
          <w:rFonts w:hint="eastAsia" w:ascii="仿宋" w:hAnsi="仿宋" w:eastAsia="仿宋" w:cs="仿宋"/>
          <w:color w:val="auto"/>
          <w:szCs w:val="21"/>
          <w:highlight w:val="none"/>
        </w:rPr>
        <w:t>采购预算金额及最高限价见“投标人须知前附表”，若投标人的投标报价超过最高限价，按不实质性响应招标文件要求处理。</w:t>
      </w:r>
    </w:p>
    <w:bookmarkEnd w:id="38"/>
    <w:p w14:paraId="65489B12">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 投</w:t>
      </w:r>
      <w:bookmarkStart w:id="39" w:name="OLE_LINK5"/>
      <w:r>
        <w:rPr>
          <w:rFonts w:hint="eastAsia" w:ascii="仿宋" w:hAnsi="仿宋" w:eastAsia="仿宋" w:cs="仿宋"/>
          <w:color w:val="auto"/>
          <w:szCs w:val="21"/>
          <w:highlight w:val="none"/>
        </w:rPr>
        <w:t>标人须</w:t>
      </w:r>
      <w:bookmarkStart w:id="40" w:name="OLE_LINK2"/>
      <w:r>
        <w:rPr>
          <w:rFonts w:hint="eastAsia" w:ascii="仿宋" w:hAnsi="仿宋" w:eastAsia="仿宋" w:cs="仿宋"/>
          <w:color w:val="auto"/>
          <w:szCs w:val="21"/>
          <w:highlight w:val="none"/>
        </w:rPr>
        <w:t>就“采购需求”中的全部货物作</w:t>
      </w:r>
      <w:bookmarkEnd w:id="40"/>
      <w:r>
        <w:rPr>
          <w:rFonts w:hint="eastAsia" w:ascii="仿宋" w:hAnsi="仿宋" w:eastAsia="仿宋" w:cs="仿宋"/>
          <w:color w:val="auto"/>
          <w:szCs w:val="21"/>
          <w:highlight w:val="none"/>
        </w:rPr>
        <w:t>完整唯一报价。</w:t>
      </w:r>
    </w:p>
    <w:bookmarkEnd w:id="39"/>
    <w:p w14:paraId="75027DCA">
      <w:pPr>
        <w:spacing w:line="360" w:lineRule="auto"/>
        <w:ind w:firstLine="420" w:firstLineChars="200"/>
        <w:jc w:val="left"/>
        <w:rPr>
          <w:rFonts w:hint="eastAsia" w:ascii="仿宋" w:hAnsi="仿宋" w:eastAsia="仿宋" w:cs="仿宋"/>
          <w:color w:val="auto"/>
          <w:szCs w:val="21"/>
          <w:highlight w:val="none"/>
        </w:rPr>
      </w:pPr>
      <w:bookmarkStart w:id="41" w:name="OLE_LINK8"/>
      <w:r>
        <w:rPr>
          <w:rFonts w:hint="eastAsia" w:ascii="仿宋" w:hAnsi="仿宋" w:eastAsia="仿宋" w:cs="仿宋"/>
          <w:color w:val="auto"/>
          <w:szCs w:val="21"/>
          <w:highlight w:val="none"/>
        </w:rPr>
        <w:t>13.3投</w:t>
      </w:r>
      <w:bookmarkStart w:id="42" w:name="OLE_LINK6"/>
      <w:r>
        <w:rPr>
          <w:rFonts w:hint="eastAsia" w:ascii="仿宋" w:hAnsi="仿宋" w:eastAsia="仿宋" w:cs="仿宋"/>
          <w:color w:val="auto"/>
          <w:szCs w:val="21"/>
          <w:highlight w:val="none"/>
        </w:rPr>
        <w:t>标人</w:t>
      </w:r>
      <w:bookmarkStart w:id="43" w:name="OLE_LINK3"/>
      <w:r>
        <w:rPr>
          <w:rFonts w:hint="eastAsia" w:ascii="仿宋" w:hAnsi="仿宋" w:eastAsia="仿宋" w:cs="仿宋"/>
          <w:color w:val="auto"/>
          <w:szCs w:val="21"/>
          <w:highlight w:val="none"/>
        </w:rPr>
        <w:t>的投标报价应依据招标文件的要求，执行国家规定的现行相关技术、经</w:t>
      </w:r>
      <w:bookmarkEnd w:id="42"/>
      <w:r>
        <w:rPr>
          <w:rFonts w:hint="eastAsia" w:ascii="仿宋" w:hAnsi="仿宋" w:eastAsia="仿宋" w:cs="仿宋"/>
          <w:color w:val="auto"/>
          <w:szCs w:val="21"/>
          <w:highlight w:val="none"/>
        </w:rPr>
        <w:t>济</w:t>
      </w:r>
      <w:bookmarkStart w:id="44" w:name="OLE_LINK7"/>
      <w:r>
        <w:rPr>
          <w:rFonts w:hint="eastAsia" w:ascii="仿宋" w:hAnsi="仿宋" w:eastAsia="仿宋" w:cs="仿宋"/>
          <w:color w:val="auto"/>
          <w:szCs w:val="21"/>
          <w:highlight w:val="none"/>
        </w:rPr>
        <w:t>标准及规范，由投标人自行测算出现行市场的</w:t>
      </w:r>
      <w:r>
        <w:rPr>
          <w:rFonts w:hint="eastAsia" w:ascii="仿宋" w:hAnsi="仿宋" w:eastAsia="仿宋" w:cs="仿宋"/>
          <w:color w:val="auto"/>
          <w:szCs w:val="21"/>
          <w:highlight w:val="none"/>
          <w:lang w:val="en-US" w:eastAsia="zh-CN"/>
        </w:rPr>
        <w:t>各项</w:t>
      </w:r>
      <w:r>
        <w:rPr>
          <w:rFonts w:hint="eastAsia" w:ascii="仿宋" w:hAnsi="仿宋" w:eastAsia="仿宋" w:cs="仿宋"/>
          <w:color w:val="auto"/>
          <w:szCs w:val="21"/>
          <w:highlight w:val="none"/>
        </w:rPr>
        <w:t>单价，该报价应符合国内行情并能保证投标人完成履行合同所需的一切工作。合同一旦签订，此合同单价在合同实施期间将不因市场价格的变化而调整。</w:t>
      </w:r>
    </w:p>
    <w:bookmarkEnd w:id="41"/>
    <w:p w14:paraId="4A0482D0">
      <w:pPr>
        <w:spacing w:line="360" w:lineRule="auto"/>
        <w:ind w:firstLine="420" w:firstLineChars="200"/>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13.4投标报价须包含招标代理服务费。</w:t>
      </w:r>
    </w:p>
    <w:bookmarkEnd w:id="43"/>
    <w:bookmarkEnd w:id="44"/>
    <w:p w14:paraId="73345030">
      <w:pPr>
        <w:pStyle w:val="4"/>
        <w:numPr>
          <w:ilvl w:val="0"/>
          <w:numId w:val="3"/>
        </w:numPr>
        <w:spacing w:before="0"/>
        <w:rPr>
          <w:rFonts w:hint="eastAsia" w:ascii="仿宋" w:hAnsi="仿宋" w:eastAsia="仿宋" w:cs="仿宋"/>
          <w:color w:val="auto"/>
          <w:sz w:val="24"/>
          <w:szCs w:val="24"/>
          <w:highlight w:val="none"/>
        </w:rPr>
      </w:pPr>
      <w:bookmarkStart w:id="45" w:name="_Toc11337"/>
      <w:bookmarkStart w:id="46" w:name="_Toc89692619"/>
      <w:r>
        <w:rPr>
          <w:rFonts w:hint="eastAsia" w:ascii="仿宋" w:hAnsi="仿宋" w:eastAsia="仿宋" w:cs="仿宋"/>
          <w:color w:val="auto"/>
          <w:sz w:val="24"/>
          <w:szCs w:val="24"/>
          <w:highlight w:val="none"/>
        </w:rPr>
        <w:t>投标货币</w:t>
      </w:r>
      <w:bookmarkEnd w:id="45"/>
      <w:bookmarkEnd w:id="46"/>
    </w:p>
    <w:p w14:paraId="2191DC89">
      <w:pPr>
        <w:spacing w:line="360" w:lineRule="auto"/>
        <w:ind w:firstLine="420" w:firstLineChars="200"/>
        <w:jc w:val="left"/>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投标以人民币报价。</w:t>
      </w:r>
    </w:p>
    <w:p w14:paraId="287A5C14">
      <w:pPr>
        <w:pStyle w:val="4"/>
        <w:numPr>
          <w:ilvl w:val="0"/>
          <w:numId w:val="3"/>
        </w:numPr>
        <w:spacing w:before="0"/>
        <w:rPr>
          <w:rFonts w:hint="eastAsia" w:ascii="仿宋" w:hAnsi="仿宋" w:eastAsia="仿宋" w:cs="仿宋"/>
          <w:color w:val="auto"/>
          <w:sz w:val="24"/>
          <w:szCs w:val="24"/>
          <w:highlight w:val="none"/>
        </w:rPr>
      </w:pPr>
      <w:bookmarkStart w:id="47" w:name="_Toc29255"/>
      <w:bookmarkStart w:id="48" w:name="_Toc89692620"/>
      <w:r>
        <w:rPr>
          <w:rFonts w:hint="eastAsia" w:ascii="仿宋" w:hAnsi="仿宋" w:eastAsia="仿宋" w:cs="仿宋"/>
          <w:color w:val="auto"/>
          <w:sz w:val="24"/>
          <w:szCs w:val="24"/>
          <w:highlight w:val="none"/>
        </w:rPr>
        <w:t>投标有效期</w:t>
      </w:r>
      <w:bookmarkEnd w:id="47"/>
      <w:bookmarkEnd w:id="48"/>
    </w:p>
    <w:p w14:paraId="3CDB20F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15.1 在“</w:t>
      </w:r>
      <w:r>
        <w:rPr>
          <w:rFonts w:hint="eastAsia" w:ascii="仿宋" w:hAnsi="仿宋" w:eastAsia="仿宋" w:cs="仿宋"/>
          <w:bCs/>
          <w:color w:val="auto"/>
          <w:szCs w:val="21"/>
          <w:highlight w:val="none"/>
        </w:rPr>
        <w:t>投标人须知前附表</w:t>
      </w:r>
      <w:r>
        <w:rPr>
          <w:rFonts w:hint="eastAsia" w:ascii="仿宋" w:hAnsi="仿宋" w:eastAsia="仿宋" w:cs="仿宋"/>
          <w:color w:val="auto"/>
          <w:szCs w:val="21"/>
          <w:highlight w:val="none"/>
        </w:rPr>
        <w:t>”规定的投标有效期内，投标人不得要求撤销或修改其投标文件。</w:t>
      </w:r>
    </w:p>
    <w:p w14:paraId="4DC1124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15.2 因特殊情况需要延长投标有效期的，招标人以书面形式通知所有投标人延长投标有效期。投标人同意延长的，但不得要求或被允许修改或撤销其投标文件；投标人拒绝延长的，其投标失效。</w:t>
      </w:r>
    </w:p>
    <w:p w14:paraId="16EE8A7F">
      <w:pPr>
        <w:pStyle w:val="4"/>
        <w:numPr>
          <w:ilvl w:val="0"/>
          <w:numId w:val="3"/>
        </w:numPr>
        <w:spacing w:before="0"/>
        <w:rPr>
          <w:rFonts w:hint="eastAsia" w:ascii="仿宋" w:hAnsi="仿宋" w:eastAsia="仿宋" w:cs="仿宋"/>
          <w:color w:val="auto"/>
          <w:sz w:val="24"/>
          <w:szCs w:val="24"/>
          <w:highlight w:val="none"/>
        </w:rPr>
      </w:pPr>
      <w:bookmarkStart w:id="49" w:name="_Toc89692622"/>
      <w:bookmarkStart w:id="50" w:name="_Toc30602"/>
      <w:r>
        <w:rPr>
          <w:rFonts w:hint="eastAsia" w:ascii="仿宋" w:hAnsi="仿宋" w:eastAsia="仿宋" w:cs="仿宋"/>
          <w:color w:val="auto"/>
          <w:sz w:val="24"/>
          <w:szCs w:val="24"/>
          <w:highlight w:val="none"/>
        </w:rPr>
        <w:t>投标保证金</w:t>
      </w:r>
      <w:bookmarkEnd w:id="49"/>
      <w:bookmarkEnd w:id="50"/>
    </w:p>
    <w:p w14:paraId="6B88D603">
      <w:pPr>
        <w:widowControl/>
        <w:spacing w:line="360" w:lineRule="auto"/>
        <w:ind w:firstLine="420"/>
        <w:jc w:val="left"/>
        <w:rPr>
          <w:rFonts w:hint="eastAsia" w:ascii="仿宋" w:hAnsi="仿宋" w:eastAsia="仿宋" w:cs="仿宋"/>
          <w:bCs/>
          <w:color w:val="auto"/>
          <w:kern w:val="0"/>
          <w:szCs w:val="21"/>
          <w:highlight w:val="none"/>
        </w:rPr>
      </w:pPr>
      <w:bookmarkStart w:id="51" w:name="_Toc89692623"/>
      <w:r>
        <w:rPr>
          <w:rFonts w:hint="eastAsia" w:ascii="仿宋" w:hAnsi="仿宋" w:eastAsia="仿宋" w:cs="仿宋"/>
          <w:bCs/>
          <w:color w:val="auto"/>
          <w:kern w:val="0"/>
          <w:szCs w:val="21"/>
          <w:highlight w:val="none"/>
        </w:rPr>
        <w:t>16.1 保证金为人民币。投标人应在递交投标文件截止时间以前按“投标人须知前附表”规定的方式及金额缴纳，并在投标有效期内保持有效。</w:t>
      </w:r>
    </w:p>
    <w:p w14:paraId="52335204">
      <w:pPr>
        <w:widowControl/>
        <w:spacing w:line="360" w:lineRule="auto"/>
        <w:ind w:firstLine="420"/>
        <w:jc w:val="left"/>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16.2投标人不按投标须知前附表要求提交投标保证金的，其投标文件作废标处理。</w:t>
      </w:r>
    </w:p>
    <w:p w14:paraId="74F619CA">
      <w:pPr>
        <w:widowControl/>
        <w:spacing w:line="360" w:lineRule="auto"/>
        <w:ind w:firstLine="420"/>
        <w:jc w:val="left"/>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16.3有下列情形之一的，投标保证金不予退还：</w:t>
      </w:r>
    </w:p>
    <w:p w14:paraId="08850501">
      <w:pPr>
        <w:widowControl/>
        <w:spacing w:line="360" w:lineRule="auto"/>
        <w:ind w:firstLine="420"/>
        <w:jc w:val="left"/>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    （1）投标人在提交投标文件截止时间后撤回投标文件的；</w:t>
      </w:r>
    </w:p>
    <w:p w14:paraId="1644BDC1">
      <w:pPr>
        <w:widowControl/>
        <w:spacing w:line="360" w:lineRule="auto"/>
        <w:ind w:firstLine="420"/>
        <w:jc w:val="left"/>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    （2）除因不可抗力或招标文件认可的情形以外，中标人不与采购人签订合同的；</w:t>
      </w:r>
    </w:p>
    <w:p w14:paraId="02ED108F">
      <w:pPr>
        <w:widowControl/>
        <w:spacing w:line="360" w:lineRule="auto"/>
        <w:ind w:firstLine="420"/>
        <w:jc w:val="left"/>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    （3）法律法规规定的其他情形。</w:t>
      </w:r>
    </w:p>
    <w:p w14:paraId="201C2992">
      <w:pPr>
        <w:pStyle w:val="3"/>
        <w:numPr>
          <w:ilvl w:val="0"/>
          <w:numId w:val="0"/>
        </w:numPr>
        <w:spacing w:before="0"/>
        <w:ind w:firstLine="3626" w:firstLineChars="1290"/>
        <w:rPr>
          <w:rFonts w:hint="eastAsia" w:ascii="仿宋" w:hAnsi="仿宋" w:eastAsia="仿宋" w:cs="仿宋"/>
          <w:color w:val="auto"/>
          <w:szCs w:val="28"/>
          <w:highlight w:val="none"/>
        </w:rPr>
      </w:pPr>
      <w:bookmarkStart w:id="52" w:name="_Toc31037"/>
      <w:r>
        <w:rPr>
          <w:rFonts w:hint="eastAsia" w:ascii="仿宋" w:hAnsi="仿宋" w:eastAsia="仿宋" w:cs="仿宋"/>
          <w:color w:val="auto"/>
          <w:szCs w:val="28"/>
          <w:highlight w:val="none"/>
        </w:rPr>
        <w:t>四、投标文件的提交</w:t>
      </w:r>
      <w:bookmarkEnd w:id="51"/>
      <w:bookmarkEnd w:id="52"/>
    </w:p>
    <w:p w14:paraId="28963315">
      <w:pPr>
        <w:pStyle w:val="4"/>
        <w:numPr>
          <w:ilvl w:val="0"/>
          <w:numId w:val="3"/>
        </w:numPr>
        <w:spacing w:before="0"/>
        <w:rPr>
          <w:rFonts w:hint="eastAsia" w:ascii="仿宋" w:hAnsi="仿宋" w:eastAsia="仿宋" w:cs="仿宋"/>
          <w:color w:val="auto"/>
          <w:sz w:val="24"/>
          <w:szCs w:val="24"/>
          <w:highlight w:val="none"/>
        </w:rPr>
      </w:pPr>
      <w:bookmarkStart w:id="53" w:name="_Toc14881"/>
      <w:bookmarkStart w:id="54" w:name="_Toc89692624"/>
      <w:r>
        <w:rPr>
          <w:rFonts w:hint="eastAsia" w:ascii="仿宋" w:hAnsi="仿宋" w:eastAsia="仿宋" w:cs="仿宋"/>
          <w:color w:val="auto"/>
          <w:sz w:val="24"/>
          <w:szCs w:val="24"/>
          <w:highlight w:val="none"/>
        </w:rPr>
        <w:t>投标文件的密封、标记</w:t>
      </w:r>
      <w:bookmarkEnd w:id="53"/>
      <w:bookmarkEnd w:id="54"/>
    </w:p>
    <w:p w14:paraId="5E598023">
      <w:pPr>
        <w:spacing w:line="360" w:lineRule="auto"/>
        <w:ind w:firstLine="420" w:firstLineChars="200"/>
        <w:jc w:val="left"/>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17.1 投标人应按“ 投标人</w:t>
      </w:r>
      <w:r>
        <w:rPr>
          <w:rFonts w:hint="eastAsia" w:ascii="仿宋" w:hAnsi="仿宋" w:eastAsia="仿宋" w:cs="仿宋"/>
          <w:color w:val="auto"/>
          <w:szCs w:val="28"/>
          <w:highlight w:val="none"/>
        </w:rPr>
        <w:t>须知前附表</w:t>
      </w:r>
      <w:r>
        <w:rPr>
          <w:rFonts w:hint="eastAsia" w:ascii="仿宋" w:hAnsi="仿宋" w:eastAsia="仿宋" w:cs="仿宋"/>
          <w:bCs/>
          <w:color w:val="auto"/>
          <w:kern w:val="0"/>
          <w:szCs w:val="21"/>
          <w:highlight w:val="none"/>
        </w:rPr>
        <w:t>”中规定进行密封并提交。</w:t>
      </w:r>
    </w:p>
    <w:p w14:paraId="1A2A7C75">
      <w:pPr>
        <w:spacing w:line="360" w:lineRule="auto"/>
        <w:ind w:firstLine="420" w:firstLineChars="200"/>
        <w:jc w:val="left"/>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17.2 投标人在提交投标文件时，未按本须知要求密封、标记的，政采云平台不予接收。</w:t>
      </w:r>
    </w:p>
    <w:p w14:paraId="7EE5E7E3">
      <w:pPr>
        <w:pStyle w:val="4"/>
        <w:numPr>
          <w:ilvl w:val="0"/>
          <w:numId w:val="3"/>
        </w:numPr>
        <w:spacing w:before="0"/>
        <w:rPr>
          <w:rFonts w:hint="eastAsia" w:ascii="仿宋" w:hAnsi="仿宋" w:eastAsia="仿宋" w:cs="仿宋"/>
          <w:color w:val="auto"/>
          <w:sz w:val="24"/>
          <w:szCs w:val="24"/>
          <w:highlight w:val="none"/>
        </w:rPr>
      </w:pPr>
      <w:bookmarkStart w:id="55" w:name="_Toc80095530"/>
      <w:bookmarkStart w:id="56" w:name="_Toc89692625"/>
      <w:bookmarkStart w:id="57" w:name="_Toc30254"/>
      <w:r>
        <w:rPr>
          <w:rFonts w:hint="eastAsia" w:ascii="仿宋" w:hAnsi="仿宋" w:eastAsia="仿宋" w:cs="仿宋"/>
          <w:color w:val="auto"/>
          <w:sz w:val="24"/>
          <w:szCs w:val="24"/>
          <w:highlight w:val="none"/>
        </w:rPr>
        <w:t>提交投标文件的截止时间和地点</w:t>
      </w:r>
      <w:bookmarkEnd w:id="55"/>
      <w:bookmarkEnd w:id="56"/>
      <w:bookmarkEnd w:id="57"/>
    </w:p>
    <w:p w14:paraId="512434F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18.1 投标人应在投标人须知前附表规定的投标截止时间前递交投标文件。</w:t>
      </w:r>
    </w:p>
    <w:p w14:paraId="5AF46699">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18.2 投标人提交投标文件的时间和地点：见投标人须知前附表。</w:t>
      </w:r>
    </w:p>
    <w:p w14:paraId="476D164D">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18.3 除投标人须知前附表另有规定外，投标人所递交的投标文件不予退还。</w:t>
      </w:r>
    </w:p>
    <w:p w14:paraId="3254A67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18.4 逾期送达的、未送达指定地点的或者不按照招标文件要求密封的投标文件，视为撤回投标文件，采购人不予受理。</w:t>
      </w:r>
    </w:p>
    <w:p w14:paraId="175E84F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18.5 是否退还投标文件：详见须知前附表。</w:t>
      </w:r>
    </w:p>
    <w:p w14:paraId="78A01575">
      <w:pPr>
        <w:pStyle w:val="4"/>
        <w:numPr>
          <w:ilvl w:val="0"/>
          <w:numId w:val="3"/>
        </w:numPr>
        <w:spacing w:before="0"/>
        <w:rPr>
          <w:rFonts w:hint="eastAsia" w:ascii="仿宋" w:hAnsi="仿宋" w:eastAsia="仿宋" w:cs="仿宋"/>
          <w:color w:val="auto"/>
          <w:sz w:val="24"/>
          <w:szCs w:val="24"/>
          <w:highlight w:val="none"/>
        </w:rPr>
      </w:pPr>
      <w:bookmarkStart w:id="58" w:name="_Toc89692626"/>
      <w:bookmarkStart w:id="59" w:name="_Toc5063"/>
      <w:r>
        <w:rPr>
          <w:rFonts w:hint="eastAsia" w:ascii="仿宋" w:hAnsi="仿宋" w:eastAsia="仿宋" w:cs="仿宋"/>
          <w:color w:val="auto"/>
          <w:sz w:val="24"/>
          <w:szCs w:val="24"/>
          <w:highlight w:val="none"/>
        </w:rPr>
        <w:t>提交投标文件的截止时间和地点</w:t>
      </w:r>
      <w:bookmarkEnd w:id="58"/>
      <w:bookmarkEnd w:id="59"/>
    </w:p>
    <w:p w14:paraId="217C9378">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19.1 在本章第18.1 项规定的投标截止时间前，投标人可以修改或撤回已递交的投标文件，但应以书面形式通知采购人。</w:t>
      </w:r>
    </w:p>
    <w:p w14:paraId="0826DCE1">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19.2 投标人修改或撤回已递交投标文件的书面通知应按要求签字或盖章。采购人收到书面通知后，向投标人出具签收回执。</w:t>
      </w:r>
    </w:p>
    <w:p w14:paraId="1C41B67E">
      <w:pPr>
        <w:pStyle w:val="3"/>
        <w:numPr>
          <w:ilvl w:val="0"/>
          <w:numId w:val="0"/>
        </w:numPr>
        <w:spacing w:before="0"/>
        <w:ind w:firstLine="3626" w:firstLineChars="1290"/>
        <w:rPr>
          <w:rFonts w:hint="eastAsia" w:ascii="仿宋" w:hAnsi="仿宋" w:eastAsia="仿宋" w:cs="仿宋"/>
          <w:color w:val="auto"/>
          <w:szCs w:val="28"/>
          <w:highlight w:val="none"/>
        </w:rPr>
      </w:pPr>
      <w:bookmarkStart w:id="60" w:name="_Toc89692627"/>
      <w:bookmarkStart w:id="61" w:name="_Toc7149"/>
      <w:r>
        <w:rPr>
          <w:rFonts w:hint="eastAsia" w:ascii="仿宋" w:hAnsi="仿宋" w:eastAsia="仿宋" w:cs="仿宋"/>
          <w:color w:val="auto"/>
          <w:szCs w:val="28"/>
          <w:highlight w:val="none"/>
        </w:rPr>
        <w:t>五、开标与评标</w:t>
      </w:r>
      <w:bookmarkEnd w:id="60"/>
      <w:bookmarkEnd w:id="61"/>
    </w:p>
    <w:p w14:paraId="6ED9B586">
      <w:pPr>
        <w:pStyle w:val="4"/>
        <w:numPr>
          <w:ilvl w:val="0"/>
          <w:numId w:val="3"/>
        </w:numPr>
        <w:spacing w:before="0"/>
        <w:rPr>
          <w:rFonts w:hint="eastAsia" w:ascii="仿宋" w:hAnsi="仿宋" w:eastAsia="仿宋" w:cs="仿宋"/>
          <w:color w:val="auto"/>
          <w:sz w:val="24"/>
          <w:szCs w:val="24"/>
          <w:highlight w:val="none"/>
        </w:rPr>
      </w:pPr>
      <w:bookmarkStart w:id="62" w:name="_Toc89692628"/>
      <w:bookmarkStart w:id="63" w:name="_Toc7706"/>
      <w:r>
        <w:rPr>
          <w:rFonts w:hint="eastAsia" w:ascii="仿宋" w:hAnsi="仿宋" w:eastAsia="仿宋" w:cs="仿宋"/>
          <w:color w:val="auto"/>
          <w:sz w:val="24"/>
          <w:szCs w:val="24"/>
          <w:highlight w:val="none"/>
        </w:rPr>
        <w:t>开标</w:t>
      </w:r>
      <w:bookmarkEnd w:id="62"/>
      <w:bookmarkEnd w:id="63"/>
    </w:p>
    <w:p w14:paraId="45A9545F">
      <w:pPr>
        <w:spacing w:line="360" w:lineRule="auto"/>
        <w:ind w:firstLine="420" w:firstLineChars="20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20.1 采购代理机构将在“投标人须知前附表”规定的时间和地点进行开标</w:t>
      </w:r>
      <w:r>
        <w:rPr>
          <w:rFonts w:hint="eastAsia" w:ascii="仿宋" w:hAnsi="仿宋" w:eastAsia="仿宋" w:cs="仿宋"/>
          <w:b/>
          <w:color w:val="auto"/>
          <w:szCs w:val="21"/>
          <w:highlight w:val="none"/>
        </w:rPr>
        <w:t>。</w:t>
      </w:r>
    </w:p>
    <w:p w14:paraId="019A587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20.2开标程序</w:t>
      </w:r>
    </w:p>
    <w:p w14:paraId="7A886602">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（1）宣布开标纪律；</w:t>
      </w:r>
    </w:p>
    <w:p w14:paraId="3C3B414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（2）介绍有关参会人员；</w:t>
      </w:r>
    </w:p>
    <w:p w14:paraId="5BD47E7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按照政采云平台自动提取投标人的顺序当众开标，依次导入有效投标人的电子投标文件。同时，由投标人对网上递交已加密的投标文件进行网上解密，解密完成后，系统公布各投标文件开标一览表内容。因投标人原因造成投标文件未解密的，视为撤销其投标文件；</w:t>
      </w:r>
    </w:p>
    <w:p w14:paraId="488E8194">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（4）投标单位在开标记录上签字确认；</w:t>
      </w:r>
    </w:p>
    <w:p w14:paraId="248BD0C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（5）开标会议异议询问。</w:t>
      </w:r>
    </w:p>
    <w:p w14:paraId="71C9B5DA">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（6）开标结束。</w:t>
      </w:r>
    </w:p>
    <w:p w14:paraId="79EFEF3A">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20.3 投标文件如果出现计算或表达上的错误，按照下列规定修正：</w:t>
      </w:r>
    </w:p>
    <w:p w14:paraId="4F970D6D">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（1）投标文件中开标一览表（报价表）内容与投标文件中相应内容不一致的，以开标一览表（报价表）为准。</w:t>
      </w:r>
    </w:p>
    <w:p w14:paraId="3B673161">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（2）大写金额和小写金额不一致的，以大写金额为准；</w:t>
      </w:r>
    </w:p>
    <w:p w14:paraId="5087654D">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（3）单价金额小数点或者百分比有明显错位的，以开标一览表的总价为准，并修改单价；</w:t>
      </w:r>
    </w:p>
    <w:p w14:paraId="5117CC6D">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（4）总价金额与按单价汇总金额不一致的，以单价金额计算结果为准；</w:t>
      </w:r>
    </w:p>
    <w:p w14:paraId="0456DCA7">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（5）对不同文字文本投标文件的解释发生异议的，以中文文本为准。</w:t>
      </w:r>
    </w:p>
    <w:p w14:paraId="55AF3800">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同时出现两种以上不一致的，按照前款规定的顺序修正。按上述规定修正后的报价经投标人确认后对投标人起约束作用。如果投标人不确认修正后的报价，则其投标无效。</w:t>
      </w:r>
    </w:p>
    <w:p w14:paraId="2F8EC20C">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20.4 投标</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响应</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文件解密</w:t>
      </w:r>
    </w:p>
    <w:p w14:paraId="5D974E9F">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详</w:t>
      </w:r>
      <w:r>
        <w:rPr>
          <w:rFonts w:hint="eastAsia" w:ascii="仿宋" w:hAnsi="仿宋" w:eastAsia="仿宋" w:cs="仿宋"/>
          <w:color w:val="auto"/>
          <w:szCs w:val="21"/>
          <w:highlight w:val="none"/>
        </w:rPr>
        <w:t>见投标人须知前附表。</w:t>
      </w:r>
    </w:p>
    <w:p w14:paraId="5C49AA6A">
      <w:pPr>
        <w:pStyle w:val="4"/>
        <w:numPr>
          <w:ilvl w:val="0"/>
          <w:numId w:val="3"/>
        </w:numPr>
        <w:spacing w:before="0"/>
        <w:rPr>
          <w:rFonts w:hint="eastAsia" w:ascii="仿宋" w:hAnsi="仿宋" w:eastAsia="仿宋" w:cs="仿宋"/>
          <w:color w:val="auto"/>
          <w:sz w:val="24"/>
          <w:szCs w:val="24"/>
          <w:highlight w:val="none"/>
        </w:rPr>
      </w:pPr>
      <w:bookmarkStart w:id="64" w:name="_Toc20329"/>
      <w:bookmarkStart w:id="65" w:name="_Toc89692629"/>
      <w:r>
        <w:rPr>
          <w:rFonts w:hint="eastAsia" w:ascii="仿宋" w:hAnsi="仿宋" w:eastAsia="仿宋" w:cs="仿宋"/>
          <w:color w:val="auto"/>
          <w:sz w:val="24"/>
          <w:szCs w:val="24"/>
          <w:highlight w:val="none"/>
        </w:rPr>
        <w:t>资格审查</w:t>
      </w:r>
      <w:bookmarkEnd w:id="64"/>
      <w:bookmarkEnd w:id="65"/>
    </w:p>
    <w:p w14:paraId="74C648D9">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公开招标采购项目开标结束后，采购人或者采购代理机构依法对投标人的资格进行审查。合格投标人不足 3 家的，不得评标。</w:t>
      </w:r>
    </w:p>
    <w:p w14:paraId="33380E3D">
      <w:pPr>
        <w:pStyle w:val="4"/>
        <w:numPr>
          <w:ilvl w:val="0"/>
          <w:numId w:val="3"/>
        </w:numPr>
        <w:spacing w:before="0"/>
        <w:rPr>
          <w:rFonts w:hint="eastAsia" w:ascii="仿宋" w:hAnsi="仿宋" w:eastAsia="仿宋" w:cs="仿宋"/>
          <w:color w:val="auto"/>
          <w:sz w:val="24"/>
          <w:szCs w:val="24"/>
          <w:highlight w:val="none"/>
        </w:rPr>
      </w:pPr>
      <w:bookmarkStart w:id="66" w:name="_Toc89692630"/>
      <w:bookmarkStart w:id="67" w:name="_Toc15594"/>
      <w:r>
        <w:rPr>
          <w:rFonts w:hint="eastAsia" w:ascii="仿宋" w:hAnsi="仿宋" w:eastAsia="仿宋" w:cs="仿宋"/>
          <w:color w:val="auto"/>
          <w:sz w:val="24"/>
          <w:szCs w:val="24"/>
          <w:highlight w:val="none"/>
        </w:rPr>
        <w:t>评标</w:t>
      </w:r>
      <w:bookmarkEnd w:id="66"/>
      <w:bookmarkEnd w:id="67"/>
    </w:p>
    <w:p w14:paraId="0982389D">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22.1评标由采购人依法组建的评标委员会负责。评标委员会由采购人代表和有关技术、经济等方面的专家组成，成员人数应当为 5 人或以上单数。其中，技术、经济等方面的专家不得少于成员总数的三分之二。评标委员会应当推选组长，但采购人代表不得担任组长。</w:t>
      </w:r>
    </w:p>
    <w:p w14:paraId="55267798">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采购人委派代表参加评标委员会的，要向采购代理机构出具授权函。</w:t>
      </w:r>
    </w:p>
    <w:p w14:paraId="390114B4">
      <w:pPr>
        <w:spacing w:line="360" w:lineRule="auto"/>
        <w:ind w:firstLine="420" w:firstLineChars="200"/>
        <w:jc w:val="left"/>
        <w:rPr>
          <w:rFonts w:hint="eastAsia" w:ascii="仿宋" w:hAnsi="仿宋" w:eastAsia="仿宋" w:cs="仿宋"/>
          <w:color w:val="auto"/>
          <w:szCs w:val="21"/>
          <w:highlight w:val="none"/>
        </w:rPr>
      </w:pPr>
      <w:bookmarkStart w:id="68" w:name="_Toc191374422"/>
      <w:r>
        <w:rPr>
          <w:rFonts w:hint="eastAsia" w:ascii="仿宋" w:hAnsi="仿宋" w:eastAsia="仿宋" w:cs="仿宋"/>
          <w:color w:val="auto"/>
          <w:szCs w:val="21"/>
          <w:highlight w:val="none"/>
        </w:rPr>
        <w:t>22.2 评标原则</w:t>
      </w:r>
      <w:bookmarkEnd w:id="68"/>
    </w:p>
    <w:p w14:paraId="6C35EFF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评标活动遵循公平、公正、科学和择优的原则。</w:t>
      </w:r>
    </w:p>
    <w:p w14:paraId="5B0A6DA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 评标</w:t>
      </w:r>
    </w:p>
    <w:p w14:paraId="6BC94BDC">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本项目采用综合评标，评标委员会按照第七章“评标办法”规定的方法、评审因素、标准和程序对投标文件进行评审。第七章“评标办法”没有规定的方法、评审因素和标准，不作为评标依据。</w:t>
      </w:r>
    </w:p>
    <w:p w14:paraId="2388A28B">
      <w:pPr>
        <w:pStyle w:val="4"/>
        <w:numPr>
          <w:ilvl w:val="0"/>
          <w:numId w:val="3"/>
        </w:numPr>
        <w:spacing w:before="0"/>
        <w:rPr>
          <w:rFonts w:hint="eastAsia" w:ascii="仿宋" w:hAnsi="仿宋" w:eastAsia="仿宋" w:cs="仿宋"/>
          <w:color w:val="auto"/>
          <w:sz w:val="24"/>
          <w:szCs w:val="24"/>
          <w:highlight w:val="none"/>
        </w:rPr>
      </w:pPr>
      <w:bookmarkStart w:id="69" w:name="_Toc89692631"/>
      <w:bookmarkStart w:id="70" w:name="_Toc13641"/>
      <w:r>
        <w:rPr>
          <w:rFonts w:hint="eastAsia" w:ascii="仿宋" w:hAnsi="仿宋" w:eastAsia="仿宋" w:cs="仿宋"/>
          <w:color w:val="auto"/>
          <w:sz w:val="24"/>
          <w:szCs w:val="24"/>
          <w:highlight w:val="none"/>
        </w:rPr>
        <w:t>评标过程的保密</w:t>
      </w:r>
      <w:bookmarkEnd w:id="69"/>
      <w:bookmarkEnd w:id="70"/>
    </w:p>
    <w:p w14:paraId="22D3D09C">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14:paraId="30DAA70F">
      <w:pPr>
        <w:pStyle w:val="4"/>
        <w:numPr>
          <w:ilvl w:val="0"/>
          <w:numId w:val="3"/>
        </w:numPr>
        <w:spacing w:before="0"/>
        <w:rPr>
          <w:rFonts w:hint="eastAsia" w:ascii="仿宋" w:hAnsi="仿宋" w:eastAsia="仿宋" w:cs="仿宋"/>
          <w:color w:val="auto"/>
          <w:sz w:val="24"/>
          <w:szCs w:val="24"/>
          <w:highlight w:val="none"/>
        </w:rPr>
      </w:pPr>
      <w:bookmarkStart w:id="71" w:name="_Toc89692632"/>
      <w:bookmarkStart w:id="72" w:name="_Toc31223"/>
      <w:r>
        <w:rPr>
          <w:rFonts w:hint="eastAsia" w:ascii="仿宋" w:hAnsi="仿宋" w:eastAsia="仿宋" w:cs="仿宋"/>
          <w:color w:val="auto"/>
          <w:sz w:val="24"/>
          <w:szCs w:val="24"/>
          <w:highlight w:val="none"/>
        </w:rPr>
        <w:t>投标人存在下列情况之一的，投标无效：</w:t>
      </w:r>
      <w:bookmarkEnd w:id="71"/>
      <w:bookmarkEnd w:id="72"/>
    </w:p>
    <w:p w14:paraId="2D84EBE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（1）投标文件未按招标文件要求签署、盖章的；</w:t>
      </w:r>
    </w:p>
    <w:p w14:paraId="420198D9">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（2）不具备招标文件中规定的资格要求的；</w:t>
      </w:r>
    </w:p>
    <w:p w14:paraId="1BF1841E">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（3）报价超过招标文件中规定的预算金额或者最高限价的；</w:t>
      </w:r>
    </w:p>
    <w:p w14:paraId="2916AAF1">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（4）投标文件含有采购人不能接受的附加条件的；</w:t>
      </w:r>
    </w:p>
    <w:p w14:paraId="7D9B589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（5）法律、法规和招标文件规定的其他无效情形。</w:t>
      </w:r>
    </w:p>
    <w:p w14:paraId="43AEF6D8">
      <w:pPr>
        <w:pStyle w:val="4"/>
        <w:numPr>
          <w:ilvl w:val="0"/>
          <w:numId w:val="3"/>
        </w:numPr>
        <w:spacing w:before="0"/>
        <w:rPr>
          <w:rFonts w:hint="eastAsia" w:ascii="仿宋" w:hAnsi="仿宋" w:eastAsia="仿宋" w:cs="仿宋"/>
          <w:color w:val="auto"/>
          <w:sz w:val="24"/>
          <w:szCs w:val="24"/>
          <w:highlight w:val="none"/>
        </w:rPr>
      </w:pPr>
      <w:bookmarkStart w:id="73" w:name="_Toc4409"/>
      <w:bookmarkStart w:id="74" w:name="_Toc89692633"/>
      <w:r>
        <w:rPr>
          <w:rFonts w:hint="eastAsia" w:ascii="仿宋" w:hAnsi="仿宋" w:eastAsia="仿宋" w:cs="仿宋"/>
          <w:color w:val="auto"/>
          <w:sz w:val="24"/>
          <w:szCs w:val="24"/>
          <w:highlight w:val="none"/>
        </w:rPr>
        <w:t>有下列情形之一的，视为投标人串通投标，其投标无效：</w:t>
      </w:r>
      <w:bookmarkEnd w:id="73"/>
      <w:bookmarkEnd w:id="74"/>
    </w:p>
    <w:p w14:paraId="55BA67CA">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（1）不同投标人的投标文件由同一单位或者个人编制；</w:t>
      </w:r>
    </w:p>
    <w:p w14:paraId="655AC70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（2）不同投标人委托同一单位或者个人办理投标事宜；</w:t>
      </w:r>
    </w:p>
    <w:p w14:paraId="4C5D6E71">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（3）不同投标人的投标文件载明的项目管理成员或者联系人员为同一人；</w:t>
      </w:r>
    </w:p>
    <w:p w14:paraId="0F2F8B8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（4）不同投标人的投标文件异常一致或者投标报价呈规律性差异；</w:t>
      </w:r>
    </w:p>
    <w:p w14:paraId="7780A43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（5）不同投标人的投标文件相互混装。</w:t>
      </w:r>
    </w:p>
    <w:p w14:paraId="79C2A677">
      <w:pPr>
        <w:pStyle w:val="4"/>
        <w:numPr>
          <w:ilvl w:val="0"/>
          <w:numId w:val="3"/>
        </w:numPr>
        <w:spacing w:before="0"/>
        <w:rPr>
          <w:rFonts w:hint="eastAsia" w:ascii="仿宋" w:hAnsi="仿宋" w:eastAsia="仿宋" w:cs="仿宋"/>
          <w:color w:val="auto"/>
          <w:sz w:val="24"/>
          <w:szCs w:val="24"/>
          <w:highlight w:val="none"/>
        </w:rPr>
      </w:pPr>
      <w:bookmarkStart w:id="75" w:name="_Toc3966"/>
      <w:bookmarkStart w:id="76" w:name="_Toc89692634"/>
      <w:r>
        <w:rPr>
          <w:rFonts w:hint="eastAsia" w:ascii="仿宋" w:hAnsi="仿宋" w:eastAsia="仿宋" w:cs="仿宋"/>
          <w:color w:val="auto"/>
          <w:sz w:val="24"/>
          <w:szCs w:val="24"/>
          <w:highlight w:val="none"/>
        </w:rPr>
        <w:t>在招标采购中，出现下列情形之一的，应予废标：</w:t>
      </w:r>
      <w:bookmarkEnd w:id="75"/>
      <w:bookmarkEnd w:id="76"/>
    </w:p>
    <w:p w14:paraId="0312599B">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（1）符合专业条件的投标人或者对招标文件作实质响应的投标人不足3家的；</w:t>
      </w:r>
    </w:p>
    <w:p w14:paraId="4A6CEA09">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（2）出现影响采购公正的违法、违规行为的；</w:t>
      </w:r>
    </w:p>
    <w:p w14:paraId="33864B1E">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（3）因重大变故，采购任务取消的。</w:t>
      </w:r>
    </w:p>
    <w:p w14:paraId="1112D59F">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废标后，采购人应当将废标理由通知所有投标人。</w:t>
      </w:r>
    </w:p>
    <w:p w14:paraId="145A04E5">
      <w:pPr>
        <w:pStyle w:val="3"/>
        <w:numPr>
          <w:ilvl w:val="0"/>
          <w:numId w:val="0"/>
        </w:numPr>
        <w:spacing w:before="0"/>
        <w:ind w:firstLine="3626" w:firstLineChars="1290"/>
        <w:rPr>
          <w:rFonts w:hint="eastAsia" w:ascii="仿宋" w:hAnsi="仿宋" w:eastAsia="仿宋" w:cs="仿宋"/>
          <w:color w:val="auto"/>
          <w:szCs w:val="28"/>
          <w:highlight w:val="none"/>
        </w:rPr>
      </w:pPr>
      <w:bookmarkStart w:id="77" w:name="_Toc89692635"/>
      <w:bookmarkStart w:id="78" w:name="_Toc11453"/>
      <w:r>
        <w:rPr>
          <w:rFonts w:hint="eastAsia" w:ascii="仿宋" w:hAnsi="仿宋" w:eastAsia="仿宋" w:cs="仿宋"/>
          <w:color w:val="auto"/>
          <w:szCs w:val="28"/>
          <w:highlight w:val="none"/>
        </w:rPr>
        <w:t>六、中标结果</w:t>
      </w:r>
      <w:bookmarkEnd w:id="77"/>
      <w:bookmarkEnd w:id="78"/>
    </w:p>
    <w:p w14:paraId="1DC359AC">
      <w:pPr>
        <w:pStyle w:val="4"/>
        <w:numPr>
          <w:ilvl w:val="0"/>
          <w:numId w:val="3"/>
        </w:numPr>
        <w:spacing w:before="0"/>
        <w:rPr>
          <w:rFonts w:hint="eastAsia" w:ascii="仿宋" w:hAnsi="仿宋" w:eastAsia="仿宋" w:cs="仿宋"/>
          <w:color w:val="auto"/>
          <w:sz w:val="24"/>
          <w:szCs w:val="24"/>
          <w:highlight w:val="none"/>
        </w:rPr>
      </w:pPr>
      <w:bookmarkStart w:id="79" w:name="_Toc89692636"/>
      <w:bookmarkStart w:id="80" w:name="_Toc8262"/>
      <w:r>
        <w:rPr>
          <w:rFonts w:hint="eastAsia" w:ascii="仿宋" w:hAnsi="仿宋" w:eastAsia="仿宋" w:cs="仿宋"/>
          <w:color w:val="auto"/>
          <w:sz w:val="24"/>
          <w:szCs w:val="24"/>
          <w:highlight w:val="none"/>
        </w:rPr>
        <w:t>中标人的确定</w:t>
      </w:r>
      <w:bookmarkEnd w:id="79"/>
      <w:bookmarkEnd w:id="80"/>
    </w:p>
    <w:p w14:paraId="7FCBB4A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27.1 采购代理机构在评标结束后2个工作日内将评标报告送采购人。</w:t>
      </w:r>
    </w:p>
    <w:p w14:paraId="0E6C5A9A">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27.2 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C90E3E8">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27.3采购人在收到评标报告5个工作日内未按评标报告推荐的中标候选人顺序确定中标人，又不能说明合法理由的，视同按评标报告推荐的顺序确定排名第一的中标候选人为中标人。</w:t>
      </w:r>
    </w:p>
    <w:p w14:paraId="573F3450">
      <w:pPr>
        <w:pStyle w:val="4"/>
        <w:numPr>
          <w:ilvl w:val="0"/>
          <w:numId w:val="3"/>
        </w:numPr>
        <w:spacing w:before="0"/>
        <w:rPr>
          <w:rFonts w:hint="eastAsia" w:ascii="仿宋" w:hAnsi="仿宋" w:eastAsia="仿宋" w:cs="仿宋"/>
          <w:color w:val="auto"/>
          <w:sz w:val="24"/>
          <w:szCs w:val="24"/>
          <w:highlight w:val="none"/>
        </w:rPr>
      </w:pPr>
      <w:bookmarkStart w:id="81" w:name="_Toc27018"/>
      <w:bookmarkStart w:id="82" w:name="_Toc89692637"/>
      <w:r>
        <w:rPr>
          <w:rFonts w:hint="eastAsia" w:ascii="仿宋" w:hAnsi="仿宋" w:eastAsia="仿宋" w:cs="仿宋"/>
          <w:color w:val="auto"/>
          <w:sz w:val="24"/>
          <w:szCs w:val="24"/>
          <w:highlight w:val="none"/>
        </w:rPr>
        <w:t>中标通知书</w:t>
      </w:r>
      <w:bookmarkEnd w:id="81"/>
      <w:bookmarkEnd w:id="82"/>
    </w:p>
    <w:p w14:paraId="1CE30BE7">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28.1采购代理机构自中标人确定之日起2个工作日内，在省级以上财政部门指定的媒体上公告中标结果，招标文件应当随中标结果同时公告。中标公告期限为1个工作日。</w:t>
      </w:r>
    </w:p>
    <w:p w14:paraId="3182DF41">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28.2 在公告中标结果的同时，采购代理机构应当向中标人发出中标通知书。</w:t>
      </w:r>
    </w:p>
    <w:p w14:paraId="6A9C63F0">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28.3中标通知书发出后，采购人不得违法改变中标结果，中标人无正当理由不得放弃中标。</w:t>
      </w:r>
    </w:p>
    <w:p w14:paraId="096F10E0">
      <w:pPr>
        <w:pStyle w:val="4"/>
        <w:numPr>
          <w:ilvl w:val="0"/>
          <w:numId w:val="3"/>
        </w:numPr>
        <w:spacing w:before="0"/>
        <w:rPr>
          <w:rFonts w:hint="eastAsia" w:ascii="仿宋" w:hAnsi="仿宋" w:eastAsia="仿宋" w:cs="仿宋"/>
          <w:color w:val="auto"/>
          <w:sz w:val="24"/>
          <w:szCs w:val="24"/>
          <w:highlight w:val="none"/>
        </w:rPr>
      </w:pPr>
      <w:bookmarkStart w:id="83" w:name="_Toc89692638"/>
      <w:bookmarkStart w:id="84" w:name="_Toc20754"/>
      <w:r>
        <w:rPr>
          <w:rFonts w:hint="eastAsia" w:ascii="仿宋" w:hAnsi="仿宋" w:eastAsia="仿宋" w:cs="仿宋"/>
          <w:color w:val="auto"/>
          <w:sz w:val="24"/>
          <w:szCs w:val="24"/>
          <w:highlight w:val="none"/>
        </w:rPr>
        <w:t>签订合同</w:t>
      </w:r>
      <w:bookmarkEnd w:id="83"/>
      <w:bookmarkEnd w:id="84"/>
    </w:p>
    <w:p w14:paraId="75D24BA2">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29.1 采购人应当自中标通知书发出之日起30日内，按照招标文件和中标人投标文件的规定，与中标人签订书面合同。所签订的合同不得对招标文件确定的事项和中标人投标文件作实质性修改。</w:t>
      </w:r>
    </w:p>
    <w:p w14:paraId="27B9C0D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采购人不得向中标人提出任何不合理的要求作为签订合同的条件。</w:t>
      </w:r>
    </w:p>
    <w:p w14:paraId="555C4D0D">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29.2 采购人与中标人应当根据合同的约定依法履行合同义务。政府采购合同的履行、违约责任和解决争议的方法等适用《中华人民共和国民法典》。</w:t>
      </w:r>
    </w:p>
    <w:p w14:paraId="1811DE1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29.3 中标人因不可抗力或者自身原因不能履行政府采购合同的，采购人可以与排位在中标人之后第一位的中标候选人签订政府采购合同，以此类推。或重新招标。</w:t>
      </w:r>
    </w:p>
    <w:p w14:paraId="4E6BC654">
      <w:pPr>
        <w:pStyle w:val="4"/>
        <w:numPr>
          <w:ilvl w:val="0"/>
          <w:numId w:val="3"/>
        </w:numPr>
        <w:spacing w:before="0"/>
        <w:rPr>
          <w:rFonts w:hint="eastAsia" w:ascii="仿宋" w:hAnsi="仿宋" w:eastAsia="仿宋" w:cs="仿宋"/>
          <w:color w:val="auto"/>
          <w:sz w:val="24"/>
          <w:szCs w:val="24"/>
          <w:highlight w:val="none"/>
        </w:rPr>
      </w:pPr>
      <w:bookmarkStart w:id="85" w:name="_Toc89692639"/>
      <w:bookmarkStart w:id="86" w:name="_Toc945"/>
      <w:r>
        <w:rPr>
          <w:rFonts w:hint="eastAsia" w:ascii="仿宋" w:hAnsi="仿宋" w:eastAsia="仿宋" w:cs="仿宋"/>
          <w:color w:val="auto"/>
          <w:sz w:val="24"/>
          <w:szCs w:val="24"/>
          <w:highlight w:val="none"/>
        </w:rPr>
        <w:t>履约保证金</w:t>
      </w:r>
      <w:bookmarkEnd w:id="85"/>
      <w:bookmarkEnd w:id="86"/>
    </w:p>
    <w:p w14:paraId="4267F54F">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见投标人须知前附表。</w:t>
      </w:r>
    </w:p>
    <w:p w14:paraId="1593381F">
      <w:pPr>
        <w:pStyle w:val="3"/>
        <w:numPr>
          <w:ilvl w:val="0"/>
          <w:numId w:val="0"/>
        </w:numPr>
        <w:spacing w:before="0"/>
        <w:ind w:firstLine="3626" w:firstLineChars="1290"/>
        <w:rPr>
          <w:rFonts w:hint="eastAsia" w:ascii="仿宋" w:hAnsi="仿宋" w:eastAsia="仿宋" w:cs="仿宋"/>
          <w:color w:val="auto"/>
          <w:szCs w:val="28"/>
          <w:highlight w:val="none"/>
        </w:rPr>
      </w:pPr>
      <w:bookmarkStart w:id="87" w:name="_Toc89692640"/>
      <w:bookmarkStart w:id="88" w:name="_Toc22174"/>
      <w:r>
        <w:rPr>
          <w:rFonts w:hint="eastAsia" w:ascii="仿宋" w:hAnsi="仿宋" w:eastAsia="仿宋" w:cs="仿宋"/>
          <w:color w:val="auto"/>
          <w:szCs w:val="28"/>
          <w:highlight w:val="none"/>
        </w:rPr>
        <w:t>七、其他事项</w:t>
      </w:r>
      <w:bookmarkEnd w:id="87"/>
      <w:bookmarkEnd w:id="88"/>
    </w:p>
    <w:p w14:paraId="3EE2E088">
      <w:pPr>
        <w:pStyle w:val="4"/>
        <w:numPr>
          <w:ilvl w:val="0"/>
          <w:numId w:val="3"/>
        </w:numPr>
        <w:spacing w:before="0"/>
        <w:rPr>
          <w:rFonts w:hint="eastAsia" w:ascii="仿宋" w:hAnsi="仿宋" w:eastAsia="仿宋" w:cs="仿宋"/>
          <w:color w:val="auto"/>
          <w:sz w:val="24"/>
          <w:szCs w:val="24"/>
          <w:highlight w:val="none"/>
        </w:rPr>
      </w:pPr>
      <w:bookmarkStart w:id="89" w:name="_Toc27173"/>
      <w:bookmarkStart w:id="90" w:name="_Toc89692641"/>
      <w:r>
        <w:rPr>
          <w:rFonts w:hint="eastAsia" w:ascii="仿宋" w:hAnsi="仿宋" w:eastAsia="仿宋" w:cs="仿宋"/>
          <w:color w:val="auto"/>
          <w:sz w:val="24"/>
          <w:szCs w:val="24"/>
          <w:highlight w:val="none"/>
        </w:rPr>
        <w:t>采购代理服务费</w:t>
      </w:r>
      <w:bookmarkEnd w:id="89"/>
      <w:bookmarkEnd w:id="90"/>
    </w:p>
    <w:p w14:paraId="515DDD4E">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详见须知前附表。</w:t>
      </w:r>
    </w:p>
    <w:p w14:paraId="2316B8B5">
      <w:pPr>
        <w:pStyle w:val="4"/>
        <w:numPr>
          <w:ilvl w:val="0"/>
          <w:numId w:val="3"/>
        </w:numPr>
        <w:spacing w:before="0"/>
        <w:rPr>
          <w:rFonts w:hint="eastAsia" w:ascii="仿宋" w:hAnsi="仿宋" w:eastAsia="仿宋" w:cs="仿宋"/>
          <w:color w:val="auto"/>
          <w:sz w:val="24"/>
          <w:szCs w:val="24"/>
          <w:highlight w:val="none"/>
        </w:rPr>
      </w:pPr>
      <w:bookmarkStart w:id="91" w:name="_Toc89692642"/>
      <w:bookmarkStart w:id="92" w:name="_Toc25751"/>
      <w:r>
        <w:rPr>
          <w:rFonts w:hint="eastAsia" w:ascii="仿宋" w:hAnsi="仿宋" w:eastAsia="仿宋" w:cs="仿宋"/>
          <w:color w:val="auto"/>
          <w:sz w:val="24"/>
          <w:szCs w:val="24"/>
          <w:highlight w:val="none"/>
        </w:rPr>
        <w:t>解释权</w:t>
      </w:r>
      <w:bookmarkEnd w:id="91"/>
      <w:bookmarkEnd w:id="92"/>
    </w:p>
    <w:p w14:paraId="0F3C13B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本招标文件是根据《中华人民共和国政府采购法》及相关法律法规编制，</w:t>
      </w:r>
      <w:r>
        <w:rPr>
          <w:rFonts w:hint="eastAsia" w:ascii="仿宋" w:hAnsi="仿宋" w:eastAsia="仿宋" w:cs="仿宋"/>
          <w:color w:val="auto"/>
          <w:szCs w:val="21"/>
          <w:highlight w:val="none"/>
          <w:lang w:eastAsia="zh-CN"/>
        </w:rPr>
        <w:t>解释权属于采购</w:t>
      </w:r>
      <w:r>
        <w:rPr>
          <w:rFonts w:hint="eastAsia" w:ascii="仿宋" w:hAnsi="仿宋" w:eastAsia="仿宋" w:cs="仿宋"/>
          <w:color w:val="auto"/>
          <w:szCs w:val="21"/>
          <w:highlight w:val="none"/>
        </w:rPr>
        <w:t>人及采购代理机构。</w:t>
      </w:r>
    </w:p>
    <w:p w14:paraId="6D33F864">
      <w:pPr>
        <w:pStyle w:val="4"/>
        <w:numPr>
          <w:ilvl w:val="0"/>
          <w:numId w:val="3"/>
        </w:numPr>
        <w:spacing w:before="0"/>
        <w:rPr>
          <w:rFonts w:hint="eastAsia" w:ascii="仿宋" w:hAnsi="仿宋" w:eastAsia="仿宋" w:cs="仿宋"/>
          <w:color w:val="auto"/>
          <w:sz w:val="24"/>
          <w:szCs w:val="24"/>
          <w:highlight w:val="none"/>
        </w:rPr>
      </w:pPr>
      <w:bookmarkStart w:id="93" w:name="_Toc89692643"/>
      <w:bookmarkStart w:id="94" w:name="_Toc2142"/>
      <w:r>
        <w:rPr>
          <w:rFonts w:hint="eastAsia" w:ascii="仿宋" w:hAnsi="仿宋" w:eastAsia="仿宋" w:cs="仿宋"/>
          <w:color w:val="auto"/>
          <w:sz w:val="24"/>
          <w:szCs w:val="24"/>
          <w:highlight w:val="none"/>
        </w:rPr>
        <w:t>需要补充的其他内容</w:t>
      </w:r>
      <w:bookmarkEnd w:id="93"/>
      <w:bookmarkEnd w:id="94"/>
    </w:p>
    <w:bookmarkEnd w:id="11"/>
    <w:p w14:paraId="6D1EE82D">
      <w:pPr>
        <w:spacing w:line="360" w:lineRule="auto"/>
        <w:ind w:firstLine="42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Cs w:val="21"/>
          <w:highlight w:val="none"/>
        </w:rPr>
        <w:t>需要补充的其他内容：见</w:t>
      </w:r>
      <w:r>
        <w:rPr>
          <w:rFonts w:hint="eastAsia" w:ascii="仿宋" w:hAnsi="仿宋" w:eastAsia="仿宋" w:cs="仿宋"/>
          <w:bCs/>
          <w:color w:val="auto"/>
          <w:kern w:val="0"/>
          <w:szCs w:val="21"/>
          <w:highlight w:val="none"/>
        </w:rPr>
        <w:t>“ 投标人</w:t>
      </w:r>
      <w:r>
        <w:rPr>
          <w:rFonts w:hint="eastAsia" w:ascii="仿宋" w:hAnsi="仿宋" w:eastAsia="仿宋" w:cs="仿宋"/>
          <w:color w:val="auto"/>
          <w:szCs w:val="28"/>
          <w:highlight w:val="none"/>
        </w:rPr>
        <w:t>须知前附表</w:t>
      </w:r>
      <w:r>
        <w:rPr>
          <w:rFonts w:hint="eastAsia" w:ascii="仿宋" w:hAnsi="仿宋" w:eastAsia="仿宋" w:cs="仿宋"/>
          <w:bCs/>
          <w:color w:val="auto"/>
          <w:kern w:val="0"/>
          <w:szCs w:val="21"/>
          <w:highlight w:val="none"/>
        </w:rPr>
        <w:t>”</w:t>
      </w:r>
      <w:r>
        <w:rPr>
          <w:rFonts w:hint="eastAsia" w:ascii="仿宋" w:hAnsi="仿宋" w:eastAsia="仿宋" w:cs="仿宋"/>
          <w:color w:val="auto"/>
          <w:szCs w:val="21"/>
          <w:highlight w:val="none"/>
        </w:rPr>
        <w:t>。</w:t>
      </w:r>
      <w:bookmarkStart w:id="95" w:name="_Toc89692644"/>
    </w:p>
    <w:p w14:paraId="050600C7">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94A86FF">
      <w:pPr>
        <w:pStyle w:val="2"/>
        <w:numPr>
          <w:ilvl w:val="0"/>
          <w:numId w:val="0"/>
        </w:numPr>
        <w:spacing w:before="0"/>
        <w:jc w:val="center"/>
        <w:rPr>
          <w:rFonts w:hint="eastAsia" w:ascii="仿宋" w:hAnsi="仿宋" w:eastAsia="仿宋" w:cs="仿宋"/>
          <w:color w:val="auto"/>
          <w:sz w:val="32"/>
          <w:szCs w:val="32"/>
          <w:highlight w:val="none"/>
        </w:rPr>
      </w:pPr>
      <w:bookmarkStart w:id="96" w:name="_Toc3366"/>
      <w:r>
        <w:rPr>
          <w:rFonts w:hint="eastAsia" w:ascii="仿宋" w:hAnsi="仿宋" w:eastAsia="仿宋" w:cs="仿宋"/>
          <w:color w:val="auto"/>
          <w:sz w:val="32"/>
          <w:szCs w:val="32"/>
          <w:highlight w:val="none"/>
        </w:rPr>
        <w:t>第三章  合同书样式及主要条款</w:t>
      </w:r>
      <w:bookmarkEnd w:id="95"/>
      <w:bookmarkEnd w:id="96"/>
    </w:p>
    <w:p w14:paraId="3D6DB7C8">
      <w:pPr>
        <w:wordWrap w:val="0"/>
        <w:topLinePunct/>
        <w:adjustRightInd w:val="0"/>
        <w:snapToGrid w:val="0"/>
        <w:spacing w:line="180" w:lineRule="auto"/>
        <w:ind w:firstLine="592"/>
        <w:rPr>
          <w:rFonts w:hint="eastAsia" w:ascii="仿宋" w:hAnsi="仿宋" w:eastAsia="仿宋" w:cs="仿宋"/>
          <w:color w:val="auto"/>
          <w:spacing w:val="-3"/>
          <w:sz w:val="24"/>
        </w:rPr>
      </w:pPr>
    </w:p>
    <w:p w14:paraId="70396BE5">
      <w:pPr>
        <w:pStyle w:val="13"/>
        <w:spacing w:after="0"/>
        <w:ind w:left="63" w:right="63" w:firstLine="1118"/>
        <w:rPr>
          <w:rFonts w:hint="eastAsia" w:ascii="仿宋" w:hAnsi="仿宋" w:eastAsia="仿宋" w:cs="仿宋"/>
          <w:b/>
          <w:bCs/>
          <w:color w:val="auto"/>
          <w:spacing w:val="-20"/>
          <w:kern w:val="44"/>
          <w:sz w:val="48"/>
          <w:szCs w:val="48"/>
        </w:rPr>
      </w:pPr>
      <w:bookmarkStart w:id="97" w:name="_Toc3995"/>
      <w:bookmarkStart w:id="98" w:name="_Toc9292"/>
      <w:bookmarkStart w:id="99" w:name="_Toc2524"/>
    </w:p>
    <w:p w14:paraId="343F70EE">
      <w:pPr>
        <w:pStyle w:val="13"/>
        <w:spacing w:after="0"/>
        <w:ind w:left="0" w:leftChars="0" w:right="63" w:firstLine="1118"/>
        <w:jc w:val="both"/>
        <w:rPr>
          <w:rFonts w:hint="eastAsia" w:ascii="仿宋" w:hAnsi="仿宋" w:eastAsia="仿宋" w:cs="仿宋"/>
          <w:b/>
          <w:bCs/>
          <w:color w:val="auto"/>
          <w:spacing w:val="-20"/>
          <w:kern w:val="44"/>
          <w:sz w:val="48"/>
          <w:szCs w:val="48"/>
        </w:rPr>
      </w:pPr>
    </w:p>
    <w:p w14:paraId="64BB0DBE">
      <w:pPr>
        <w:pStyle w:val="13"/>
        <w:spacing w:after="0"/>
        <w:ind w:left="63" w:right="63" w:firstLine="1118"/>
        <w:rPr>
          <w:rFonts w:hint="eastAsia" w:ascii="仿宋" w:hAnsi="仿宋" w:eastAsia="仿宋" w:cs="仿宋"/>
          <w:b/>
          <w:bCs/>
          <w:color w:val="auto"/>
          <w:spacing w:val="-20"/>
          <w:kern w:val="44"/>
          <w:sz w:val="48"/>
          <w:szCs w:val="48"/>
        </w:rPr>
      </w:pPr>
    </w:p>
    <w:p w14:paraId="19510799">
      <w:pPr>
        <w:pStyle w:val="13"/>
        <w:spacing w:after="0"/>
        <w:ind w:left="63" w:right="63" w:firstLine="1118"/>
        <w:jc w:val="center"/>
        <w:rPr>
          <w:rFonts w:hint="eastAsia" w:ascii="仿宋" w:hAnsi="仿宋" w:eastAsia="仿宋" w:cs="仿宋"/>
          <w:b/>
          <w:bCs/>
          <w:color w:val="auto"/>
          <w:spacing w:val="-20"/>
          <w:kern w:val="44"/>
          <w:sz w:val="44"/>
          <w:szCs w:val="44"/>
        </w:rPr>
      </w:pPr>
      <w:r>
        <w:rPr>
          <w:rFonts w:hint="eastAsia" w:ascii="仿宋" w:hAnsi="仿宋" w:eastAsia="仿宋" w:cs="仿宋"/>
          <w:b/>
          <w:bCs/>
          <w:color w:val="auto"/>
          <w:spacing w:val="-20"/>
          <w:kern w:val="44"/>
          <w:sz w:val="44"/>
          <w:szCs w:val="44"/>
        </w:rPr>
        <w:t>政府采购货物买卖合同</w:t>
      </w:r>
    </w:p>
    <w:p w14:paraId="2475A4EA">
      <w:pPr>
        <w:pStyle w:val="13"/>
        <w:spacing w:after="0"/>
        <w:ind w:left="63" w:right="63" w:firstLine="1118"/>
        <w:jc w:val="center"/>
        <w:rPr>
          <w:rFonts w:hint="eastAsia" w:ascii="仿宋" w:hAnsi="仿宋" w:eastAsia="仿宋" w:cs="仿宋"/>
          <w:b/>
          <w:bCs/>
          <w:color w:val="auto"/>
          <w:spacing w:val="-20"/>
          <w:kern w:val="44"/>
          <w:sz w:val="48"/>
          <w:szCs w:val="48"/>
        </w:rPr>
      </w:pPr>
      <w:r>
        <w:rPr>
          <w:rFonts w:hint="eastAsia" w:ascii="仿宋" w:hAnsi="仿宋" w:eastAsia="仿宋" w:cs="仿宋"/>
          <w:b/>
          <w:bCs/>
          <w:color w:val="auto"/>
          <w:spacing w:val="-20"/>
          <w:kern w:val="44"/>
          <w:sz w:val="44"/>
          <w:szCs w:val="44"/>
        </w:rPr>
        <w:t>（试行）</w:t>
      </w:r>
    </w:p>
    <w:p w14:paraId="7809BF50">
      <w:pPr>
        <w:ind w:firstLine="915"/>
        <w:rPr>
          <w:rFonts w:hint="eastAsia" w:ascii="仿宋" w:hAnsi="仿宋" w:eastAsia="仿宋" w:cs="仿宋"/>
          <w:b/>
          <w:bCs/>
          <w:color w:val="auto"/>
          <w:spacing w:val="-20"/>
          <w:kern w:val="44"/>
          <w:sz w:val="40"/>
          <w:szCs w:val="40"/>
        </w:rPr>
      </w:pPr>
    </w:p>
    <w:p w14:paraId="7C6A4CC5">
      <w:pPr>
        <w:ind w:firstLine="915"/>
        <w:rPr>
          <w:rFonts w:hint="eastAsia" w:ascii="仿宋" w:hAnsi="仿宋" w:eastAsia="仿宋" w:cs="仿宋"/>
          <w:b/>
          <w:bCs/>
          <w:color w:val="auto"/>
          <w:spacing w:val="-20"/>
          <w:kern w:val="44"/>
          <w:sz w:val="40"/>
          <w:szCs w:val="40"/>
        </w:rPr>
      </w:pPr>
    </w:p>
    <w:p w14:paraId="29983197">
      <w:pPr>
        <w:ind w:firstLine="915"/>
        <w:rPr>
          <w:rFonts w:hint="eastAsia" w:ascii="仿宋" w:hAnsi="仿宋" w:eastAsia="仿宋" w:cs="仿宋"/>
          <w:b/>
          <w:bCs/>
          <w:color w:val="auto"/>
          <w:spacing w:val="-20"/>
          <w:kern w:val="44"/>
          <w:sz w:val="40"/>
          <w:szCs w:val="40"/>
        </w:rPr>
      </w:pPr>
    </w:p>
    <w:p w14:paraId="1AD6B8F0">
      <w:pPr>
        <w:wordWrap w:val="0"/>
        <w:topLinePunct/>
        <w:adjustRightInd w:val="0"/>
        <w:snapToGrid w:val="0"/>
        <w:spacing w:line="360" w:lineRule="auto"/>
        <w:ind w:firstLine="640" w:firstLineChars="200"/>
        <w:rPr>
          <w:rFonts w:hint="eastAsia" w:ascii="仿宋" w:hAnsi="仿宋" w:eastAsia="仿宋" w:cs="仿宋"/>
          <w:color w:val="auto"/>
          <w:sz w:val="32"/>
          <w:szCs w:val="32"/>
          <w:u w:val="single"/>
          <w:lang w:eastAsia="zh-CN"/>
        </w:rPr>
      </w:pPr>
      <w:r>
        <w:rPr>
          <w:rFonts w:hint="eastAsia" w:ascii="仿宋" w:hAnsi="仿宋" w:eastAsia="仿宋" w:cs="仿宋"/>
          <w:color w:val="auto"/>
          <w:kern w:val="0"/>
          <w:sz w:val="32"/>
          <w:szCs w:val="32"/>
        </w:rPr>
        <w:t>项目名称：</w:t>
      </w:r>
      <w:r>
        <w:rPr>
          <w:rFonts w:hint="eastAsia" w:ascii="仿宋" w:hAnsi="仿宋" w:eastAsia="仿宋" w:cs="仿宋"/>
          <w:color w:val="auto"/>
          <w:sz w:val="32"/>
          <w:szCs w:val="32"/>
          <w:u w:val="single"/>
          <w:lang w:eastAsia="zh-CN"/>
        </w:rPr>
        <w:t>2026采购殡葬用品项目</w:t>
      </w:r>
    </w:p>
    <w:p w14:paraId="64112F0F">
      <w:pPr>
        <w:spacing w:line="360" w:lineRule="auto"/>
        <w:ind w:firstLine="640" w:firstLineChars="200"/>
        <w:rPr>
          <w:rFonts w:hint="eastAsia" w:ascii="仿宋" w:hAnsi="仿宋" w:eastAsia="仿宋" w:cs="仿宋"/>
          <w:color w:val="auto"/>
          <w:sz w:val="32"/>
          <w:szCs w:val="32"/>
          <w:u w:val="single"/>
        </w:rPr>
      </w:pPr>
      <w:r>
        <w:rPr>
          <w:rFonts w:hint="eastAsia" w:ascii="仿宋" w:hAnsi="仿宋" w:eastAsia="仿宋" w:cs="仿宋"/>
          <w:color w:val="auto"/>
          <w:sz w:val="32"/>
          <w:szCs w:val="32"/>
        </w:rPr>
        <w:t>合同编号：</w:t>
      </w:r>
      <w:r>
        <w:rPr>
          <w:rFonts w:hint="eastAsia" w:ascii="仿宋" w:hAnsi="仿宋" w:eastAsia="仿宋" w:cs="仿宋"/>
          <w:color w:val="auto"/>
          <w:sz w:val="32"/>
          <w:szCs w:val="32"/>
          <w:u w:val="single"/>
        </w:rPr>
        <w:t xml:space="preserve">                                   </w:t>
      </w:r>
    </w:p>
    <w:p w14:paraId="362D20A7">
      <w:pPr>
        <w:spacing w:line="360" w:lineRule="auto"/>
        <w:ind w:left="420" w:leftChars="200" w:firstLine="320" w:firstLineChars="100"/>
        <w:rPr>
          <w:rFonts w:hint="eastAsia" w:ascii="仿宋" w:hAnsi="仿宋" w:eastAsia="仿宋" w:cs="仿宋"/>
          <w:color w:val="auto"/>
          <w:sz w:val="32"/>
          <w:szCs w:val="32"/>
        </w:rPr>
      </w:pPr>
      <w:r>
        <w:rPr>
          <w:rFonts w:hint="eastAsia" w:ascii="仿宋" w:hAnsi="仿宋" w:eastAsia="仿宋" w:cs="仿宋"/>
          <w:color w:val="auto"/>
          <w:sz w:val="32"/>
          <w:szCs w:val="32"/>
        </w:rPr>
        <w:t>甲    方：</w:t>
      </w:r>
      <w:r>
        <w:rPr>
          <w:rFonts w:hint="eastAsia" w:ascii="仿宋" w:hAnsi="仿宋" w:eastAsia="仿宋" w:cs="仿宋"/>
          <w:color w:val="auto"/>
          <w:sz w:val="32"/>
          <w:szCs w:val="32"/>
          <w:u w:val="single"/>
          <w:lang w:eastAsia="zh-CN"/>
        </w:rPr>
        <w:t>昆明市东川区殡仪馆</w:t>
      </w:r>
      <w:r>
        <w:rPr>
          <w:rFonts w:hint="eastAsia" w:ascii="仿宋" w:hAnsi="仿宋" w:eastAsia="仿宋" w:cs="仿宋"/>
          <w:color w:val="auto"/>
          <w:sz w:val="32"/>
          <w:szCs w:val="32"/>
          <w:u w:val="single"/>
        </w:rPr>
        <w:t xml:space="preserve">              </w:t>
      </w:r>
    </w:p>
    <w:p w14:paraId="723AB39F">
      <w:pPr>
        <w:spacing w:line="360" w:lineRule="auto"/>
        <w:ind w:left="420" w:leftChars="200" w:firstLine="320" w:firstLineChars="100"/>
        <w:rPr>
          <w:rFonts w:hint="eastAsia" w:ascii="仿宋" w:hAnsi="仿宋" w:eastAsia="仿宋" w:cs="仿宋"/>
          <w:color w:val="auto"/>
          <w:sz w:val="32"/>
          <w:szCs w:val="32"/>
          <w:u w:val="single"/>
        </w:rPr>
      </w:pPr>
      <w:r>
        <w:rPr>
          <w:rFonts w:hint="eastAsia" w:ascii="仿宋" w:hAnsi="仿宋" w:eastAsia="仿宋" w:cs="仿宋"/>
          <w:color w:val="auto"/>
          <w:sz w:val="32"/>
          <w:szCs w:val="32"/>
        </w:rPr>
        <w:t>乙    方：</w:t>
      </w:r>
      <w:r>
        <w:rPr>
          <w:rFonts w:hint="eastAsia" w:ascii="仿宋" w:hAnsi="仿宋" w:eastAsia="仿宋" w:cs="仿宋"/>
          <w:color w:val="auto"/>
          <w:sz w:val="32"/>
          <w:szCs w:val="32"/>
          <w:u w:val="single"/>
        </w:rPr>
        <w:t xml:space="preserve">                                  </w:t>
      </w:r>
    </w:p>
    <w:p w14:paraId="1607A8C6">
      <w:pPr>
        <w:spacing w:line="360" w:lineRule="auto"/>
        <w:ind w:left="420" w:leftChars="200" w:firstLine="320" w:firstLineChars="100"/>
        <w:rPr>
          <w:rFonts w:hint="eastAsia" w:ascii="仿宋" w:hAnsi="仿宋" w:eastAsia="仿宋" w:cs="仿宋"/>
          <w:color w:val="auto"/>
          <w:sz w:val="32"/>
          <w:szCs w:val="32"/>
        </w:rPr>
      </w:pPr>
      <w:r>
        <w:rPr>
          <w:rFonts w:hint="eastAsia" w:ascii="仿宋" w:hAnsi="仿宋" w:eastAsia="仿宋" w:cs="仿宋"/>
          <w:color w:val="auto"/>
          <w:sz w:val="32"/>
          <w:szCs w:val="32"/>
        </w:rPr>
        <w:t>签订日期：</w:t>
      </w:r>
    </w:p>
    <w:p w14:paraId="74F7B254">
      <w:pPr>
        <w:ind w:firstLine="531"/>
        <w:rPr>
          <w:rFonts w:hint="eastAsia" w:ascii="仿宋" w:hAnsi="仿宋" w:eastAsia="仿宋" w:cs="仿宋"/>
          <w:color w:val="auto"/>
        </w:rPr>
      </w:pPr>
    </w:p>
    <w:p w14:paraId="7506FABF">
      <w:pPr>
        <w:ind w:firstLine="1113"/>
        <w:rPr>
          <w:rFonts w:hint="eastAsia" w:ascii="仿宋" w:hAnsi="仿宋" w:eastAsia="仿宋" w:cs="仿宋"/>
          <w:color w:val="auto"/>
          <w:sz w:val="44"/>
          <w:szCs w:val="44"/>
        </w:rPr>
      </w:pPr>
      <w:r>
        <w:rPr>
          <w:rFonts w:hint="eastAsia" w:ascii="仿宋" w:hAnsi="仿宋" w:eastAsia="仿宋" w:cs="仿宋"/>
          <w:color w:val="auto"/>
          <w:sz w:val="44"/>
          <w:szCs w:val="44"/>
        </w:rPr>
        <w:br w:type="page"/>
      </w:r>
    </w:p>
    <w:p w14:paraId="6EE67917">
      <w:pPr>
        <w:ind w:firstLine="1113"/>
        <w:rPr>
          <w:rFonts w:hint="eastAsia" w:ascii="仿宋" w:hAnsi="仿宋" w:eastAsia="仿宋" w:cs="仿宋"/>
          <w:color w:val="auto"/>
          <w:sz w:val="44"/>
          <w:szCs w:val="44"/>
        </w:rPr>
      </w:pPr>
    </w:p>
    <w:p w14:paraId="3C0565F3">
      <w:pPr>
        <w:ind w:firstLine="1113"/>
        <w:rPr>
          <w:rFonts w:hint="eastAsia" w:ascii="仿宋" w:hAnsi="仿宋" w:eastAsia="仿宋" w:cs="仿宋"/>
          <w:color w:val="auto"/>
          <w:sz w:val="44"/>
          <w:szCs w:val="44"/>
        </w:rPr>
      </w:pPr>
    </w:p>
    <w:p w14:paraId="3DBEB2A8">
      <w:pPr>
        <w:ind w:firstLine="1113"/>
        <w:jc w:val="center"/>
        <w:rPr>
          <w:rFonts w:hint="eastAsia" w:ascii="仿宋" w:hAnsi="仿宋" w:eastAsia="仿宋" w:cs="仿宋"/>
          <w:color w:val="auto"/>
          <w:sz w:val="44"/>
          <w:szCs w:val="44"/>
        </w:rPr>
      </w:pPr>
      <w:r>
        <w:rPr>
          <w:rFonts w:hint="eastAsia" w:ascii="仿宋" w:hAnsi="仿宋" w:eastAsia="仿宋" w:cs="仿宋"/>
          <w:color w:val="auto"/>
          <w:sz w:val="44"/>
          <w:szCs w:val="44"/>
        </w:rPr>
        <w:t>使用说明</w:t>
      </w:r>
    </w:p>
    <w:p w14:paraId="2492DED5">
      <w:pPr>
        <w:ind w:firstLine="640" w:firstLineChars="200"/>
        <w:rPr>
          <w:rFonts w:hint="eastAsia" w:ascii="仿宋" w:hAnsi="仿宋" w:eastAsia="仿宋" w:cs="仿宋"/>
          <w:color w:val="auto"/>
          <w:sz w:val="32"/>
          <w:szCs w:val="32"/>
        </w:rPr>
      </w:pPr>
    </w:p>
    <w:p w14:paraId="5EE6EA49">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1.本合同标准文本适用于购买现成货物的采购项目，不包括需要供应商定制开发、创新研发的货物采购项目。</w:t>
      </w:r>
    </w:p>
    <w:p w14:paraId="684EAFA0">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2.本合同标准文本为政府采购货物买卖合同编制提供参考，可以结合采购项目具体情况，对文本作必要的调整修订后使用。</w:t>
      </w:r>
    </w:p>
    <w:p w14:paraId="326E0832">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3.本合同标准文本各条款中，如涉及填写多家供应商、制造商，多种采购标的、分包主要内容等信息的，可根据采购项目具体情况添加信息项。</w:t>
      </w:r>
    </w:p>
    <w:p w14:paraId="0C22161A">
      <w:pPr>
        <w:ind w:firstLine="640" w:firstLineChars="200"/>
        <w:rPr>
          <w:rFonts w:hint="eastAsia" w:ascii="仿宋" w:hAnsi="仿宋" w:eastAsia="仿宋" w:cs="仿宋"/>
          <w:color w:val="auto"/>
          <w:sz w:val="32"/>
          <w:szCs w:val="32"/>
        </w:rPr>
        <w:sectPr>
          <w:pgSz w:w="11906" w:h="16838"/>
          <w:pgMar w:top="1440" w:right="1080" w:bottom="1440" w:left="1080" w:header="851" w:footer="992" w:gutter="0"/>
          <w:cols w:space="425" w:num="1"/>
          <w:docGrid w:type="lines" w:linePitch="312" w:charSpace="0"/>
        </w:sectPr>
      </w:pPr>
    </w:p>
    <w:bookmarkEnd w:id="97"/>
    <w:p w14:paraId="6847BA59">
      <w:pPr>
        <w:jc w:val="center"/>
        <w:rPr>
          <w:rFonts w:hint="eastAsia" w:ascii="仿宋" w:hAnsi="仿宋" w:eastAsia="仿宋" w:cs="仿宋"/>
          <w:b/>
          <w:bCs/>
          <w:color w:val="auto"/>
          <w:sz w:val="28"/>
          <w:szCs w:val="28"/>
        </w:rPr>
      </w:pPr>
      <w:bookmarkStart w:id="100" w:name="_Toc22209"/>
      <w:r>
        <w:rPr>
          <w:rFonts w:hint="eastAsia" w:ascii="仿宋" w:hAnsi="仿宋" w:eastAsia="仿宋" w:cs="仿宋"/>
          <w:b/>
          <w:bCs/>
          <w:color w:val="auto"/>
          <w:sz w:val="28"/>
          <w:szCs w:val="28"/>
        </w:rPr>
        <w:t>政府采购合同协议书</w:t>
      </w:r>
      <w:bookmarkEnd w:id="100"/>
    </w:p>
    <w:p w14:paraId="5F74606C">
      <w:pPr>
        <w:ind w:firstLine="531"/>
        <w:rPr>
          <w:rFonts w:hint="eastAsia" w:ascii="仿宋" w:hAnsi="仿宋" w:eastAsia="仿宋" w:cs="仿宋"/>
          <w:color w:val="auto"/>
        </w:rPr>
      </w:pPr>
    </w:p>
    <w:p w14:paraId="2B443CAB">
      <w:pPr>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甲方（全称）：</w:t>
      </w:r>
      <w:r>
        <w:rPr>
          <w:rFonts w:hint="eastAsia" w:ascii="仿宋" w:hAnsi="仿宋" w:eastAsia="仿宋" w:cs="仿宋"/>
          <w:color w:val="auto"/>
          <w:sz w:val="28"/>
          <w:szCs w:val="28"/>
          <w:u w:val="single"/>
          <w:lang w:eastAsia="zh-CN"/>
        </w:rPr>
        <w:t>昆明市东川区殡仪馆</w:t>
      </w:r>
      <w:r>
        <w:rPr>
          <w:rFonts w:hint="eastAsia" w:ascii="仿宋" w:hAnsi="仿宋" w:eastAsia="仿宋" w:cs="仿宋"/>
          <w:color w:val="auto"/>
          <w:sz w:val="28"/>
          <w:szCs w:val="28"/>
        </w:rPr>
        <w:t>（采购人）</w:t>
      </w:r>
    </w:p>
    <w:p w14:paraId="676B81C1">
      <w:pPr>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乙方（全称）：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（供应商）</w:t>
      </w:r>
    </w:p>
    <w:p w14:paraId="03166F8F">
      <w:pPr>
        <w:adjustRightInd w:val="0"/>
        <w:snapToGrid w:val="0"/>
        <w:spacing w:line="360" w:lineRule="auto"/>
        <w:rPr>
          <w:rFonts w:hint="eastAsia" w:ascii="仿宋" w:hAnsi="仿宋" w:eastAsia="仿宋" w:cs="仿宋"/>
          <w:color w:val="auto"/>
          <w:sz w:val="28"/>
          <w:szCs w:val="28"/>
        </w:rPr>
      </w:pPr>
    </w:p>
    <w:p w14:paraId="17233E6F">
      <w:pPr>
        <w:pStyle w:val="14"/>
        <w:adjustRightInd w:val="0"/>
        <w:snapToGrid w:val="0"/>
        <w:spacing w:line="360" w:lineRule="auto"/>
        <w:ind w:firstLine="544"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依据《中华人民共和国民法典》、《中华人民共和国政府采购法》等有关的法律法规之规定，以及本采购项目的招标/谈判文件等采购文件、乙方的《投标（响应）文件》及《中标（成交）通知书》，甲乙双方经友好协商一致，达成以下合同条款，以资双方共同遵照执行：     </w:t>
      </w:r>
    </w:p>
    <w:p w14:paraId="4F122EDB">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项目信息</w:t>
      </w:r>
    </w:p>
    <w:p w14:paraId="36209D6B">
      <w:pPr>
        <w:pStyle w:val="14"/>
        <w:numPr>
          <w:ilvl w:val="0"/>
          <w:numId w:val="5"/>
        </w:numPr>
        <w:adjustRightInd w:val="0"/>
        <w:snapToGrid w:val="0"/>
        <w:spacing w:line="360" w:lineRule="auto"/>
        <w:ind w:firstLine="418" w:firstLineChars="154"/>
        <w:rPr>
          <w:rFonts w:hint="eastAsia" w:ascii="仿宋" w:hAnsi="仿宋" w:eastAsia="仿宋" w:cs="仿宋"/>
          <w:color w:val="auto"/>
          <w:sz w:val="28"/>
          <w:szCs w:val="28"/>
        </w:rPr>
      </w:pPr>
      <w:r>
        <w:rPr>
          <w:rFonts w:hint="eastAsia" w:ascii="仿宋" w:hAnsi="仿宋" w:eastAsia="仿宋" w:cs="仿宋"/>
          <w:color w:val="auto"/>
          <w:sz w:val="28"/>
          <w:szCs w:val="28"/>
        </w:rPr>
        <w:t>采购项目名称：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2026采购殡葬用品项目</w:t>
      </w:r>
    </w:p>
    <w:p w14:paraId="1476F50E">
      <w:pPr>
        <w:pStyle w:val="14"/>
        <w:adjustRightInd w:val="0"/>
        <w:snapToGrid w:val="0"/>
        <w:spacing w:line="360" w:lineRule="auto"/>
        <w:ind w:left="1058" w:leftChars="504" w:firstLine="688"/>
        <w:rPr>
          <w:rFonts w:hint="eastAsia" w:ascii="仿宋" w:hAnsi="仿宋" w:eastAsia="仿宋" w:cs="仿宋"/>
          <w:color w:val="auto"/>
          <w:sz w:val="28"/>
          <w:szCs w:val="28"/>
        </w:rPr>
      </w:pPr>
      <w:r>
        <w:rPr>
          <w:rFonts w:hint="eastAsia" w:ascii="仿宋" w:hAnsi="仿宋" w:eastAsia="仿宋" w:cs="仿宋"/>
          <w:color w:val="auto"/>
          <w:sz w:val="28"/>
          <w:szCs w:val="28"/>
        </w:rPr>
        <w:t>采购项目编号：</w:t>
      </w:r>
      <w:r>
        <w:rPr>
          <w:rFonts w:hint="eastAsia" w:ascii="仿宋" w:hAnsi="仿宋" w:eastAsia="仿宋" w:cs="仿宋"/>
          <w:color w:val="auto"/>
          <w:sz w:val="28"/>
          <w:szCs w:val="28"/>
          <w:u w:val="single"/>
        </w:rPr>
        <w:t xml:space="preserve">                                </w:t>
      </w:r>
    </w:p>
    <w:p w14:paraId="7D1AEACF">
      <w:pPr>
        <w:pStyle w:val="14"/>
        <w:adjustRightInd w:val="0"/>
        <w:snapToGrid w:val="0"/>
        <w:spacing w:line="360" w:lineRule="auto"/>
        <w:ind w:firstLine="418" w:firstLineChars="154"/>
        <w:rPr>
          <w:rFonts w:hint="eastAsia" w:ascii="仿宋" w:hAnsi="仿宋" w:eastAsia="仿宋" w:cs="仿宋"/>
          <w:color w:val="auto"/>
          <w:sz w:val="28"/>
          <w:szCs w:val="28"/>
        </w:rPr>
      </w:pPr>
      <w:r>
        <w:rPr>
          <w:rFonts w:hint="eastAsia" w:ascii="仿宋" w:hAnsi="仿宋" w:eastAsia="仿宋" w:cs="仿宋"/>
          <w:color w:val="auto"/>
          <w:sz w:val="28"/>
          <w:szCs w:val="28"/>
        </w:rPr>
        <w:t>（2）采购计划编号：</w:t>
      </w:r>
      <w:r>
        <w:rPr>
          <w:rFonts w:hint="eastAsia" w:ascii="仿宋" w:hAnsi="仿宋" w:eastAsia="仿宋" w:cs="仿宋"/>
          <w:color w:val="auto"/>
          <w:sz w:val="28"/>
          <w:szCs w:val="28"/>
          <w:u w:val="single"/>
        </w:rPr>
        <w:t xml:space="preserve">                                     </w:t>
      </w:r>
    </w:p>
    <w:p w14:paraId="0DAEB51C">
      <w:pPr>
        <w:adjustRightInd w:val="0"/>
        <w:snapToGrid w:val="0"/>
        <w:spacing w:line="360" w:lineRule="auto"/>
        <w:ind w:firstLine="431" w:firstLineChars="154"/>
        <w:rPr>
          <w:rFonts w:hint="eastAsia" w:ascii="仿宋" w:hAnsi="仿宋" w:eastAsia="仿宋" w:cs="仿宋"/>
          <w:color w:val="auto"/>
          <w:sz w:val="28"/>
          <w:szCs w:val="28"/>
        </w:rPr>
      </w:pPr>
      <w:r>
        <w:rPr>
          <w:rFonts w:hint="eastAsia" w:ascii="仿宋" w:hAnsi="仿宋" w:eastAsia="仿宋" w:cs="仿宋"/>
          <w:color w:val="auto"/>
          <w:sz w:val="28"/>
          <w:szCs w:val="28"/>
        </w:rPr>
        <w:t>（3）项目内容：</w:t>
      </w:r>
    </w:p>
    <w:p w14:paraId="3096BAD1">
      <w:pPr>
        <w:numPr>
          <w:ilvl w:val="255"/>
          <w:numId w:val="0"/>
        </w:numPr>
        <w:adjustRightInd w:val="0"/>
        <w:snapToGrid w:val="0"/>
        <w:spacing w:line="360" w:lineRule="auto"/>
        <w:ind w:firstLine="431" w:firstLineChars="154"/>
        <w:rPr>
          <w:rFonts w:hint="eastAsia" w:ascii="仿宋" w:hAnsi="仿宋" w:eastAsia="仿宋" w:cs="仿宋"/>
          <w:color w:val="auto"/>
          <w:sz w:val="28"/>
          <w:szCs w:val="28"/>
          <w:u w:val="single"/>
        </w:rPr>
      </w:pPr>
      <w:r>
        <w:rPr>
          <w:rFonts w:hint="eastAsia" w:ascii="仿宋" w:hAnsi="仿宋" w:eastAsia="仿宋" w:cs="仿宋"/>
          <w:color w:val="auto"/>
          <w:sz w:val="28"/>
          <w:szCs w:val="28"/>
        </w:rPr>
        <w:t>采购标的及数量（台/套/个/架/组等）：</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p>
    <w:p w14:paraId="2059DA64">
      <w:pPr>
        <w:numPr>
          <w:ilvl w:val="255"/>
          <w:numId w:val="0"/>
        </w:numPr>
        <w:adjustRightInd w:val="0"/>
        <w:snapToGrid w:val="0"/>
        <w:spacing w:line="360" w:lineRule="auto"/>
        <w:ind w:firstLine="431" w:firstLineChars="154"/>
        <w:rPr>
          <w:rFonts w:hint="eastAsia" w:ascii="仿宋" w:hAnsi="仿宋" w:eastAsia="仿宋" w:cs="仿宋"/>
          <w:color w:val="auto"/>
          <w:sz w:val="28"/>
          <w:szCs w:val="28"/>
          <w:u w:val="single"/>
        </w:rPr>
      </w:pPr>
      <w:r>
        <w:rPr>
          <w:rFonts w:hint="eastAsia" w:ascii="仿宋" w:hAnsi="仿宋" w:eastAsia="仿宋" w:cs="仿宋"/>
          <w:color w:val="auto"/>
          <w:sz w:val="28"/>
          <w:szCs w:val="28"/>
        </w:rPr>
        <w:t>品牌：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规格型号：</w:t>
      </w:r>
      <w:r>
        <w:rPr>
          <w:rFonts w:hint="eastAsia" w:ascii="仿宋" w:hAnsi="仿宋" w:eastAsia="仿宋" w:cs="仿宋"/>
          <w:color w:val="auto"/>
          <w:sz w:val="28"/>
          <w:szCs w:val="28"/>
          <w:u w:val="single"/>
        </w:rPr>
        <w:t xml:space="preserve">                                  </w:t>
      </w:r>
    </w:p>
    <w:p w14:paraId="3F90489F">
      <w:pPr>
        <w:numPr>
          <w:ilvl w:val="255"/>
          <w:numId w:val="0"/>
        </w:numPr>
        <w:adjustRightInd w:val="0"/>
        <w:snapToGrid w:val="0"/>
        <w:spacing w:line="360" w:lineRule="auto"/>
        <w:ind w:firstLine="431" w:firstLineChars="154"/>
        <w:rPr>
          <w:rFonts w:hint="eastAsia" w:ascii="仿宋" w:hAnsi="仿宋" w:eastAsia="仿宋" w:cs="仿宋"/>
          <w:color w:val="auto"/>
          <w:sz w:val="28"/>
          <w:szCs w:val="28"/>
        </w:rPr>
      </w:pPr>
      <w:r>
        <w:rPr>
          <w:rFonts w:hint="eastAsia" w:ascii="仿宋" w:hAnsi="仿宋" w:eastAsia="仿宋" w:cs="仿宋"/>
          <w:color w:val="auto"/>
          <w:sz w:val="28"/>
          <w:szCs w:val="28"/>
        </w:rPr>
        <w:t xml:space="preserve">详细参数： </w:t>
      </w:r>
    </w:p>
    <w:p w14:paraId="2F47E04F">
      <w:pPr>
        <w:pStyle w:val="46"/>
        <w:numPr>
          <w:ilvl w:val="255"/>
          <w:numId w:val="0"/>
        </w:numPr>
        <w:snapToGrid w:val="0"/>
        <w:spacing w:line="360" w:lineRule="auto"/>
        <w:ind w:firstLine="431" w:firstLineChars="154"/>
        <w:rPr>
          <w:rFonts w:hint="eastAsia" w:ascii="仿宋" w:hAnsi="仿宋" w:eastAsia="仿宋" w:cs="仿宋"/>
          <w:color w:val="auto"/>
          <w:sz w:val="28"/>
          <w:szCs w:val="28"/>
        </w:rPr>
      </w:pPr>
      <w:r>
        <w:rPr>
          <w:rFonts w:hint="eastAsia" w:ascii="仿宋" w:hAnsi="仿宋" w:eastAsia="仿宋" w:cs="仿宋"/>
          <w:color w:val="auto"/>
          <w:sz w:val="28"/>
          <w:szCs w:val="28"/>
        </w:rPr>
        <w:t>（4）政府采购组织形式：</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政府集中采购</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 xml:space="preserve">部门集中采购  </w:t>
      </w:r>
      <w:r>
        <w:rPr>
          <w:rFonts w:hint="eastAsia" w:ascii="仿宋" w:hAnsi="仿宋" w:eastAsia="仿宋" w:cs="仿宋"/>
          <w:color w:val="auto"/>
          <w:sz w:val="28"/>
          <w:szCs w:val="28"/>
        </w:rPr>
        <w:sym w:font="Wingdings" w:char="00FE"/>
      </w:r>
      <w:r>
        <w:rPr>
          <w:rFonts w:hint="eastAsia" w:ascii="仿宋" w:hAnsi="仿宋" w:eastAsia="仿宋" w:cs="仿宋"/>
          <w:color w:val="auto"/>
          <w:sz w:val="28"/>
          <w:szCs w:val="28"/>
        </w:rPr>
        <w:t>分散采购</w:t>
      </w:r>
    </w:p>
    <w:p w14:paraId="642AF927">
      <w:pPr>
        <w:pStyle w:val="46"/>
        <w:numPr>
          <w:ilvl w:val="255"/>
          <w:numId w:val="0"/>
        </w:numPr>
        <w:snapToGrid w:val="0"/>
        <w:spacing w:line="360" w:lineRule="auto"/>
        <w:ind w:firstLine="431" w:firstLineChars="154"/>
        <w:rPr>
          <w:rFonts w:hint="eastAsia" w:ascii="仿宋" w:hAnsi="仿宋" w:eastAsia="仿宋" w:cs="仿宋"/>
          <w:color w:val="auto"/>
          <w:sz w:val="28"/>
          <w:szCs w:val="28"/>
        </w:rPr>
      </w:pPr>
      <w:r>
        <w:rPr>
          <w:rFonts w:hint="eastAsia" w:ascii="仿宋" w:hAnsi="仿宋" w:eastAsia="仿宋" w:cs="仿宋"/>
          <w:color w:val="auto"/>
          <w:sz w:val="28"/>
          <w:szCs w:val="28"/>
        </w:rPr>
        <w:t>（5）政府采购方式：</w:t>
      </w:r>
      <w:r>
        <w:rPr>
          <w:rFonts w:hint="eastAsia" w:ascii="仿宋" w:hAnsi="仿宋" w:eastAsia="仿宋" w:cs="仿宋"/>
          <w:color w:val="auto"/>
          <w:sz w:val="28"/>
          <w:szCs w:val="28"/>
        </w:rPr>
        <w:sym w:font="Wingdings" w:char="00FE"/>
      </w:r>
      <w:r>
        <w:rPr>
          <w:rFonts w:hint="eastAsia" w:ascii="仿宋" w:hAnsi="仿宋" w:eastAsia="仿宋" w:cs="仿宋"/>
          <w:color w:val="auto"/>
          <w:sz w:val="28"/>
          <w:szCs w:val="28"/>
        </w:rPr>
        <w:t>公开招标</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邀请招标</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竞争性谈判</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竞争性磋商</w:t>
      </w:r>
    </w:p>
    <w:p w14:paraId="603A45C5">
      <w:pPr>
        <w:pStyle w:val="46"/>
        <w:numPr>
          <w:ilvl w:val="255"/>
          <w:numId w:val="0"/>
        </w:numPr>
        <w:snapToGrid w:val="0"/>
        <w:spacing w:line="360" w:lineRule="auto"/>
        <w:ind w:firstLine="431" w:firstLineChars="154"/>
        <w:rPr>
          <w:rFonts w:hint="eastAsia" w:ascii="仿宋" w:hAnsi="仿宋" w:eastAsia="仿宋" w:cs="仿宋"/>
          <w:color w:val="auto"/>
          <w:sz w:val="28"/>
          <w:szCs w:val="28"/>
          <w:u w:val="single"/>
        </w:rPr>
      </w:pP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询价</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单一来源</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框架协议</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其他：</w:t>
      </w:r>
    </w:p>
    <w:p w14:paraId="69ADF267">
      <w:pPr>
        <w:pStyle w:val="46"/>
        <w:numPr>
          <w:ilvl w:val="255"/>
          <w:numId w:val="0"/>
        </w:numPr>
        <w:snapToGrid w:val="0"/>
        <w:spacing w:line="360" w:lineRule="auto"/>
        <w:ind w:firstLine="431" w:firstLineChars="154"/>
        <w:rPr>
          <w:rFonts w:hint="eastAsia" w:ascii="仿宋" w:hAnsi="仿宋" w:eastAsia="仿宋" w:cs="仿宋"/>
          <w:color w:val="auto"/>
          <w:sz w:val="28"/>
          <w:szCs w:val="28"/>
        </w:rPr>
      </w:pPr>
      <w:r>
        <w:rPr>
          <w:rFonts w:hint="eastAsia" w:ascii="仿宋" w:hAnsi="仿宋" w:eastAsia="仿宋" w:cs="仿宋"/>
          <w:color w:val="auto"/>
          <w:sz w:val="28"/>
          <w:szCs w:val="28"/>
        </w:rPr>
        <w:t>（注：在框架协议采购的第二阶段，可选择使用该合同文本）</w:t>
      </w:r>
    </w:p>
    <w:p w14:paraId="30E69763">
      <w:pPr>
        <w:pStyle w:val="46"/>
        <w:numPr>
          <w:ilvl w:val="255"/>
          <w:numId w:val="0"/>
        </w:numPr>
        <w:snapToGrid w:val="0"/>
        <w:spacing w:line="360" w:lineRule="auto"/>
        <w:ind w:firstLine="431" w:firstLineChars="154"/>
        <w:rPr>
          <w:rFonts w:hint="eastAsia" w:ascii="仿宋" w:hAnsi="仿宋" w:eastAsia="仿宋" w:cs="仿宋"/>
          <w:color w:val="auto"/>
          <w:kern w:val="2"/>
          <w:sz w:val="28"/>
          <w:szCs w:val="28"/>
        </w:rPr>
      </w:pPr>
      <w:r>
        <w:rPr>
          <w:rFonts w:hint="eastAsia" w:ascii="仿宋" w:hAnsi="仿宋" w:eastAsia="仿宋" w:cs="仿宋"/>
          <w:color w:val="auto"/>
          <w:sz w:val="28"/>
          <w:szCs w:val="28"/>
        </w:rPr>
        <w:t>（6）</w:t>
      </w:r>
      <w:r>
        <w:rPr>
          <w:rFonts w:hint="eastAsia" w:ascii="仿宋" w:hAnsi="仿宋" w:eastAsia="仿宋" w:cs="仿宋"/>
          <w:color w:val="auto"/>
          <w:kern w:val="2"/>
          <w:sz w:val="28"/>
          <w:szCs w:val="28"/>
        </w:rPr>
        <w:t>中标（成交）采购标的制造商是否为中小企业：</w:t>
      </w:r>
      <w:r>
        <w:rPr>
          <w:rFonts w:hint="eastAsia" w:ascii="仿宋" w:hAnsi="仿宋" w:eastAsia="仿宋" w:cs="仿宋"/>
          <w:color w:val="auto"/>
          <w:kern w:val="2"/>
          <w:sz w:val="28"/>
          <w:szCs w:val="28"/>
        </w:rPr>
        <w:sym w:font="Wingdings" w:char="00A8"/>
      </w:r>
      <w:r>
        <w:rPr>
          <w:rFonts w:hint="eastAsia" w:ascii="仿宋" w:hAnsi="仿宋" w:eastAsia="仿宋" w:cs="仿宋"/>
          <w:color w:val="auto"/>
          <w:kern w:val="2"/>
          <w:sz w:val="28"/>
          <w:szCs w:val="28"/>
        </w:rPr>
        <w:t xml:space="preserve">是      </w:t>
      </w:r>
      <w:r>
        <w:rPr>
          <w:rFonts w:hint="eastAsia" w:ascii="仿宋" w:hAnsi="仿宋" w:eastAsia="仿宋" w:cs="仿宋"/>
          <w:color w:val="auto"/>
          <w:kern w:val="2"/>
          <w:sz w:val="28"/>
          <w:szCs w:val="28"/>
        </w:rPr>
        <w:sym w:font="Wingdings" w:char="00A8"/>
      </w:r>
      <w:r>
        <w:rPr>
          <w:rFonts w:hint="eastAsia" w:ascii="仿宋" w:hAnsi="仿宋" w:eastAsia="仿宋" w:cs="仿宋"/>
          <w:color w:val="auto"/>
          <w:kern w:val="2"/>
          <w:sz w:val="28"/>
          <w:szCs w:val="28"/>
        </w:rPr>
        <w:t>否</w:t>
      </w:r>
    </w:p>
    <w:p w14:paraId="4477F5F3">
      <w:pPr>
        <w:numPr>
          <w:ilvl w:val="255"/>
          <w:numId w:val="0"/>
        </w:numPr>
        <w:adjustRightInd w:val="0"/>
        <w:snapToGrid w:val="0"/>
        <w:spacing w:line="360" w:lineRule="auto"/>
        <w:ind w:firstLine="431" w:firstLineChars="154"/>
        <w:rPr>
          <w:rFonts w:hint="eastAsia" w:ascii="仿宋" w:hAnsi="仿宋" w:eastAsia="仿宋" w:cs="仿宋"/>
          <w:iCs/>
          <w:color w:val="auto"/>
          <w:sz w:val="28"/>
          <w:szCs w:val="28"/>
        </w:rPr>
      </w:pPr>
      <w:r>
        <w:rPr>
          <w:rFonts w:hint="eastAsia" w:ascii="仿宋" w:hAnsi="仿宋" w:eastAsia="仿宋" w:cs="仿宋"/>
          <w:color w:val="auto"/>
          <w:sz w:val="28"/>
          <w:szCs w:val="28"/>
        </w:rPr>
        <w:t>本合同是否为专门面向中小企业的采购合同（中小企业预留合同）：</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是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否</w:t>
      </w:r>
    </w:p>
    <w:p w14:paraId="32E43F69">
      <w:pPr>
        <w:numPr>
          <w:ilvl w:val="255"/>
          <w:numId w:val="0"/>
        </w:numPr>
        <w:adjustRightInd w:val="0"/>
        <w:snapToGrid w:val="0"/>
        <w:spacing w:line="360" w:lineRule="auto"/>
        <w:ind w:firstLine="431" w:firstLineChars="154"/>
        <w:rPr>
          <w:rFonts w:hint="eastAsia" w:ascii="仿宋" w:hAnsi="仿宋" w:eastAsia="仿宋" w:cs="仿宋"/>
          <w:iCs/>
          <w:color w:val="auto"/>
          <w:sz w:val="28"/>
          <w:szCs w:val="28"/>
        </w:rPr>
      </w:pPr>
      <w:r>
        <w:rPr>
          <w:rFonts w:hint="eastAsia" w:ascii="仿宋" w:hAnsi="仿宋" w:eastAsia="仿宋" w:cs="仿宋"/>
          <w:color w:val="auto"/>
          <w:sz w:val="28"/>
          <w:szCs w:val="28"/>
        </w:rPr>
        <w:t>若本项目不专门面向中小企业采购，是否给予小微企业评审优惠：</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是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否</w:t>
      </w:r>
    </w:p>
    <w:p w14:paraId="00C927A5">
      <w:pPr>
        <w:numPr>
          <w:ilvl w:val="255"/>
          <w:numId w:val="0"/>
        </w:numPr>
        <w:adjustRightInd w:val="0"/>
        <w:snapToGrid w:val="0"/>
        <w:spacing w:line="360" w:lineRule="auto"/>
        <w:ind w:firstLine="431" w:firstLineChars="154"/>
        <w:rPr>
          <w:rFonts w:hint="eastAsia" w:ascii="仿宋" w:hAnsi="仿宋" w:eastAsia="仿宋" w:cs="仿宋"/>
          <w:iCs/>
          <w:color w:val="auto"/>
          <w:sz w:val="28"/>
          <w:szCs w:val="28"/>
        </w:rPr>
      </w:pPr>
      <w:r>
        <w:rPr>
          <w:rFonts w:hint="eastAsia" w:ascii="仿宋" w:hAnsi="仿宋" w:eastAsia="仿宋" w:cs="仿宋"/>
          <w:color w:val="auto"/>
          <w:sz w:val="28"/>
          <w:szCs w:val="28"/>
        </w:rPr>
        <w:t>中标（成交）采购标的制造商是否为残疾人福利性单位：</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是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否</w:t>
      </w:r>
    </w:p>
    <w:p w14:paraId="74CC97B6">
      <w:pPr>
        <w:numPr>
          <w:ilvl w:val="255"/>
          <w:numId w:val="0"/>
        </w:numPr>
        <w:adjustRightInd w:val="0"/>
        <w:snapToGrid w:val="0"/>
        <w:spacing w:line="360" w:lineRule="auto"/>
        <w:ind w:firstLine="431" w:firstLineChars="154"/>
        <w:rPr>
          <w:rFonts w:hint="eastAsia" w:ascii="仿宋" w:hAnsi="仿宋" w:eastAsia="仿宋" w:cs="仿宋"/>
          <w:iCs/>
          <w:color w:val="auto"/>
          <w:sz w:val="28"/>
          <w:szCs w:val="28"/>
        </w:rPr>
      </w:pPr>
      <w:r>
        <w:rPr>
          <w:rFonts w:hint="eastAsia" w:ascii="仿宋" w:hAnsi="仿宋" w:eastAsia="仿宋" w:cs="仿宋"/>
          <w:color w:val="auto"/>
          <w:sz w:val="28"/>
          <w:szCs w:val="28"/>
        </w:rPr>
        <w:t>中标（成交）采购标的制造商是否为监狱企业：</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是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否</w:t>
      </w:r>
    </w:p>
    <w:p w14:paraId="23D6E97C">
      <w:pPr>
        <w:numPr>
          <w:ilvl w:val="255"/>
          <w:numId w:val="0"/>
        </w:numPr>
        <w:adjustRightInd w:val="0"/>
        <w:snapToGrid w:val="0"/>
        <w:spacing w:line="360" w:lineRule="auto"/>
        <w:ind w:firstLine="431" w:firstLineChars="154"/>
        <w:rPr>
          <w:rFonts w:hint="eastAsia" w:ascii="仿宋" w:hAnsi="仿宋" w:eastAsia="仿宋" w:cs="仿宋"/>
          <w:color w:val="auto"/>
          <w:sz w:val="28"/>
          <w:szCs w:val="28"/>
        </w:rPr>
      </w:pPr>
      <w:r>
        <w:rPr>
          <w:rFonts w:hint="eastAsia" w:ascii="仿宋" w:hAnsi="仿宋" w:eastAsia="仿宋" w:cs="仿宋"/>
          <w:color w:val="auto"/>
          <w:sz w:val="28"/>
          <w:szCs w:val="28"/>
        </w:rPr>
        <w:t>（7）合同是否分包：</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是       </w:t>
      </w:r>
      <w:r>
        <w:rPr>
          <w:rFonts w:hint="eastAsia" w:ascii="仿宋" w:hAnsi="仿宋" w:eastAsia="仿宋" w:cs="仿宋"/>
          <w:iCs/>
          <w:color w:val="auto"/>
          <w:sz w:val="28"/>
          <w:szCs w:val="28"/>
        </w:rPr>
        <w:sym w:font="Wingdings" w:char="00FE"/>
      </w:r>
      <w:r>
        <w:rPr>
          <w:rFonts w:hint="eastAsia" w:ascii="仿宋" w:hAnsi="仿宋" w:eastAsia="仿宋" w:cs="仿宋"/>
          <w:iCs/>
          <w:color w:val="auto"/>
          <w:sz w:val="28"/>
          <w:szCs w:val="28"/>
        </w:rPr>
        <w:t>否</w:t>
      </w:r>
    </w:p>
    <w:p w14:paraId="4638DD5A">
      <w:pPr>
        <w:adjustRightInd w:val="0"/>
        <w:snapToGrid w:val="0"/>
        <w:spacing w:line="360" w:lineRule="auto"/>
        <w:ind w:firstLine="1120" w:firstLineChars="400"/>
        <w:rPr>
          <w:rFonts w:hint="eastAsia" w:ascii="仿宋" w:hAnsi="仿宋" w:eastAsia="仿宋" w:cs="仿宋"/>
          <w:color w:val="auto"/>
          <w:sz w:val="28"/>
          <w:szCs w:val="28"/>
          <w:u w:val="single"/>
        </w:rPr>
      </w:pPr>
      <w:r>
        <w:rPr>
          <w:rFonts w:hint="eastAsia" w:ascii="仿宋" w:hAnsi="仿宋" w:eastAsia="仿宋" w:cs="仿宋"/>
          <w:color w:val="auto"/>
          <w:sz w:val="28"/>
          <w:szCs w:val="28"/>
        </w:rPr>
        <w:t>分包主要内容：</w:t>
      </w:r>
      <w:r>
        <w:rPr>
          <w:rFonts w:hint="eastAsia" w:ascii="仿宋" w:hAnsi="仿宋" w:eastAsia="仿宋" w:cs="仿宋"/>
          <w:color w:val="auto"/>
          <w:sz w:val="28"/>
          <w:szCs w:val="28"/>
          <w:u w:val="single"/>
        </w:rPr>
        <w:t>无</w:t>
      </w:r>
    </w:p>
    <w:p w14:paraId="785EFC93">
      <w:pPr>
        <w:adjustRightInd w:val="0"/>
        <w:snapToGrid w:val="0"/>
        <w:spacing w:line="360" w:lineRule="auto"/>
        <w:ind w:firstLine="1120" w:firstLineChars="400"/>
        <w:rPr>
          <w:rFonts w:hint="eastAsia" w:ascii="仿宋" w:hAnsi="仿宋" w:eastAsia="仿宋" w:cs="仿宋"/>
          <w:color w:val="auto"/>
          <w:sz w:val="28"/>
          <w:szCs w:val="28"/>
        </w:rPr>
      </w:pPr>
      <w:r>
        <w:rPr>
          <w:rFonts w:hint="eastAsia" w:ascii="仿宋" w:hAnsi="仿宋" w:eastAsia="仿宋" w:cs="仿宋"/>
          <w:color w:val="auto"/>
          <w:sz w:val="28"/>
          <w:szCs w:val="28"/>
        </w:rPr>
        <w:t>分包供应商/制造商名称（如供应商和制造商不同，请分别填写）：</w:t>
      </w:r>
    </w:p>
    <w:p w14:paraId="38A24675">
      <w:pPr>
        <w:adjustRightInd w:val="0"/>
        <w:snapToGrid w:val="0"/>
        <w:spacing w:line="360" w:lineRule="auto"/>
        <w:ind w:firstLine="1120" w:firstLineChars="400"/>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t>无</w:t>
      </w:r>
    </w:p>
    <w:p w14:paraId="4BA58FE6">
      <w:pPr>
        <w:adjustRightInd w:val="0"/>
        <w:snapToGrid w:val="0"/>
        <w:spacing w:line="360" w:lineRule="auto"/>
        <w:ind w:firstLine="1120" w:firstLineChars="400"/>
        <w:rPr>
          <w:rFonts w:hint="eastAsia" w:ascii="仿宋" w:hAnsi="仿宋" w:eastAsia="仿宋" w:cs="仿宋"/>
          <w:color w:val="auto"/>
          <w:sz w:val="28"/>
          <w:szCs w:val="28"/>
        </w:rPr>
      </w:pPr>
      <w:r>
        <w:rPr>
          <w:rFonts w:hint="eastAsia" w:ascii="仿宋" w:hAnsi="仿宋" w:eastAsia="仿宋" w:cs="仿宋"/>
          <w:color w:val="auto"/>
          <w:sz w:val="28"/>
          <w:szCs w:val="28"/>
        </w:rPr>
        <w:t>分包供应商/制造商类型（如果供应商和制造商不同，只填写制造商类型）：</w:t>
      </w:r>
    </w:p>
    <w:p w14:paraId="53611CC8">
      <w:pPr>
        <w:adjustRightInd w:val="0"/>
        <w:snapToGrid w:val="0"/>
        <w:spacing w:line="360" w:lineRule="auto"/>
        <w:ind w:firstLine="1120" w:firstLineChars="400"/>
        <w:rPr>
          <w:rFonts w:hint="eastAsia" w:ascii="仿宋" w:hAnsi="仿宋" w:eastAsia="仿宋" w:cs="仿宋"/>
          <w:iCs/>
          <w:color w:val="auto"/>
          <w:sz w:val="28"/>
          <w:szCs w:val="28"/>
        </w:rPr>
      </w:pP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大型企业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中型企业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小微型企业</w:t>
      </w:r>
    </w:p>
    <w:p w14:paraId="4F838B52">
      <w:pPr>
        <w:adjustRightInd w:val="0"/>
        <w:snapToGrid w:val="0"/>
        <w:spacing w:line="360" w:lineRule="auto"/>
        <w:ind w:firstLine="1120" w:firstLineChars="400"/>
        <w:rPr>
          <w:rFonts w:hint="eastAsia" w:ascii="仿宋" w:hAnsi="仿宋" w:eastAsia="仿宋" w:cs="仿宋"/>
          <w:color w:val="auto"/>
          <w:sz w:val="28"/>
          <w:szCs w:val="28"/>
        </w:rPr>
      </w:pP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残疾人福利性单位</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监狱企业</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其他</w:t>
      </w:r>
    </w:p>
    <w:p w14:paraId="5F2BDF96">
      <w:pPr>
        <w:numPr>
          <w:ilvl w:val="255"/>
          <w:numId w:val="0"/>
        </w:numPr>
        <w:adjustRightInd w:val="0"/>
        <w:snapToGrid w:val="0"/>
        <w:spacing w:line="360" w:lineRule="auto"/>
        <w:rPr>
          <w:rFonts w:hint="eastAsia" w:ascii="仿宋" w:hAnsi="仿宋" w:eastAsia="仿宋" w:cs="仿宋"/>
          <w:iCs/>
          <w:color w:val="auto"/>
          <w:sz w:val="28"/>
          <w:szCs w:val="28"/>
        </w:rPr>
      </w:pPr>
      <w:r>
        <w:rPr>
          <w:rFonts w:hint="eastAsia" w:ascii="仿宋" w:hAnsi="仿宋" w:eastAsia="仿宋" w:cs="仿宋"/>
          <w:color w:val="auto"/>
          <w:sz w:val="28"/>
          <w:szCs w:val="28"/>
        </w:rPr>
        <w:t xml:space="preserve">    （8）中标（成交）供应商是否为外商投资企业：</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是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否</w:t>
      </w:r>
    </w:p>
    <w:p w14:paraId="6ABF1B40">
      <w:pPr>
        <w:pStyle w:val="46"/>
        <w:tabs>
          <w:tab w:val="left" w:pos="1340"/>
        </w:tabs>
        <w:snapToGrid w:val="0"/>
        <w:spacing w:line="360" w:lineRule="auto"/>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     外商投资企业类型：</w:t>
      </w:r>
      <w:r>
        <w:rPr>
          <w:rFonts w:hint="eastAsia" w:ascii="仿宋" w:hAnsi="仿宋" w:eastAsia="仿宋" w:cs="仿宋"/>
          <w:iCs/>
          <w:color w:val="auto"/>
          <w:sz w:val="28"/>
          <w:szCs w:val="28"/>
        </w:rPr>
        <w:sym w:font="Wingdings" w:char="00A8"/>
      </w:r>
      <w:r>
        <w:rPr>
          <w:rFonts w:hint="eastAsia" w:ascii="仿宋" w:hAnsi="仿宋" w:eastAsia="仿宋" w:cs="仿宋"/>
          <w:color w:val="auto"/>
          <w:sz w:val="28"/>
          <w:szCs w:val="28"/>
        </w:rPr>
        <w:t xml:space="preserve">全部由外国投资者投资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部分由外国投资者投资</w:t>
      </w:r>
    </w:p>
    <w:p w14:paraId="1EC78EAD">
      <w:pPr>
        <w:numPr>
          <w:ilvl w:val="255"/>
          <w:numId w:val="0"/>
        </w:num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（9）是否涉及进口产品：</w:t>
      </w:r>
    </w:p>
    <w:p w14:paraId="29A0F8DA">
      <w:pPr>
        <w:numPr>
          <w:ilvl w:val="255"/>
          <w:numId w:val="0"/>
        </w:numPr>
        <w:adjustRightInd w:val="0"/>
        <w:snapToGrid w:val="0"/>
        <w:spacing w:line="360" w:lineRule="auto"/>
        <w:ind w:firstLine="1120" w:firstLineChars="400"/>
        <w:rPr>
          <w:rFonts w:hint="eastAsia" w:ascii="仿宋" w:hAnsi="仿宋" w:eastAsia="仿宋" w:cs="仿宋"/>
          <w:color w:val="auto"/>
          <w:sz w:val="28"/>
          <w:szCs w:val="28"/>
          <w:u w:val="single"/>
        </w:rPr>
      </w:pP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是，《政府采购品目分类目录》底级品目名称： 金额：</w:t>
      </w:r>
    </w:p>
    <w:p w14:paraId="191C83E5">
      <w:pPr>
        <w:numPr>
          <w:ilvl w:val="255"/>
          <w:numId w:val="0"/>
        </w:numPr>
        <w:adjustRightInd w:val="0"/>
        <w:snapToGrid w:val="0"/>
        <w:spacing w:line="360" w:lineRule="auto"/>
        <w:ind w:firstLine="1120" w:firstLineChars="400"/>
        <w:rPr>
          <w:rFonts w:hint="eastAsia" w:ascii="仿宋" w:hAnsi="仿宋" w:eastAsia="仿宋" w:cs="仿宋"/>
          <w:color w:val="auto"/>
          <w:sz w:val="28"/>
          <w:szCs w:val="28"/>
        </w:rPr>
      </w:pPr>
      <w:r>
        <w:rPr>
          <w:rFonts w:hint="eastAsia" w:ascii="仿宋" w:hAnsi="仿宋" w:eastAsia="仿宋" w:cs="仿宋"/>
          <w:color w:val="auto"/>
          <w:sz w:val="28"/>
          <w:szCs w:val="28"/>
        </w:rPr>
        <w:t xml:space="preserve">        国别： 品牌： 规格型号：</w:t>
      </w:r>
    </w:p>
    <w:p w14:paraId="6DA690F1">
      <w:pPr>
        <w:adjustRightInd w:val="0"/>
        <w:snapToGrid w:val="0"/>
        <w:spacing w:line="360" w:lineRule="auto"/>
        <w:ind w:firstLine="1120" w:firstLineChars="400"/>
        <w:rPr>
          <w:rFonts w:hint="eastAsia" w:ascii="仿宋" w:hAnsi="仿宋" w:eastAsia="仿宋" w:cs="仿宋"/>
          <w:color w:val="auto"/>
          <w:sz w:val="28"/>
          <w:szCs w:val="28"/>
        </w:rPr>
      </w:pP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否</w:t>
      </w:r>
    </w:p>
    <w:p w14:paraId="27E66292">
      <w:pPr>
        <w:numPr>
          <w:ilvl w:val="255"/>
          <w:numId w:val="0"/>
        </w:numPr>
        <w:tabs>
          <w:tab w:val="left" w:pos="740"/>
        </w:tabs>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（10）是否涉及节能产品：</w:t>
      </w:r>
    </w:p>
    <w:p w14:paraId="7AD48DF5">
      <w:pPr>
        <w:numPr>
          <w:ilvl w:val="255"/>
          <w:numId w:val="0"/>
        </w:numPr>
        <w:tabs>
          <w:tab w:val="left" w:pos="740"/>
        </w:tabs>
        <w:adjustRightInd w:val="0"/>
        <w:snapToGrid w:val="0"/>
        <w:spacing w:line="360" w:lineRule="auto"/>
        <w:rPr>
          <w:rFonts w:hint="eastAsia" w:ascii="仿宋" w:hAnsi="仿宋" w:eastAsia="仿宋" w:cs="仿宋"/>
          <w:iCs/>
          <w:color w:val="auto"/>
          <w:sz w:val="28"/>
          <w:szCs w:val="28"/>
        </w:rPr>
      </w:pP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是，《节能产品政府采购品目清单》的底级品目名称：</w:t>
      </w:r>
    </w:p>
    <w:p w14:paraId="13E931A5">
      <w:pPr>
        <w:numPr>
          <w:ilvl w:val="255"/>
          <w:numId w:val="0"/>
        </w:numPr>
        <w:tabs>
          <w:tab w:val="left" w:pos="740"/>
        </w:tabs>
        <w:adjustRightInd w:val="0"/>
        <w:snapToGrid w:val="0"/>
        <w:spacing w:line="360" w:lineRule="auto"/>
        <w:rPr>
          <w:rFonts w:hint="eastAsia" w:ascii="仿宋" w:hAnsi="仿宋" w:eastAsia="仿宋" w:cs="仿宋"/>
          <w:iCs/>
          <w:color w:val="auto"/>
          <w:sz w:val="28"/>
          <w:szCs w:val="28"/>
        </w:rPr>
      </w:pP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强制采购</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优先采购</w:t>
      </w:r>
    </w:p>
    <w:p w14:paraId="08DEAC34">
      <w:pPr>
        <w:numPr>
          <w:ilvl w:val="255"/>
          <w:numId w:val="0"/>
        </w:numPr>
        <w:tabs>
          <w:tab w:val="left" w:pos="740"/>
        </w:tabs>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否</w:t>
      </w:r>
    </w:p>
    <w:p w14:paraId="37AB9BE3">
      <w:pPr>
        <w:numPr>
          <w:ilvl w:val="255"/>
          <w:numId w:val="0"/>
        </w:numPr>
        <w:tabs>
          <w:tab w:val="left" w:pos="740"/>
        </w:tabs>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是否涉及环境标志产品：</w:t>
      </w:r>
    </w:p>
    <w:p w14:paraId="41296245">
      <w:pPr>
        <w:numPr>
          <w:ilvl w:val="255"/>
          <w:numId w:val="0"/>
        </w:numPr>
        <w:tabs>
          <w:tab w:val="left" w:pos="740"/>
        </w:tabs>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是，《环境标志产品政府采购品目清单》的底级品目名称：</w:t>
      </w:r>
    </w:p>
    <w:p w14:paraId="463EA4C3">
      <w:pPr>
        <w:numPr>
          <w:ilvl w:val="255"/>
          <w:numId w:val="0"/>
        </w:numPr>
        <w:tabs>
          <w:tab w:val="left" w:pos="740"/>
        </w:tabs>
        <w:adjustRightInd w:val="0"/>
        <w:snapToGrid w:val="0"/>
        <w:spacing w:line="360" w:lineRule="auto"/>
        <w:rPr>
          <w:rFonts w:hint="eastAsia" w:ascii="仿宋" w:hAnsi="仿宋" w:eastAsia="仿宋" w:cs="仿宋"/>
          <w:iCs/>
          <w:color w:val="auto"/>
          <w:sz w:val="28"/>
          <w:szCs w:val="28"/>
        </w:rPr>
      </w:pP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强制采购</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优先采购</w:t>
      </w:r>
    </w:p>
    <w:p w14:paraId="5A4D5DD3">
      <w:pPr>
        <w:numPr>
          <w:ilvl w:val="255"/>
          <w:numId w:val="0"/>
        </w:numPr>
        <w:tabs>
          <w:tab w:val="left" w:pos="740"/>
        </w:tabs>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否</w:t>
      </w:r>
    </w:p>
    <w:p w14:paraId="1A4A1EAD">
      <w:pPr>
        <w:pStyle w:val="46"/>
        <w:numPr>
          <w:ilvl w:val="255"/>
          <w:numId w:val="0"/>
        </w:numPr>
        <w:snapToGrid w:val="0"/>
        <w:spacing w:line="360" w:lineRule="auto"/>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是否涉及绿色产品：</w:t>
      </w:r>
    </w:p>
    <w:p w14:paraId="383A4130">
      <w:pPr>
        <w:pStyle w:val="46"/>
        <w:snapToGrid w:val="0"/>
        <w:spacing w:line="360" w:lineRule="auto"/>
        <w:ind w:firstLine="420" w:firstLineChars="0"/>
        <w:rPr>
          <w:rFonts w:hint="eastAsia" w:ascii="仿宋" w:hAnsi="仿宋" w:eastAsia="仿宋" w:cs="仿宋"/>
          <w:color w:val="auto"/>
          <w:sz w:val="28"/>
          <w:szCs w:val="28"/>
          <w:u w:val="single"/>
        </w:rPr>
      </w:pPr>
      <w:r>
        <w:rPr>
          <w:rFonts w:hint="eastAsia" w:ascii="仿宋" w:hAnsi="仿宋" w:eastAsia="仿宋" w:cs="仿宋"/>
          <w:color w:val="auto"/>
          <w:kern w:val="2"/>
          <w:sz w:val="28"/>
          <w:szCs w:val="28"/>
        </w:rPr>
        <w:sym w:font="Wingdings" w:char="00A8"/>
      </w:r>
      <w:r>
        <w:rPr>
          <w:rFonts w:hint="eastAsia" w:ascii="仿宋" w:hAnsi="仿宋" w:eastAsia="仿宋" w:cs="仿宋"/>
          <w:color w:val="auto"/>
          <w:kern w:val="2"/>
          <w:sz w:val="28"/>
          <w:szCs w:val="28"/>
        </w:rPr>
        <w:t>是，绿色产品政府采购相关政策确定的底级品目名称：</w:t>
      </w:r>
    </w:p>
    <w:p w14:paraId="3EB57750">
      <w:pPr>
        <w:numPr>
          <w:ilvl w:val="255"/>
          <w:numId w:val="0"/>
        </w:numPr>
        <w:tabs>
          <w:tab w:val="left" w:pos="740"/>
        </w:tabs>
        <w:adjustRightInd w:val="0"/>
        <w:snapToGrid w:val="0"/>
        <w:spacing w:line="360" w:lineRule="auto"/>
        <w:rPr>
          <w:rFonts w:hint="eastAsia" w:ascii="仿宋" w:hAnsi="仿宋" w:eastAsia="仿宋" w:cs="仿宋"/>
          <w:iCs/>
          <w:color w:val="auto"/>
          <w:sz w:val="28"/>
          <w:szCs w:val="28"/>
        </w:rPr>
      </w:pP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强制采购</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优先采购</w:t>
      </w:r>
    </w:p>
    <w:p w14:paraId="44D7CD97">
      <w:pPr>
        <w:pStyle w:val="46"/>
        <w:snapToGrid w:val="0"/>
        <w:spacing w:line="360" w:lineRule="auto"/>
        <w:ind w:firstLine="420" w:firstLineChars="0"/>
        <w:rPr>
          <w:rFonts w:hint="eastAsia" w:ascii="仿宋" w:hAnsi="仿宋" w:eastAsia="仿宋" w:cs="仿宋"/>
          <w:color w:val="auto"/>
          <w:sz w:val="28"/>
          <w:szCs w:val="28"/>
        </w:rPr>
      </w:pPr>
      <w:r>
        <w:rPr>
          <w:rFonts w:hint="eastAsia" w:ascii="仿宋" w:hAnsi="仿宋" w:eastAsia="仿宋" w:cs="仿宋"/>
          <w:color w:val="auto"/>
          <w:kern w:val="2"/>
          <w:sz w:val="28"/>
          <w:szCs w:val="28"/>
        </w:rPr>
        <w:sym w:font="Wingdings" w:char="00FE"/>
      </w:r>
      <w:r>
        <w:rPr>
          <w:rFonts w:hint="eastAsia" w:ascii="仿宋" w:hAnsi="仿宋" w:eastAsia="仿宋" w:cs="仿宋"/>
          <w:color w:val="auto"/>
          <w:kern w:val="2"/>
          <w:sz w:val="28"/>
          <w:szCs w:val="28"/>
        </w:rPr>
        <w:t>否</w:t>
      </w:r>
    </w:p>
    <w:p w14:paraId="32243BF7">
      <w:pPr>
        <w:numPr>
          <w:ilvl w:val="255"/>
          <w:numId w:val="0"/>
        </w:numPr>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（11）涉及商品包装和快递包装的，是否参考《商品包装政府采购需求标准（试行）》、《快递包装政府采购需求标准（试行）》明确产品及相关快递服务的具体包装要求：</w:t>
      </w:r>
    </w:p>
    <w:p w14:paraId="6C4C56AB">
      <w:pPr>
        <w:numPr>
          <w:ilvl w:val="255"/>
          <w:numId w:val="0"/>
        </w:numPr>
        <w:adjustRightInd w:val="0"/>
        <w:snapToGrid w:val="0"/>
        <w:spacing w:line="360" w:lineRule="auto"/>
        <w:ind w:firstLine="1120" w:firstLineChars="400"/>
        <w:rPr>
          <w:rFonts w:hint="eastAsia" w:ascii="仿宋" w:hAnsi="仿宋" w:eastAsia="仿宋" w:cs="仿宋"/>
          <w:color w:val="auto"/>
          <w:sz w:val="28"/>
          <w:szCs w:val="28"/>
        </w:rPr>
      </w:pP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 xml:space="preserve">是       </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否</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不涉及</w:t>
      </w:r>
    </w:p>
    <w:p w14:paraId="753DAA28">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合同金额</w:t>
      </w:r>
    </w:p>
    <w:p w14:paraId="414EE018">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（1）合同金额小写：</w:t>
      </w:r>
      <w:r>
        <w:rPr>
          <w:rFonts w:hint="eastAsia" w:ascii="仿宋" w:hAnsi="仿宋" w:eastAsia="仿宋" w:cs="仿宋"/>
          <w:color w:val="auto"/>
          <w:sz w:val="28"/>
          <w:szCs w:val="28"/>
          <w:u w:val="single"/>
        </w:rPr>
        <w:t xml:space="preserve">                        </w:t>
      </w:r>
    </w:p>
    <w:p w14:paraId="272E62A5">
      <w:pPr>
        <w:adjustRightInd w:val="0"/>
        <w:snapToGrid w:val="0"/>
        <w:spacing w:line="360" w:lineRule="auto"/>
        <w:ind w:firstLine="1274" w:firstLineChars="455"/>
        <w:rPr>
          <w:rFonts w:hint="eastAsia" w:ascii="仿宋" w:hAnsi="仿宋" w:eastAsia="仿宋" w:cs="仿宋"/>
          <w:color w:val="auto"/>
          <w:sz w:val="28"/>
          <w:szCs w:val="28"/>
          <w:u w:val="single"/>
        </w:rPr>
      </w:pPr>
      <w:r>
        <w:rPr>
          <w:rFonts w:hint="eastAsia" w:ascii="仿宋" w:hAnsi="仿宋" w:eastAsia="仿宋" w:cs="仿宋"/>
          <w:color w:val="auto"/>
          <w:sz w:val="28"/>
          <w:szCs w:val="28"/>
        </w:rPr>
        <w:t>大写：</w:t>
      </w:r>
      <w:r>
        <w:rPr>
          <w:rFonts w:hint="eastAsia" w:ascii="仿宋" w:hAnsi="仿宋" w:eastAsia="仿宋" w:cs="仿宋"/>
          <w:color w:val="auto"/>
          <w:sz w:val="28"/>
          <w:szCs w:val="28"/>
          <w:u w:val="single"/>
        </w:rPr>
        <w:t xml:space="preserve">                              </w:t>
      </w:r>
    </w:p>
    <w:p w14:paraId="0EB3F940">
      <w:pPr>
        <w:numPr>
          <w:ilvl w:val="255"/>
          <w:numId w:val="0"/>
        </w:num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合同金额为含税固定总价，包括采购费、税费、包装费、运输费、保险费、装卸费、税费等履行本合同所需的全部费用，除甲乙双方另行约定外，甲方不再向乙方支付任何费用。</w:t>
      </w:r>
    </w:p>
    <w:p w14:paraId="70566E27">
      <w:pPr>
        <w:numPr>
          <w:ilvl w:val="255"/>
          <w:numId w:val="0"/>
        </w:num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（2）合同定价方式（采用组合定价方式的，可以勾选多项）：</w:t>
      </w:r>
    </w:p>
    <w:p w14:paraId="06530BBD">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iCs/>
          <w:color w:val="auto"/>
          <w:sz w:val="28"/>
          <w:szCs w:val="28"/>
        </w:rPr>
        <w:sym w:font="Wingdings" w:char="00FE"/>
      </w:r>
      <w:r>
        <w:rPr>
          <w:rFonts w:hint="eastAsia" w:ascii="仿宋" w:hAnsi="仿宋" w:eastAsia="仿宋" w:cs="仿宋"/>
          <w:iCs/>
          <w:color w:val="auto"/>
          <w:sz w:val="28"/>
          <w:szCs w:val="28"/>
        </w:rPr>
        <w:t xml:space="preserve">固定总价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固定单价</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固定费率</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 xml:space="preserve">成本补偿 </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绩效激励</w:t>
      </w:r>
      <w:r>
        <w:rPr>
          <w:rFonts w:hint="eastAsia" w:ascii="仿宋" w:hAnsi="仿宋" w:eastAsia="仿宋" w:cs="仿宋"/>
          <w:iCs/>
          <w:color w:val="auto"/>
          <w:sz w:val="28"/>
          <w:szCs w:val="28"/>
        </w:rPr>
        <w:sym w:font="Wingdings" w:char="00A8"/>
      </w:r>
      <w:r>
        <w:rPr>
          <w:rFonts w:hint="eastAsia" w:ascii="仿宋" w:hAnsi="仿宋" w:eastAsia="仿宋" w:cs="仿宋"/>
          <w:iCs/>
          <w:color w:val="auto"/>
          <w:sz w:val="28"/>
          <w:szCs w:val="28"/>
        </w:rPr>
        <w:t>其他</w:t>
      </w:r>
    </w:p>
    <w:p w14:paraId="5266C60A">
      <w:pPr>
        <w:pStyle w:val="69"/>
        <w:adjustRightInd w:val="0"/>
        <w:snapToGrid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rPr>
        <w:t>3</w:t>
      </w:r>
      <w:r>
        <w:rPr>
          <w:rFonts w:hint="eastAsia" w:ascii="仿宋" w:hAnsi="仿宋" w:eastAsia="仿宋" w:cs="仿宋"/>
          <w:color w:val="auto"/>
          <w:sz w:val="28"/>
          <w:szCs w:val="28"/>
        </w:rPr>
        <w:t>）付款方式（按项目实际勾选填写）：</w:t>
      </w:r>
    </w:p>
    <w:p w14:paraId="65150F28">
      <w:pPr>
        <w:adjustRightInd w:val="0"/>
        <w:snapToGrid w:val="0"/>
        <w:spacing w:line="360" w:lineRule="auto"/>
        <w:ind w:firstLine="840" w:firstLineChars="300"/>
        <w:rPr>
          <w:rFonts w:hint="eastAsia" w:ascii="仿宋" w:hAnsi="仿宋" w:eastAsia="仿宋" w:cs="仿宋"/>
          <w:color w:val="auto"/>
          <w:sz w:val="28"/>
          <w:szCs w:val="28"/>
          <w:u w:val="single"/>
        </w:rPr>
      </w:pPr>
      <w:r>
        <w:rPr>
          <w:rFonts w:hint="eastAsia" w:ascii="仿宋" w:hAnsi="仿宋" w:eastAsia="仿宋" w:cs="仿宋"/>
          <w:iCs/>
          <w:color w:val="auto"/>
          <w:sz w:val="28"/>
          <w:szCs w:val="28"/>
        </w:rPr>
        <w:sym w:font="Wingdings" w:char="00FE"/>
      </w:r>
      <w:r>
        <w:rPr>
          <w:rFonts w:hint="eastAsia" w:ascii="仿宋" w:hAnsi="仿宋" w:eastAsia="仿宋" w:cs="仿宋"/>
          <w:color w:val="auto"/>
          <w:sz w:val="28"/>
          <w:szCs w:val="28"/>
        </w:rPr>
        <w:t>全额付款：</w:t>
      </w:r>
      <w:r>
        <w:rPr>
          <w:rFonts w:hint="eastAsia" w:ascii="仿宋" w:hAnsi="仿宋" w:eastAsia="仿宋" w:cs="仿宋"/>
          <w:color w:val="auto"/>
          <w:sz w:val="28"/>
          <w:szCs w:val="28"/>
          <w:u w:val="single"/>
        </w:rPr>
        <w:t xml:space="preserve">     验收合格后一次性支付合同款。                    </w:t>
      </w:r>
    </w:p>
    <w:p w14:paraId="5E558DD5">
      <w:pPr>
        <w:adjustRightInd w:val="0"/>
        <w:snapToGrid w:val="0"/>
        <w:spacing w:line="360" w:lineRule="auto"/>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付款采用财政集中支付，遵从财政相关规定付款。</w:t>
      </w:r>
    </w:p>
    <w:p w14:paraId="0E54ED6A">
      <w:pPr>
        <w:numPr>
          <w:ilvl w:val="0"/>
          <w:numId w:val="6"/>
        </w:numPr>
        <w:adjustRightInd w:val="0"/>
        <w:snapToGrid w:val="0"/>
        <w:spacing w:line="360" w:lineRule="auto"/>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乙方应于甲方付款前向甲方提供付款申请及开具等额且合法有效增值税发票，甲方收到付款申请及发票核对无误后，将价款支付至乙方指定账户。乙方未提交付款申请及未开具发票或开具发票不符合甲方要求的，甲方有权拒绝付款且不承担任何违约责任。</w:t>
      </w:r>
    </w:p>
    <w:p w14:paraId="42597D28">
      <w:pPr>
        <w:numPr>
          <w:ilvl w:val="0"/>
          <w:numId w:val="6"/>
        </w:numPr>
        <w:adjustRightInd w:val="0"/>
        <w:snapToGrid w:val="0"/>
        <w:spacing w:line="360" w:lineRule="auto"/>
        <w:ind w:firstLine="1134" w:firstLineChars="405"/>
        <w:rPr>
          <w:rFonts w:hint="eastAsia" w:ascii="仿宋" w:hAnsi="仿宋" w:eastAsia="仿宋" w:cs="仿宋"/>
          <w:color w:val="auto"/>
          <w:sz w:val="28"/>
          <w:szCs w:val="28"/>
        </w:rPr>
      </w:pPr>
      <w:r>
        <w:rPr>
          <w:rFonts w:hint="eastAsia" w:ascii="仿宋" w:hAnsi="仿宋" w:eastAsia="仿宋" w:cs="仿宋"/>
          <w:color w:val="auto"/>
          <w:sz w:val="28"/>
          <w:szCs w:val="28"/>
        </w:rPr>
        <w:t>甲方开票信息如下：甲方户名：</w:t>
      </w:r>
      <w:r>
        <w:rPr>
          <w:rFonts w:hint="eastAsia" w:ascii="仿宋" w:hAnsi="仿宋" w:eastAsia="仿宋" w:cs="仿宋"/>
          <w:color w:val="auto"/>
          <w:sz w:val="28"/>
          <w:szCs w:val="28"/>
          <w:lang w:eastAsia="zh-CN"/>
        </w:rPr>
        <w:t>昆明市东川区殡仪馆</w:t>
      </w:r>
      <w:r>
        <w:rPr>
          <w:rFonts w:hint="eastAsia" w:ascii="仿宋" w:hAnsi="仿宋" w:eastAsia="仿宋" w:cs="仿宋"/>
          <w:color w:val="auto"/>
          <w:sz w:val="28"/>
          <w:szCs w:val="28"/>
        </w:rPr>
        <w:t>；地址：</w:t>
      </w:r>
      <w:r>
        <w:rPr>
          <w:rFonts w:hint="eastAsia" w:ascii="仿宋" w:hAnsi="仿宋" w:eastAsia="仿宋" w:cs="仿宋"/>
          <w:color w:val="auto"/>
          <w:sz w:val="28"/>
          <w:szCs w:val="28"/>
          <w:lang w:eastAsia="zh-CN"/>
        </w:rPr>
        <w:t>昆明市东川区新村北郊</w:t>
      </w:r>
      <w:r>
        <w:rPr>
          <w:rFonts w:hint="eastAsia" w:ascii="仿宋" w:hAnsi="仿宋" w:eastAsia="仿宋" w:cs="仿宋"/>
          <w:color w:val="auto"/>
          <w:sz w:val="28"/>
          <w:szCs w:val="28"/>
        </w:rPr>
        <w:t>；甲方账号：</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；甲方开户行：</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；纳税人识别号：</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w:t>
      </w:r>
    </w:p>
    <w:p w14:paraId="111AAFEA">
      <w:pPr>
        <w:numPr>
          <w:ilvl w:val="0"/>
          <w:numId w:val="6"/>
        </w:numPr>
        <w:adjustRightInd w:val="0"/>
        <w:snapToGrid w:val="0"/>
        <w:spacing w:line="360" w:lineRule="auto"/>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乙方收款信息如下：乙方户名：              ；乙方账号：                  ；乙方开户行：                ；纳税人识别号：             。</w:t>
      </w:r>
    </w:p>
    <w:p w14:paraId="5A10B401">
      <w:pPr>
        <w:numPr>
          <w:ilvl w:val="0"/>
          <w:numId w:val="6"/>
        </w:numPr>
        <w:adjustRightInd w:val="0"/>
        <w:snapToGrid w:val="0"/>
        <w:spacing w:line="360" w:lineRule="auto"/>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若上述乙方收款账号发生变更的，乙方应及时书面通知甲方，否则，甲方将款项转至上述账户即视为乙方已收到相应款项。</w:t>
      </w:r>
    </w:p>
    <w:p w14:paraId="76EE5EB5">
      <w:pPr>
        <w:numPr>
          <w:ilvl w:val="0"/>
          <w:numId w:val="6"/>
        </w:numPr>
        <w:adjustRightInd w:val="0"/>
        <w:snapToGrid w:val="0"/>
        <w:spacing w:line="360" w:lineRule="auto"/>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鉴于甲方系财政拨款单位，甲方因未收到项目财政拨款经费或收到经费但因办理相关支付财政手续造成未能及时向乙方支付合同价款的，不能认定为违约，乙方应予谅解并保证正常的合同履行，同时甲方承诺在相关支付、采购手续办理完毕后，及时向乙方支付合同价款。</w:t>
      </w:r>
    </w:p>
    <w:p w14:paraId="0A5547C1">
      <w:pPr>
        <w:numPr>
          <w:ilvl w:val="0"/>
          <w:numId w:val="4"/>
        </w:numPr>
        <w:adjustRightInd w:val="0"/>
        <w:snapToGrid w:val="0"/>
        <w:spacing w:line="360" w:lineRule="auto"/>
        <w:ind w:firstLine="560" w:firstLineChars="200"/>
        <w:rPr>
          <w:rFonts w:hint="eastAsia" w:ascii="仿宋" w:hAnsi="仿宋" w:eastAsia="仿宋" w:cs="仿宋"/>
          <w:b/>
          <w:color w:val="auto"/>
          <w:sz w:val="28"/>
          <w:szCs w:val="28"/>
          <w:u w:val="single"/>
        </w:rPr>
      </w:pPr>
      <w:r>
        <w:rPr>
          <w:rFonts w:hint="eastAsia" w:ascii="仿宋" w:hAnsi="仿宋" w:eastAsia="仿宋" w:cs="仿宋"/>
          <w:b/>
          <w:color w:val="auto"/>
          <w:sz w:val="28"/>
          <w:szCs w:val="28"/>
        </w:rPr>
        <w:t>合同履行</w:t>
      </w:r>
    </w:p>
    <w:p w14:paraId="1AC6C9BF">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（1）起始日期：本项目合同服务期限为1年，合同履行期间若项目预算金额提前使用完毕，合同自动终止，采购人将不再继续履约供货，后续采购事宜另行安排。。</w:t>
      </w:r>
    </w:p>
    <w:p w14:paraId="6739523E">
      <w:pPr>
        <w:adjustRightInd w:val="0"/>
        <w:snapToGrid w:val="0"/>
        <w:spacing w:line="360" w:lineRule="auto"/>
        <w:ind w:firstLine="560" w:firstLineChars="200"/>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（2）履约地点</w:t>
      </w:r>
      <w:r>
        <w:rPr>
          <w:rFonts w:hint="eastAsia" w:ascii="仿宋" w:hAnsi="仿宋" w:eastAsia="仿宋" w:cs="仿宋"/>
          <w:bCs/>
          <w:color w:val="auto"/>
          <w:sz w:val="28"/>
          <w:szCs w:val="28"/>
        </w:rPr>
        <w:t>：</w:t>
      </w:r>
      <w:r>
        <w:rPr>
          <w:rFonts w:hint="eastAsia" w:ascii="仿宋" w:hAnsi="仿宋" w:eastAsia="仿宋" w:cs="仿宋"/>
          <w:color w:val="auto"/>
          <w:sz w:val="28"/>
          <w:szCs w:val="28"/>
          <w:u w:val="single"/>
          <w:lang w:eastAsia="zh-CN"/>
        </w:rPr>
        <w:t>昆明市东川区殡仪馆</w:t>
      </w:r>
    </w:p>
    <w:p w14:paraId="0E0ED955">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（3）履约担保：</w:t>
      </w:r>
      <w:r>
        <w:rPr>
          <w:rFonts w:hint="eastAsia" w:ascii="仿宋" w:hAnsi="仿宋" w:eastAsia="仿宋" w:cs="仿宋"/>
          <w:color w:val="auto"/>
          <w:sz w:val="28"/>
          <w:szCs w:val="28"/>
        </w:rPr>
        <w:t>是否收取履约保证金：</w:t>
      </w:r>
      <w:r>
        <w:rPr>
          <w:rFonts w:hint="eastAsia" w:ascii="仿宋" w:hAnsi="仿宋" w:eastAsia="仿宋" w:cs="仿宋"/>
          <w:color w:val="auto"/>
          <w:sz w:val="28"/>
          <w:szCs w:val="28"/>
        </w:rPr>
        <w:sym w:font="Wingdings" w:char="00A8"/>
      </w:r>
      <w:r>
        <w:rPr>
          <w:rFonts w:hint="eastAsia" w:ascii="仿宋" w:hAnsi="仿宋" w:eastAsia="仿宋" w:cs="仿宋"/>
          <w:color w:val="auto"/>
          <w:sz w:val="28"/>
          <w:szCs w:val="28"/>
        </w:rPr>
        <w:t>是</w:t>
      </w:r>
      <w:r>
        <w:rPr>
          <w:rFonts w:hint="eastAsia" w:ascii="仿宋" w:hAnsi="仿宋" w:eastAsia="仿宋" w:cs="仿宋"/>
          <w:iCs/>
          <w:color w:val="auto"/>
          <w:sz w:val="28"/>
          <w:szCs w:val="28"/>
        </w:rPr>
        <w:sym w:font="Wingdings" w:char="00FE"/>
      </w:r>
      <w:r>
        <w:rPr>
          <w:rFonts w:hint="eastAsia" w:ascii="仿宋" w:hAnsi="仿宋" w:eastAsia="仿宋" w:cs="仿宋"/>
          <w:color w:val="auto"/>
          <w:sz w:val="28"/>
          <w:szCs w:val="28"/>
        </w:rPr>
        <w:t>否</w:t>
      </w:r>
    </w:p>
    <w:p w14:paraId="47869DCD">
      <w:pPr>
        <w:pStyle w:val="46"/>
        <w:snapToGrid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收取履约保证金形式：</w:t>
      </w:r>
    </w:p>
    <w:p w14:paraId="2D430719">
      <w:pPr>
        <w:pStyle w:val="46"/>
        <w:snapToGrid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收取履约保证金金额：</w:t>
      </w:r>
    </w:p>
    <w:p w14:paraId="3581A3A7">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    履约担保期限：</w:t>
      </w:r>
    </w:p>
    <w:p w14:paraId="22919429">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交付与验收</w:t>
      </w:r>
    </w:p>
    <w:p w14:paraId="27D59F17">
      <w:pPr>
        <w:widowControl/>
        <w:spacing w:beforeAutospacing="1"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4.1交付时间：本项目合同服务期限为1年，合同履行期间若项目预算金额提前使用完毕，合同自动终止，采购人将不再继续履约供货，后续采购事宜另行安排。</w:t>
      </w:r>
    </w:p>
    <w:p w14:paraId="75CCB870">
      <w:pPr>
        <w:widowControl/>
        <w:spacing w:beforeAutospacing="1"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4.2交付地点：</w:t>
      </w:r>
      <w:r>
        <w:rPr>
          <w:rFonts w:hint="eastAsia" w:ascii="仿宋" w:hAnsi="仿宋" w:eastAsia="仿宋" w:cs="仿宋"/>
          <w:color w:val="auto"/>
          <w:sz w:val="28"/>
          <w:szCs w:val="28"/>
          <w:lang w:eastAsia="zh-CN"/>
        </w:rPr>
        <w:t>昆明市东川区</w:t>
      </w:r>
      <w:r>
        <w:rPr>
          <w:rFonts w:hint="eastAsia" w:ascii="仿宋" w:hAnsi="仿宋" w:eastAsia="仿宋" w:cs="仿宋"/>
          <w:color w:val="auto"/>
          <w:sz w:val="28"/>
          <w:szCs w:val="28"/>
        </w:rPr>
        <w:t>（甲方指定地点）。</w:t>
      </w:r>
    </w:p>
    <w:p w14:paraId="44FCD71C">
      <w:pPr>
        <w:widowControl/>
        <w:spacing w:beforeAutospacing="1"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4.3运输与包装：乙方负责运输及包装，确保产品完好，费用由乙方承担。产品的包装应适于长途运输和反复装卸，并且乙方应根据产品不同的特性和要求采取防潮、防雨、防锈、防震、防腐等保护措施，以保证产品安全无损地到达甲方指定地点。乙方将承担因包装不当导致交付的产品受损的责任。产品安全到达指定交付地点并交付甲方之前，有关产品的包装、运输、装卸、保险等费用以及运输、装卸过程中产品的毁损或灭失等风险均由乙方承担。乙方在搬运、安装产品等过程中发生的安全事故由乙方自行承担所有法律责任，包含且不限于民事赔偿、行政处罚、刑事责任等，若导致甲方损失或赔偿的，甲方有权向乙方追偿。</w:t>
      </w:r>
    </w:p>
    <w:p w14:paraId="4B28DE46">
      <w:pPr>
        <w:widowControl/>
        <w:spacing w:beforeAutospacing="1"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4.4到货检验：</w:t>
      </w:r>
    </w:p>
    <w:p w14:paraId="41B39E80">
      <w:pPr>
        <w:widowControl/>
        <w:spacing w:before="30" w:afterAutospacing="1" w:line="210" w:lineRule="atLeast"/>
        <w:ind w:left="1079" w:leftChars="514" w:firstLine="420" w:firstLineChars="150"/>
        <w:rPr>
          <w:rFonts w:hint="eastAsia" w:ascii="仿宋" w:hAnsi="仿宋" w:eastAsia="仿宋" w:cs="仿宋"/>
          <w:color w:val="auto"/>
          <w:sz w:val="28"/>
          <w:szCs w:val="28"/>
        </w:rPr>
      </w:pPr>
      <w:r>
        <w:rPr>
          <w:rFonts w:hint="eastAsia" w:ascii="仿宋" w:hAnsi="仿宋" w:eastAsia="仿宋" w:cs="仿宋"/>
          <w:color w:val="auto"/>
          <w:sz w:val="28"/>
          <w:szCs w:val="28"/>
        </w:rPr>
        <w:t>4.4.1甲方对产品外观、数量、型号进行核对；</w:t>
      </w:r>
    </w:p>
    <w:p w14:paraId="3A0BF691">
      <w:pPr>
        <w:widowControl/>
        <w:spacing w:before="30" w:afterAutospacing="1" w:line="210" w:lineRule="atLeast"/>
        <w:ind w:left="1079" w:leftChars="514" w:firstLine="420" w:firstLineChars="150"/>
        <w:rPr>
          <w:rFonts w:hint="eastAsia" w:ascii="仿宋" w:hAnsi="仿宋" w:eastAsia="仿宋" w:cs="仿宋"/>
          <w:color w:val="auto"/>
          <w:sz w:val="28"/>
          <w:szCs w:val="28"/>
        </w:rPr>
      </w:pPr>
      <w:r>
        <w:rPr>
          <w:rFonts w:hint="eastAsia" w:ascii="仿宋" w:hAnsi="仿宋" w:eastAsia="仿宋" w:cs="仿宋"/>
          <w:color w:val="auto"/>
          <w:sz w:val="28"/>
          <w:szCs w:val="28"/>
        </w:rPr>
        <w:t>4.4.</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若乙方提供的产品不符合质量要求，则乙方应在收到甲方提出的书面异议10日内另行提供符合质量要求的产品，若不按期提供，甲方有权要求乙方退货并赔偿相应损失。货物在质保期内出现的任何问题，由乙方免费更换或维修。</w:t>
      </w:r>
    </w:p>
    <w:p w14:paraId="53587C66">
      <w:pPr>
        <w:widowControl/>
        <w:spacing w:before="30" w:afterAutospacing="1" w:line="210" w:lineRule="atLeast"/>
        <w:ind w:left="1079" w:leftChars="514" w:firstLine="420" w:firstLineChars="15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4.4.3</w:t>
      </w:r>
      <w:r>
        <w:rPr>
          <w:rFonts w:hint="eastAsia" w:ascii="仿宋" w:hAnsi="仿宋" w:eastAsia="仿宋" w:cs="仿宋"/>
          <w:color w:val="auto"/>
          <w:sz w:val="28"/>
          <w:szCs w:val="28"/>
        </w:rPr>
        <w:t>甲方仅对产品的数量和外观进行检验，并不因此减轻或免除乙方所应承担的质量保证责任，若甲方在使用过程中发现产品有质量瑕疵的，甲方仍有权要求乙方采取退货、更换等补救措施。</w:t>
      </w:r>
    </w:p>
    <w:p w14:paraId="3BBBDAC1">
      <w:pPr>
        <w:widowControl/>
        <w:spacing w:before="60"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4.5验收标准：本项目实行逐批次、全维度验收制度，验收结果作为结算唯一依据，具体标准如下：</w:t>
      </w:r>
    </w:p>
    <w:p w14:paraId="6832F392">
      <w:pPr>
        <w:widowControl/>
        <w:spacing w:before="60"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1. 数量验收：每批次供货数量与采购人补货通知、采购清单完全一致，无短缺、错发、漏发、多发，按需供货、精准匹配需求。</w:t>
      </w:r>
    </w:p>
    <w:p w14:paraId="35A2A634">
      <w:pPr>
        <w:widowControl/>
        <w:spacing w:before="60"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2. 质量验收：所有产品材质、规格、尺寸、工艺、包装、性能完全符合本方案细化技术参数及国家、行业标准，无任何质量瑕疵，阻燃、环保、安全、防疫指标全部达标。</w:t>
      </w:r>
    </w:p>
    <w:p w14:paraId="1DFFE9A8">
      <w:pPr>
        <w:widowControl/>
        <w:spacing w:before="60"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3. 资料验收：每批次随货附带完整的产品合格证、第三方质检报告、环保检测报告、阻燃检测证明、材质溯源资料，资料真实有效、可查可溯。</w:t>
      </w:r>
    </w:p>
    <w:p w14:paraId="1C44781A">
      <w:pPr>
        <w:widowControl/>
        <w:spacing w:before="60" w:afterAutospacing="1" w:line="210" w:lineRule="atLeast"/>
        <w:ind w:left="360" w:firstLine="632" w:firstLineChars="226"/>
        <w:rPr>
          <w:rFonts w:hint="eastAsia" w:ascii="仿宋" w:hAnsi="仿宋" w:eastAsia="仿宋" w:cs="仿宋"/>
          <w:color w:val="auto"/>
          <w:sz w:val="28"/>
          <w:szCs w:val="28"/>
        </w:rPr>
      </w:pPr>
      <w:r>
        <w:rPr>
          <w:rFonts w:hint="eastAsia" w:ascii="仿宋" w:hAnsi="仿宋" w:eastAsia="仿宋" w:cs="仿宋"/>
          <w:color w:val="auto"/>
          <w:sz w:val="28"/>
          <w:szCs w:val="28"/>
        </w:rPr>
        <w:t>4. 不合格处置：凡验收不合格、参数不达标、资料缺失、存在质量瑕疵的产品，供应商须无条件免费退换货，在采购人规定时限内完成整改补货，承担全部运输、损耗、误工损失及相关责任，逾期未整改的，采购人有权扣除相应履约保证金、终止供货资格。</w:t>
      </w:r>
    </w:p>
    <w:p w14:paraId="4C02E3D3">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质量保障与售后服务</w:t>
      </w:r>
    </w:p>
    <w:p w14:paraId="2C1E66D8">
      <w:pPr>
        <w:widowControl/>
        <w:spacing w:before="30" w:afterAutospacing="1" w:line="210" w:lineRule="atLeast"/>
        <w:ind w:left="1080"/>
        <w:rPr>
          <w:rFonts w:hint="eastAsia" w:ascii="仿宋" w:hAnsi="仿宋" w:eastAsia="仿宋" w:cs="仿宋"/>
          <w:color w:val="auto"/>
          <w:sz w:val="28"/>
          <w:szCs w:val="28"/>
        </w:rPr>
      </w:pPr>
      <w:r>
        <w:rPr>
          <w:rFonts w:hint="eastAsia" w:ascii="仿宋" w:hAnsi="仿宋" w:eastAsia="仿宋" w:cs="仿宋"/>
          <w:color w:val="auto"/>
          <w:sz w:val="28"/>
          <w:szCs w:val="28"/>
        </w:rPr>
        <w:t>1. 全品类产品提供不少于1年质保服务，质保期内出现材质缺陷、工艺瑕疵、自然开裂、霉变、掉漆、破损等非人为质量问题，供应商无条件免费更换、补货、售后维修。</w:t>
      </w:r>
    </w:p>
    <w:p w14:paraId="0164320C">
      <w:pPr>
        <w:widowControl/>
        <w:spacing w:before="30" w:afterAutospacing="1" w:line="210" w:lineRule="atLeast"/>
        <w:ind w:left="1080"/>
        <w:rPr>
          <w:rFonts w:hint="eastAsia" w:ascii="仿宋" w:hAnsi="仿宋" w:eastAsia="仿宋" w:cs="仿宋"/>
          <w:color w:val="auto"/>
          <w:sz w:val="28"/>
          <w:szCs w:val="28"/>
        </w:rPr>
      </w:pPr>
      <w:r>
        <w:rPr>
          <w:rFonts w:hint="eastAsia" w:ascii="仿宋" w:hAnsi="仿宋" w:eastAsia="仿宋" w:cs="仿宋"/>
          <w:color w:val="auto"/>
          <w:sz w:val="28"/>
          <w:szCs w:val="28"/>
        </w:rPr>
        <w:t>2. 供应商须配备专属固定对接人员，全程对接供货、补货、验收、结算、售后咨询、问题整改等全部工作，保持24小时通讯畅通，响应及时、服务规范。</w:t>
      </w:r>
    </w:p>
    <w:p w14:paraId="5C6D6700">
      <w:pPr>
        <w:widowControl/>
        <w:spacing w:before="30" w:afterAutospacing="1" w:line="210" w:lineRule="atLeast"/>
        <w:ind w:left="1080"/>
        <w:rPr>
          <w:rFonts w:hint="eastAsia" w:ascii="仿宋" w:hAnsi="仿宋" w:eastAsia="仿宋" w:cs="仿宋"/>
          <w:color w:val="auto"/>
          <w:sz w:val="28"/>
          <w:szCs w:val="28"/>
        </w:rPr>
      </w:pPr>
      <w:r>
        <w:rPr>
          <w:rFonts w:hint="eastAsia" w:ascii="仿宋" w:hAnsi="仿宋" w:eastAsia="仿宋" w:cs="仿宋"/>
          <w:color w:val="auto"/>
          <w:sz w:val="28"/>
          <w:szCs w:val="28"/>
        </w:rPr>
        <w:t>3. 建立专项应急供货保障机制，针对遗体紧急处置、突发大批量服务、突发物资短缺等应急场景，优先响应、极速供货，全力保障殡仪馆殡仪服务正常有序开展，杜绝因物资问题影响公共服务。</w:t>
      </w:r>
    </w:p>
    <w:p w14:paraId="36543EA7">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双方权利与义务</w:t>
      </w:r>
    </w:p>
    <w:p w14:paraId="7EFA53CD">
      <w:pPr>
        <w:widowControl/>
        <w:spacing w:before="30" w:afterAutospacing="1" w:line="210" w:lineRule="atLeast"/>
        <w:ind w:firstLine="980" w:firstLineChars="350"/>
        <w:rPr>
          <w:rFonts w:hint="eastAsia" w:ascii="仿宋" w:hAnsi="仿宋" w:eastAsia="仿宋" w:cs="仿宋"/>
          <w:color w:val="auto"/>
          <w:sz w:val="28"/>
          <w:szCs w:val="28"/>
        </w:rPr>
      </w:pPr>
      <w:r>
        <w:rPr>
          <w:rFonts w:hint="eastAsia" w:ascii="仿宋" w:hAnsi="仿宋" w:eastAsia="仿宋" w:cs="仿宋"/>
          <w:color w:val="auto"/>
          <w:sz w:val="28"/>
          <w:szCs w:val="28"/>
        </w:rPr>
        <w:t>6.1甲方：</w:t>
      </w:r>
    </w:p>
    <w:p w14:paraId="54E811B8">
      <w:pPr>
        <w:widowControl/>
        <w:spacing w:before="30" w:afterAutospacing="1" w:line="210" w:lineRule="atLeast"/>
        <w:ind w:left="1080"/>
        <w:rPr>
          <w:rFonts w:hint="eastAsia" w:ascii="仿宋" w:hAnsi="仿宋" w:eastAsia="仿宋" w:cs="仿宋"/>
          <w:color w:val="auto"/>
          <w:sz w:val="28"/>
          <w:szCs w:val="28"/>
        </w:rPr>
      </w:pPr>
      <w:r>
        <w:rPr>
          <w:rFonts w:hint="eastAsia" w:ascii="仿宋" w:hAnsi="仿宋" w:eastAsia="仿宋" w:cs="仿宋"/>
          <w:color w:val="auto"/>
          <w:sz w:val="28"/>
          <w:szCs w:val="28"/>
        </w:rPr>
        <w:t>按时支付款项，提供必要的安装场地及协作；</w:t>
      </w:r>
    </w:p>
    <w:p w14:paraId="2F417AE7">
      <w:pPr>
        <w:widowControl/>
        <w:spacing w:before="30" w:afterAutospacing="1" w:line="210" w:lineRule="atLeast"/>
        <w:ind w:left="1080"/>
        <w:rPr>
          <w:rFonts w:hint="eastAsia" w:ascii="仿宋" w:hAnsi="仿宋" w:eastAsia="仿宋" w:cs="仿宋"/>
          <w:color w:val="auto"/>
          <w:sz w:val="28"/>
          <w:szCs w:val="28"/>
        </w:rPr>
      </w:pPr>
      <w:r>
        <w:rPr>
          <w:rFonts w:hint="eastAsia" w:ascii="仿宋" w:hAnsi="仿宋" w:eastAsia="仿宋" w:cs="仿宋"/>
          <w:color w:val="auto"/>
          <w:sz w:val="28"/>
          <w:szCs w:val="28"/>
        </w:rPr>
        <w:t>按约定参与验收，提出合理质量异议。</w:t>
      </w:r>
    </w:p>
    <w:p w14:paraId="02503FFD">
      <w:pPr>
        <w:widowControl/>
        <w:spacing w:before="30" w:afterAutospacing="1" w:line="210" w:lineRule="atLeast"/>
        <w:ind w:left="1080"/>
        <w:rPr>
          <w:rFonts w:hint="eastAsia" w:ascii="仿宋" w:hAnsi="仿宋" w:eastAsia="仿宋" w:cs="仿宋"/>
          <w:color w:val="auto"/>
          <w:sz w:val="28"/>
          <w:szCs w:val="28"/>
        </w:rPr>
      </w:pPr>
      <w:r>
        <w:rPr>
          <w:rFonts w:hint="eastAsia" w:ascii="仿宋" w:hAnsi="仿宋" w:eastAsia="仿宋" w:cs="仿宋"/>
          <w:color w:val="auto"/>
          <w:sz w:val="28"/>
          <w:szCs w:val="28"/>
        </w:rPr>
        <w:t>6.2乙方：</w:t>
      </w:r>
    </w:p>
    <w:p w14:paraId="311E5A0F">
      <w:pPr>
        <w:widowControl/>
        <w:spacing w:before="30" w:afterAutospacing="1" w:line="210" w:lineRule="atLeast"/>
        <w:ind w:left="1080"/>
        <w:rPr>
          <w:rFonts w:hint="eastAsia" w:ascii="仿宋" w:hAnsi="仿宋" w:eastAsia="仿宋" w:cs="仿宋"/>
          <w:color w:val="auto"/>
          <w:sz w:val="28"/>
          <w:szCs w:val="28"/>
        </w:rPr>
      </w:pPr>
      <w:r>
        <w:rPr>
          <w:rFonts w:hint="eastAsia" w:ascii="仿宋" w:hAnsi="仿宋" w:eastAsia="仿宋" w:cs="仿宋"/>
          <w:color w:val="auto"/>
          <w:sz w:val="28"/>
          <w:szCs w:val="28"/>
        </w:rPr>
        <w:t>6.2.1按时交付合格产品及相关资质文件；</w:t>
      </w:r>
    </w:p>
    <w:p w14:paraId="4485D8E3">
      <w:pPr>
        <w:widowControl/>
        <w:spacing w:before="30" w:afterAutospacing="1" w:line="210" w:lineRule="atLeast"/>
        <w:ind w:left="1080"/>
        <w:rPr>
          <w:rFonts w:hint="eastAsia" w:ascii="仿宋" w:hAnsi="仿宋" w:eastAsia="仿宋" w:cs="仿宋"/>
          <w:color w:val="auto"/>
          <w:sz w:val="28"/>
          <w:szCs w:val="28"/>
        </w:rPr>
      </w:pPr>
      <w:r>
        <w:rPr>
          <w:rFonts w:hint="eastAsia" w:ascii="仿宋" w:hAnsi="仿宋" w:eastAsia="仿宋" w:cs="仿宋"/>
          <w:color w:val="auto"/>
          <w:sz w:val="28"/>
          <w:szCs w:val="28"/>
        </w:rPr>
        <w:t>6.2.2提供培训、技术支持及售后服务；</w:t>
      </w:r>
    </w:p>
    <w:p w14:paraId="30B15A43">
      <w:pPr>
        <w:widowControl/>
        <w:spacing w:before="30" w:afterAutospacing="1" w:line="210" w:lineRule="atLeast"/>
        <w:ind w:firstLine="1120" w:firstLineChars="400"/>
        <w:rPr>
          <w:rFonts w:hint="eastAsia" w:ascii="仿宋" w:hAnsi="仿宋" w:eastAsia="仿宋" w:cs="仿宋"/>
          <w:color w:val="auto"/>
          <w:sz w:val="28"/>
          <w:szCs w:val="28"/>
        </w:rPr>
      </w:pPr>
      <w:r>
        <w:rPr>
          <w:rFonts w:hint="eastAsia" w:ascii="仿宋" w:hAnsi="仿宋" w:eastAsia="仿宋" w:cs="仿宋"/>
          <w:color w:val="auto"/>
          <w:sz w:val="28"/>
          <w:szCs w:val="28"/>
        </w:rPr>
        <w:t>6.2.</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p>
    <w:p w14:paraId="371D66EE">
      <w:pPr>
        <w:widowControl/>
        <w:spacing w:before="30" w:afterAutospacing="1" w:line="210" w:lineRule="atLeast"/>
        <w:ind w:left="1079" w:leftChars="514" w:firstLine="420" w:firstLineChars="150"/>
        <w:rPr>
          <w:rFonts w:hint="eastAsia" w:ascii="仿宋" w:hAnsi="仿宋" w:eastAsia="仿宋" w:cs="仿宋"/>
          <w:color w:val="auto"/>
          <w:sz w:val="28"/>
          <w:szCs w:val="28"/>
        </w:rPr>
      </w:pPr>
      <w:r>
        <w:rPr>
          <w:rFonts w:hint="eastAsia" w:ascii="仿宋" w:hAnsi="仿宋" w:eastAsia="仿宋" w:cs="仿宋"/>
          <w:color w:val="auto"/>
          <w:sz w:val="28"/>
          <w:szCs w:val="28"/>
        </w:rPr>
        <w:t>6.2.</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乙方承诺向甲方交付的产品不存在任何侵犯第三方所有权、知识产权、使用权等合法权益的情形。若因乙方交付的产品侵犯第三方的所有权、知识产权、使用权等合法权益而引起或者乙方及其人员因违反本合同的约定而引起第三方对甲方的任何交涉、要求、索赔或诉讼，乙方承诺和保证为甲方抗辩，采取一切措施使甲方不牵涉到任何有关的纠纷当中，保护甲方利益不受损害。因上述原因导致的一切责任和费用均由乙方自行承担，并应对甲方由此产生的损失（包括但不限于律师代理费、诉讼费、赔偿费、为处理纠纷所付出的合理支出及其它相关合理费用）进行赔偿。</w:t>
      </w:r>
    </w:p>
    <w:p w14:paraId="31B591CD">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违约责任</w:t>
      </w:r>
    </w:p>
    <w:p w14:paraId="2DAB6AC5">
      <w:pPr>
        <w:widowControl/>
        <w:spacing w:before="30" w:afterAutospacing="1" w:line="21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7.1乙方逾期交付的，每逾期 1 日按合同总金额的</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支付违约金，逾期超过 30 日，甲方有权解除合同，乙方向甲方支付合同金额【1】%的违约金，违约金不足以弥补甲方损失的，乙方应继续赔偿。</w:t>
      </w:r>
    </w:p>
    <w:p w14:paraId="7A9ED916">
      <w:pPr>
        <w:widowControl/>
        <w:spacing w:before="30" w:afterAutospacing="1" w:line="21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7.2乙方提供产品质量不合格的，乙方应在 10 日内更换合格产品，逾期按7.1条约定逾期交付处理。经过更换后仍不符合合同约定的，乙方应向甲方支付合同金额【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】%的违约金，违约金不足以弥补甲方损失的，乙方应继续赔偿。</w:t>
      </w:r>
    </w:p>
    <w:p w14:paraId="63C1C791">
      <w:pPr>
        <w:widowControl/>
        <w:spacing w:before="30" w:afterAutospacing="1" w:line="21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7.3合同签订后，除本合同约定的情形外，如乙方擅自终止或解除合同的，乙方应向甲方支付合同金额【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】%的违约金并返还甲方已支付的全部费用（如有），违约金不足以弥补甲方损失的，乙方应继续赔偿。</w:t>
      </w:r>
    </w:p>
    <w:p w14:paraId="3A87FD4C">
      <w:pPr>
        <w:widowControl/>
        <w:spacing w:before="30" w:afterAutospacing="1" w:line="21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7.4乙方有其他违约行为，经甲方书面通知后，乙方应在该通知指定的期限内更正，并应在收到甲方的书面通知之日起【10】日内向甲方支付合同金额【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】%作为违约金；指定的期限内仍未更正且致使本合同目的无法实现的，甲方有权解除合同，乙方应在收到甲方的书面解除通知之日起【10】日内向甲方支付合同金额【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】%作为违约金、返还甲方已支付的全部费用（如有）并承担因此产生的费用及甲方损失。</w:t>
      </w:r>
    </w:p>
    <w:p w14:paraId="7A961051">
      <w:pPr>
        <w:widowControl/>
        <w:spacing w:before="30" w:afterAutospacing="1" w:line="21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7.5乙方出现擅自将本合同约定服务转交第三方完成的，甲方有权解除本合同，要求乙方返还甲方已支付的全部费用（如有）并支付合同金额【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】%的违约金，违约金不足以弥补甲方损失的，乙方还应承担赔偿责任。</w:t>
      </w:r>
    </w:p>
    <w:p w14:paraId="1F8B55FD">
      <w:pPr>
        <w:widowControl/>
        <w:spacing w:before="30" w:afterAutospacing="1" w:line="21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7.6乙方违反本合同的约定需支付违约金或赔偿金的，甲方有权直接自应付款项中予以扣除。</w:t>
      </w:r>
    </w:p>
    <w:p w14:paraId="31E4AE4E">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组成合同的文件</w:t>
      </w:r>
    </w:p>
    <w:p w14:paraId="35436364">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本协议书与中标（成交）通知书一起构成合同文件，采购文件未列入合同但乙方需按采购文件承诺、售后服务和技术方案提供服务和保障。</w:t>
      </w:r>
    </w:p>
    <w:p w14:paraId="18D5EBDB">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合同生效</w:t>
      </w:r>
    </w:p>
    <w:p w14:paraId="4889D0AD">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本合同自双方法定代表人或授权代表签字并加盖公章之日起生效。</w:t>
      </w:r>
    </w:p>
    <w:p w14:paraId="132E561A">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合同份数</w:t>
      </w:r>
    </w:p>
    <w:p w14:paraId="13DCD695">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本合同一式</w:t>
      </w:r>
      <w:r>
        <w:rPr>
          <w:rFonts w:hint="eastAsia" w:ascii="仿宋" w:hAnsi="仿宋" w:eastAsia="仿宋" w:cs="仿宋"/>
          <w:color w:val="auto"/>
          <w:sz w:val="28"/>
          <w:szCs w:val="28"/>
          <w:u w:val="single"/>
        </w:rPr>
        <w:t>4</w:t>
      </w:r>
      <w:r>
        <w:rPr>
          <w:rFonts w:hint="eastAsia" w:ascii="仿宋" w:hAnsi="仿宋" w:eastAsia="仿宋" w:cs="仿宋"/>
          <w:color w:val="auto"/>
          <w:sz w:val="28"/>
          <w:szCs w:val="28"/>
        </w:rPr>
        <w:t>份，甲方执</w:t>
      </w:r>
      <w:r>
        <w:rPr>
          <w:rFonts w:hint="eastAsia" w:ascii="仿宋" w:hAnsi="仿宋" w:eastAsia="仿宋" w:cs="仿宋"/>
          <w:color w:val="auto"/>
          <w:sz w:val="28"/>
          <w:szCs w:val="28"/>
          <w:u w:val="single"/>
        </w:rPr>
        <w:t xml:space="preserve"> 2</w:t>
      </w:r>
      <w:r>
        <w:rPr>
          <w:rFonts w:hint="eastAsia" w:ascii="仿宋" w:hAnsi="仿宋" w:eastAsia="仿宋" w:cs="仿宋"/>
          <w:color w:val="auto"/>
          <w:sz w:val="28"/>
          <w:szCs w:val="28"/>
        </w:rPr>
        <w:t>份，乙方执</w:t>
      </w:r>
      <w:r>
        <w:rPr>
          <w:rFonts w:hint="eastAsia" w:ascii="仿宋" w:hAnsi="仿宋" w:eastAsia="仿宋" w:cs="仿宋"/>
          <w:color w:val="auto"/>
          <w:sz w:val="28"/>
          <w:szCs w:val="28"/>
          <w:u w:val="single"/>
        </w:rPr>
        <w:t xml:space="preserve">2 </w:t>
      </w:r>
      <w:r>
        <w:rPr>
          <w:rFonts w:hint="eastAsia" w:ascii="仿宋" w:hAnsi="仿宋" w:eastAsia="仿宋" w:cs="仿宋"/>
          <w:color w:val="auto"/>
          <w:sz w:val="28"/>
          <w:szCs w:val="28"/>
        </w:rPr>
        <w:t>份，均具有同等法律效力。</w:t>
      </w:r>
    </w:p>
    <w:p w14:paraId="142E4F63">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争议解决</w:t>
      </w:r>
    </w:p>
    <w:p w14:paraId="0FAC0120">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合同履行过程中产生争议的，双方可协商解决；协商不成的，应向甲方所在地有管辖权的人民法院提起诉讼解决。争议解决过程中，除双方有争议的部分外，本协议书其他部分仍然有效，各方应继续履行。诉讼中产生的合理费用包括但不限于律师费、差旅费、保全费、鉴定费等最终由违约方承担。</w:t>
      </w:r>
    </w:p>
    <w:p w14:paraId="0E41BA78">
      <w:pPr>
        <w:numPr>
          <w:ilvl w:val="0"/>
          <w:numId w:val="4"/>
        </w:numPr>
        <w:adjustRightInd w:val="0"/>
        <w:snapToGrid w:val="0"/>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其它</w:t>
      </w:r>
    </w:p>
    <w:p w14:paraId="1BA99179">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本合同未尽事宜，由甲乙双方协商，协商一致签订补充协议，补充协议与本合同具有同等法律效力。</w:t>
      </w:r>
    </w:p>
    <w:p w14:paraId="7431C76A">
      <w:pPr>
        <w:adjustRightInd w:val="0"/>
        <w:snapToGrid w:val="0"/>
        <w:spacing w:line="360" w:lineRule="auto"/>
        <w:ind w:firstLine="560" w:firstLineChars="200"/>
        <w:rPr>
          <w:rFonts w:hint="eastAsia" w:ascii="仿宋" w:hAnsi="仿宋" w:eastAsia="仿宋" w:cs="仿宋"/>
          <w:color w:val="auto"/>
          <w:sz w:val="28"/>
          <w:szCs w:val="28"/>
        </w:rPr>
      </w:pPr>
    </w:p>
    <w:p w14:paraId="1951A9F9">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合同订立日期：    年    月    日</w:t>
      </w:r>
    </w:p>
    <w:p w14:paraId="482B776A">
      <w:pPr>
        <w:adjustRightInd w:val="0"/>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合同订立地点：</w:t>
      </w:r>
    </w:p>
    <w:p w14:paraId="3F9CDA88">
      <w:pPr>
        <w:pStyle w:val="69"/>
        <w:adjustRightInd w:val="0"/>
        <w:snapToGrid w:val="0"/>
        <w:spacing w:line="360" w:lineRule="auto"/>
        <w:ind w:firstLine="560"/>
        <w:rPr>
          <w:rFonts w:hint="eastAsia" w:ascii="仿宋" w:hAnsi="仿宋" w:eastAsia="仿宋" w:cs="仿宋"/>
          <w:color w:val="auto"/>
          <w:sz w:val="28"/>
          <w:szCs w:val="28"/>
        </w:rPr>
      </w:pPr>
    </w:p>
    <w:p w14:paraId="0DC0FB6B">
      <w:pPr>
        <w:adjustRightInd w:val="0"/>
        <w:snapToGri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br w:type="page"/>
      </w:r>
    </w:p>
    <w:tbl>
      <w:tblPr>
        <w:tblStyle w:val="36"/>
        <w:tblW w:w="9817"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136"/>
        <w:gridCol w:w="2736"/>
        <w:gridCol w:w="1238"/>
        <w:gridCol w:w="4707"/>
      </w:tblGrid>
      <w:tr w14:paraId="6B23290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3872" w:type="dxa"/>
            <w:gridSpan w:val="2"/>
            <w:tcBorders>
              <w:bottom w:val="single" w:color="auto" w:sz="2" w:space="0"/>
              <w:right w:val="single" w:color="auto" w:sz="2" w:space="0"/>
            </w:tcBorders>
            <w:vAlign w:val="center"/>
          </w:tcPr>
          <w:p w14:paraId="3509ECF5">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甲方（采购人）</w:t>
            </w:r>
          </w:p>
        </w:tc>
        <w:tc>
          <w:tcPr>
            <w:tcW w:w="5945" w:type="dxa"/>
            <w:gridSpan w:val="2"/>
            <w:tcBorders>
              <w:left w:val="single" w:color="auto" w:sz="2" w:space="0"/>
              <w:bottom w:val="single" w:color="auto" w:sz="2" w:space="0"/>
            </w:tcBorders>
            <w:vAlign w:val="center"/>
          </w:tcPr>
          <w:p w14:paraId="0D765646">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乙方（供应商）</w:t>
            </w:r>
          </w:p>
        </w:tc>
      </w:tr>
      <w:tr w14:paraId="7CD783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36" w:type="dxa"/>
            <w:tcBorders>
              <w:top w:val="single" w:color="auto" w:sz="2" w:space="0"/>
              <w:bottom w:val="single" w:color="auto" w:sz="2" w:space="0"/>
              <w:right w:val="single" w:color="auto" w:sz="2" w:space="0"/>
            </w:tcBorders>
            <w:vAlign w:val="center"/>
          </w:tcPr>
          <w:p w14:paraId="0FC15D87">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单位名称（公章或合同章）</w:t>
            </w:r>
          </w:p>
        </w:tc>
        <w:tc>
          <w:tcPr>
            <w:tcW w:w="2736" w:type="dxa"/>
            <w:tcBorders>
              <w:top w:val="single" w:color="auto" w:sz="2" w:space="0"/>
              <w:left w:val="single" w:color="auto" w:sz="2" w:space="0"/>
              <w:bottom w:val="single" w:color="auto" w:sz="2" w:space="0"/>
              <w:right w:val="single" w:color="auto" w:sz="2" w:space="0"/>
            </w:tcBorders>
            <w:vAlign w:val="center"/>
          </w:tcPr>
          <w:p w14:paraId="7244641F">
            <w:pPr>
              <w:adjustRightInd w:val="0"/>
              <w:snapToGrid w:val="0"/>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昆明市东川区殡仪馆</w:t>
            </w:r>
          </w:p>
        </w:tc>
        <w:tc>
          <w:tcPr>
            <w:tcW w:w="1238" w:type="dxa"/>
            <w:tcBorders>
              <w:top w:val="single" w:color="auto" w:sz="2" w:space="0"/>
              <w:left w:val="single" w:color="auto" w:sz="2" w:space="0"/>
              <w:bottom w:val="single" w:color="auto" w:sz="2" w:space="0"/>
              <w:right w:val="single" w:color="auto" w:sz="2" w:space="0"/>
            </w:tcBorders>
            <w:vAlign w:val="center"/>
          </w:tcPr>
          <w:p w14:paraId="78C35184">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单位名称（公章或合同章）</w:t>
            </w:r>
          </w:p>
        </w:tc>
        <w:tc>
          <w:tcPr>
            <w:tcW w:w="4707" w:type="dxa"/>
            <w:tcBorders>
              <w:top w:val="single" w:color="auto" w:sz="2" w:space="0"/>
              <w:left w:val="single" w:color="auto" w:sz="2" w:space="0"/>
              <w:bottom w:val="single" w:color="auto" w:sz="2" w:space="0"/>
            </w:tcBorders>
            <w:vAlign w:val="center"/>
          </w:tcPr>
          <w:p w14:paraId="38F7507D">
            <w:pPr>
              <w:adjustRightInd w:val="0"/>
              <w:snapToGrid w:val="0"/>
              <w:ind w:firstLine="810"/>
              <w:jc w:val="center"/>
              <w:rPr>
                <w:rFonts w:hint="eastAsia" w:ascii="仿宋" w:hAnsi="仿宋" w:eastAsia="仿宋" w:cs="仿宋"/>
                <w:color w:val="auto"/>
                <w:spacing w:val="20"/>
                <w:sz w:val="28"/>
                <w:szCs w:val="28"/>
              </w:rPr>
            </w:pPr>
          </w:p>
        </w:tc>
      </w:tr>
      <w:tr w14:paraId="18E716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36" w:type="dxa"/>
            <w:tcBorders>
              <w:top w:val="single" w:color="auto" w:sz="2" w:space="0"/>
              <w:right w:val="single" w:color="auto" w:sz="2" w:space="0"/>
            </w:tcBorders>
            <w:vAlign w:val="center"/>
          </w:tcPr>
          <w:p w14:paraId="0B884E00">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p w14:paraId="380B213E">
            <w:pPr>
              <w:adjustRightInd w:val="0"/>
              <w:snapToGrid w:val="0"/>
              <w:ind w:firstLine="134" w:firstLineChars="48"/>
              <w:jc w:val="center"/>
              <w:rPr>
                <w:rFonts w:hint="eastAsia" w:ascii="仿宋" w:hAnsi="仿宋" w:eastAsia="仿宋" w:cs="仿宋"/>
                <w:color w:val="auto"/>
                <w:sz w:val="28"/>
                <w:szCs w:val="28"/>
              </w:rPr>
            </w:pPr>
            <w:r>
              <w:rPr>
                <w:rFonts w:hint="eastAsia" w:ascii="仿宋" w:hAnsi="仿宋" w:eastAsia="仿宋" w:cs="仿宋"/>
                <w:color w:val="auto"/>
                <w:sz w:val="28"/>
                <w:szCs w:val="28"/>
              </w:rPr>
              <w:t>或其委托代理人（签章）</w:t>
            </w:r>
          </w:p>
        </w:tc>
        <w:tc>
          <w:tcPr>
            <w:tcW w:w="2736" w:type="dxa"/>
            <w:tcBorders>
              <w:top w:val="single" w:color="auto" w:sz="2" w:space="0"/>
              <w:left w:val="single" w:color="auto" w:sz="2" w:space="0"/>
              <w:right w:val="single" w:color="auto" w:sz="2" w:space="0"/>
            </w:tcBorders>
            <w:vAlign w:val="center"/>
          </w:tcPr>
          <w:p w14:paraId="35C30562">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right w:val="single" w:color="auto" w:sz="2" w:space="0"/>
            </w:tcBorders>
            <w:vAlign w:val="center"/>
          </w:tcPr>
          <w:p w14:paraId="00D19192">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p w14:paraId="52C3F89A">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或其委托代理人（签章）</w:t>
            </w:r>
          </w:p>
        </w:tc>
        <w:tc>
          <w:tcPr>
            <w:tcW w:w="4707" w:type="dxa"/>
            <w:tcBorders>
              <w:top w:val="single" w:color="auto" w:sz="2" w:space="0"/>
              <w:left w:val="single" w:color="auto" w:sz="2" w:space="0"/>
              <w:bottom w:val="single" w:color="auto" w:sz="2" w:space="0"/>
            </w:tcBorders>
            <w:vAlign w:val="center"/>
          </w:tcPr>
          <w:p w14:paraId="70B1E284">
            <w:pPr>
              <w:adjustRightInd w:val="0"/>
              <w:snapToGrid w:val="0"/>
              <w:ind w:firstLine="708"/>
              <w:jc w:val="center"/>
              <w:rPr>
                <w:rFonts w:hint="eastAsia" w:ascii="仿宋" w:hAnsi="仿宋" w:eastAsia="仿宋" w:cs="仿宋"/>
                <w:color w:val="auto"/>
                <w:sz w:val="28"/>
                <w:szCs w:val="28"/>
              </w:rPr>
            </w:pPr>
          </w:p>
        </w:tc>
      </w:tr>
      <w:tr w14:paraId="240CC1A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02FFCFA1">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地址</w:t>
            </w:r>
          </w:p>
        </w:tc>
        <w:tc>
          <w:tcPr>
            <w:tcW w:w="2736" w:type="dxa"/>
            <w:tcBorders>
              <w:top w:val="single" w:color="auto" w:sz="2" w:space="0"/>
              <w:left w:val="single" w:color="auto" w:sz="2" w:space="0"/>
              <w:bottom w:val="single" w:color="auto" w:sz="2" w:space="0"/>
              <w:right w:val="single" w:color="auto" w:sz="2" w:space="0"/>
            </w:tcBorders>
            <w:vAlign w:val="center"/>
          </w:tcPr>
          <w:p w14:paraId="1066E966">
            <w:pPr>
              <w:adjustRightInd w:val="0"/>
              <w:snapToGrid w:val="0"/>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昆明市东川区新村北郊</w:t>
            </w:r>
          </w:p>
        </w:tc>
        <w:tc>
          <w:tcPr>
            <w:tcW w:w="1238" w:type="dxa"/>
            <w:tcBorders>
              <w:top w:val="single" w:color="auto" w:sz="2" w:space="0"/>
              <w:left w:val="single" w:color="auto" w:sz="2" w:space="0"/>
              <w:bottom w:val="single" w:color="auto" w:sz="2" w:space="0"/>
              <w:right w:val="single" w:color="auto" w:sz="2" w:space="0"/>
            </w:tcBorders>
            <w:vAlign w:val="center"/>
          </w:tcPr>
          <w:p w14:paraId="273207D9">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地址</w:t>
            </w:r>
          </w:p>
        </w:tc>
        <w:tc>
          <w:tcPr>
            <w:tcW w:w="4707" w:type="dxa"/>
            <w:tcBorders>
              <w:top w:val="single" w:color="auto" w:sz="2" w:space="0"/>
              <w:left w:val="single" w:color="auto" w:sz="2" w:space="0"/>
              <w:bottom w:val="single" w:color="auto" w:sz="2" w:space="0"/>
            </w:tcBorders>
            <w:vAlign w:val="center"/>
          </w:tcPr>
          <w:p w14:paraId="29B0DAF4">
            <w:pPr>
              <w:adjustRightInd w:val="0"/>
              <w:snapToGrid w:val="0"/>
              <w:ind w:firstLine="810"/>
              <w:jc w:val="center"/>
              <w:rPr>
                <w:rFonts w:hint="eastAsia" w:ascii="仿宋" w:hAnsi="仿宋" w:eastAsia="仿宋" w:cs="仿宋"/>
                <w:color w:val="auto"/>
                <w:spacing w:val="20"/>
                <w:sz w:val="28"/>
                <w:szCs w:val="28"/>
              </w:rPr>
            </w:pPr>
          </w:p>
        </w:tc>
      </w:tr>
      <w:tr w14:paraId="41B7C4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13EE6FF9">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联 系 人</w:t>
            </w:r>
          </w:p>
        </w:tc>
        <w:tc>
          <w:tcPr>
            <w:tcW w:w="2736" w:type="dxa"/>
            <w:tcBorders>
              <w:top w:val="single" w:color="auto" w:sz="2" w:space="0"/>
              <w:left w:val="single" w:color="auto" w:sz="2" w:space="0"/>
              <w:bottom w:val="single" w:color="auto" w:sz="2" w:space="0"/>
              <w:right w:val="single" w:color="auto" w:sz="2" w:space="0"/>
            </w:tcBorders>
            <w:vAlign w:val="center"/>
          </w:tcPr>
          <w:p w14:paraId="24129768">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bottom w:val="single" w:color="auto" w:sz="2" w:space="0"/>
              <w:right w:val="single" w:color="auto" w:sz="2" w:space="0"/>
            </w:tcBorders>
            <w:vAlign w:val="center"/>
          </w:tcPr>
          <w:p w14:paraId="2F75F6B4">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联 系 人</w:t>
            </w:r>
          </w:p>
        </w:tc>
        <w:tc>
          <w:tcPr>
            <w:tcW w:w="4707" w:type="dxa"/>
            <w:tcBorders>
              <w:top w:val="single" w:color="auto" w:sz="2" w:space="0"/>
              <w:left w:val="single" w:color="auto" w:sz="2" w:space="0"/>
              <w:bottom w:val="single" w:color="auto" w:sz="2" w:space="0"/>
            </w:tcBorders>
            <w:vAlign w:val="center"/>
          </w:tcPr>
          <w:p w14:paraId="51A34E2C">
            <w:pPr>
              <w:adjustRightInd w:val="0"/>
              <w:snapToGrid w:val="0"/>
              <w:ind w:firstLine="810"/>
              <w:jc w:val="center"/>
              <w:rPr>
                <w:rFonts w:hint="eastAsia" w:ascii="仿宋" w:hAnsi="仿宋" w:eastAsia="仿宋" w:cs="仿宋"/>
                <w:color w:val="auto"/>
                <w:spacing w:val="20"/>
                <w:sz w:val="28"/>
                <w:szCs w:val="28"/>
              </w:rPr>
            </w:pPr>
          </w:p>
        </w:tc>
      </w:tr>
      <w:tr w14:paraId="5280B2B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2667665C">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联系电话</w:t>
            </w:r>
          </w:p>
        </w:tc>
        <w:tc>
          <w:tcPr>
            <w:tcW w:w="2736" w:type="dxa"/>
            <w:tcBorders>
              <w:top w:val="single" w:color="auto" w:sz="2" w:space="0"/>
              <w:left w:val="single" w:color="auto" w:sz="2" w:space="0"/>
              <w:bottom w:val="single" w:color="auto" w:sz="2" w:space="0"/>
              <w:right w:val="single" w:color="auto" w:sz="2" w:space="0"/>
            </w:tcBorders>
            <w:vAlign w:val="center"/>
          </w:tcPr>
          <w:p w14:paraId="19A02BA4">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bottom w:val="single" w:color="auto" w:sz="2" w:space="0"/>
              <w:right w:val="single" w:color="auto" w:sz="2" w:space="0"/>
            </w:tcBorders>
            <w:vAlign w:val="center"/>
          </w:tcPr>
          <w:p w14:paraId="01FBAABC">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联系电话</w:t>
            </w:r>
          </w:p>
        </w:tc>
        <w:tc>
          <w:tcPr>
            <w:tcW w:w="4707" w:type="dxa"/>
            <w:tcBorders>
              <w:top w:val="single" w:color="auto" w:sz="2" w:space="0"/>
              <w:left w:val="single" w:color="auto" w:sz="2" w:space="0"/>
              <w:bottom w:val="single" w:color="auto" w:sz="2" w:space="0"/>
            </w:tcBorders>
            <w:vAlign w:val="center"/>
          </w:tcPr>
          <w:p w14:paraId="05A052D5">
            <w:pPr>
              <w:adjustRightInd w:val="0"/>
              <w:snapToGrid w:val="0"/>
              <w:ind w:firstLine="810"/>
              <w:jc w:val="center"/>
              <w:rPr>
                <w:rFonts w:hint="eastAsia" w:ascii="仿宋" w:hAnsi="仿宋" w:eastAsia="仿宋" w:cs="仿宋"/>
                <w:color w:val="auto"/>
                <w:spacing w:val="20"/>
                <w:sz w:val="28"/>
                <w:szCs w:val="28"/>
              </w:rPr>
            </w:pPr>
          </w:p>
        </w:tc>
      </w:tr>
      <w:tr w14:paraId="3349B2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584FDBEE">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通信地址</w:t>
            </w:r>
          </w:p>
        </w:tc>
        <w:tc>
          <w:tcPr>
            <w:tcW w:w="2736" w:type="dxa"/>
            <w:tcBorders>
              <w:top w:val="single" w:color="auto" w:sz="2" w:space="0"/>
              <w:left w:val="single" w:color="auto" w:sz="2" w:space="0"/>
              <w:bottom w:val="single" w:color="auto" w:sz="2" w:space="0"/>
              <w:right w:val="single" w:color="auto" w:sz="2" w:space="0"/>
            </w:tcBorders>
            <w:vAlign w:val="center"/>
          </w:tcPr>
          <w:p w14:paraId="2FBBCB50">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lang w:eastAsia="zh-CN"/>
              </w:rPr>
              <w:t>昆明市东川区新村北郊</w:t>
            </w:r>
          </w:p>
        </w:tc>
        <w:tc>
          <w:tcPr>
            <w:tcW w:w="1238" w:type="dxa"/>
            <w:tcBorders>
              <w:top w:val="single" w:color="auto" w:sz="2" w:space="0"/>
              <w:left w:val="single" w:color="auto" w:sz="2" w:space="0"/>
              <w:bottom w:val="single" w:color="auto" w:sz="2" w:space="0"/>
              <w:right w:val="single" w:color="auto" w:sz="2" w:space="0"/>
            </w:tcBorders>
            <w:vAlign w:val="center"/>
          </w:tcPr>
          <w:p w14:paraId="7EB906B4">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通信地址</w:t>
            </w:r>
          </w:p>
        </w:tc>
        <w:tc>
          <w:tcPr>
            <w:tcW w:w="4707" w:type="dxa"/>
            <w:tcBorders>
              <w:top w:val="single" w:color="auto" w:sz="2" w:space="0"/>
              <w:left w:val="single" w:color="auto" w:sz="2" w:space="0"/>
              <w:bottom w:val="single" w:color="auto" w:sz="2" w:space="0"/>
            </w:tcBorders>
            <w:vAlign w:val="center"/>
          </w:tcPr>
          <w:p w14:paraId="476FA06B">
            <w:pPr>
              <w:adjustRightInd w:val="0"/>
              <w:snapToGrid w:val="0"/>
              <w:ind w:firstLine="810"/>
              <w:jc w:val="center"/>
              <w:rPr>
                <w:rFonts w:hint="eastAsia" w:ascii="仿宋" w:hAnsi="仿宋" w:eastAsia="仿宋" w:cs="仿宋"/>
                <w:color w:val="auto"/>
                <w:spacing w:val="20"/>
                <w:sz w:val="28"/>
                <w:szCs w:val="28"/>
              </w:rPr>
            </w:pPr>
          </w:p>
        </w:tc>
      </w:tr>
      <w:tr w14:paraId="3AE773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627F94CE">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邮政编码</w:t>
            </w:r>
          </w:p>
        </w:tc>
        <w:tc>
          <w:tcPr>
            <w:tcW w:w="2736" w:type="dxa"/>
            <w:tcBorders>
              <w:top w:val="single" w:color="auto" w:sz="2" w:space="0"/>
              <w:left w:val="single" w:color="auto" w:sz="2" w:space="0"/>
              <w:bottom w:val="single" w:color="auto" w:sz="2" w:space="0"/>
              <w:right w:val="single" w:color="auto" w:sz="2" w:space="0"/>
            </w:tcBorders>
            <w:vAlign w:val="center"/>
          </w:tcPr>
          <w:p w14:paraId="3EA113E1">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bottom w:val="single" w:color="auto" w:sz="2" w:space="0"/>
              <w:right w:val="single" w:color="auto" w:sz="2" w:space="0"/>
            </w:tcBorders>
            <w:vAlign w:val="center"/>
          </w:tcPr>
          <w:p w14:paraId="0468AF9B">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邮政编码</w:t>
            </w:r>
          </w:p>
        </w:tc>
        <w:tc>
          <w:tcPr>
            <w:tcW w:w="4707" w:type="dxa"/>
            <w:tcBorders>
              <w:top w:val="single" w:color="auto" w:sz="2" w:space="0"/>
              <w:left w:val="single" w:color="auto" w:sz="2" w:space="0"/>
              <w:bottom w:val="single" w:color="auto" w:sz="2" w:space="0"/>
            </w:tcBorders>
            <w:vAlign w:val="center"/>
          </w:tcPr>
          <w:p w14:paraId="13BEB2B3">
            <w:pPr>
              <w:adjustRightInd w:val="0"/>
              <w:snapToGrid w:val="0"/>
              <w:ind w:firstLine="810"/>
              <w:jc w:val="center"/>
              <w:rPr>
                <w:rFonts w:hint="eastAsia" w:ascii="仿宋" w:hAnsi="仿宋" w:eastAsia="仿宋" w:cs="仿宋"/>
                <w:color w:val="auto"/>
                <w:spacing w:val="20"/>
                <w:sz w:val="28"/>
                <w:szCs w:val="28"/>
              </w:rPr>
            </w:pPr>
          </w:p>
        </w:tc>
      </w:tr>
      <w:tr w14:paraId="1CC268B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52655BB2">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电子邮箱</w:t>
            </w:r>
          </w:p>
        </w:tc>
        <w:tc>
          <w:tcPr>
            <w:tcW w:w="2736" w:type="dxa"/>
            <w:tcBorders>
              <w:top w:val="single" w:color="auto" w:sz="2" w:space="0"/>
              <w:left w:val="single" w:color="auto" w:sz="2" w:space="0"/>
              <w:bottom w:val="single" w:color="auto" w:sz="2" w:space="0"/>
              <w:right w:val="single" w:color="auto" w:sz="2" w:space="0"/>
            </w:tcBorders>
            <w:vAlign w:val="center"/>
          </w:tcPr>
          <w:p w14:paraId="64623CDA">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bottom w:val="single" w:color="auto" w:sz="2" w:space="0"/>
              <w:right w:val="single" w:color="auto" w:sz="2" w:space="0"/>
            </w:tcBorders>
            <w:vAlign w:val="center"/>
          </w:tcPr>
          <w:p w14:paraId="116E7B68">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电子邮箱</w:t>
            </w:r>
          </w:p>
        </w:tc>
        <w:tc>
          <w:tcPr>
            <w:tcW w:w="4707" w:type="dxa"/>
            <w:tcBorders>
              <w:top w:val="single" w:color="auto" w:sz="2" w:space="0"/>
              <w:left w:val="single" w:color="auto" w:sz="2" w:space="0"/>
              <w:bottom w:val="single" w:color="auto" w:sz="2" w:space="0"/>
            </w:tcBorders>
            <w:vAlign w:val="center"/>
          </w:tcPr>
          <w:p w14:paraId="44D24009">
            <w:pPr>
              <w:adjustRightInd w:val="0"/>
              <w:snapToGrid w:val="0"/>
              <w:ind w:firstLine="810"/>
              <w:jc w:val="center"/>
              <w:rPr>
                <w:rFonts w:hint="eastAsia" w:ascii="仿宋" w:hAnsi="仿宋" w:eastAsia="仿宋" w:cs="仿宋"/>
                <w:color w:val="auto"/>
                <w:spacing w:val="20"/>
                <w:sz w:val="28"/>
                <w:szCs w:val="28"/>
              </w:rPr>
            </w:pPr>
          </w:p>
        </w:tc>
      </w:tr>
      <w:tr w14:paraId="6D9AD7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296C80EB">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统一社会信用代码</w:t>
            </w:r>
          </w:p>
        </w:tc>
        <w:tc>
          <w:tcPr>
            <w:tcW w:w="2736" w:type="dxa"/>
            <w:tcBorders>
              <w:top w:val="single" w:color="auto" w:sz="2" w:space="0"/>
              <w:left w:val="single" w:color="auto" w:sz="2" w:space="0"/>
              <w:bottom w:val="single" w:color="auto" w:sz="2" w:space="0"/>
              <w:right w:val="single" w:color="auto" w:sz="2" w:space="0"/>
            </w:tcBorders>
            <w:vAlign w:val="center"/>
          </w:tcPr>
          <w:p w14:paraId="6F1A3F85">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bottom w:val="single" w:color="auto" w:sz="2" w:space="0"/>
              <w:right w:val="single" w:color="auto" w:sz="2" w:space="0"/>
            </w:tcBorders>
            <w:vAlign w:val="center"/>
          </w:tcPr>
          <w:p w14:paraId="4C2F1A62">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统一社会信用代码</w:t>
            </w:r>
          </w:p>
        </w:tc>
        <w:tc>
          <w:tcPr>
            <w:tcW w:w="4707" w:type="dxa"/>
            <w:tcBorders>
              <w:top w:val="single" w:color="auto" w:sz="2" w:space="0"/>
              <w:left w:val="single" w:color="auto" w:sz="2" w:space="0"/>
              <w:bottom w:val="single" w:color="auto" w:sz="2" w:space="0"/>
            </w:tcBorders>
            <w:vAlign w:val="center"/>
          </w:tcPr>
          <w:p w14:paraId="16E307EF">
            <w:pPr>
              <w:ind w:firstLine="759"/>
              <w:rPr>
                <w:rFonts w:hint="eastAsia" w:ascii="仿宋" w:hAnsi="仿宋" w:eastAsia="仿宋" w:cs="仿宋"/>
                <w:color w:val="auto"/>
                <w:sz w:val="30"/>
                <w:szCs w:val="30"/>
              </w:rPr>
            </w:pPr>
          </w:p>
          <w:p w14:paraId="5085279A">
            <w:pPr>
              <w:adjustRightInd w:val="0"/>
              <w:snapToGrid w:val="0"/>
              <w:ind w:firstLine="810"/>
              <w:jc w:val="center"/>
              <w:rPr>
                <w:rFonts w:hint="eastAsia" w:ascii="仿宋" w:hAnsi="仿宋" w:eastAsia="仿宋" w:cs="仿宋"/>
                <w:color w:val="auto"/>
                <w:spacing w:val="20"/>
                <w:sz w:val="28"/>
                <w:szCs w:val="28"/>
              </w:rPr>
            </w:pPr>
          </w:p>
        </w:tc>
      </w:tr>
      <w:tr w14:paraId="71A0AF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14F84B5D">
            <w:pPr>
              <w:adjustRightInd w:val="0"/>
              <w:snapToGrid w:val="0"/>
              <w:jc w:val="center"/>
              <w:rPr>
                <w:rFonts w:hint="eastAsia" w:ascii="仿宋" w:hAnsi="仿宋" w:eastAsia="仿宋" w:cs="仿宋"/>
                <w:color w:val="auto"/>
                <w:sz w:val="28"/>
                <w:szCs w:val="28"/>
              </w:rPr>
            </w:pPr>
          </w:p>
        </w:tc>
        <w:tc>
          <w:tcPr>
            <w:tcW w:w="2736" w:type="dxa"/>
            <w:tcBorders>
              <w:top w:val="single" w:color="auto" w:sz="2" w:space="0"/>
              <w:left w:val="single" w:color="auto" w:sz="2" w:space="0"/>
              <w:bottom w:val="single" w:color="auto" w:sz="2" w:space="0"/>
              <w:right w:val="single" w:color="auto" w:sz="2" w:space="0"/>
            </w:tcBorders>
            <w:vAlign w:val="center"/>
          </w:tcPr>
          <w:p w14:paraId="02ED134B">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bottom w:val="single" w:color="auto" w:sz="2" w:space="0"/>
              <w:right w:val="single" w:color="auto" w:sz="2" w:space="0"/>
            </w:tcBorders>
            <w:vAlign w:val="center"/>
          </w:tcPr>
          <w:p w14:paraId="7DE5EB08">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开户名称</w:t>
            </w:r>
          </w:p>
        </w:tc>
        <w:tc>
          <w:tcPr>
            <w:tcW w:w="4707" w:type="dxa"/>
            <w:tcBorders>
              <w:top w:val="single" w:color="auto" w:sz="2" w:space="0"/>
              <w:left w:val="single" w:color="auto" w:sz="2" w:space="0"/>
              <w:bottom w:val="single" w:color="auto" w:sz="2" w:space="0"/>
            </w:tcBorders>
            <w:vAlign w:val="center"/>
          </w:tcPr>
          <w:p w14:paraId="0297446C">
            <w:pPr>
              <w:adjustRightInd w:val="0"/>
              <w:snapToGrid w:val="0"/>
              <w:ind w:firstLine="810"/>
              <w:jc w:val="center"/>
              <w:rPr>
                <w:rFonts w:hint="eastAsia" w:ascii="仿宋" w:hAnsi="仿宋" w:eastAsia="仿宋" w:cs="仿宋"/>
                <w:color w:val="auto"/>
                <w:spacing w:val="20"/>
                <w:sz w:val="28"/>
                <w:szCs w:val="28"/>
              </w:rPr>
            </w:pPr>
          </w:p>
        </w:tc>
      </w:tr>
      <w:tr w14:paraId="78FFD1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6FCF7602">
            <w:pPr>
              <w:adjustRightInd w:val="0"/>
              <w:snapToGrid w:val="0"/>
              <w:jc w:val="center"/>
              <w:rPr>
                <w:rFonts w:hint="eastAsia" w:ascii="仿宋" w:hAnsi="仿宋" w:eastAsia="仿宋" w:cs="仿宋"/>
                <w:color w:val="auto"/>
                <w:sz w:val="28"/>
                <w:szCs w:val="28"/>
              </w:rPr>
            </w:pPr>
          </w:p>
        </w:tc>
        <w:tc>
          <w:tcPr>
            <w:tcW w:w="2736" w:type="dxa"/>
            <w:tcBorders>
              <w:top w:val="single" w:color="auto" w:sz="2" w:space="0"/>
              <w:left w:val="single" w:color="auto" w:sz="2" w:space="0"/>
              <w:bottom w:val="single" w:color="auto" w:sz="2" w:space="0"/>
              <w:right w:val="single" w:color="auto" w:sz="2" w:space="0"/>
            </w:tcBorders>
            <w:vAlign w:val="center"/>
          </w:tcPr>
          <w:p w14:paraId="202F9F2D">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bottom w:val="single" w:color="auto" w:sz="2" w:space="0"/>
              <w:right w:val="single" w:color="auto" w:sz="2" w:space="0"/>
            </w:tcBorders>
            <w:vAlign w:val="center"/>
          </w:tcPr>
          <w:p w14:paraId="792B469B">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开户银行</w:t>
            </w:r>
          </w:p>
        </w:tc>
        <w:tc>
          <w:tcPr>
            <w:tcW w:w="4707" w:type="dxa"/>
            <w:tcBorders>
              <w:top w:val="single" w:color="auto" w:sz="2" w:space="0"/>
              <w:left w:val="single" w:color="auto" w:sz="2" w:space="0"/>
              <w:bottom w:val="single" w:color="auto" w:sz="2" w:space="0"/>
            </w:tcBorders>
            <w:vAlign w:val="center"/>
          </w:tcPr>
          <w:p w14:paraId="5B3AF36E">
            <w:pPr>
              <w:adjustRightInd w:val="0"/>
              <w:snapToGrid w:val="0"/>
              <w:ind w:firstLine="810"/>
              <w:jc w:val="center"/>
              <w:rPr>
                <w:rFonts w:hint="eastAsia" w:ascii="仿宋" w:hAnsi="仿宋" w:eastAsia="仿宋" w:cs="仿宋"/>
                <w:color w:val="auto"/>
                <w:spacing w:val="20"/>
                <w:sz w:val="28"/>
                <w:szCs w:val="28"/>
              </w:rPr>
            </w:pPr>
          </w:p>
        </w:tc>
      </w:tr>
      <w:tr w14:paraId="690334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36" w:type="dxa"/>
            <w:tcBorders>
              <w:top w:val="single" w:color="auto" w:sz="2" w:space="0"/>
              <w:bottom w:val="single" w:color="auto" w:sz="2" w:space="0"/>
              <w:right w:val="single" w:color="auto" w:sz="2" w:space="0"/>
            </w:tcBorders>
            <w:vAlign w:val="center"/>
          </w:tcPr>
          <w:p w14:paraId="2E5A143C">
            <w:pPr>
              <w:adjustRightInd w:val="0"/>
              <w:snapToGrid w:val="0"/>
              <w:jc w:val="center"/>
              <w:rPr>
                <w:rFonts w:hint="eastAsia" w:ascii="仿宋" w:hAnsi="仿宋" w:eastAsia="仿宋" w:cs="仿宋"/>
                <w:color w:val="auto"/>
                <w:sz w:val="28"/>
                <w:szCs w:val="28"/>
              </w:rPr>
            </w:pPr>
          </w:p>
        </w:tc>
        <w:tc>
          <w:tcPr>
            <w:tcW w:w="2736" w:type="dxa"/>
            <w:tcBorders>
              <w:top w:val="single" w:color="auto" w:sz="2" w:space="0"/>
              <w:left w:val="single" w:color="auto" w:sz="2" w:space="0"/>
              <w:bottom w:val="single" w:color="auto" w:sz="2" w:space="0"/>
              <w:right w:val="single" w:color="auto" w:sz="2" w:space="0"/>
            </w:tcBorders>
            <w:vAlign w:val="center"/>
          </w:tcPr>
          <w:p w14:paraId="00F1033C">
            <w:pPr>
              <w:adjustRightInd w:val="0"/>
              <w:snapToGrid w:val="0"/>
              <w:jc w:val="center"/>
              <w:rPr>
                <w:rFonts w:hint="eastAsia" w:ascii="仿宋" w:hAnsi="仿宋" w:eastAsia="仿宋" w:cs="仿宋"/>
                <w:color w:val="auto"/>
                <w:sz w:val="28"/>
                <w:szCs w:val="28"/>
              </w:rPr>
            </w:pPr>
          </w:p>
        </w:tc>
        <w:tc>
          <w:tcPr>
            <w:tcW w:w="1238" w:type="dxa"/>
            <w:tcBorders>
              <w:top w:val="single" w:color="auto" w:sz="2" w:space="0"/>
              <w:left w:val="single" w:color="auto" w:sz="2" w:space="0"/>
              <w:bottom w:val="single" w:color="auto" w:sz="2" w:space="0"/>
              <w:right w:val="single" w:color="auto" w:sz="2" w:space="0"/>
            </w:tcBorders>
            <w:vAlign w:val="center"/>
          </w:tcPr>
          <w:p w14:paraId="0AAE4CAC">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银行账号</w:t>
            </w:r>
          </w:p>
        </w:tc>
        <w:tc>
          <w:tcPr>
            <w:tcW w:w="4707" w:type="dxa"/>
            <w:tcBorders>
              <w:top w:val="single" w:color="auto" w:sz="2" w:space="0"/>
              <w:left w:val="single" w:color="auto" w:sz="2" w:space="0"/>
              <w:bottom w:val="single" w:color="auto" w:sz="2" w:space="0"/>
            </w:tcBorders>
            <w:vAlign w:val="center"/>
          </w:tcPr>
          <w:p w14:paraId="2C8F7C34">
            <w:pPr>
              <w:adjustRightInd w:val="0"/>
              <w:snapToGrid w:val="0"/>
              <w:ind w:firstLine="810"/>
              <w:rPr>
                <w:rFonts w:hint="eastAsia" w:ascii="仿宋" w:hAnsi="仿宋" w:eastAsia="仿宋" w:cs="仿宋"/>
                <w:color w:val="auto"/>
                <w:spacing w:val="20"/>
                <w:sz w:val="28"/>
                <w:szCs w:val="28"/>
              </w:rPr>
            </w:pPr>
          </w:p>
        </w:tc>
      </w:tr>
      <w:tr w14:paraId="3FC2F7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9817" w:type="dxa"/>
            <w:gridSpan w:val="4"/>
            <w:tcBorders>
              <w:top w:val="single" w:color="auto" w:sz="2" w:space="0"/>
            </w:tcBorders>
            <w:vAlign w:val="center"/>
          </w:tcPr>
          <w:p w14:paraId="39F0E459">
            <w:pPr>
              <w:pStyle w:val="14"/>
              <w:adjustRightInd w:val="0"/>
              <w:snapToGrid w:val="0"/>
              <w:spacing w:line="240" w:lineRule="auto"/>
              <w:ind w:firstLine="688"/>
              <w:jc w:val="left"/>
              <w:rPr>
                <w:rFonts w:hint="eastAsia" w:ascii="仿宋" w:hAnsi="仿宋" w:eastAsia="仿宋" w:cs="仿宋"/>
                <w:color w:val="auto"/>
                <w:spacing w:val="20"/>
                <w:sz w:val="28"/>
                <w:szCs w:val="28"/>
              </w:rPr>
            </w:pPr>
            <w:r>
              <w:rPr>
                <w:rFonts w:hint="eastAsia" w:ascii="仿宋" w:hAnsi="仿宋" w:eastAsia="仿宋" w:cs="仿宋"/>
                <w:color w:val="auto"/>
                <w:sz w:val="28"/>
                <w:szCs w:val="28"/>
              </w:rPr>
              <w:t>注：涉及联合体或其他合同主体的信息应按上表格式加列。</w:t>
            </w:r>
          </w:p>
        </w:tc>
      </w:tr>
      <w:bookmarkEnd w:id="98"/>
      <w:bookmarkEnd w:id="99"/>
    </w:tbl>
    <w:p w14:paraId="6296C65D">
      <w:pPr>
        <w:adjustRightInd w:val="0"/>
        <w:snapToGrid w:val="0"/>
        <w:spacing w:line="400" w:lineRule="exact"/>
        <w:ind w:firstLine="607"/>
        <w:jc w:val="left"/>
        <w:rPr>
          <w:rFonts w:hint="eastAsia" w:ascii="仿宋" w:hAnsi="仿宋" w:eastAsia="仿宋" w:cs="仿宋"/>
          <w:color w:val="auto"/>
          <w:kern w:val="0"/>
          <w:sz w:val="24"/>
        </w:rPr>
      </w:pPr>
    </w:p>
    <w:p w14:paraId="7BBB99D3">
      <w:pPr>
        <w:rPr>
          <w:rFonts w:hint="eastAsia" w:ascii="仿宋" w:hAnsi="仿宋" w:eastAsia="仿宋" w:cs="仿宋"/>
          <w:color w:val="auto"/>
        </w:rPr>
      </w:pPr>
    </w:p>
    <w:p w14:paraId="55554348">
      <w:pPr>
        <w:rPr>
          <w:rFonts w:hint="eastAsia" w:ascii="仿宋" w:hAnsi="仿宋" w:eastAsia="仿宋" w:cs="仿宋"/>
          <w:color w:val="auto"/>
          <w:highlight w:val="none"/>
        </w:rPr>
      </w:pPr>
    </w:p>
    <w:p w14:paraId="1F14C1F3">
      <w:pPr>
        <w:autoSpaceDE w:val="0"/>
        <w:autoSpaceDN w:val="0"/>
        <w:adjustRightInd w:val="0"/>
        <w:spacing w:line="400" w:lineRule="exact"/>
        <w:rPr>
          <w:rFonts w:hint="eastAsia" w:ascii="仿宋" w:hAnsi="仿宋" w:eastAsia="仿宋" w:cs="仿宋"/>
          <w:color w:val="auto"/>
          <w:sz w:val="24"/>
          <w:highlight w:val="none"/>
        </w:rPr>
      </w:pPr>
      <w:bookmarkStart w:id="101" w:name="_Toc89692645"/>
    </w:p>
    <w:p w14:paraId="3FFCCEC6">
      <w:pPr>
        <w:pStyle w:val="2"/>
        <w:numPr>
          <w:ilvl w:val="0"/>
          <w:numId w:val="0"/>
        </w:numPr>
        <w:spacing w:before="0"/>
        <w:jc w:val="center"/>
        <w:rPr>
          <w:rFonts w:hint="eastAsia" w:ascii="仿宋" w:hAnsi="仿宋" w:eastAsia="仿宋" w:cs="仿宋"/>
          <w:color w:val="auto"/>
          <w:sz w:val="32"/>
          <w:szCs w:val="32"/>
          <w:highlight w:val="none"/>
        </w:rPr>
      </w:pPr>
      <w:bookmarkStart w:id="102" w:name="_Toc29223"/>
      <w:r>
        <w:rPr>
          <w:rFonts w:hint="eastAsia" w:ascii="仿宋" w:hAnsi="仿宋" w:eastAsia="仿宋" w:cs="仿宋"/>
          <w:color w:val="auto"/>
          <w:sz w:val="32"/>
          <w:szCs w:val="32"/>
          <w:highlight w:val="none"/>
        </w:rPr>
        <w:t>第四章  投标文件格式</w:t>
      </w:r>
      <w:bookmarkEnd w:id="101"/>
      <w:bookmarkEnd w:id="102"/>
    </w:p>
    <w:p w14:paraId="042B8E5A">
      <w:pPr>
        <w:spacing w:line="360" w:lineRule="auto"/>
        <w:jc w:val="center"/>
        <w:rPr>
          <w:rFonts w:hint="eastAsia" w:ascii="仿宋" w:hAnsi="仿宋" w:eastAsia="仿宋" w:cs="仿宋"/>
          <w:b/>
          <w:color w:val="auto"/>
          <w:sz w:val="32"/>
          <w:szCs w:val="32"/>
          <w:highlight w:val="none"/>
          <w:u w:val="single"/>
        </w:rPr>
      </w:pPr>
      <w:bookmarkStart w:id="103" w:name="_Toc8689647"/>
      <w:bookmarkStart w:id="104" w:name="_Toc89692646"/>
      <w:bookmarkStart w:id="105" w:name="_Hlk66887511"/>
    </w:p>
    <w:p w14:paraId="2731CA87">
      <w:pPr>
        <w:pStyle w:val="3"/>
        <w:numPr>
          <w:ilvl w:val="0"/>
          <w:numId w:val="0"/>
        </w:numPr>
        <w:tabs>
          <w:tab w:val="left" w:pos="2770"/>
          <w:tab w:val="left" w:pos="3431"/>
        </w:tabs>
        <w:spacing w:before="0"/>
        <w:jc w:val="center"/>
        <w:rPr>
          <w:rFonts w:hint="eastAsia" w:ascii="仿宋" w:hAnsi="仿宋" w:eastAsia="仿宋" w:cs="仿宋"/>
          <w:color w:val="auto"/>
          <w:szCs w:val="28"/>
          <w:highlight w:val="none"/>
        </w:rPr>
      </w:pPr>
      <w:bookmarkStart w:id="106" w:name="_Toc24073"/>
      <w:r>
        <w:rPr>
          <w:rFonts w:hint="eastAsia" w:ascii="仿宋" w:hAnsi="仿宋" w:eastAsia="仿宋" w:cs="仿宋"/>
          <w:color w:val="auto"/>
          <w:szCs w:val="28"/>
          <w:highlight w:val="none"/>
        </w:rPr>
        <w:t>一、开标一览表</w:t>
      </w:r>
      <w:bookmarkEnd w:id="103"/>
      <w:bookmarkEnd w:id="104"/>
      <w:bookmarkEnd w:id="106"/>
    </w:p>
    <w:p w14:paraId="6817050E">
      <w:pPr>
        <w:spacing w:line="360" w:lineRule="auto"/>
        <w:rPr>
          <w:rFonts w:hint="eastAsia" w:ascii="仿宋" w:hAnsi="仿宋" w:eastAsia="仿宋" w:cs="仿宋"/>
          <w:color w:val="auto"/>
          <w:sz w:val="24"/>
          <w:highlight w:val="none"/>
        </w:rPr>
      </w:pPr>
    </w:p>
    <w:p w14:paraId="0DD71B5F">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项目名称：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项目编号：</w:t>
      </w:r>
      <w:r>
        <w:rPr>
          <w:rFonts w:hint="eastAsia" w:ascii="仿宋" w:hAnsi="仿宋" w:eastAsia="仿宋" w:cs="仿宋"/>
          <w:color w:val="auto"/>
          <w:szCs w:val="21"/>
          <w:highlight w:val="none"/>
          <w:u w:val="single"/>
        </w:rPr>
        <w:t xml:space="preserve">             </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3"/>
        <w:gridCol w:w="2745"/>
        <w:gridCol w:w="2437"/>
        <w:gridCol w:w="1430"/>
      </w:tblGrid>
      <w:tr w14:paraId="62F5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2543" w:type="dxa"/>
            <w:vAlign w:val="center"/>
          </w:tcPr>
          <w:p w14:paraId="6117258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w:t>
            </w:r>
            <w:r>
              <w:rPr>
                <w:rFonts w:hint="eastAsia" w:ascii="仿宋" w:hAnsi="仿宋" w:eastAsia="仿宋" w:cs="仿宋"/>
                <w:color w:val="auto"/>
                <w:szCs w:val="21"/>
                <w:highlight w:val="none"/>
                <w:lang w:val="en-US" w:eastAsia="zh-CN"/>
              </w:rPr>
              <w:t>下浮率</w:t>
            </w:r>
            <w:r>
              <w:rPr>
                <w:rFonts w:hint="eastAsia" w:ascii="仿宋" w:hAnsi="仿宋" w:eastAsia="仿宋" w:cs="仿宋"/>
                <w:color w:val="auto"/>
                <w:szCs w:val="21"/>
                <w:highlight w:val="none"/>
              </w:rPr>
              <w:t>）</w:t>
            </w:r>
          </w:p>
        </w:tc>
        <w:tc>
          <w:tcPr>
            <w:tcW w:w="2745" w:type="dxa"/>
            <w:vAlign w:val="center"/>
          </w:tcPr>
          <w:p w14:paraId="67B570E9">
            <w:pPr>
              <w:spacing w:line="360" w:lineRule="auto"/>
              <w:ind w:firstLine="2" w:firstLineChars="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合同履行期限</w:t>
            </w:r>
          </w:p>
        </w:tc>
        <w:tc>
          <w:tcPr>
            <w:tcW w:w="2437" w:type="dxa"/>
            <w:vAlign w:val="center"/>
          </w:tcPr>
          <w:p w14:paraId="18CAD565">
            <w:pPr>
              <w:spacing w:line="360" w:lineRule="auto"/>
              <w:ind w:firstLine="2" w:firstLineChars="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质量目标</w:t>
            </w:r>
          </w:p>
        </w:tc>
        <w:tc>
          <w:tcPr>
            <w:tcW w:w="1430" w:type="dxa"/>
            <w:vAlign w:val="center"/>
          </w:tcPr>
          <w:p w14:paraId="3564A3E6">
            <w:pPr>
              <w:spacing w:line="360" w:lineRule="auto"/>
              <w:ind w:firstLine="2" w:firstLineChars="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3C2E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2543" w:type="dxa"/>
            <w:vAlign w:val="center"/>
          </w:tcPr>
          <w:p w14:paraId="572043C0">
            <w:pPr>
              <w:rPr>
                <w:rFonts w:hint="eastAsia" w:ascii="仿宋" w:hAnsi="仿宋" w:eastAsia="仿宋" w:cs="仿宋"/>
                <w:color w:val="auto"/>
                <w:highlight w:val="none"/>
              </w:rPr>
            </w:pPr>
          </w:p>
        </w:tc>
        <w:tc>
          <w:tcPr>
            <w:tcW w:w="2745" w:type="dxa"/>
            <w:vAlign w:val="center"/>
          </w:tcPr>
          <w:p w14:paraId="32D8459C">
            <w:pPr>
              <w:rPr>
                <w:rFonts w:hint="eastAsia" w:ascii="仿宋" w:hAnsi="仿宋" w:eastAsia="仿宋" w:cs="仿宋"/>
                <w:color w:val="auto"/>
                <w:szCs w:val="21"/>
                <w:highlight w:val="none"/>
              </w:rPr>
            </w:pPr>
          </w:p>
        </w:tc>
        <w:tc>
          <w:tcPr>
            <w:tcW w:w="2437" w:type="dxa"/>
            <w:vAlign w:val="center"/>
          </w:tcPr>
          <w:p w14:paraId="3B6DF741">
            <w:pPr>
              <w:spacing w:line="360" w:lineRule="auto"/>
              <w:ind w:firstLine="2" w:firstLineChars="1"/>
              <w:jc w:val="center"/>
              <w:rPr>
                <w:rFonts w:hint="eastAsia" w:ascii="仿宋" w:hAnsi="仿宋" w:eastAsia="仿宋" w:cs="仿宋"/>
                <w:color w:val="auto"/>
                <w:szCs w:val="21"/>
                <w:highlight w:val="none"/>
              </w:rPr>
            </w:pPr>
          </w:p>
        </w:tc>
        <w:tc>
          <w:tcPr>
            <w:tcW w:w="1430" w:type="dxa"/>
            <w:vAlign w:val="center"/>
          </w:tcPr>
          <w:p w14:paraId="2575FCC7">
            <w:pPr>
              <w:pStyle w:val="17"/>
              <w:spacing w:line="360" w:lineRule="auto"/>
              <w:jc w:val="center"/>
              <w:rPr>
                <w:rFonts w:hint="eastAsia" w:ascii="仿宋" w:hAnsi="仿宋" w:eastAsia="仿宋" w:cs="仿宋"/>
                <w:color w:val="auto"/>
                <w:szCs w:val="21"/>
                <w:highlight w:val="none"/>
              </w:rPr>
            </w:pPr>
          </w:p>
        </w:tc>
      </w:tr>
      <w:tr w14:paraId="393E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155" w:type="dxa"/>
            <w:gridSpan w:val="4"/>
            <w:vAlign w:val="center"/>
          </w:tcPr>
          <w:p w14:paraId="5BFAF92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bookmarkStart w:id="107" w:name="_Hlk115080210"/>
            <w:r>
              <w:rPr>
                <w:rFonts w:hint="eastAsia" w:ascii="仿宋" w:hAnsi="仿宋" w:eastAsia="仿宋" w:cs="仿宋"/>
                <w:color w:val="auto"/>
                <w:sz w:val="24"/>
                <w:highlight w:val="none"/>
              </w:rPr>
              <w:t>电子签章</w:t>
            </w:r>
            <w:bookmarkEnd w:id="107"/>
            <w:r>
              <w:rPr>
                <w:rFonts w:hint="eastAsia" w:ascii="仿宋" w:hAnsi="仿宋" w:eastAsia="仿宋" w:cs="仿宋"/>
                <w:color w:val="auto"/>
                <w:sz w:val="24"/>
                <w:highlight w:val="none"/>
              </w:rPr>
              <w:t>）</w:t>
            </w:r>
          </w:p>
          <w:p w14:paraId="31653A0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18066EA3">
            <w:pPr>
              <w:spacing w:line="360" w:lineRule="auto"/>
              <w:ind w:firstLine="2" w:firstLineChars="1"/>
              <w:rPr>
                <w:rFonts w:hint="eastAsia" w:ascii="仿宋" w:hAnsi="仿宋" w:eastAsia="仿宋" w:cs="仿宋"/>
                <w:color w:val="auto"/>
                <w:szCs w:val="21"/>
                <w:highlight w:val="none"/>
                <w:u w:val="singl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tc>
      </w:tr>
    </w:tbl>
    <w:p w14:paraId="5D7A4383">
      <w:pPr>
        <w:pStyle w:val="17"/>
        <w:spacing w:line="360" w:lineRule="auto"/>
        <w:rPr>
          <w:rFonts w:hint="eastAsia" w:ascii="仿宋" w:hAnsi="仿宋" w:eastAsia="仿宋" w:cs="仿宋"/>
          <w:color w:val="auto"/>
          <w:szCs w:val="21"/>
          <w:highlight w:val="none"/>
        </w:rPr>
      </w:pPr>
    </w:p>
    <w:p w14:paraId="6341AFBA">
      <w:pPr>
        <w:pStyle w:val="17"/>
        <w:spacing w:line="360" w:lineRule="auto"/>
        <w:rPr>
          <w:rFonts w:hint="eastAsia" w:ascii="仿宋" w:hAnsi="仿宋" w:eastAsia="仿宋" w:cs="仿宋"/>
          <w:color w:val="auto"/>
          <w:szCs w:val="21"/>
          <w:highlight w:val="none"/>
        </w:rPr>
      </w:pPr>
    </w:p>
    <w:p w14:paraId="14BA3356">
      <w:pPr>
        <w:spacing w:line="360" w:lineRule="auto"/>
        <w:rPr>
          <w:rFonts w:hint="eastAsia" w:ascii="仿宋" w:hAnsi="仿宋" w:eastAsia="仿宋" w:cs="仿宋"/>
          <w:color w:val="auto"/>
          <w:szCs w:val="21"/>
          <w:highlight w:val="none"/>
        </w:rPr>
      </w:pPr>
    </w:p>
    <w:p w14:paraId="5B50E310">
      <w:pPr>
        <w:spacing w:line="360" w:lineRule="auto"/>
        <w:ind w:firstLine="420" w:firstLineChars="200"/>
        <w:rPr>
          <w:rFonts w:hint="eastAsia" w:ascii="仿宋" w:hAnsi="仿宋" w:eastAsia="仿宋" w:cs="仿宋"/>
          <w:color w:val="auto"/>
          <w:szCs w:val="21"/>
          <w:highlight w:val="none"/>
        </w:rPr>
      </w:pPr>
    </w:p>
    <w:p w14:paraId="35DC95D9">
      <w:pPr>
        <w:spacing w:line="360" w:lineRule="auto"/>
        <w:ind w:firstLine="105" w:firstLineChars="50"/>
        <w:rPr>
          <w:rFonts w:hint="eastAsia" w:ascii="仿宋" w:hAnsi="仿宋" w:eastAsia="仿宋" w:cs="仿宋"/>
          <w:color w:val="auto"/>
          <w:szCs w:val="21"/>
          <w:highlight w:val="none"/>
        </w:rPr>
      </w:pPr>
    </w:p>
    <w:p w14:paraId="3AD72318">
      <w:pPr>
        <w:spacing w:line="360" w:lineRule="auto"/>
        <w:ind w:firstLine="105" w:firstLineChars="50"/>
        <w:rPr>
          <w:rFonts w:hint="eastAsia" w:ascii="仿宋" w:hAnsi="仿宋" w:eastAsia="仿宋" w:cs="仿宋"/>
          <w:color w:val="auto"/>
          <w:szCs w:val="21"/>
          <w:highlight w:val="none"/>
        </w:rPr>
      </w:pPr>
    </w:p>
    <w:p w14:paraId="72B5AC56">
      <w:pPr>
        <w:spacing w:line="360" w:lineRule="auto"/>
        <w:ind w:firstLine="105" w:firstLineChars="50"/>
        <w:rPr>
          <w:rFonts w:hint="eastAsia" w:ascii="仿宋" w:hAnsi="仿宋" w:eastAsia="仿宋" w:cs="仿宋"/>
          <w:color w:val="auto"/>
          <w:szCs w:val="21"/>
          <w:highlight w:val="none"/>
        </w:rPr>
      </w:pPr>
    </w:p>
    <w:p w14:paraId="06024300">
      <w:pPr>
        <w:spacing w:line="360" w:lineRule="auto"/>
        <w:ind w:firstLine="105" w:firstLineChars="50"/>
        <w:rPr>
          <w:rFonts w:hint="eastAsia" w:ascii="仿宋" w:hAnsi="仿宋" w:eastAsia="仿宋" w:cs="仿宋"/>
          <w:color w:val="auto"/>
          <w:szCs w:val="21"/>
          <w:highlight w:val="none"/>
        </w:rPr>
      </w:pPr>
    </w:p>
    <w:p w14:paraId="44AE32BF">
      <w:pPr>
        <w:spacing w:line="360" w:lineRule="auto"/>
        <w:ind w:firstLine="105" w:firstLineChars="50"/>
        <w:rPr>
          <w:rFonts w:hint="eastAsia" w:ascii="仿宋" w:hAnsi="仿宋" w:eastAsia="仿宋" w:cs="仿宋"/>
          <w:color w:val="auto"/>
          <w:szCs w:val="21"/>
          <w:highlight w:val="none"/>
        </w:rPr>
      </w:pPr>
    </w:p>
    <w:p w14:paraId="2289AEE3">
      <w:pPr>
        <w:spacing w:line="360" w:lineRule="auto"/>
        <w:ind w:firstLine="105" w:firstLineChars="50"/>
        <w:rPr>
          <w:rFonts w:hint="eastAsia" w:ascii="仿宋" w:hAnsi="仿宋" w:eastAsia="仿宋" w:cs="仿宋"/>
          <w:color w:val="auto"/>
          <w:szCs w:val="21"/>
          <w:highlight w:val="none"/>
        </w:rPr>
      </w:pPr>
    </w:p>
    <w:p w14:paraId="3338F4B7">
      <w:pPr>
        <w:pStyle w:val="3"/>
        <w:numPr>
          <w:ilvl w:val="0"/>
          <w:numId w:val="7"/>
        </w:numPr>
        <w:spacing w:before="0"/>
        <w:jc w:val="center"/>
        <w:rPr>
          <w:rFonts w:hint="eastAsia" w:ascii="仿宋" w:hAnsi="仿宋" w:eastAsia="仿宋" w:cs="仿宋"/>
          <w:color w:val="auto"/>
          <w:szCs w:val="28"/>
          <w:highlight w:val="none"/>
        </w:rPr>
      </w:pPr>
      <w:bookmarkStart w:id="108" w:name="_Toc8689649"/>
      <w:bookmarkStart w:id="109" w:name="_Toc89692647"/>
      <w:bookmarkStart w:id="110" w:name="_Toc8168204"/>
      <w:bookmarkStart w:id="111" w:name="_Toc10976"/>
      <w:r>
        <w:rPr>
          <w:rFonts w:hint="eastAsia" w:ascii="仿宋" w:hAnsi="仿宋" w:eastAsia="仿宋" w:cs="仿宋"/>
          <w:color w:val="auto"/>
          <w:szCs w:val="28"/>
          <w:highlight w:val="none"/>
        </w:rPr>
        <w:t>投标文件资格审查部分格式</w:t>
      </w:r>
      <w:bookmarkEnd w:id="108"/>
      <w:bookmarkEnd w:id="109"/>
      <w:bookmarkEnd w:id="110"/>
      <w:bookmarkEnd w:id="111"/>
    </w:p>
    <w:p w14:paraId="1ACB2FF8">
      <w:pPr>
        <w:pStyle w:val="3"/>
        <w:numPr>
          <w:ilvl w:val="0"/>
          <w:numId w:val="0"/>
        </w:numPr>
        <w:spacing w:before="0"/>
        <w:jc w:val="left"/>
        <w:rPr>
          <w:rFonts w:hint="eastAsia" w:ascii="仿宋" w:hAnsi="仿宋" w:eastAsia="仿宋" w:cs="仿宋"/>
          <w:color w:val="auto"/>
          <w:szCs w:val="28"/>
          <w:highlight w:val="none"/>
        </w:rPr>
      </w:pPr>
      <w:bookmarkStart w:id="112" w:name="_Toc8168207"/>
      <w:bookmarkStart w:id="113" w:name="_Toc89692648"/>
      <w:bookmarkStart w:id="114" w:name="_Toc12118"/>
      <w:bookmarkStart w:id="115" w:name="_Toc80095551"/>
      <w:r>
        <w:rPr>
          <w:rFonts w:hint="eastAsia" w:ascii="仿宋" w:hAnsi="仿宋" w:eastAsia="仿宋" w:cs="仿宋"/>
          <w:color w:val="auto"/>
          <w:szCs w:val="28"/>
          <w:highlight w:val="none"/>
        </w:rPr>
        <w:t>（一）</w:t>
      </w:r>
      <w:bookmarkEnd w:id="112"/>
      <w:r>
        <w:rPr>
          <w:rFonts w:hint="eastAsia" w:ascii="仿宋" w:hAnsi="仿宋" w:eastAsia="仿宋" w:cs="仿宋"/>
          <w:color w:val="auto"/>
          <w:szCs w:val="28"/>
          <w:highlight w:val="none"/>
        </w:rPr>
        <w:t>具有独立承担民事责任的能力</w:t>
      </w:r>
      <w:bookmarkEnd w:id="113"/>
      <w:bookmarkEnd w:id="114"/>
      <w:bookmarkEnd w:id="115"/>
    </w:p>
    <w:p w14:paraId="4B7ECFAE">
      <w:pPr>
        <w:pStyle w:val="3"/>
        <w:numPr>
          <w:ilvl w:val="0"/>
          <w:numId w:val="0"/>
        </w:numPr>
        <w:spacing w:before="0"/>
        <w:jc w:val="left"/>
        <w:rPr>
          <w:rFonts w:hint="eastAsia" w:ascii="仿宋" w:hAnsi="仿宋" w:eastAsia="仿宋" w:cs="仿宋"/>
          <w:color w:val="auto"/>
          <w:szCs w:val="28"/>
          <w:highlight w:val="none"/>
        </w:rPr>
      </w:pPr>
      <w:bookmarkStart w:id="116" w:name="_Toc89692649"/>
      <w:bookmarkStart w:id="117" w:name="_Toc19378"/>
      <w:bookmarkStart w:id="118" w:name="_Toc80095552"/>
      <w:r>
        <w:rPr>
          <w:rFonts w:hint="eastAsia" w:ascii="仿宋" w:hAnsi="仿宋" w:eastAsia="仿宋" w:cs="仿宋"/>
          <w:color w:val="auto"/>
          <w:szCs w:val="28"/>
          <w:highlight w:val="none"/>
        </w:rPr>
        <w:t>（二）具有良好的商业信誉和健全的财务会计制度</w:t>
      </w:r>
      <w:bookmarkEnd w:id="116"/>
      <w:bookmarkEnd w:id="117"/>
      <w:bookmarkEnd w:id="118"/>
    </w:p>
    <w:p w14:paraId="69AF2AA2">
      <w:pPr>
        <w:pStyle w:val="3"/>
        <w:numPr>
          <w:ilvl w:val="0"/>
          <w:numId w:val="0"/>
        </w:numPr>
        <w:spacing w:before="0"/>
        <w:jc w:val="left"/>
        <w:rPr>
          <w:rFonts w:hint="eastAsia" w:ascii="仿宋" w:hAnsi="仿宋" w:eastAsia="仿宋" w:cs="仿宋"/>
          <w:color w:val="auto"/>
          <w:szCs w:val="28"/>
          <w:highlight w:val="none"/>
        </w:rPr>
      </w:pPr>
      <w:bookmarkStart w:id="119" w:name="_Toc80095553"/>
      <w:bookmarkStart w:id="120" w:name="_Toc89692650"/>
      <w:bookmarkStart w:id="121" w:name="_Toc31058"/>
      <w:r>
        <w:rPr>
          <w:rFonts w:hint="eastAsia" w:ascii="仿宋" w:hAnsi="仿宋" w:eastAsia="仿宋" w:cs="仿宋"/>
          <w:color w:val="auto"/>
          <w:szCs w:val="28"/>
          <w:highlight w:val="none"/>
        </w:rPr>
        <w:t>（三）</w:t>
      </w:r>
      <w:bookmarkEnd w:id="119"/>
      <w:r>
        <w:rPr>
          <w:rFonts w:hint="eastAsia" w:ascii="仿宋" w:hAnsi="仿宋" w:eastAsia="仿宋" w:cs="仿宋"/>
          <w:color w:val="auto"/>
          <w:szCs w:val="28"/>
          <w:highlight w:val="none"/>
        </w:rPr>
        <w:t>具有履行合同所必需的设备和专业技术能力</w:t>
      </w:r>
      <w:bookmarkEnd w:id="120"/>
      <w:bookmarkEnd w:id="121"/>
    </w:p>
    <w:p w14:paraId="6D70B7F4">
      <w:pPr>
        <w:pStyle w:val="3"/>
        <w:numPr>
          <w:ilvl w:val="0"/>
          <w:numId w:val="0"/>
        </w:numPr>
        <w:spacing w:before="0"/>
        <w:jc w:val="left"/>
        <w:rPr>
          <w:rFonts w:hint="eastAsia" w:ascii="仿宋" w:hAnsi="仿宋" w:eastAsia="仿宋" w:cs="仿宋"/>
          <w:color w:val="auto"/>
          <w:szCs w:val="28"/>
          <w:highlight w:val="none"/>
        </w:rPr>
      </w:pPr>
      <w:bookmarkStart w:id="122" w:name="_Toc80095554"/>
      <w:bookmarkStart w:id="123" w:name="_Toc89692651"/>
      <w:bookmarkStart w:id="124" w:name="_Toc10380"/>
      <w:r>
        <w:rPr>
          <w:rFonts w:hint="eastAsia" w:ascii="仿宋" w:hAnsi="仿宋" w:eastAsia="仿宋" w:cs="仿宋"/>
          <w:color w:val="auto"/>
          <w:szCs w:val="28"/>
          <w:highlight w:val="none"/>
        </w:rPr>
        <w:t>（四）</w:t>
      </w:r>
      <w:bookmarkEnd w:id="122"/>
      <w:r>
        <w:rPr>
          <w:rFonts w:hint="eastAsia" w:ascii="仿宋" w:hAnsi="仿宋" w:eastAsia="仿宋" w:cs="仿宋"/>
          <w:color w:val="auto"/>
          <w:szCs w:val="28"/>
          <w:highlight w:val="none"/>
        </w:rPr>
        <w:t>有依法缴纳税收和社会保障资金的良好记录</w:t>
      </w:r>
      <w:bookmarkEnd w:id="123"/>
      <w:bookmarkEnd w:id="124"/>
    </w:p>
    <w:p w14:paraId="175B1699">
      <w:pPr>
        <w:pStyle w:val="3"/>
        <w:numPr>
          <w:ilvl w:val="0"/>
          <w:numId w:val="0"/>
        </w:numPr>
        <w:spacing w:before="0"/>
        <w:jc w:val="left"/>
        <w:rPr>
          <w:rFonts w:hint="eastAsia" w:ascii="仿宋" w:hAnsi="仿宋" w:eastAsia="仿宋" w:cs="仿宋"/>
          <w:color w:val="auto"/>
          <w:szCs w:val="28"/>
          <w:highlight w:val="none"/>
        </w:rPr>
      </w:pPr>
      <w:bookmarkStart w:id="125" w:name="_Toc80095555"/>
      <w:bookmarkStart w:id="126" w:name="_Toc29186"/>
      <w:bookmarkStart w:id="127" w:name="_Toc89692652"/>
      <w:r>
        <w:rPr>
          <w:rFonts w:hint="eastAsia" w:ascii="仿宋" w:hAnsi="仿宋" w:eastAsia="仿宋" w:cs="仿宋"/>
          <w:color w:val="auto"/>
          <w:szCs w:val="28"/>
          <w:highlight w:val="none"/>
        </w:rPr>
        <w:t>（五）</w:t>
      </w:r>
      <w:bookmarkEnd w:id="125"/>
      <w:r>
        <w:rPr>
          <w:rFonts w:hint="eastAsia" w:ascii="仿宋" w:hAnsi="仿宋" w:eastAsia="仿宋" w:cs="仿宋"/>
          <w:color w:val="auto"/>
          <w:szCs w:val="28"/>
          <w:highlight w:val="none"/>
        </w:rPr>
        <w:t>参加政府采购活动前三年内，在经营活动中没有重大违法记录</w:t>
      </w:r>
      <w:bookmarkEnd w:id="126"/>
      <w:bookmarkEnd w:id="127"/>
    </w:p>
    <w:p w14:paraId="1727DCD2">
      <w:pPr>
        <w:pStyle w:val="3"/>
        <w:numPr>
          <w:ilvl w:val="0"/>
          <w:numId w:val="0"/>
        </w:numPr>
        <w:spacing w:before="0"/>
        <w:jc w:val="left"/>
        <w:rPr>
          <w:rFonts w:hint="eastAsia" w:ascii="仿宋" w:hAnsi="仿宋" w:eastAsia="仿宋" w:cs="仿宋"/>
          <w:color w:val="auto"/>
          <w:szCs w:val="28"/>
          <w:highlight w:val="none"/>
        </w:rPr>
      </w:pPr>
      <w:bookmarkStart w:id="128" w:name="_Toc89692653"/>
      <w:bookmarkStart w:id="129" w:name="_Toc20962"/>
      <w:r>
        <w:rPr>
          <w:rFonts w:hint="eastAsia" w:ascii="仿宋" w:hAnsi="仿宋" w:eastAsia="仿宋" w:cs="仿宋"/>
          <w:color w:val="auto"/>
          <w:szCs w:val="28"/>
          <w:highlight w:val="none"/>
        </w:rPr>
        <w:t>（六）法律、行政法规规定的其他条件</w:t>
      </w:r>
      <w:bookmarkEnd w:id="128"/>
      <w:bookmarkEnd w:id="129"/>
    </w:p>
    <w:p w14:paraId="2C1FBD38">
      <w:pPr>
        <w:rPr>
          <w:rFonts w:hint="eastAsia" w:ascii="仿宋" w:hAnsi="仿宋" w:eastAsia="仿宋" w:cs="仿宋"/>
          <w:color w:val="auto"/>
          <w:szCs w:val="28"/>
          <w:highlight w:val="none"/>
        </w:rPr>
      </w:pPr>
      <w:bookmarkStart w:id="130" w:name="_Toc89692654"/>
      <w:r>
        <w:rPr>
          <w:rFonts w:hint="eastAsia" w:ascii="仿宋" w:hAnsi="仿宋" w:eastAsia="仿宋" w:cs="仿宋"/>
          <w:color w:val="auto"/>
          <w:szCs w:val="28"/>
          <w:highlight w:val="none"/>
        </w:rPr>
        <w:br w:type="page"/>
      </w:r>
    </w:p>
    <w:p w14:paraId="065B9715">
      <w:pPr>
        <w:numPr>
          <w:ilvl w:val="0"/>
          <w:numId w:val="0"/>
        </w:numPr>
        <w:outlineLvl w:val="1"/>
        <w:rPr>
          <w:rFonts w:hint="eastAsia" w:ascii="仿宋" w:hAnsi="仿宋" w:eastAsia="仿宋" w:cs="仿宋"/>
          <w:b/>
          <w:color w:val="auto"/>
          <w:kern w:val="0"/>
          <w:sz w:val="28"/>
          <w:szCs w:val="28"/>
          <w:highlight w:val="none"/>
          <w:lang w:val="en-US" w:eastAsia="zh-CN" w:bidi="ar-SA"/>
        </w:rPr>
      </w:pPr>
      <w:bookmarkStart w:id="131" w:name="_Toc7977"/>
      <w:r>
        <w:rPr>
          <w:rFonts w:hint="eastAsia" w:ascii="仿宋" w:hAnsi="仿宋" w:eastAsia="仿宋" w:cs="仿宋"/>
          <w:b/>
          <w:color w:val="auto"/>
          <w:kern w:val="0"/>
          <w:sz w:val="28"/>
          <w:szCs w:val="28"/>
          <w:lang w:val="en-US" w:eastAsia="zh-CN" w:bidi="ar-SA"/>
        </w:rPr>
        <w:t>（七）</w:t>
      </w:r>
      <w:r>
        <w:rPr>
          <w:rFonts w:hint="eastAsia" w:ascii="仿宋" w:hAnsi="仿宋" w:eastAsia="仿宋" w:cs="仿宋"/>
          <w:b/>
          <w:color w:val="auto"/>
          <w:kern w:val="0"/>
          <w:sz w:val="28"/>
          <w:szCs w:val="28"/>
          <w:highlight w:val="none"/>
          <w:lang w:val="en-US" w:eastAsia="zh-CN" w:bidi="ar-SA"/>
        </w:rPr>
        <w:t>落实政府采购政策需满足的资格要求：本项目专门面向中小企业采购，需提供中小企业声明函。</w:t>
      </w:r>
      <w:bookmarkEnd w:id="131"/>
    </w:p>
    <w:p w14:paraId="449CEAF2">
      <w:pPr>
        <w:spacing w:line="360" w:lineRule="auto"/>
        <w:ind w:firstLine="480" w:firstLineChars="200"/>
        <w:jc w:val="center"/>
        <w:rPr>
          <w:rFonts w:hint="eastAsia" w:ascii="仿宋" w:hAnsi="仿宋" w:eastAsia="仿宋" w:cs="仿宋"/>
          <w:color w:val="auto"/>
          <w:spacing w:val="6"/>
          <w:szCs w:val="21"/>
          <w:highlight w:val="none"/>
        </w:rPr>
      </w:pPr>
      <w:r>
        <w:rPr>
          <w:rFonts w:hint="eastAsia" w:ascii="仿宋" w:hAnsi="仿宋" w:eastAsia="仿宋" w:cs="仿宋"/>
          <w:b/>
          <w:color w:val="auto"/>
          <w:sz w:val="24"/>
          <w:szCs w:val="24"/>
          <w:highlight w:val="none"/>
        </w:rPr>
        <w:t>中小企业声明函</w:t>
      </w:r>
    </w:p>
    <w:p w14:paraId="380438C5">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本公司（联合体）郑重声明，根据《政府采购促进中小企业发展管理办法》（财库〔2020〕46号）的规定，本公司（联合体）参加</w:t>
      </w:r>
      <w:r>
        <w:rPr>
          <w:rFonts w:hint="eastAsia" w:ascii="仿宋" w:hAnsi="仿宋" w:eastAsia="仿宋" w:cs="仿宋"/>
          <w:color w:val="auto"/>
          <w:spacing w:val="6"/>
          <w:szCs w:val="21"/>
          <w:highlight w:val="none"/>
          <w:u w:val="single"/>
        </w:rPr>
        <w:t xml:space="preserve"> （单位名称）</w:t>
      </w:r>
      <w:r>
        <w:rPr>
          <w:rFonts w:hint="eastAsia" w:ascii="仿宋" w:hAnsi="仿宋" w:eastAsia="仿宋" w:cs="仿宋"/>
          <w:color w:val="auto"/>
          <w:spacing w:val="6"/>
          <w:szCs w:val="21"/>
          <w:highlight w:val="none"/>
        </w:rPr>
        <w:t>的</w:t>
      </w:r>
      <w:r>
        <w:rPr>
          <w:rFonts w:hint="eastAsia" w:ascii="仿宋" w:hAnsi="仿宋" w:eastAsia="仿宋" w:cs="仿宋"/>
          <w:color w:val="auto"/>
          <w:spacing w:val="6"/>
          <w:szCs w:val="21"/>
          <w:highlight w:val="none"/>
          <w:u w:val="single"/>
        </w:rPr>
        <w:t xml:space="preserve"> （项目名称</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u w:val="single"/>
        </w:rPr>
        <w:t>）</w:t>
      </w:r>
      <w:r>
        <w:rPr>
          <w:rFonts w:hint="eastAsia" w:ascii="仿宋" w:hAnsi="仿宋" w:eastAsia="仿宋" w:cs="仿宋"/>
          <w:color w:val="auto"/>
          <w:spacing w:val="6"/>
          <w:szCs w:val="21"/>
          <w:highlight w:val="none"/>
        </w:rPr>
        <w:t>采购活动，提供的货物全部由符合政策要求的中小企业制造。相关企业（含联合体中的中小企业、签订分包意向协议的中小企业）的具体情况如下：</w:t>
      </w:r>
    </w:p>
    <w:p w14:paraId="3D7F0372">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1.</w:t>
      </w:r>
      <w:r>
        <w:rPr>
          <w:rFonts w:hint="eastAsia" w:ascii="仿宋" w:hAnsi="仿宋" w:eastAsia="仿宋" w:cs="仿宋"/>
          <w:color w:val="auto"/>
          <w:spacing w:val="6"/>
          <w:szCs w:val="21"/>
          <w:highlight w:val="none"/>
          <w:u w:val="single"/>
        </w:rPr>
        <w:t xml:space="preserve"> （标的名称）</w:t>
      </w:r>
      <w:r>
        <w:rPr>
          <w:rFonts w:hint="eastAsia" w:ascii="仿宋" w:hAnsi="仿宋" w:eastAsia="仿宋" w:cs="仿宋"/>
          <w:color w:val="auto"/>
          <w:spacing w:val="6"/>
          <w:szCs w:val="21"/>
          <w:highlight w:val="none"/>
        </w:rPr>
        <w:t>，属于</w:t>
      </w:r>
      <w:r>
        <w:rPr>
          <w:rFonts w:hint="eastAsia" w:ascii="仿宋" w:hAnsi="仿宋" w:eastAsia="仿宋" w:cs="仿宋"/>
          <w:color w:val="auto"/>
          <w:spacing w:val="6"/>
          <w:szCs w:val="21"/>
          <w:highlight w:val="none"/>
          <w:u w:val="single"/>
        </w:rPr>
        <w:t xml:space="preserve"> （采购文件中明确的所属行业）行业</w:t>
      </w:r>
      <w:r>
        <w:rPr>
          <w:rFonts w:hint="eastAsia" w:ascii="仿宋" w:hAnsi="仿宋" w:eastAsia="仿宋" w:cs="仿宋"/>
          <w:color w:val="auto"/>
          <w:spacing w:val="6"/>
          <w:szCs w:val="21"/>
          <w:highlight w:val="none"/>
        </w:rPr>
        <w:t>；制造商为</w:t>
      </w:r>
      <w:r>
        <w:rPr>
          <w:rFonts w:hint="eastAsia" w:ascii="仿宋" w:hAnsi="仿宋" w:eastAsia="仿宋" w:cs="仿宋"/>
          <w:color w:val="auto"/>
          <w:spacing w:val="6"/>
          <w:szCs w:val="21"/>
          <w:highlight w:val="none"/>
          <w:u w:val="single"/>
        </w:rPr>
        <w:t xml:space="preserve"> （企业名称）</w:t>
      </w:r>
      <w:r>
        <w:rPr>
          <w:rFonts w:hint="eastAsia" w:ascii="仿宋" w:hAnsi="仿宋" w:eastAsia="仿宋" w:cs="仿宋"/>
          <w:color w:val="auto"/>
          <w:spacing w:val="6"/>
          <w:szCs w:val="21"/>
          <w:highlight w:val="none"/>
        </w:rPr>
        <w:t>，从业人员</w:t>
      </w:r>
      <w:r>
        <w:rPr>
          <w:rFonts w:hint="eastAsia" w:ascii="仿宋" w:hAnsi="仿宋" w:eastAsia="仿宋" w:cs="仿宋"/>
          <w:color w:val="auto"/>
          <w:spacing w:val="6"/>
          <w:szCs w:val="21"/>
          <w:highlight w:val="none"/>
          <w:u w:val="single"/>
        </w:rPr>
        <w:t xml:space="preserve">   </w:t>
      </w:r>
      <w:r>
        <w:rPr>
          <w:rFonts w:hint="eastAsia" w:ascii="仿宋" w:hAnsi="仿宋" w:eastAsia="仿宋" w:cs="仿宋"/>
          <w:color w:val="auto"/>
          <w:spacing w:val="6"/>
          <w:szCs w:val="21"/>
          <w:highlight w:val="none"/>
        </w:rPr>
        <w:t>人，营业收入为</w:t>
      </w:r>
      <w:r>
        <w:rPr>
          <w:rFonts w:hint="eastAsia" w:ascii="仿宋" w:hAnsi="仿宋" w:eastAsia="仿宋" w:cs="仿宋"/>
          <w:color w:val="auto"/>
          <w:spacing w:val="6"/>
          <w:szCs w:val="21"/>
          <w:highlight w:val="none"/>
          <w:u w:val="single"/>
        </w:rPr>
        <w:t xml:space="preserve">    </w:t>
      </w:r>
      <w:r>
        <w:rPr>
          <w:rFonts w:hint="eastAsia" w:ascii="仿宋" w:hAnsi="仿宋" w:eastAsia="仿宋" w:cs="仿宋"/>
          <w:color w:val="auto"/>
          <w:spacing w:val="6"/>
          <w:szCs w:val="21"/>
          <w:highlight w:val="none"/>
        </w:rPr>
        <w:t>万元，资产总额为</w:t>
      </w:r>
      <w:r>
        <w:rPr>
          <w:rFonts w:hint="eastAsia" w:ascii="仿宋" w:hAnsi="仿宋" w:eastAsia="仿宋" w:cs="仿宋"/>
          <w:color w:val="auto"/>
          <w:spacing w:val="6"/>
          <w:szCs w:val="21"/>
          <w:highlight w:val="none"/>
          <w:u w:val="single"/>
        </w:rPr>
        <w:t xml:space="preserve">    </w:t>
      </w:r>
      <w:r>
        <w:rPr>
          <w:rFonts w:hint="eastAsia" w:ascii="仿宋" w:hAnsi="仿宋" w:eastAsia="仿宋" w:cs="仿宋"/>
          <w:color w:val="auto"/>
          <w:spacing w:val="6"/>
          <w:szCs w:val="21"/>
          <w:highlight w:val="none"/>
        </w:rPr>
        <w:t>万元，属于</w:t>
      </w:r>
      <w:r>
        <w:rPr>
          <w:rFonts w:hint="eastAsia" w:ascii="仿宋" w:hAnsi="仿宋" w:eastAsia="仿宋" w:cs="仿宋"/>
          <w:color w:val="auto"/>
          <w:spacing w:val="6"/>
          <w:szCs w:val="21"/>
          <w:highlight w:val="none"/>
          <w:u w:val="single"/>
        </w:rPr>
        <w:t>（中型企业、小型企业、微型企业）</w:t>
      </w:r>
      <w:r>
        <w:rPr>
          <w:rFonts w:hint="eastAsia" w:ascii="仿宋" w:hAnsi="仿宋" w:eastAsia="仿宋" w:cs="仿宋"/>
          <w:color w:val="auto"/>
          <w:spacing w:val="6"/>
          <w:szCs w:val="21"/>
          <w:highlight w:val="none"/>
        </w:rPr>
        <w:t>；</w:t>
      </w:r>
    </w:p>
    <w:p w14:paraId="06693879">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2.</w:t>
      </w:r>
      <w:r>
        <w:rPr>
          <w:rFonts w:hint="eastAsia" w:ascii="仿宋" w:hAnsi="仿宋" w:eastAsia="仿宋" w:cs="仿宋"/>
          <w:color w:val="auto"/>
          <w:spacing w:val="6"/>
          <w:szCs w:val="21"/>
          <w:highlight w:val="none"/>
          <w:u w:val="single"/>
        </w:rPr>
        <w:t xml:space="preserve"> （标的名称）</w:t>
      </w:r>
      <w:r>
        <w:rPr>
          <w:rFonts w:hint="eastAsia" w:ascii="仿宋" w:hAnsi="仿宋" w:eastAsia="仿宋" w:cs="仿宋"/>
          <w:color w:val="auto"/>
          <w:spacing w:val="6"/>
          <w:szCs w:val="21"/>
          <w:highlight w:val="none"/>
        </w:rPr>
        <w:t>，属于</w:t>
      </w:r>
      <w:r>
        <w:rPr>
          <w:rFonts w:hint="eastAsia" w:ascii="仿宋" w:hAnsi="仿宋" w:eastAsia="仿宋" w:cs="仿宋"/>
          <w:color w:val="auto"/>
          <w:spacing w:val="6"/>
          <w:szCs w:val="21"/>
          <w:highlight w:val="none"/>
          <w:u w:val="single"/>
        </w:rPr>
        <w:t xml:space="preserve"> （采购文件中明确的所属行业）行业</w:t>
      </w:r>
      <w:r>
        <w:rPr>
          <w:rFonts w:hint="eastAsia" w:ascii="仿宋" w:hAnsi="仿宋" w:eastAsia="仿宋" w:cs="仿宋"/>
          <w:color w:val="auto"/>
          <w:spacing w:val="6"/>
          <w:szCs w:val="21"/>
          <w:highlight w:val="none"/>
        </w:rPr>
        <w:t>；制造商为</w:t>
      </w:r>
      <w:r>
        <w:rPr>
          <w:rFonts w:hint="eastAsia" w:ascii="仿宋" w:hAnsi="仿宋" w:eastAsia="仿宋" w:cs="仿宋"/>
          <w:color w:val="auto"/>
          <w:spacing w:val="6"/>
          <w:szCs w:val="21"/>
          <w:highlight w:val="none"/>
          <w:u w:val="single"/>
        </w:rPr>
        <w:t xml:space="preserve"> （企业名称）</w:t>
      </w:r>
      <w:r>
        <w:rPr>
          <w:rFonts w:hint="eastAsia" w:ascii="仿宋" w:hAnsi="仿宋" w:eastAsia="仿宋" w:cs="仿宋"/>
          <w:color w:val="auto"/>
          <w:spacing w:val="6"/>
          <w:szCs w:val="21"/>
          <w:highlight w:val="none"/>
        </w:rPr>
        <w:t>，从业人员</w:t>
      </w:r>
      <w:r>
        <w:rPr>
          <w:rFonts w:hint="eastAsia" w:ascii="仿宋" w:hAnsi="仿宋" w:eastAsia="仿宋" w:cs="仿宋"/>
          <w:color w:val="auto"/>
          <w:spacing w:val="6"/>
          <w:szCs w:val="21"/>
          <w:highlight w:val="none"/>
          <w:u w:val="single"/>
        </w:rPr>
        <w:t xml:space="preserve">   </w:t>
      </w:r>
      <w:r>
        <w:rPr>
          <w:rFonts w:hint="eastAsia" w:ascii="仿宋" w:hAnsi="仿宋" w:eastAsia="仿宋" w:cs="仿宋"/>
          <w:color w:val="auto"/>
          <w:spacing w:val="6"/>
          <w:szCs w:val="21"/>
          <w:highlight w:val="none"/>
        </w:rPr>
        <w:t>人，营业收入为</w:t>
      </w:r>
      <w:r>
        <w:rPr>
          <w:rFonts w:hint="eastAsia" w:ascii="仿宋" w:hAnsi="仿宋" w:eastAsia="仿宋" w:cs="仿宋"/>
          <w:color w:val="auto"/>
          <w:spacing w:val="6"/>
          <w:szCs w:val="21"/>
          <w:highlight w:val="none"/>
          <w:u w:val="single"/>
        </w:rPr>
        <w:t xml:space="preserve">    </w:t>
      </w:r>
      <w:r>
        <w:rPr>
          <w:rFonts w:hint="eastAsia" w:ascii="仿宋" w:hAnsi="仿宋" w:eastAsia="仿宋" w:cs="仿宋"/>
          <w:color w:val="auto"/>
          <w:spacing w:val="6"/>
          <w:szCs w:val="21"/>
          <w:highlight w:val="none"/>
        </w:rPr>
        <w:t>万元，资产总额为</w:t>
      </w:r>
      <w:r>
        <w:rPr>
          <w:rFonts w:hint="eastAsia" w:ascii="仿宋" w:hAnsi="仿宋" w:eastAsia="仿宋" w:cs="仿宋"/>
          <w:color w:val="auto"/>
          <w:spacing w:val="6"/>
          <w:szCs w:val="21"/>
          <w:highlight w:val="none"/>
          <w:u w:val="single"/>
        </w:rPr>
        <w:t xml:space="preserve">    </w:t>
      </w:r>
      <w:r>
        <w:rPr>
          <w:rFonts w:hint="eastAsia" w:ascii="仿宋" w:hAnsi="仿宋" w:eastAsia="仿宋" w:cs="仿宋"/>
          <w:color w:val="auto"/>
          <w:spacing w:val="6"/>
          <w:szCs w:val="21"/>
          <w:highlight w:val="none"/>
        </w:rPr>
        <w:t>万元，属于</w:t>
      </w:r>
      <w:r>
        <w:rPr>
          <w:rFonts w:hint="eastAsia" w:ascii="仿宋" w:hAnsi="仿宋" w:eastAsia="仿宋" w:cs="仿宋"/>
          <w:color w:val="auto"/>
          <w:spacing w:val="6"/>
          <w:szCs w:val="21"/>
          <w:highlight w:val="none"/>
          <w:u w:val="single"/>
        </w:rPr>
        <w:t>（中型企业、小型企业、微型企业）</w:t>
      </w:r>
      <w:r>
        <w:rPr>
          <w:rFonts w:hint="eastAsia" w:ascii="仿宋" w:hAnsi="仿宋" w:eastAsia="仿宋" w:cs="仿宋"/>
          <w:color w:val="auto"/>
          <w:spacing w:val="6"/>
          <w:szCs w:val="21"/>
          <w:highlight w:val="none"/>
        </w:rPr>
        <w:t>；</w:t>
      </w:r>
    </w:p>
    <w:p w14:paraId="534F3E56">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w:t>
      </w:r>
    </w:p>
    <w:p w14:paraId="5142E2AF">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以上企业，不属于大企业的分支机构，不存在控股股东为大企业的情形，也不存在与大企业的负责人为同一人的情形。</w:t>
      </w:r>
    </w:p>
    <w:p w14:paraId="3C95E697">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本企业对上述声明内容的真实性负责。如有虚假，将依法承担相应责任。</w:t>
      </w:r>
    </w:p>
    <w:p w14:paraId="72154E52">
      <w:pPr>
        <w:tabs>
          <w:tab w:val="left" w:pos="4860"/>
        </w:tabs>
        <w:spacing w:line="588" w:lineRule="exact"/>
        <w:ind w:right="1560" w:firstLine="444" w:firstLineChars="200"/>
        <w:jc w:val="center"/>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              企业名称（电子签章）： </w:t>
      </w:r>
    </w:p>
    <w:p w14:paraId="14794B41">
      <w:pPr>
        <w:tabs>
          <w:tab w:val="left" w:pos="4860"/>
        </w:tabs>
        <w:spacing w:line="588" w:lineRule="exact"/>
        <w:ind w:right="1560" w:firstLine="444" w:firstLineChars="200"/>
        <w:jc w:val="center"/>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     日期：                </w:t>
      </w:r>
    </w:p>
    <w:p w14:paraId="20F2C209">
      <w:pPr>
        <w:spacing w:line="360" w:lineRule="auto"/>
        <w:rPr>
          <w:rFonts w:hint="eastAsia" w:ascii="仿宋" w:hAnsi="仿宋" w:eastAsia="仿宋" w:cs="仿宋"/>
          <w:b/>
          <w:color w:val="auto"/>
          <w:szCs w:val="21"/>
          <w:highlight w:val="none"/>
        </w:rPr>
      </w:pPr>
    </w:p>
    <w:p w14:paraId="398CE260">
      <w:pPr>
        <w:spacing w:line="360" w:lineRule="auto"/>
        <w:rPr>
          <w:rFonts w:hint="eastAsia" w:ascii="仿宋" w:hAnsi="仿宋" w:eastAsia="仿宋" w:cs="仿宋"/>
          <w:b/>
          <w:color w:val="auto"/>
          <w:szCs w:val="21"/>
          <w:highlight w:val="none"/>
        </w:rPr>
      </w:pPr>
    </w:p>
    <w:p w14:paraId="341D3D76">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注：从业人员、营业收入、资产总额填报上一年度数据，无上一年度数据的新成立企业可不填写。</w:t>
      </w:r>
    </w:p>
    <w:p w14:paraId="1EFD2826">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6C1A4C6C">
      <w:pPr>
        <w:pStyle w:val="3"/>
        <w:numPr>
          <w:ilvl w:val="0"/>
          <w:numId w:val="0"/>
        </w:numPr>
        <w:spacing w:before="0"/>
        <w:jc w:val="left"/>
        <w:rPr>
          <w:rFonts w:hint="eastAsia" w:ascii="仿宋" w:hAnsi="仿宋" w:eastAsia="仿宋" w:cs="仿宋"/>
          <w:color w:val="auto"/>
          <w:szCs w:val="28"/>
          <w:highlight w:val="none"/>
        </w:rPr>
      </w:pPr>
      <w:bookmarkStart w:id="132" w:name="_Toc30827"/>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八</w:t>
      </w:r>
      <w:r>
        <w:rPr>
          <w:rFonts w:hint="eastAsia" w:ascii="仿宋" w:hAnsi="仿宋" w:eastAsia="仿宋" w:cs="仿宋"/>
          <w:color w:val="auto"/>
          <w:szCs w:val="28"/>
          <w:highlight w:val="none"/>
        </w:rPr>
        <w:t>）本项目的特定资格要求</w:t>
      </w:r>
      <w:bookmarkEnd w:id="130"/>
      <w:bookmarkEnd w:id="132"/>
    </w:p>
    <w:p w14:paraId="3587863B">
      <w:pPr>
        <w:numPr>
          <w:ilvl w:val="0"/>
          <w:numId w:val="0"/>
        </w:numPr>
        <w:tabs>
          <w:tab w:val="left" w:pos="360"/>
          <w:tab w:val="left" w:pos="1021"/>
        </w:tabs>
        <w:spacing w:before="0"/>
        <w:jc w:val="left"/>
        <w:outlineLvl w:val="9"/>
        <w:rPr>
          <w:rFonts w:hint="eastAsia" w:ascii="仿宋" w:hAnsi="仿宋" w:eastAsia="仿宋" w:cs="仿宋"/>
          <w:color w:val="auto"/>
          <w:szCs w:val="28"/>
          <w:highlight w:val="none"/>
        </w:rPr>
      </w:pPr>
    </w:p>
    <w:p w14:paraId="6A2A4207">
      <w:pPr>
        <w:numPr>
          <w:ilvl w:val="0"/>
          <w:numId w:val="0"/>
        </w:numPr>
        <w:tabs>
          <w:tab w:val="left" w:pos="360"/>
          <w:tab w:val="left" w:pos="1021"/>
        </w:tabs>
        <w:spacing w:before="0"/>
        <w:jc w:val="left"/>
        <w:outlineLvl w:val="9"/>
        <w:rPr>
          <w:rFonts w:hint="eastAsia" w:ascii="仿宋" w:hAnsi="仿宋" w:eastAsia="仿宋" w:cs="仿宋"/>
          <w:color w:val="auto"/>
          <w:szCs w:val="28"/>
          <w:highlight w:val="none"/>
        </w:rPr>
      </w:pPr>
    </w:p>
    <w:p w14:paraId="77D24DA6">
      <w:pPr>
        <w:rPr>
          <w:rFonts w:hint="eastAsia" w:ascii="仿宋" w:hAnsi="仿宋" w:eastAsia="仿宋" w:cs="仿宋"/>
          <w:color w:val="auto"/>
          <w:sz w:val="24"/>
          <w:highlight w:val="none"/>
        </w:rPr>
      </w:pPr>
    </w:p>
    <w:p w14:paraId="39A3BBFF">
      <w:pPr>
        <w:rPr>
          <w:rFonts w:hint="eastAsia" w:ascii="仿宋" w:hAnsi="仿宋" w:eastAsia="仿宋" w:cs="仿宋"/>
          <w:color w:val="auto"/>
          <w:sz w:val="24"/>
          <w:highlight w:val="none"/>
        </w:rPr>
      </w:pPr>
    </w:p>
    <w:p w14:paraId="5D674D5E">
      <w:pPr>
        <w:rPr>
          <w:rFonts w:hint="eastAsia" w:ascii="仿宋" w:hAnsi="仿宋" w:eastAsia="仿宋" w:cs="仿宋"/>
          <w:color w:val="auto"/>
          <w:sz w:val="24"/>
          <w:highlight w:val="none"/>
        </w:rPr>
      </w:pPr>
    </w:p>
    <w:p w14:paraId="71194C06">
      <w:pPr>
        <w:rPr>
          <w:rFonts w:hint="eastAsia" w:ascii="仿宋" w:hAnsi="仿宋" w:eastAsia="仿宋" w:cs="仿宋"/>
          <w:color w:val="auto"/>
          <w:sz w:val="24"/>
          <w:highlight w:val="none"/>
        </w:rPr>
      </w:pPr>
    </w:p>
    <w:p w14:paraId="237CC044">
      <w:pPr>
        <w:rPr>
          <w:rFonts w:hint="eastAsia" w:ascii="仿宋" w:hAnsi="仿宋" w:eastAsia="仿宋" w:cs="仿宋"/>
          <w:color w:val="auto"/>
          <w:sz w:val="24"/>
          <w:highlight w:val="none"/>
        </w:rPr>
      </w:pPr>
    </w:p>
    <w:p w14:paraId="70ADF08D">
      <w:pPr>
        <w:rPr>
          <w:rFonts w:hint="eastAsia" w:ascii="仿宋" w:hAnsi="仿宋" w:eastAsia="仿宋" w:cs="仿宋"/>
          <w:color w:val="auto"/>
          <w:sz w:val="24"/>
          <w:highlight w:val="none"/>
        </w:rPr>
      </w:pPr>
    </w:p>
    <w:p w14:paraId="1D329C58">
      <w:pPr>
        <w:rPr>
          <w:rFonts w:hint="eastAsia" w:ascii="仿宋" w:hAnsi="仿宋" w:eastAsia="仿宋" w:cs="仿宋"/>
          <w:color w:val="auto"/>
          <w:sz w:val="24"/>
          <w:highlight w:val="none"/>
        </w:rPr>
      </w:pPr>
    </w:p>
    <w:p w14:paraId="5029EBF1">
      <w:pPr>
        <w:rPr>
          <w:rFonts w:hint="eastAsia" w:ascii="仿宋" w:hAnsi="仿宋" w:eastAsia="仿宋" w:cs="仿宋"/>
          <w:color w:val="auto"/>
          <w:sz w:val="24"/>
          <w:highlight w:val="none"/>
        </w:rPr>
      </w:pPr>
    </w:p>
    <w:p w14:paraId="3D42E90A">
      <w:pPr>
        <w:rPr>
          <w:rFonts w:hint="eastAsia" w:ascii="仿宋" w:hAnsi="仿宋" w:eastAsia="仿宋" w:cs="仿宋"/>
          <w:color w:val="auto"/>
          <w:sz w:val="24"/>
          <w:highlight w:val="none"/>
        </w:rPr>
      </w:pPr>
    </w:p>
    <w:p w14:paraId="46F724DA">
      <w:pPr>
        <w:rPr>
          <w:rFonts w:hint="eastAsia" w:ascii="仿宋" w:hAnsi="仿宋" w:eastAsia="仿宋" w:cs="仿宋"/>
          <w:color w:val="auto"/>
          <w:sz w:val="24"/>
          <w:highlight w:val="none"/>
        </w:rPr>
      </w:pPr>
    </w:p>
    <w:p w14:paraId="31FABA09">
      <w:pPr>
        <w:rPr>
          <w:rFonts w:hint="eastAsia" w:ascii="仿宋" w:hAnsi="仿宋" w:eastAsia="仿宋" w:cs="仿宋"/>
          <w:color w:val="auto"/>
          <w:sz w:val="24"/>
          <w:highlight w:val="none"/>
        </w:rPr>
      </w:pPr>
    </w:p>
    <w:p w14:paraId="38F90CD4">
      <w:pPr>
        <w:pStyle w:val="48"/>
        <w:rPr>
          <w:rFonts w:hint="eastAsia" w:ascii="仿宋" w:hAnsi="仿宋" w:eastAsia="仿宋" w:cs="仿宋"/>
          <w:color w:val="auto"/>
          <w:highlight w:val="none"/>
        </w:rPr>
      </w:pPr>
    </w:p>
    <w:p w14:paraId="653E09D2">
      <w:pPr>
        <w:rPr>
          <w:rFonts w:hint="eastAsia" w:ascii="仿宋" w:hAnsi="仿宋" w:eastAsia="仿宋" w:cs="仿宋"/>
          <w:color w:val="auto"/>
          <w:sz w:val="24"/>
          <w:highlight w:val="none"/>
        </w:rPr>
      </w:pPr>
    </w:p>
    <w:p w14:paraId="086E0EAB">
      <w:pPr>
        <w:rPr>
          <w:rFonts w:hint="eastAsia" w:ascii="仿宋" w:hAnsi="仿宋" w:eastAsia="仿宋" w:cs="仿宋"/>
          <w:color w:val="auto"/>
          <w:sz w:val="24"/>
          <w:highlight w:val="none"/>
        </w:rPr>
      </w:pPr>
    </w:p>
    <w:p w14:paraId="773580B4">
      <w:pPr>
        <w:rPr>
          <w:rFonts w:hint="eastAsia" w:ascii="仿宋" w:hAnsi="仿宋" w:eastAsia="仿宋" w:cs="仿宋"/>
          <w:color w:val="auto"/>
          <w:szCs w:val="28"/>
          <w:highlight w:val="none"/>
        </w:rPr>
      </w:pPr>
      <w:bookmarkStart w:id="133" w:name="_Toc80095558"/>
      <w:bookmarkStart w:id="134" w:name="_Toc8168214"/>
      <w:bookmarkStart w:id="135" w:name="_Toc89692655"/>
      <w:r>
        <w:rPr>
          <w:rFonts w:hint="eastAsia" w:ascii="仿宋" w:hAnsi="仿宋" w:eastAsia="仿宋" w:cs="仿宋"/>
          <w:color w:val="auto"/>
          <w:szCs w:val="28"/>
          <w:highlight w:val="none"/>
        </w:rPr>
        <w:br w:type="page"/>
      </w:r>
    </w:p>
    <w:bookmarkEnd w:id="133"/>
    <w:bookmarkEnd w:id="134"/>
    <w:bookmarkEnd w:id="135"/>
    <w:p w14:paraId="11F1970E">
      <w:pPr>
        <w:tabs>
          <w:tab w:val="left" w:pos="360"/>
          <w:tab w:val="left" w:pos="1021"/>
        </w:tabs>
        <w:ind w:left="425"/>
        <w:jc w:val="center"/>
        <w:rPr>
          <w:rFonts w:hint="eastAsia" w:ascii="仿宋" w:hAnsi="仿宋" w:eastAsia="仿宋" w:cs="仿宋"/>
          <w:color w:val="auto"/>
          <w:szCs w:val="28"/>
          <w:highlight w:val="none"/>
        </w:rPr>
      </w:pPr>
      <w:bookmarkStart w:id="136" w:name="_Toc20391346"/>
    </w:p>
    <w:bookmarkEnd w:id="136"/>
    <w:p w14:paraId="7DA68E72">
      <w:pPr>
        <w:pStyle w:val="3"/>
        <w:numPr>
          <w:ilvl w:val="0"/>
          <w:numId w:val="0"/>
        </w:numPr>
        <w:spacing w:before="0"/>
        <w:ind w:left="425"/>
        <w:jc w:val="center"/>
        <w:rPr>
          <w:rFonts w:hint="eastAsia" w:ascii="仿宋" w:hAnsi="仿宋" w:eastAsia="仿宋" w:cs="仿宋"/>
          <w:color w:val="auto"/>
          <w:szCs w:val="28"/>
          <w:highlight w:val="none"/>
        </w:rPr>
      </w:pPr>
      <w:bookmarkStart w:id="137" w:name="_Toc387"/>
      <w:bookmarkStart w:id="138" w:name="_Toc8689660"/>
      <w:bookmarkStart w:id="139" w:name="_Toc8168216"/>
      <w:bookmarkStart w:id="140" w:name="_Toc89692657"/>
      <w:r>
        <w:rPr>
          <w:rFonts w:hint="eastAsia" w:ascii="仿宋" w:hAnsi="仿宋" w:eastAsia="仿宋" w:cs="仿宋"/>
          <w:color w:val="auto"/>
          <w:szCs w:val="28"/>
          <w:highlight w:val="none"/>
        </w:rPr>
        <w:t>三、投标文件商务技术部分格式</w:t>
      </w:r>
      <w:bookmarkEnd w:id="137"/>
      <w:bookmarkEnd w:id="138"/>
      <w:bookmarkEnd w:id="139"/>
      <w:bookmarkEnd w:id="140"/>
    </w:p>
    <w:p w14:paraId="4A4DFCA3">
      <w:pPr>
        <w:pStyle w:val="3"/>
        <w:numPr>
          <w:ilvl w:val="0"/>
          <w:numId w:val="0"/>
        </w:numPr>
        <w:spacing w:before="0"/>
        <w:ind w:left="425"/>
        <w:jc w:val="center"/>
        <w:rPr>
          <w:rFonts w:hint="eastAsia" w:ascii="仿宋" w:hAnsi="仿宋" w:eastAsia="仿宋" w:cs="仿宋"/>
          <w:color w:val="auto"/>
          <w:szCs w:val="28"/>
          <w:highlight w:val="none"/>
        </w:rPr>
      </w:pPr>
      <w:bookmarkStart w:id="141" w:name="_Toc89692658"/>
      <w:bookmarkStart w:id="142" w:name="_Toc8168205"/>
      <w:bookmarkStart w:id="143" w:name="_Toc8689662"/>
      <w:bookmarkStart w:id="144" w:name="_Toc17044"/>
      <w:r>
        <w:rPr>
          <w:rFonts w:hint="eastAsia" w:ascii="仿宋" w:hAnsi="仿宋" w:eastAsia="仿宋" w:cs="仿宋"/>
          <w:color w:val="auto"/>
          <w:szCs w:val="28"/>
          <w:highlight w:val="none"/>
        </w:rPr>
        <w:t>（一）法定代表人身份证明书</w:t>
      </w:r>
      <w:bookmarkEnd w:id="141"/>
      <w:bookmarkEnd w:id="142"/>
      <w:bookmarkEnd w:id="143"/>
      <w:bookmarkEnd w:id="144"/>
    </w:p>
    <w:p w14:paraId="6E90A530">
      <w:pPr>
        <w:spacing w:line="360" w:lineRule="auto"/>
        <w:jc w:val="center"/>
        <w:rPr>
          <w:rFonts w:hint="eastAsia" w:ascii="仿宋" w:hAnsi="仿宋" w:eastAsia="仿宋" w:cs="仿宋"/>
          <w:b/>
          <w:bCs/>
          <w:color w:val="auto"/>
          <w:sz w:val="32"/>
          <w:szCs w:val="32"/>
          <w:highlight w:val="none"/>
        </w:rPr>
      </w:pPr>
    </w:p>
    <w:p w14:paraId="7FDEF1FE">
      <w:pPr>
        <w:spacing w:line="360" w:lineRule="auto"/>
        <w:jc w:val="center"/>
        <w:rPr>
          <w:rFonts w:hint="eastAsia" w:ascii="仿宋" w:hAnsi="仿宋" w:eastAsia="仿宋" w:cs="仿宋"/>
          <w:b/>
          <w:color w:val="auto"/>
          <w:sz w:val="30"/>
          <w:szCs w:val="30"/>
          <w:highlight w:val="none"/>
        </w:rPr>
      </w:pPr>
    </w:p>
    <w:p w14:paraId="49F8212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投标人名称：</w:t>
      </w:r>
      <w:r>
        <w:rPr>
          <w:rFonts w:hint="eastAsia" w:ascii="仿宋" w:hAnsi="仿宋" w:eastAsia="仿宋" w:cs="仿宋"/>
          <w:color w:val="auto"/>
          <w:szCs w:val="21"/>
          <w:highlight w:val="none"/>
          <w:u w:val="single"/>
        </w:rPr>
        <w:t xml:space="preserve">                       </w:t>
      </w:r>
    </w:p>
    <w:p w14:paraId="5488258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单位性质：</w:t>
      </w:r>
      <w:r>
        <w:rPr>
          <w:rFonts w:hint="eastAsia" w:ascii="仿宋" w:hAnsi="仿宋" w:eastAsia="仿宋" w:cs="仿宋"/>
          <w:color w:val="auto"/>
          <w:szCs w:val="21"/>
          <w:highlight w:val="none"/>
          <w:u w:val="single"/>
        </w:rPr>
        <w:t xml:space="preserve">                         </w:t>
      </w:r>
    </w:p>
    <w:p w14:paraId="6C1ED4A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成立时间：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7437FCB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经营期限：</w:t>
      </w:r>
      <w:r>
        <w:rPr>
          <w:rFonts w:hint="eastAsia" w:ascii="仿宋" w:hAnsi="仿宋" w:eastAsia="仿宋" w:cs="仿宋"/>
          <w:color w:val="auto"/>
          <w:szCs w:val="21"/>
          <w:highlight w:val="none"/>
          <w:u w:val="single"/>
        </w:rPr>
        <w:t xml:space="preserve">                       </w:t>
      </w:r>
    </w:p>
    <w:p w14:paraId="5B3D0EF0">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性别：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职务：</w:t>
      </w:r>
      <w:r>
        <w:rPr>
          <w:rFonts w:hint="eastAsia" w:ascii="仿宋" w:hAnsi="仿宋" w:eastAsia="仿宋" w:cs="仿宋"/>
          <w:color w:val="auto"/>
          <w:szCs w:val="21"/>
          <w:highlight w:val="none"/>
          <w:u w:val="single"/>
        </w:rPr>
        <w:t xml:space="preserve">       </w:t>
      </w:r>
    </w:p>
    <w:p w14:paraId="20930EC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系</w:t>
      </w:r>
      <w:r>
        <w:rPr>
          <w:rFonts w:hint="eastAsia" w:ascii="仿宋" w:hAnsi="仿宋" w:eastAsia="仿宋" w:cs="仿宋"/>
          <w:color w:val="auto"/>
          <w:szCs w:val="21"/>
          <w:highlight w:val="none"/>
          <w:u w:val="single"/>
        </w:rPr>
        <w:t xml:space="preserve">（投标人名称）        </w:t>
      </w:r>
      <w:r>
        <w:rPr>
          <w:rFonts w:hint="eastAsia" w:ascii="仿宋" w:hAnsi="仿宋" w:eastAsia="仿宋" w:cs="仿宋"/>
          <w:color w:val="auto"/>
          <w:szCs w:val="21"/>
          <w:highlight w:val="none"/>
        </w:rPr>
        <w:t>的法定代表人。</w:t>
      </w:r>
    </w:p>
    <w:p w14:paraId="3D0AD339">
      <w:pPr>
        <w:spacing w:line="360" w:lineRule="auto"/>
        <w:ind w:firstLine="420" w:firstLineChars="200"/>
        <w:rPr>
          <w:rFonts w:hint="eastAsia" w:ascii="仿宋" w:hAnsi="仿宋" w:eastAsia="仿宋" w:cs="仿宋"/>
          <w:color w:val="auto"/>
          <w:szCs w:val="21"/>
          <w:highlight w:val="none"/>
        </w:rPr>
      </w:pPr>
    </w:p>
    <w:p w14:paraId="03E323B8">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特此证明。</w:t>
      </w:r>
    </w:p>
    <w:p w14:paraId="30B89601">
      <w:pPr>
        <w:spacing w:line="360" w:lineRule="auto"/>
        <w:rPr>
          <w:rFonts w:hint="eastAsia" w:ascii="仿宋" w:hAnsi="仿宋" w:eastAsia="仿宋" w:cs="仿宋"/>
          <w:color w:val="auto"/>
          <w:szCs w:val="21"/>
          <w:highlight w:val="none"/>
        </w:rPr>
      </w:pPr>
    </w:p>
    <w:p w14:paraId="4DD82F2B">
      <w:pPr>
        <w:spacing w:line="360" w:lineRule="auto"/>
        <w:rPr>
          <w:rFonts w:hint="eastAsia" w:ascii="仿宋" w:hAnsi="仿宋" w:eastAsia="仿宋" w:cs="仿宋"/>
          <w:color w:val="auto"/>
          <w:szCs w:val="21"/>
          <w:highlight w:val="none"/>
        </w:rPr>
      </w:pPr>
    </w:p>
    <w:p w14:paraId="23CDB1A8">
      <w:pPr>
        <w:spacing w:line="360" w:lineRule="auto"/>
        <w:ind w:left="3780" w:leftChars="18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投标人：（电子签章）</w:t>
      </w:r>
      <w:r>
        <w:rPr>
          <w:rFonts w:hint="eastAsia" w:ascii="仿宋" w:hAnsi="仿宋" w:eastAsia="仿宋" w:cs="仿宋"/>
          <w:color w:val="auto"/>
          <w:szCs w:val="21"/>
          <w:highlight w:val="none"/>
          <w:u w:val="single"/>
        </w:rPr>
        <w:t xml:space="preserve">           </w:t>
      </w:r>
    </w:p>
    <w:p w14:paraId="04719566">
      <w:pPr>
        <w:spacing w:line="360" w:lineRule="auto"/>
        <w:ind w:left="3780" w:leftChars="1800"/>
        <w:rPr>
          <w:rFonts w:hint="eastAsia" w:ascii="仿宋" w:hAnsi="仿宋" w:eastAsia="仿宋" w:cs="仿宋"/>
          <w:color w:val="auto"/>
          <w:szCs w:val="21"/>
          <w:highlight w:val="none"/>
        </w:rPr>
      </w:pPr>
    </w:p>
    <w:p w14:paraId="5A575505">
      <w:pPr>
        <w:spacing w:line="360" w:lineRule="auto"/>
        <w:ind w:left="3780" w:leftChars="1800"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    月    日</w:t>
      </w:r>
    </w:p>
    <w:p w14:paraId="564225D8">
      <w:pPr>
        <w:spacing w:line="360" w:lineRule="auto"/>
        <w:rPr>
          <w:rFonts w:hint="eastAsia" w:ascii="仿宋" w:hAnsi="仿宋" w:eastAsia="仿宋" w:cs="仿宋"/>
          <w:color w:val="auto"/>
          <w:szCs w:val="21"/>
          <w:highlight w:val="none"/>
        </w:rPr>
      </w:pPr>
    </w:p>
    <w:p w14:paraId="2325707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附：法人身份证扫描件</w:t>
      </w:r>
    </w:p>
    <w:p w14:paraId="291A89EB">
      <w:pPr>
        <w:spacing w:line="360" w:lineRule="auto"/>
        <w:rPr>
          <w:rFonts w:hint="eastAsia" w:ascii="仿宋" w:hAnsi="仿宋" w:eastAsia="仿宋" w:cs="仿宋"/>
          <w:color w:val="auto"/>
          <w:szCs w:val="21"/>
          <w:highlight w:val="none"/>
        </w:rPr>
      </w:pPr>
    </w:p>
    <w:p w14:paraId="15983AB9">
      <w:pPr>
        <w:spacing w:line="360" w:lineRule="auto"/>
        <w:rPr>
          <w:rFonts w:hint="eastAsia" w:ascii="仿宋" w:hAnsi="仿宋" w:eastAsia="仿宋" w:cs="仿宋"/>
          <w:color w:val="auto"/>
          <w:szCs w:val="21"/>
          <w:highlight w:val="none"/>
        </w:rPr>
      </w:pPr>
    </w:p>
    <w:p w14:paraId="7838698E">
      <w:pPr>
        <w:spacing w:line="360" w:lineRule="auto"/>
        <w:rPr>
          <w:rFonts w:hint="eastAsia" w:ascii="仿宋" w:hAnsi="仿宋" w:eastAsia="仿宋" w:cs="仿宋"/>
          <w:color w:val="auto"/>
          <w:szCs w:val="21"/>
          <w:highlight w:val="none"/>
        </w:rPr>
      </w:pPr>
    </w:p>
    <w:p w14:paraId="4DB4C00A">
      <w:pPr>
        <w:pStyle w:val="48"/>
        <w:rPr>
          <w:rFonts w:hint="eastAsia" w:ascii="仿宋" w:hAnsi="仿宋" w:eastAsia="仿宋" w:cs="仿宋"/>
          <w:color w:val="auto"/>
          <w:highlight w:val="none"/>
        </w:rPr>
      </w:pPr>
    </w:p>
    <w:p w14:paraId="314F76C2">
      <w:pPr>
        <w:pStyle w:val="48"/>
        <w:rPr>
          <w:rFonts w:hint="eastAsia" w:ascii="仿宋" w:hAnsi="仿宋" w:eastAsia="仿宋" w:cs="仿宋"/>
          <w:color w:val="auto"/>
          <w:highlight w:val="none"/>
        </w:rPr>
      </w:pPr>
    </w:p>
    <w:p w14:paraId="63EA0F1E">
      <w:pPr>
        <w:pStyle w:val="48"/>
        <w:rPr>
          <w:rFonts w:hint="eastAsia" w:ascii="仿宋" w:hAnsi="仿宋" w:eastAsia="仿宋" w:cs="仿宋"/>
          <w:color w:val="auto"/>
          <w:highlight w:val="none"/>
        </w:rPr>
      </w:pPr>
    </w:p>
    <w:p w14:paraId="64B0C36C">
      <w:pPr>
        <w:pStyle w:val="48"/>
        <w:rPr>
          <w:rFonts w:hint="eastAsia" w:ascii="仿宋" w:hAnsi="仿宋" w:eastAsia="仿宋" w:cs="仿宋"/>
          <w:color w:val="auto"/>
          <w:highlight w:val="none"/>
        </w:rPr>
      </w:pPr>
    </w:p>
    <w:p w14:paraId="092118AE">
      <w:pPr>
        <w:pStyle w:val="48"/>
        <w:rPr>
          <w:rFonts w:hint="eastAsia" w:ascii="仿宋" w:hAnsi="仿宋" w:eastAsia="仿宋" w:cs="仿宋"/>
          <w:color w:val="auto"/>
          <w:highlight w:val="none"/>
        </w:rPr>
      </w:pPr>
    </w:p>
    <w:p w14:paraId="0EF7FDEC">
      <w:pPr>
        <w:spacing w:line="360" w:lineRule="auto"/>
        <w:rPr>
          <w:rFonts w:hint="eastAsia" w:ascii="仿宋" w:hAnsi="仿宋" w:eastAsia="仿宋" w:cs="仿宋"/>
          <w:color w:val="auto"/>
          <w:szCs w:val="21"/>
          <w:highlight w:val="none"/>
        </w:rPr>
      </w:pPr>
    </w:p>
    <w:p w14:paraId="3BFBBF10">
      <w:pPr>
        <w:pStyle w:val="3"/>
        <w:numPr>
          <w:ilvl w:val="0"/>
          <w:numId w:val="0"/>
        </w:numPr>
        <w:spacing w:before="0"/>
        <w:ind w:left="425"/>
        <w:jc w:val="center"/>
        <w:rPr>
          <w:rFonts w:hint="eastAsia" w:ascii="仿宋" w:hAnsi="仿宋" w:eastAsia="仿宋" w:cs="仿宋"/>
          <w:color w:val="auto"/>
          <w:szCs w:val="28"/>
          <w:highlight w:val="none"/>
        </w:rPr>
      </w:pPr>
      <w:bookmarkStart w:id="145" w:name="_Toc89692659"/>
      <w:bookmarkStart w:id="146" w:name="_Toc8689663"/>
      <w:bookmarkStart w:id="147" w:name="_Toc8168206"/>
      <w:bookmarkStart w:id="148" w:name="_Toc13059"/>
      <w:r>
        <w:rPr>
          <w:rFonts w:hint="eastAsia" w:ascii="仿宋" w:hAnsi="仿宋" w:eastAsia="仿宋" w:cs="仿宋"/>
          <w:color w:val="auto"/>
          <w:szCs w:val="28"/>
          <w:highlight w:val="none"/>
        </w:rPr>
        <w:t>（二）法定代表人授权委托书</w:t>
      </w:r>
      <w:bookmarkEnd w:id="145"/>
      <w:bookmarkEnd w:id="146"/>
      <w:bookmarkEnd w:id="147"/>
      <w:bookmarkEnd w:id="148"/>
    </w:p>
    <w:p w14:paraId="47470329">
      <w:pPr>
        <w:spacing w:line="360" w:lineRule="auto"/>
        <w:jc w:val="center"/>
        <w:rPr>
          <w:rFonts w:hint="eastAsia" w:ascii="仿宋" w:hAnsi="仿宋" w:eastAsia="仿宋" w:cs="仿宋"/>
          <w:b/>
          <w:bCs/>
          <w:color w:val="auto"/>
          <w:sz w:val="32"/>
          <w:szCs w:val="32"/>
          <w:highlight w:val="none"/>
        </w:rPr>
      </w:pPr>
    </w:p>
    <w:p w14:paraId="35FD31FD">
      <w:pPr>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致：</w:t>
      </w:r>
      <w:r>
        <w:rPr>
          <w:rFonts w:hint="eastAsia" w:ascii="仿宋" w:hAnsi="仿宋" w:eastAsia="仿宋" w:cs="仿宋"/>
          <w:color w:val="auto"/>
          <w:szCs w:val="21"/>
          <w:highlight w:val="none"/>
          <w:u w:val="single"/>
        </w:rPr>
        <w:t>采购人</w:t>
      </w:r>
    </w:p>
    <w:p w14:paraId="565C7532">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本授权书声明：</w:t>
      </w:r>
      <w:r>
        <w:rPr>
          <w:rFonts w:hint="eastAsia" w:ascii="仿宋" w:hAnsi="仿宋" w:eastAsia="仿宋" w:cs="仿宋"/>
          <w:color w:val="auto"/>
          <w:szCs w:val="21"/>
          <w:highlight w:val="none"/>
          <w:u w:val="single"/>
        </w:rPr>
        <w:t xml:space="preserve">       （投标人全称）     </w:t>
      </w:r>
      <w:r>
        <w:rPr>
          <w:rFonts w:hint="eastAsia" w:ascii="仿宋" w:hAnsi="仿宋" w:eastAsia="仿宋" w:cs="仿宋"/>
          <w:color w:val="auto"/>
          <w:szCs w:val="21"/>
          <w:highlight w:val="none"/>
        </w:rPr>
        <w:t>的法定代表人代表本公司授权</w:t>
      </w:r>
      <w:r>
        <w:rPr>
          <w:rFonts w:hint="eastAsia" w:ascii="仿宋" w:hAnsi="仿宋" w:eastAsia="仿宋" w:cs="仿宋"/>
          <w:color w:val="auto"/>
          <w:szCs w:val="21"/>
          <w:highlight w:val="none"/>
          <w:u w:val="single"/>
        </w:rPr>
        <w:t xml:space="preserve">   （委托代理人姓名）   </w:t>
      </w:r>
      <w:r>
        <w:rPr>
          <w:rFonts w:hint="eastAsia" w:ascii="仿宋" w:hAnsi="仿宋" w:eastAsia="仿宋" w:cs="仿宋"/>
          <w:color w:val="auto"/>
          <w:szCs w:val="21"/>
          <w:highlight w:val="none"/>
        </w:rPr>
        <w:t>为本公司合法代理人，就贵方组织的有关</w:t>
      </w:r>
      <w:r>
        <w:rPr>
          <w:rFonts w:hint="eastAsia" w:ascii="仿宋" w:hAnsi="仿宋" w:eastAsia="仿宋" w:cs="仿宋"/>
          <w:color w:val="auto"/>
          <w:szCs w:val="21"/>
          <w:highlight w:val="none"/>
          <w:u w:val="single"/>
        </w:rPr>
        <w:t xml:space="preserve">    （采购项目名称）    </w:t>
      </w:r>
      <w:r>
        <w:rPr>
          <w:rFonts w:hint="eastAsia" w:ascii="仿宋" w:hAnsi="仿宋" w:eastAsia="仿宋" w:cs="仿宋"/>
          <w:color w:val="auto"/>
          <w:szCs w:val="21"/>
          <w:highlight w:val="none"/>
        </w:rPr>
        <w:t>项目（项目编号：）的招标，以本单位名义投标。代理人在本项目投标过程中所签署的一切文件和处理与之有关的一切事务，我方均予承认。</w:t>
      </w:r>
    </w:p>
    <w:p w14:paraId="4FF1C998">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代理人无转委托权。</w:t>
      </w:r>
    </w:p>
    <w:p w14:paraId="0AF0AC9F">
      <w:pPr>
        <w:spacing w:line="360" w:lineRule="auto"/>
        <w:ind w:firstLine="420" w:firstLineChars="200"/>
        <w:rPr>
          <w:rFonts w:hint="eastAsia" w:ascii="仿宋" w:hAnsi="仿宋" w:eastAsia="仿宋" w:cs="仿宋"/>
          <w:color w:val="auto"/>
          <w:szCs w:val="21"/>
          <w:highlight w:val="none"/>
        </w:rPr>
      </w:pPr>
    </w:p>
    <w:p w14:paraId="7D8B6473">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305B11BD">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45B557A7">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身份证号码：</w:t>
      </w:r>
      <w:r>
        <w:rPr>
          <w:rFonts w:hint="eastAsia" w:ascii="仿宋" w:hAnsi="仿宋" w:eastAsia="仿宋" w:cs="仿宋"/>
          <w:color w:val="auto"/>
          <w:szCs w:val="21"/>
          <w:highlight w:val="none"/>
          <w:u w:val="single"/>
        </w:rPr>
        <w:t xml:space="preserve">                     </w:t>
      </w:r>
    </w:p>
    <w:p w14:paraId="58A6A02D">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（姓名）</w:t>
      </w:r>
    </w:p>
    <w:p w14:paraId="5F25CA54">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      务：</w:t>
      </w:r>
      <w:r>
        <w:rPr>
          <w:rFonts w:hint="eastAsia" w:ascii="仿宋" w:hAnsi="仿宋" w:eastAsia="仿宋" w:cs="仿宋"/>
          <w:color w:val="auto"/>
          <w:szCs w:val="21"/>
          <w:highlight w:val="none"/>
          <w:u w:val="single"/>
        </w:rPr>
        <w:t xml:space="preserve">                      </w:t>
      </w:r>
    </w:p>
    <w:p w14:paraId="2F4BB9E1">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身份证号码：</w:t>
      </w:r>
      <w:r>
        <w:rPr>
          <w:rFonts w:hint="eastAsia" w:ascii="仿宋" w:hAnsi="仿宋" w:eastAsia="仿宋" w:cs="仿宋"/>
          <w:color w:val="auto"/>
          <w:szCs w:val="21"/>
          <w:highlight w:val="none"/>
          <w:u w:val="single"/>
        </w:rPr>
        <w:t xml:space="preserve">                      </w:t>
      </w:r>
    </w:p>
    <w:p w14:paraId="6494FFD8">
      <w:pPr>
        <w:spacing w:line="360" w:lineRule="auto"/>
        <w:ind w:firstLine="420" w:firstLineChars="200"/>
        <w:rPr>
          <w:rFonts w:hint="eastAsia" w:ascii="仿宋" w:hAnsi="仿宋" w:eastAsia="仿宋" w:cs="仿宋"/>
          <w:color w:val="auto"/>
          <w:szCs w:val="21"/>
          <w:highlight w:val="none"/>
          <w:u w:val="single"/>
        </w:rPr>
      </w:pPr>
    </w:p>
    <w:p w14:paraId="11194459">
      <w:pPr>
        <w:spacing w:line="360" w:lineRule="auto"/>
        <w:ind w:firstLine="735" w:firstLineChars="350"/>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   月    日</w:t>
      </w:r>
    </w:p>
    <w:p w14:paraId="14555A89">
      <w:pPr>
        <w:spacing w:line="360" w:lineRule="auto"/>
        <w:ind w:firstLine="420" w:firstLineChars="200"/>
        <w:rPr>
          <w:rFonts w:hint="eastAsia" w:ascii="仿宋" w:hAnsi="仿宋" w:eastAsia="仿宋" w:cs="仿宋"/>
          <w:color w:val="auto"/>
          <w:szCs w:val="21"/>
          <w:highlight w:val="none"/>
        </w:rPr>
      </w:pPr>
    </w:p>
    <w:p w14:paraId="407F4F98">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附：委托代理人详细地址：</w:t>
      </w:r>
    </w:p>
    <w:p w14:paraId="414E2EFB">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电话：</w:t>
      </w:r>
    </w:p>
    <w:p w14:paraId="1D01E2E8">
      <w:pPr>
        <w:spacing w:line="360" w:lineRule="auto"/>
        <w:ind w:firstLine="420" w:firstLineChars="200"/>
        <w:rPr>
          <w:rFonts w:hint="eastAsia" w:ascii="仿宋" w:hAnsi="仿宋" w:eastAsia="仿宋" w:cs="仿宋"/>
          <w:color w:val="auto"/>
          <w:szCs w:val="21"/>
          <w:highlight w:val="none"/>
        </w:rPr>
      </w:pPr>
    </w:p>
    <w:p w14:paraId="7E78C8B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附：授权委托人身份证扫描件</w:t>
      </w:r>
    </w:p>
    <w:p w14:paraId="30334A3E">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22665AE1">
      <w:pPr>
        <w:pStyle w:val="3"/>
        <w:numPr>
          <w:ilvl w:val="0"/>
          <w:numId w:val="0"/>
        </w:numPr>
        <w:spacing w:before="0"/>
        <w:ind w:left="1021" w:hanging="596"/>
        <w:jc w:val="center"/>
        <w:rPr>
          <w:rFonts w:hint="eastAsia" w:ascii="仿宋" w:hAnsi="仿宋" w:eastAsia="仿宋" w:cs="仿宋"/>
          <w:color w:val="auto"/>
          <w:szCs w:val="28"/>
          <w:highlight w:val="none"/>
        </w:rPr>
      </w:pPr>
      <w:bookmarkStart w:id="149" w:name="_Toc11460"/>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三</w:t>
      </w:r>
      <w:r>
        <w:rPr>
          <w:rFonts w:hint="eastAsia" w:ascii="仿宋" w:hAnsi="仿宋" w:eastAsia="仿宋" w:cs="仿宋"/>
          <w:color w:val="auto"/>
          <w:szCs w:val="28"/>
          <w:highlight w:val="none"/>
        </w:rPr>
        <w:t>）投标人承诺书</w:t>
      </w:r>
      <w:bookmarkEnd w:id="149"/>
    </w:p>
    <w:p w14:paraId="43A86387">
      <w:pPr>
        <w:rPr>
          <w:rFonts w:hint="eastAsia" w:ascii="仿宋" w:hAnsi="仿宋" w:eastAsia="仿宋" w:cs="仿宋"/>
          <w:color w:val="auto"/>
          <w:sz w:val="24"/>
          <w:highlight w:val="none"/>
        </w:rPr>
      </w:pPr>
    </w:p>
    <w:p w14:paraId="5DE940E7">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本企业参与</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项目的投标，现作如下承诺：</w:t>
      </w:r>
    </w:p>
    <w:p w14:paraId="5E8F8744">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1.我公司参与此次投标活动所提交的所有资料都是合法、真实、有效的。</w:t>
      </w:r>
    </w:p>
    <w:p w14:paraId="225B26C6">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2.不与其他投标人串通投标、围标，依法、依规公平竞争，不损害招标人或其他投标人的合法权益。</w:t>
      </w:r>
    </w:p>
    <w:p w14:paraId="1BD8A89B">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3.不转让、出租、出借资质证书、人员岗位证书，不以</w:t>
      </w:r>
      <w:r>
        <w:rPr>
          <w:rFonts w:hint="eastAsia" w:ascii="仿宋" w:hAnsi="仿宋" w:eastAsia="仿宋" w:cs="仿宋"/>
          <w:color w:val="auto"/>
          <w:szCs w:val="21"/>
          <w:highlight w:val="none"/>
          <w:lang w:eastAsia="zh-CN"/>
        </w:rPr>
        <w:t>法律法规</w:t>
      </w:r>
      <w:r>
        <w:rPr>
          <w:rFonts w:hint="eastAsia" w:ascii="仿宋" w:hAnsi="仿宋" w:eastAsia="仿宋" w:cs="仿宋"/>
          <w:color w:val="auto"/>
          <w:szCs w:val="21"/>
          <w:highlight w:val="none"/>
        </w:rPr>
        <w:t>禁止的方式投标。</w:t>
      </w:r>
    </w:p>
    <w:p w14:paraId="4D5EA3D1">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4.不与招标人或招标代理机构串通投标，不损害国家利益、社会公共利益或其他当事人的合法权益。</w:t>
      </w:r>
    </w:p>
    <w:p w14:paraId="2196057B">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5.不向招标人、评标委员会成员、监督人员行贿。</w:t>
      </w:r>
    </w:p>
    <w:p w14:paraId="51ECD7F4">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6.不扰乱采购活动正常秩序。</w:t>
      </w:r>
    </w:p>
    <w:p w14:paraId="6CF288EC">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7.不进行虚假恶意投诉。</w:t>
      </w:r>
    </w:p>
    <w:p w14:paraId="4D52E26E">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8.因违反</w:t>
      </w:r>
      <w:r>
        <w:rPr>
          <w:rFonts w:hint="eastAsia" w:ascii="仿宋" w:hAnsi="仿宋" w:eastAsia="仿宋" w:cs="仿宋"/>
          <w:color w:val="auto"/>
          <w:szCs w:val="21"/>
          <w:highlight w:val="none"/>
          <w:lang w:eastAsia="zh-CN"/>
        </w:rPr>
        <w:t>法律法规</w:t>
      </w:r>
      <w:r>
        <w:rPr>
          <w:rFonts w:hint="eastAsia" w:ascii="仿宋" w:hAnsi="仿宋" w:eastAsia="仿宋" w:cs="仿宋"/>
          <w:color w:val="auto"/>
          <w:szCs w:val="21"/>
          <w:highlight w:val="none"/>
        </w:rPr>
        <w:t>或相关规定被查处的，不干预案件查处。</w:t>
      </w:r>
    </w:p>
    <w:p w14:paraId="40F367C5">
      <w:pPr>
        <w:spacing w:before="100" w:after="100"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如出现违法、违规或不良行为，</w:t>
      </w:r>
      <w:r>
        <w:rPr>
          <w:rFonts w:hint="eastAsia" w:ascii="仿宋" w:hAnsi="仿宋" w:eastAsia="仿宋" w:cs="仿宋"/>
          <w:color w:val="auto"/>
          <w:szCs w:val="21"/>
          <w:highlight w:val="none"/>
          <w:lang w:eastAsia="zh-CN"/>
        </w:rPr>
        <w:t>自愿</w:t>
      </w:r>
      <w:r>
        <w:rPr>
          <w:rFonts w:hint="eastAsia" w:ascii="仿宋" w:hAnsi="仿宋" w:eastAsia="仿宋" w:cs="仿宋"/>
          <w:color w:val="auto"/>
          <w:szCs w:val="21"/>
          <w:highlight w:val="none"/>
        </w:rPr>
        <w:t>接受监督管理部门、纪检监察机关或司法机关调查处理。违法、违规或不良行为事实成立的，本投标人承担相关责任。给采购人造成损失的，依法承担赔偿责任。</w:t>
      </w:r>
    </w:p>
    <w:p w14:paraId="06EA877B">
      <w:pPr>
        <w:spacing w:before="100" w:after="100" w:line="360" w:lineRule="auto"/>
        <w:rPr>
          <w:rFonts w:hint="eastAsia" w:ascii="仿宋" w:hAnsi="仿宋" w:eastAsia="仿宋" w:cs="仿宋"/>
          <w:color w:val="auto"/>
          <w:szCs w:val="21"/>
          <w:highlight w:val="none"/>
        </w:rPr>
      </w:pPr>
    </w:p>
    <w:p w14:paraId="06C17E0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1D5272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2FE1027A">
      <w:pPr>
        <w:spacing w:before="100" w:after="100" w:line="360" w:lineRule="auto"/>
        <w:rPr>
          <w:rFonts w:hint="eastAsia" w:ascii="仿宋" w:hAnsi="仿宋" w:eastAsia="仿宋" w:cs="仿宋"/>
          <w:color w:val="auto"/>
          <w:szCs w:val="21"/>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FBDFBCA">
      <w:pPr>
        <w:rPr>
          <w:rFonts w:hint="eastAsia" w:ascii="仿宋" w:hAnsi="仿宋" w:eastAsia="仿宋" w:cs="仿宋"/>
          <w:color w:val="auto"/>
          <w:sz w:val="24"/>
          <w:highlight w:val="none"/>
        </w:rPr>
      </w:pPr>
    </w:p>
    <w:p w14:paraId="2AA25040">
      <w:pPr>
        <w:rPr>
          <w:rFonts w:hint="eastAsia" w:ascii="仿宋" w:hAnsi="仿宋" w:eastAsia="仿宋" w:cs="仿宋"/>
          <w:color w:val="auto"/>
          <w:sz w:val="24"/>
          <w:highlight w:val="none"/>
        </w:rPr>
      </w:pPr>
    </w:p>
    <w:p w14:paraId="5C1E7FCB">
      <w:pPr>
        <w:rPr>
          <w:rFonts w:hint="eastAsia" w:ascii="仿宋" w:hAnsi="仿宋" w:eastAsia="仿宋" w:cs="仿宋"/>
          <w:color w:val="auto"/>
          <w:sz w:val="24"/>
          <w:highlight w:val="none"/>
        </w:rPr>
      </w:pPr>
    </w:p>
    <w:p w14:paraId="759E407F">
      <w:pPr>
        <w:rPr>
          <w:rFonts w:hint="eastAsia" w:ascii="仿宋" w:hAnsi="仿宋" w:eastAsia="仿宋" w:cs="仿宋"/>
          <w:color w:val="auto"/>
          <w:sz w:val="24"/>
          <w:highlight w:val="none"/>
        </w:rPr>
      </w:pPr>
    </w:p>
    <w:p w14:paraId="37112DFE">
      <w:pPr>
        <w:rPr>
          <w:rFonts w:hint="eastAsia" w:ascii="仿宋" w:hAnsi="仿宋" w:eastAsia="仿宋" w:cs="仿宋"/>
          <w:color w:val="auto"/>
          <w:sz w:val="24"/>
          <w:highlight w:val="none"/>
        </w:rPr>
      </w:pPr>
    </w:p>
    <w:p w14:paraId="62F274C1">
      <w:pPr>
        <w:rPr>
          <w:rFonts w:hint="eastAsia" w:ascii="仿宋" w:hAnsi="仿宋" w:eastAsia="仿宋" w:cs="仿宋"/>
          <w:color w:val="auto"/>
          <w:sz w:val="24"/>
          <w:highlight w:val="none"/>
        </w:rPr>
      </w:pPr>
    </w:p>
    <w:p w14:paraId="30DB386D">
      <w:pPr>
        <w:pStyle w:val="48"/>
        <w:rPr>
          <w:rFonts w:hint="eastAsia" w:ascii="仿宋" w:hAnsi="仿宋" w:eastAsia="仿宋" w:cs="仿宋"/>
          <w:color w:val="auto"/>
          <w:highlight w:val="none"/>
        </w:rPr>
      </w:pPr>
    </w:p>
    <w:p w14:paraId="53C06640">
      <w:pPr>
        <w:pStyle w:val="48"/>
        <w:rPr>
          <w:rFonts w:hint="eastAsia" w:ascii="仿宋" w:hAnsi="仿宋" w:eastAsia="仿宋" w:cs="仿宋"/>
          <w:color w:val="auto"/>
          <w:highlight w:val="none"/>
        </w:rPr>
      </w:pPr>
    </w:p>
    <w:p w14:paraId="530D4E35">
      <w:pPr>
        <w:pStyle w:val="48"/>
        <w:rPr>
          <w:rFonts w:hint="eastAsia" w:ascii="仿宋" w:hAnsi="仿宋" w:eastAsia="仿宋" w:cs="仿宋"/>
          <w:color w:val="auto"/>
          <w:highlight w:val="none"/>
        </w:rPr>
      </w:pPr>
    </w:p>
    <w:p w14:paraId="2262E06F">
      <w:pPr>
        <w:pStyle w:val="48"/>
        <w:rPr>
          <w:rFonts w:hint="eastAsia" w:ascii="仿宋" w:hAnsi="仿宋" w:eastAsia="仿宋" w:cs="仿宋"/>
          <w:color w:val="auto"/>
          <w:highlight w:val="none"/>
        </w:rPr>
      </w:pPr>
    </w:p>
    <w:p w14:paraId="49E778EF">
      <w:pPr>
        <w:pStyle w:val="3"/>
        <w:numPr>
          <w:ilvl w:val="0"/>
          <w:numId w:val="0"/>
        </w:numPr>
        <w:spacing w:before="0"/>
        <w:ind w:left="425"/>
        <w:jc w:val="center"/>
        <w:rPr>
          <w:rFonts w:hint="eastAsia" w:ascii="仿宋" w:hAnsi="仿宋" w:eastAsia="仿宋" w:cs="仿宋"/>
          <w:color w:val="auto"/>
          <w:szCs w:val="28"/>
          <w:highlight w:val="none"/>
        </w:rPr>
      </w:pPr>
      <w:bookmarkStart w:id="150" w:name="_Toc89692660"/>
      <w:bookmarkStart w:id="151" w:name="_Toc27783"/>
      <w:bookmarkStart w:id="152" w:name="_Toc8689661"/>
      <w:bookmarkStart w:id="153" w:name="_Toc8168217"/>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四</w:t>
      </w:r>
      <w:r>
        <w:rPr>
          <w:rFonts w:hint="eastAsia" w:ascii="仿宋" w:hAnsi="仿宋" w:eastAsia="仿宋" w:cs="仿宋"/>
          <w:color w:val="auto"/>
          <w:szCs w:val="28"/>
          <w:highlight w:val="none"/>
        </w:rPr>
        <w:t>）投标函</w:t>
      </w:r>
      <w:bookmarkEnd w:id="150"/>
      <w:bookmarkEnd w:id="151"/>
      <w:bookmarkEnd w:id="152"/>
      <w:bookmarkEnd w:id="153"/>
    </w:p>
    <w:p w14:paraId="608BA1A4">
      <w:pPr>
        <w:pStyle w:val="17"/>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致：</w:t>
      </w:r>
      <w:r>
        <w:rPr>
          <w:rFonts w:hint="eastAsia" w:ascii="仿宋" w:hAnsi="仿宋" w:eastAsia="仿宋" w:cs="仿宋"/>
          <w:color w:val="auto"/>
          <w:szCs w:val="21"/>
          <w:highlight w:val="none"/>
          <w:u w:val="single"/>
        </w:rPr>
        <w:t xml:space="preserve">                 （采购人名称）</w:t>
      </w:r>
    </w:p>
    <w:p w14:paraId="433781A7">
      <w:pPr>
        <w:pStyle w:val="17"/>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我方仔细研究了</w:t>
      </w:r>
      <w:r>
        <w:rPr>
          <w:rFonts w:hint="eastAsia" w:ascii="仿宋" w:hAnsi="仿宋" w:eastAsia="仿宋" w:cs="仿宋"/>
          <w:color w:val="auto"/>
          <w:szCs w:val="21"/>
          <w:highlight w:val="none"/>
          <w:u w:val="single"/>
        </w:rPr>
        <w:t xml:space="preserve">（采购项目名称）   </w:t>
      </w:r>
      <w:r>
        <w:rPr>
          <w:rFonts w:hint="eastAsia" w:ascii="仿宋" w:hAnsi="仿宋" w:eastAsia="仿宋" w:cs="仿宋"/>
          <w:color w:val="auto"/>
          <w:szCs w:val="21"/>
          <w:highlight w:val="none"/>
        </w:rPr>
        <w:t>（项目编号：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）项目招标文件的全部内容，正式授权下述签字人</w:t>
      </w:r>
      <w:r>
        <w:rPr>
          <w:rFonts w:hint="eastAsia" w:ascii="仿宋" w:hAnsi="仿宋" w:eastAsia="仿宋" w:cs="仿宋"/>
          <w:color w:val="auto"/>
          <w:szCs w:val="21"/>
          <w:highlight w:val="none"/>
          <w:u w:val="single"/>
        </w:rPr>
        <w:t xml:space="preserve">   （姓名和职务）     </w:t>
      </w:r>
      <w:r>
        <w:rPr>
          <w:rFonts w:hint="eastAsia" w:ascii="仿宋" w:hAnsi="仿宋" w:eastAsia="仿宋" w:cs="仿宋"/>
          <w:color w:val="auto"/>
          <w:szCs w:val="21"/>
          <w:highlight w:val="none"/>
        </w:rPr>
        <w:t>全权代表投标人</w:t>
      </w:r>
      <w:r>
        <w:rPr>
          <w:rFonts w:hint="eastAsia" w:ascii="仿宋" w:hAnsi="仿宋" w:eastAsia="仿宋" w:cs="仿宋"/>
          <w:color w:val="auto"/>
          <w:szCs w:val="21"/>
          <w:highlight w:val="none"/>
          <w:u w:val="single"/>
        </w:rPr>
        <w:t xml:space="preserve">  （投标人全称）   </w:t>
      </w:r>
      <w:r>
        <w:rPr>
          <w:rFonts w:hint="eastAsia" w:ascii="仿宋" w:hAnsi="仿宋" w:eastAsia="仿宋" w:cs="仿宋"/>
          <w:color w:val="auto"/>
          <w:szCs w:val="21"/>
          <w:highlight w:val="none"/>
        </w:rPr>
        <w:t>参加投标，并提交投标文件。</w:t>
      </w:r>
    </w:p>
    <w:p w14:paraId="0226B785">
      <w:pPr>
        <w:pStyle w:val="17"/>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1.按招标文件采购需求，投标报价以“开标一览表”所填写的报价为准，供货地点：</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，合同履行期限：</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p>
    <w:p w14:paraId="5F63B510">
      <w:pPr>
        <w:pStyle w:val="17"/>
        <w:spacing w:line="360" w:lineRule="auto"/>
        <w:ind w:firstLine="480"/>
        <w:rPr>
          <w:rFonts w:hint="eastAsia" w:ascii="仿宋" w:hAnsi="仿宋" w:eastAsia="仿宋" w:cs="仿宋"/>
          <w:color w:val="auto"/>
          <w:spacing w:val="-10"/>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pacing w:val="-10"/>
          <w:szCs w:val="21"/>
          <w:highlight w:val="none"/>
        </w:rPr>
        <w:t>方已详细审查全部招标文件，包括</w:t>
      </w:r>
      <w:r>
        <w:rPr>
          <w:rFonts w:hint="eastAsia" w:ascii="仿宋" w:hAnsi="仿宋" w:eastAsia="仿宋" w:cs="仿宋"/>
          <w:i/>
          <w:color w:val="auto"/>
          <w:spacing w:val="-10"/>
          <w:szCs w:val="21"/>
          <w:highlight w:val="none"/>
          <w:u w:val="single"/>
        </w:rPr>
        <w:t>（澄清文件）（</w:t>
      </w:r>
      <w:r>
        <w:rPr>
          <w:rFonts w:hint="eastAsia" w:ascii="仿宋" w:hAnsi="仿宋" w:eastAsia="仿宋" w:cs="仿宋"/>
          <w:color w:val="auto"/>
          <w:spacing w:val="-10"/>
          <w:szCs w:val="21"/>
          <w:highlight w:val="none"/>
          <w:u w:val="single"/>
        </w:rPr>
        <w:t>如果有的话）</w:t>
      </w:r>
      <w:r>
        <w:rPr>
          <w:rFonts w:hint="eastAsia" w:ascii="仿宋" w:hAnsi="仿宋" w:eastAsia="仿宋" w:cs="仿宋"/>
          <w:color w:val="auto"/>
          <w:spacing w:val="-10"/>
          <w:szCs w:val="21"/>
          <w:highlight w:val="none"/>
        </w:rPr>
        <w:t>。我方完全理解相关文件要求，并承担对这方面有不明及误解的后果。</w:t>
      </w:r>
    </w:p>
    <w:p w14:paraId="33871BCF">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3.在投标人须知规定的开标日期起遵循本投标文件，并在投标人须知规定的投标文件有效期满之前均具有约束力。</w:t>
      </w:r>
    </w:p>
    <w:p w14:paraId="70FAD3EA">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4.同意应贵方要求提供与</w:t>
      </w:r>
      <w:r>
        <w:rPr>
          <w:rFonts w:hint="eastAsia" w:ascii="仿宋" w:hAnsi="仿宋" w:eastAsia="仿宋" w:cs="仿宋"/>
          <w:color w:val="auto"/>
          <w:szCs w:val="21"/>
          <w:highlight w:val="none"/>
          <w:lang w:eastAsia="zh-CN"/>
        </w:rPr>
        <w:t>本次</w:t>
      </w:r>
      <w:r>
        <w:rPr>
          <w:rFonts w:hint="eastAsia" w:ascii="仿宋" w:hAnsi="仿宋" w:eastAsia="仿宋" w:cs="仿宋"/>
          <w:color w:val="auto"/>
          <w:szCs w:val="21"/>
          <w:highlight w:val="none"/>
        </w:rPr>
        <w:t>投标有关的任何数据或资料，并保证数据和资料的完整性和真实性。</w:t>
      </w:r>
    </w:p>
    <w:p w14:paraId="4B3EDFC3">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5.完全理解贵方不一定要接受最低报价的投标人为中标人的行为。</w:t>
      </w:r>
    </w:p>
    <w:p w14:paraId="57F53A4A">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6.</w:t>
      </w:r>
      <w:r>
        <w:rPr>
          <w:rFonts w:hint="eastAsia" w:ascii="仿宋" w:hAnsi="仿宋" w:eastAsia="仿宋" w:cs="仿宋"/>
          <w:color w:val="auto"/>
          <w:szCs w:val="21"/>
          <w:highlight w:val="none"/>
        </w:rPr>
        <w:t>如我方中标：</w:t>
      </w:r>
    </w:p>
    <w:p w14:paraId="175071A2">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（1）我方承诺在收到中标通知书后，在中标通知书规定的期限内与你方签订合同，并履行相应的合同责任和义务。</w:t>
      </w:r>
    </w:p>
    <w:p w14:paraId="2C48DEF2">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（2）我方承诺按照招标文件规定向你方递交履约担保。</w:t>
      </w:r>
    </w:p>
    <w:p w14:paraId="4B8F6A21">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（3）我方承诺将承担售后服务及保修责任。</w:t>
      </w:r>
    </w:p>
    <w:p w14:paraId="7CF6C268">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7.</w:t>
      </w:r>
      <w:r>
        <w:rPr>
          <w:rFonts w:hint="eastAsia" w:ascii="仿宋" w:hAnsi="仿宋" w:eastAsia="仿宋" w:cs="仿宋"/>
          <w:color w:val="auto"/>
          <w:szCs w:val="21"/>
          <w:highlight w:val="none"/>
        </w:rPr>
        <w:t>我方在此声明，所递交的投标文件及有关资料内容完整、真实和准确。</w:t>
      </w:r>
    </w:p>
    <w:p w14:paraId="5C251C03">
      <w:pPr>
        <w:spacing w:line="360" w:lineRule="auto"/>
        <w:ind w:firstLine="420" w:firstLineChars="200"/>
        <w:rPr>
          <w:rFonts w:hint="eastAsia" w:ascii="仿宋" w:hAnsi="仿宋" w:eastAsia="仿宋" w:cs="仿宋"/>
          <w:color w:val="auto"/>
          <w:kern w:val="1"/>
          <w:szCs w:val="21"/>
          <w:highlight w:val="none"/>
        </w:rPr>
      </w:pPr>
      <w:r>
        <w:rPr>
          <w:rFonts w:hint="eastAsia" w:ascii="仿宋" w:hAnsi="仿宋" w:eastAsia="仿宋" w:cs="仿宋"/>
          <w:color w:val="auto"/>
          <w:szCs w:val="21"/>
          <w:highlight w:val="none"/>
        </w:rPr>
        <w:t>8．</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（其他补充说明）。</w:t>
      </w:r>
    </w:p>
    <w:p w14:paraId="44586A0D">
      <w:pPr>
        <w:spacing w:line="360" w:lineRule="auto"/>
        <w:ind w:firstLine="420" w:firstLineChars="200"/>
        <w:rPr>
          <w:rFonts w:hint="eastAsia" w:ascii="仿宋" w:hAnsi="仿宋" w:eastAsia="仿宋" w:cs="仿宋"/>
          <w:color w:val="auto"/>
          <w:kern w:val="1"/>
          <w:szCs w:val="21"/>
          <w:highlight w:val="none"/>
          <w:u w:val="single"/>
        </w:rPr>
      </w:pPr>
      <w:r>
        <w:rPr>
          <w:rFonts w:hint="eastAsia" w:ascii="仿宋" w:hAnsi="仿宋" w:eastAsia="仿宋" w:cs="仿宋"/>
          <w:color w:val="auto"/>
          <w:kern w:val="1"/>
          <w:szCs w:val="21"/>
          <w:highlight w:val="none"/>
        </w:rPr>
        <w:t xml:space="preserve"> 与本投标有关的正式通讯地址为：</w:t>
      </w:r>
      <w:r>
        <w:rPr>
          <w:rFonts w:hint="eastAsia" w:ascii="仿宋" w:hAnsi="仿宋" w:eastAsia="仿宋" w:cs="仿宋"/>
          <w:color w:val="auto"/>
          <w:kern w:val="1"/>
          <w:szCs w:val="21"/>
          <w:highlight w:val="none"/>
          <w:u w:val="single"/>
        </w:rPr>
        <w:t xml:space="preserve">                         </w:t>
      </w:r>
    </w:p>
    <w:p w14:paraId="6FF07D64">
      <w:pPr>
        <w:spacing w:line="360" w:lineRule="auto"/>
        <w:ind w:firstLine="420" w:firstLineChars="200"/>
        <w:rPr>
          <w:rFonts w:hint="eastAsia" w:ascii="仿宋" w:hAnsi="仿宋" w:eastAsia="仿宋" w:cs="仿宋"/>
          <w:color w:val="auto"/>
          <w:kern w:val="1"/>
          <w:szCs w:val="21"/>
          <w:highlight w:val="none"/>
        </w:rPr>
      </w:pPr>
      <w:r>
        <w:rPr>
          <w:rFonts w:hint="eastAsia" w:ascii="仿宋" w:hAnsi="仿宋" w:eastAsia="仿宋" w:cs="仿宋"/>
          <w:color w:val="auto"/>
          <w:kern w:val="1"/>
          <w:szCs w:val="21"/>
          <w:highlight w:val="none"/>
        </w:rPr>
        <w:t>地址：</w:t>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rPr>
        <w:tab/>
      </w:r>
      <w:r>
        <w:rPr>
          <w:rFonts w:hint="eastAsia" w:ascii="仿宋" w:hAnsi="仿宋" w:eastAsia="仿宋" w:cs="仿宋"/>
          <w:color w:val="auto"/>
          <w:kern w:val="1"/>
          <w:szCs w:val="21"/>
          <w:highlight w:val="none"/>
        </w:rPr>
        <w:t>邮政编码：</w:t>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rPr>
        <w:t xml:space="preserve">   电话：</w:t>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rPr>
        <w:t>传真：</w:t>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u w:val="single"/>
        </w:rPr>
        <w:tab/>
      </w:r>
    </w:p>
    <w:p w14:paraId="3E5FA36C">
      <w:pPr>
        <w:spacing w:line="360" w:lineRule="auto"/>
        <w:ind w:firstLine="420" w:firstLineChars="200"/>
        <w:rPr>
          <w:rFonts w:hint="eastAsia" w:ascii="仿宋" w:hAnsi="仿宋" w:eastAsia="仿宋" w:cs="仿宋"/>
          <w:color w:val="auto"/>
          <w:kern w:val="1"/>
          <w:szCs w:val="21"/>
          <w:highlight w:val="none"/>
        </w:rPr>
      </w:pPr>
      <w:r>
        <w:rPr>
          <w:rFonts w:hint="eastAsia" w:ascii="仿宋" w:hAnsi="仿宋" w:eastAsia="仿宋" w:cs="仿宋"/>
          <w:color w:val="auto"/>
          <w:kern w:val="1"/>
          <w:szCs w:val="21"/>
          <w:highlight w:val="none"/>
        </w:rPr>
        <w:t>开户名称：</w:t>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u w:val="single"/>
        </w:rPr>
        <w:tab/>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rPr>
        <w:t>开户银行：</w:t>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u w:val="single"/>
        </w:rPr>
        <w:tab/>
      </w:r>
      <w:r>
        <w:rPr>
          <w:rFonts w:hint="eastAsia" w:ascii="仿宋" w:hAnsi="仿宋" w:eastAsia="仿宋" w:cs="仿宋"/>
          <w:color w:val="auto"/>
          <w:kern w:val="1"/>
          <w:szCs w:val="21"/>
          <w:highlight w:val="none"/>
          <w:u w:val="single"/>
        </w:rPr>
        <w:t xml:space="preserve">                     </w:t>
      </w:r>
    </w:p>
    <w:p w14:paraId="2010A993">
      <w:pPr>
        <w:spacing w:line="360" w:lineRule="auto"/>
        <w:ind w:firstLine="420" w:firstLineChars="200"/>
        <w:rPr>
          <w:rFonts w:hint="eastAsia" w:ascii="仿宋" w:hAnsi="仿宋" w:eastAsia="仿宋" w:cs="仿宋"/>
          <w:color w:val="auto"/>
          <w:kern w:val="1"/>
          <w:szCs w:val="21"/>
          <w:highlight w:val="none"/>
          <w:u w:val="single"/>
        </w:rPr>
      </w:pPr>
      <w:r>
        <w:rPr>
          <w:rFonts w:hint="eastAsia" w:ascii="仿宋" w:hAnsi="仿宋" w:eastAsia="仿宋" w:cs="仿宋"/>
          <w:color w:val="auto"/>
          <w:kern w:val="1"/>
          <w:szCs w:val="21"/>
          <w:highlight w:val="none"/>
          <w:lang w:eastAsia="zh-CN"/>
        </w:rPr>
        <w:t>账</w:t>
      </w:r>
      <w:r>
        <w:rPr>
          <w:rFonts w:hint="eastAsia" w:ascii="仿宋" w:hAnsi="仿宋" w:eastAsia="仿宋" w:cs="仿宋"/>
          <w:color w:val="auto"/>
          <w:kern w:val="1"/>
          <w:szCs w:val="21"/>
          <w:highlight w:val="none"/>
        </w:rPr>
        <w:tab/>
      </w:r>
      <w:r>
        <w:rPr>
          <w:rFonts w:hint="eastAsia" w:ascii="仿宋" w:hAnsi="仿宋" w:eastAsia="仿宋" w:cs="仿宋"/>
          <w:color w:val="auto"/>
          <w:kern w:val="1"/>
          <w:szCs w:val="21"/>
          <w:highlight w:val="none"/>
        </w:rPr>
        <w:t>号：</w:t>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u w:val="single"/>
        </w:rPr>
        <w:tab/>
      </w:r>
      <w:r>
        <w:rPr>
          <w:rFonts w:hint="eastAsia" w:ascii="仿宋" w:hAnsi="仿宋" w:eastAsia="仿宋" w:cs="仿宋"/>
          <w:color w:val="auto"/>
          <w:kern w:val="1"/>
          <w:szCs w:val="21"/>
          <w:highlight w:val="none"/>
          <w:u w:val="single"/>
        </w:rPr>
        <w:t xml:space="preserve">                     </w:t>
      </w:r>
    </w:p>
    <w:p w14:paraId="0FD7D18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08A2B929">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303FC1D4">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1"/>
          <w:szCs w:val="21"/>
          <w:highlight w:val="none"/>
        </w:rPr>
        <w:t>年</w:t>
      </w:r>
      <w:r>
        <w:rPr>
          <w:rFonts w:hint="eastAsia" w:ascii="仿宋" w:hAnsi="仿宋" w:eastAsia="仿宋" w:cs="仿宋"/>
          <w:color w:val="auto"/>
          <w:kern w:val="1"/>
          <w:szCs w:val="21"/>
          <w:highlight w:val="none"/>
        </w:rPr>
        <w:tab/>
      </w:r>
      <w:r>
        <w:rPr>
          <w:rFonts w:hint="eastAsia" w:ascii="仿宋" w:hAnsi="仿宋" w:eastAsia="仿宋" w:cs="仿宋"/>
          <w:color w:val="auto"/>
          <w:kern w:val="1"/>
          <w:szCs w:val="21"/>
          <w:highlight w:val="none"/>
        </w:rPr>
        <w:t>月</w:t>
      </w:r>
      <w:r>
        <w:rPr>
          <w:rFonts w:hint="eastAsia" w:ascii="仿宋" w:hAnsi="仿宋" w:eastAsia="仿宋" w:cs="仿宋"/>
          <w:color w:val="auto"/>
          <w:kern w:val="1"/>
          <w:szCs w:val="21"/>
          <w:highlight w:val="none"/>
        </w:rPr>
        <w:tab/>
      </w:r>
      <w:r>
        <w:rPr>
          <w:rFonts w:hint="eastAsia" w:ascii="仿宋" w:hAnsi="仿宋" w:eastAsia="仿宋" w:cs="仿宋"/>
          <w:color w:val="auto"/>
          <w:kern w:val="1"/>
          <w:szCs w:val="21"/>
          <w:highlight w:val="none"/>
        </w:rPr>
        <w:t>日</w:t>
      </w:r>
    </w:p>
    <w:p w14:paraId="3CD89C75">
      <w:pPr>
        <w:pStyle w:val="3"/>
        <w:numPr>
          <w:ilvl w:val="0"/>
          <w:numId w:val="0"/>
        </w:numPr>
        <w:spacing w:before="0"/>
        <w:ind w:left="425"/>
        <w:jc w:val="center"/>
        <w:rPr>
          <w:rFonts w:hint="eastAsia" w:ascii="仿宋" w:hAnsi="仿宋" w:eastAsia="仿宋" w:cs="仿宋"/>
          <w:color w:val="auto"/>
          <w:szCs w:val="28"/>
          <w:highlight w:val="none"/>
        </w:rPr>
        <w:sectPr>
          <w:headerReference r:id="rId5" w:type="default"/>
          <w:footerReference r:id="rId6" w:type="default"/>
          <w:pgSz w:w="11906" w:h="16838"/>
          <w:pgMar w:top="1418" w:right="1418" w:bottom="1418" w:left="1418" w:header="936" w:footer="720" w:gutter="0"/>
          <w:cols w:space="720" w:num="1"/>
          <w:docGrid w:type="linesAndChars" w:linePitch="331" w:charSpace="0"/>
        </w:sectPr>
      </w:pPr>
    </w:p>
    <w:p w14:paraId="26EA04D6">
      <w:pPr>
        <w:pStyle w:val="3"/>
        <w:numPr>
          <w:ilvl w:val="0"/>
          <w:numId w:val="0"/>
        </w:numPr>
        <w:spacing w:before="0"/>
        <w:ind w:left="425"/>
        <w:jc w:val="center"/>
        <w:rPr>
          <w:rFonts w:hint="eastAsia" w:ascii="仿宋" w:hAnsi="仿宋" w:eastAsia="仿宋" w:cs="仿宋"/>
          <w:color w:val="auto"/>
          <w:szCs w:val="28"/>
          <w:highlight w:val="none"/>
          <w:lang w:val="en-US" w:eastAsia="zh-CN"/>
        </w:rPr>
      </w:pPr>
      <w:bookmarkStart w:id="154" w:name="_Toc89692661"/>
      <w:bookmarkStart w:id="155" w:name="_Toc98337536"/>
      <w:bookmarkStart w:id="156" w:name="_Toc15257"/>
      <w:bookmarkStart w:id="157" w:name="_Toc89692662"/>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五</w:t>
      </w:r>
      <w:r>
        <w:rPr>
          <w:rFonts w:hint="eastAsia" w:ascii="仿宋" w:hAnsi="仿宋" w:eastAsia="仿宋" w:cs="仿宋"/>
          <w:color w:val="auto"/>
          <w:szCs w:val="28"/>
          <w:highlight w:val="none"/>
        </w:rPr>
        <w:t>）</w:t>
      </w:r>
      <w:bookmarkEnd w:id="154"/>
      <w:bookmarkEnd w:id="155"/>
      <w:r>
        <w:rPr>
          <w:rFonts w:hint="eastAsia" w:ascii="仿宋" w:hAnsi="仿宋" w:eastAsia="仿宋" w:cs="仿宋"/>
          <w:color w:val="auto"/>
          <w:szCs w:val="28"/>
          <w:highlight w:val="none"/>
        </w:rPr>
        <w:t>投标</w:t>
      </w:r>
      <w:r>
        <w:rPr>
          <w:rFonts w:hint="eastAsia" w:ascii="仿宋" w:hAnsi="仿宋" w:eastAsia="仿宋" w:cs="仿宋"/>
          <w:color w:val="auto"/>
          <w:szCs w:val="28"/>
          <w:highlight w:val="none"/>
          <w:lang w:val="en-US" w:eastAsia="zh-CN"/>
        </w:rPr>
        <w:t>分项表</w:t>
      </w:r>
      <w:bookmarkEnd w:id="156"/>
    </w:p>
    <w:p w14:paraId="46F2D442">
      <w:pPr>
        <w:spacing w:line="360" w:lineRule="auto"/>
        <w:ind w:firstLine="420" w:firstLineChars="200"/>
        <w:rPr>
          <w:rFonts w:hint="eastAsia" w:ascii="仿宋" w:hAnsi="仿宋" w:eastAsia="仿宋" w:cs="仿宋"/>
          <w:color w:val="auto"/>
          <w:sz w:val="30"/>
          <w:szCs w:val="30"/>
          <w:highlight w:val="none"/>
        </w:rPr>
      </w:pPr>
      <w:r>
        <w:rPr>
          <w:rFonts w:hint="eastAsia" w:ascii="仿宋" w:hAnsi="仿宋" w:eastAsia="仿宋" w:cs="仿宋"/>
          <w:color w:val="auto"/>
          <w:kern w:val="1"/>
          <w:szCs w:val="21"/>
          <w:highlight w:val="none"/>
        </w:rPr>
        <w:t>项目名称：</w:t>
      </w:r>
      <w:r>
        <w:rPr>
          <w:rFonts w:hint="eastAsia" w:ascii="仿宋" w:hAnsi="仿宋" w:eastAsia="仿宋" w:cs="仿宋"/>
          <w:color w:val="auto"/>
          <w:kern w:val="1"/>
          <w:szCs w:val="21"/>
          <w:highlight w:val="none"/>
          <w:u w:val="single"/>
        </w:rPr>
        <w:t xml:space="preserve">                    </w:t>
      </w:r>
      <w:r>
        <w:rPr>
          <w:rFonts w:hint="eastAsia" w:ascii="仿宋" w:hAnsi="仿宋" w:eastAsia="仿宋" w:cs="仿宋"/>
          <w:color w:val="auto"/>
          <w:kern w:val="1"/>
          <w:szCs w:val="21"/>
          <w:highlight w:val="none"/>
        </w:rPr>
        <w:t xml:space="preserve">      </w:t>
      </w:r>
      <w:r>
        <w:rPr>
          <w:rFonts w:hint="eastAsia" w:ascii="仿宋" w:hAnsi="仿宋" w:eastAsia="仿宋" w:cs="仿宋"/>
          <w:color w:val="auto"/>
          <w:kern w:val="1"/>
          <w:szCs w:val="21"/>
          <w:highlight w:val="none"/>
          <w:lang w:val="en-US" w:eastAsia="zh-CN"/>
        </w:rPr>
        <w:t xml:space="preserve">        </w:t>
      </w:r>
      <w:r>
        <w:rPr>
          <w:rFonts w:hint="eastAsia" w:ascii="仿宋" w:hAnsi="仿宋" w:eastAsia="仿宋" w:cs="仿宋"/>
          <w:color w:val="auto"/>
          <w:kern w:val="1"/>
          <w:szCs w:val="21"/>
          <w:highlight w:val="none"/>
        </w:rPr>
        <w:t xml:space="preserve">     </w:t>
      </w:r>
      <w:r>
        <w:rPr>
          <w:rFonts w:hint="eastAsia" w:ascii="仿宋" w:hAnsi="仿宋" w:eastAsia="仿宋" w:cs="仿宋"/>
          <w:color w:val="auto"/>
          <w:kern w:val="1"/>
          <w:szCs w:val="21"/>
          <w:highlight w:val="none"/>
          <w:lang w:val="en-US" w:eastAsia="zh-CN"/>
        </w:rPr>
        <w:t xml:space="preserve">        </w:t>
      </w:r>
      <w:r>
        <w:rPr>
          <w:rFonts w:hint="eastAsia" w:ascii="仿宋" w:hAnsi="仿宋" w:eastAsia="仿宋" w:cs="仿宋"/>
          <w:color w:val="auto"/>
          <w:kern w:val="1"/>
          <w:szCs w:val="21"/>
          <w:highlight w:val="none"/>
        </w:rPr>
        <w:t xml:space="preserve"> 项目编号：</w:t>
      </w:r>
      <w:r>
        <w:rPr>
          <w:rFonts w:hint="eastAsia" w:ascii="仿宋" w:hAnsi="仿宋" w:eastAsia="仿宋" w:cs="仿宋"/>
          <w:color w:val="auto"/>
          <w:kern w:val="1"/>
          <w:szCs w:val="21"/>
          <w:highlight w:val="none"/>
          <w:u w:val="single"/>
        </w:rPr>
        <w:t xml:space="preserve">                </w:t>
      </w:r>
    </w:p>
    <w:tbl>
      <w:tblPr>
        <w:tblStyle w:val="36"/>
        <w:tblW w:w="14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983"/>
        <w:gridCol w:w="1949"/>
        <w:gridCol w:w="1628"/>
        <w:gridCol w:w="1672"/>
        <w:gridCol w:w="1811"/>
        <w:gridCol w:w="1810"/>
        <w:gridCol w:w="1266"/>
        <w:gridCol w:w="1086"/>
      </w:tblGrid>
      <w:tr w14:paraId="22CA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 w:hRule="atLeast"/>
        </w:trPr>
        <w:tc>
          <w:tcPr>
            <w:tcW w:w="870" w:type="dxa"/>
            <w:vAlign w:val="center"/>
          </w:tcPr>
          <w:p w14:paraId="54D83400">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1983" w:type="dxa"/>
            <w:vAlign w:val="center"/>
          </w:tcPr>
          <w:p w14:paraId="0D4A87B4">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货物名称</w:t>
            </w:r>
          </w:p>
        </w:tc>
        <w:tc>
          <w:tcPr>
            <w:tcW w:w="1949" w:type="dxa"/>
            <w:vAlign w:val="center"/>
          </w:tcPr>
          <w:p w14:paraId="3F502128">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品牌、规格、型号</w:t>
            </w:r>
          </w:p>
        </w:tc>
        <w:tc>
          <w:tcPr>
            <w:tcW w:w="1628" w:type="dxa"/>
            <w:vAlign w:val="center"/>
          </w:tcPr>
          <w:p w14:paraId="1311BA39">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生产商名称</w:t>
            </w:r>
          </w:p>
        </w:tc>
        <w:tc>
          <w:tcPr>
            <w:tcW w:w="1672" w:type="dxa"/>
            <w:vAlign w:val="center"/>
          </w:tcPr>
          <w:p w14:paraId="6EA3DA78">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生产商规模</w:t>
            </w:r>
          </w:p>
        </w:tc>
        <w:tc>
          <w:tcPr>
            <w:tcW w:w="1811" w:type="dxa"/>
            <w:vAlign w:val="center"/>
          </w:tcPr>
          <w:p w14:paraId="51385047">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生产商特殊属性</w:t>
            </w:r>
          </w:p>
        </w:tc>
        <w:tc>
          <w:tcPr>
            <w:tcW w:w="1810" w:type="dxa"/>
            <w:vAlign w:val="center"/>
          </w:tcPr>
          <w:p w14:paraId="3DE7DC0D">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投标人所属地</w:t>
            </w:r>
          </w:p>
        </w:tc>
        <w:tc>
          <w:tcPr>
            <w:tcW w:w="1266" w:type="dxa"/>
            <w:vAlign w:val="center"/>
          </w:tcPr>
          <w:p w14:paraId="3B19CDF6">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产品属性</w:t>
            </w:r>
          </w:p>
        </w:tc>
        <w:tc>
          <w:tcPr>
            <w:tcW w:w="1086" w:type="dxa"/>
            <w:vAlign w:val="center"/>
          </w:tcPr>
          <w:p w14:paraId="12391431">
            <w:pPr>
              <w:snapToGrid w:val="0"/>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备注</w:t>
            </w:r>
          </w:p>
        </w:tc>
      </w:tr>
      <w:tr w14:paraId="4928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3" w:hRule="atLeast"/>
        </w:trPr>
        <w:tc>
          <w:tcPr>
            <w:tcW w:w="870" w:type="dxa"/>
            <w:vAlign w:val="center"/>
          </w:tcPr>
          <w:p w14:paraId="250F4CBA">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1983" w:type="dxa"/>
            <w:vAlign w:val="center"/>
          </w:tcPr>
          <w:p w14:paraId="339027EC">
            <w:pPr>
              <w:rPr>
                <w:rFonts w:hint="eastAsia" w:ascii="仿宋" w:hAnsi="仿宋" w:eastAsia="仿宋" w:cs="仿宋"/>
                <w:color w:val="auto"/>
                <w:sz w:val="21"/>
                <w:szCs w:val="21"/>
                <w:highlight w:val="none"/>
              </w:rPr>
            </w:pPr>
          </w:p>
        </w:tc>
        <w:tc>
          <w:tcPr>
            <w:tcW w:w="1949" w:type="dxa"/>
            <w:vAlign w:val="center"/>
          </w:tcPr>
          <w:p w14:paraId="51E3DC8A">
            <w:pPr>
              <w:rPr>
                <w:rFonts w:hint="eastAsia" w:ascii="仿宋" w:hAnsi="仿宋" w:eastAsia="仿宋" w:cs="仿宋"/>
                <w:color w:val="auto"/>
                <w:sz w:val="21"/>
                <w:szCs w:val="21"/>
                <w:highlight w:val="none"/>
              </w:rPr>
            </w:pPr>
          </w:p>
        </w:tc>
        <w:tc>
          <w:tcPr>
            <w:tcW w:w="1628" w:type="dxa"/>
            <w:vAlign w:val="center"/>
          </w:tcPr>
          <w:p w14:paraId="42FF10EF">
            <w:pPr>
              <w:rPr>
                <w:rFonts w:hint="eastAsia" w:ascii="仿宋" w:hAnsi="仿宋" w:eastAsia="仿宋" w:cs="仿宋"/>
                <w:color w:val="auto"/>
                <w:sz w:val="21"/>
                <w:szCs w:val="21"/>
                <w:highlight w:val="none"/>
              </w:rPr>
            </w:pPr>
          </w:p>
        </w:tc>
        <w:tc>
          <w:tcPr>
            <w:tcW w:w="1672" w:type="dxa"/>
            <w:vAlign w:val="center"/>
          </w:tcPr>
          <w:p w14:paraId="57CB4F39">
            <w:pPr>
              <w:rPr>
                <w:rFonts w:hint="eastAsia" w:ascii="仿宋" w:hAnsi="仿宋" w:eastAsia="仿宋" w:cs="仿宋"/>
                <w:color w:val="auto"/>
                <w:sz w:val="21"/>
                <w:szCs w:val="21"/>
                <w:highlight w:val="none"/>
              </w:rPr>
            </w:pPr>
          </w:p>
        </w:tc>
        <w:tc>
          <w:tcPr>
            <w:tcW w:w="1811" w:type="dxa"/>
            <w:vAlign w:val="center"/>
          </w:tcPr>
          <w:p w14:paraId="6E3E5B94">
            <w:pPr>
              <w:rPr>
                <w:rFonts w:hint="eastAsia" w:ascii="仿宋" w:hAnsi="仿宋" w:eastAsia="仿宋" w:cs="仿宋"/>
                <w:color w:val="auto"/>
                <w:sz w:val="21"/>
                <w:szCs w:val="21"/>
                <w:highlight w:val="none"/>
              </w:rPr>
            </w:pPr>
          </w:p>
        </w:tc>
        <w:tc>
          <w:tcPr>
            <w:tcW w:w="1810" w:type="dxa"/>
            <w:vAlign w:val="center"/>
          </w:tcPr>
          <w:p w14:paraId="69AC9EE3">
            <w:pPr>
              <w:rPr>
                <w:rFonts w:hint="eastAsia" w:ascii="仿宋" w:hAnsi="仿宋" w:eastAsia="仿宋" w:cs="仿宋"/>
                <w:color w:val="auto"/>
                <w:sz w:val="21"/>
                <w:szCs w:val="21"/>
                <w:highlight w:val="none"/>
              </w:rPr>
            </w:pPr>
          </w:p>
        </w:tc>
        <w:tc>
          <w:tcPr>
            <w:tcW w:w="1266" w:type="dxa"/>
            <w:vAlign w:val="center"/>
          </w:tcPr>
          <w:p w14:paraId="5CF7598B">
            <w:pPr>
              <w:rPr>
                <w:rFonts w:hint="eastAsia" w:ascii="仿宋" w:hAnsi="仿宋" w:eastAsia="仿宋" w:cs="仿宋"/>
                <w:color w:val="auto"/>
                <w:sz w:val="21"/>
                <w:szCs w:val="21"/>
                <w:highlight w:val="none"/>
              </w:rPr>
            </w:pPr>
          </w:p>
        </w:tc>
        <w:tc>
          <w:tcPr>
            <w:tcW w:w="1086" w:type="dxa"/>
            <w:vAlign w:val="center"/>
          </w:tcPr>
          <w:p w14:paraId="3C4EB76B">
            <w:pPr>
              <w:rPr>
                <w:rFonts w:hint="eastAsia" w:ascii="仿宋" w:hAnsi="仿宋" w:eastAsia="仿宋" w:cs="仿宋"/>
                <w:color w:val="auto"/>
                <w:sz w:val="21"/>
                <w:szCs w:val="21"/>
                <w:highlight w:val="none"/>
              </w:rPr>
            </w:pPr>
          </w:p>
        </w:tc>
      </w:tr>
      <w:tr w14:paraId="4A54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3" w:hRule="atLeast"/>
        </w:trPr>
        <w:tc>
          <w:tcPr>
            <w:tcW w:w="870" w:type="dxa"/>
            <w:vAlign w:val="center"/>
          </w:tcPr>
          <w:p w14:paraId="15A6C34D">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1983" w:type="dxa"/>
            <w:vAlign w:val="center"/>
          </w:tcPr>
          <w:p w14:paraId="3706999F">
            <w:pPr>
              <w:rPr>
                <w:rFonts w:hint="eastAsia" w:ascii="仿宋" w:hAnsi="仿宋" w:eastAsia="仿宋" w:cs="仿宋"/>
                <w:color w:val="auto"/>
                <w:sz w:val="21"/>
                <w:szCs w:val="21"/>
                <w:highlight w:val="none"/>
              </w:rPr>
            </w:pPr>
          </w:p>
        </w:tc>
        <w:tc>
          <w:tcPr>
            <w:tcW w:w="1949" w:type="dxa"/>
            <w:vAlign w:val="center"/>
          </w:tcPr>
          <w:p w14:paraId="3BA0E22F">
            <w:pPr>
              <w:rPr>
                <w:rFonts w:hint="eastAsia" w:ascii="仿宋" w:hAnsi="仿宋" w:eastAsia="仿宋" w:cs="仿宋"/>
                <w:color w:val="auto"/>
                <w:sz w:val="21"/>
                <w:szCs w:val="21"/>
                <w:highlight w:val="none"/>
              </w:rPr>
            </w:pPr>
          </w:p>
        </w:tc>
        <w:tc>
          <w:tcPr>
            <w:tcW w:w="1628" w:type="dxa"/>
            <w:vAlign w:val="center"/>
          </w:tcPr>
          <w:p w14:paraId="7F2A6F7B">
            <w:pPr>
              <w:rPr>
                <w:rFonts w:hint="eastAsia" w:ascii="仿宋" w:hAnsi="仿宋" w:eastAsia="仿宋" w:cs="仿宋"/>
                <w:color w:val="auto"/>
                <w:sz w:val="21"/>
                <w:szCs w:val="21"/>
                <w:highlight w:val="none"/>
              </w:rPr>
            </w:pPr>
          </w:p>
        </w:tc>
        <w:tc>
          <w:tcPr>
            <w:tcW w:w="1672" w:type="dxa"/>
            <w:vAlign w:val="center"/>
          </w:tcPr>
          <w:p w14:paraId="5FF15692">
            <w:pPr>
              <w:rPr>
                <w:rFonts w:hint="eastAsia" w:ascii="仿宋" w:hAnsi="仿宋" w:eastAsia="仿宋" w:cs="仿宋"/>
                <w:color w:val="auto"/>
                <w:sz w:val="21"/>
                <w:szCs w:val="21"/>
                <w:highlight w:val="none"/>
              </w:rPr>
            </w:pPr>
          </w:p>
        </w:tc>
        <w:tc>
          <w:tcPr>
            <w:tcW w:w="1811" w:type="dxa"/>
            <w:vAlign w:val="center"/>
          </w:tcPr>
          <w:p w14:paraId="37ACEFD5">
            <w:pPr>
              <w:rPr>
                <w:rFonts w:hint="eastAsia" w:ascii="仿宋" w:hAnsi="仿宋" w:eastAsia="仿宋" w:cs="仿宋"/>
                <w:color w:val="auto"/>
                <w:sz w:val="21"/>
                <w:szCs w:val="21"/>
                <w:highlight w:val="none"/>
              </w:rPr>
            </w:pPr>
          </w:p>
        </w:tc>
        <w:tc>
          <w:tcPr>
            <w:tcW w:w="1810" w:type="dxa"/>
            <w:vAlign w:val="center"/>
          </w:tcPr>
          <w:p w14:paraId="6E568F60">
            <w:pPr>
              <w:rPr>
                <w:rFonts w:hint="eastAsia" w:ascii="仿宋" w:hAnsi="仿宋" w:eastAsia="仿宋" w:cs="仿宋"/>
                <w:color w:val="auto"/>
                <w:sz w:val="21"/>
                <w:szCs w:val="21"/>
                <w:highlight w:val="none"/>
              </w:rPr>
            </w:pPr>
          </w:p>
        </w:tc>
        <w:tc>
          <w:tcPr>
            <w:tcW w:w="1266" w:type="dxa"/>
            <w:vAlign w:val="center"/>
          </w:tcPr>
          <w:p w14:paraId="532C0BE0">
            <w:pPr>
              <w:rPr>
                <w:rFonts w:hint="eastAsia" w:ascii="仿宋" w:hAnsi="仿宋" w:eastAsia="仿宋" w:cs="仿宋"/>
                <w:color w:val="auto"/>
                <w:sz w:val="21"/>
                <w:szCs w:val="21"/>
                <w:highlight w:val="none"/>
              </w:rPr>
            </w:pPr>
          </w:p>
        </w:tc>
        <w:tc>
          <w:tcPr>
            <w:tcW w:w="1086" w:type="dxa"/>
            <w:vAlign w:val="center"/>
          </w:tcPr>
          <w:p w14:paraId="195BBE2C">
            <w:pPr>
              <w:rPr>
                <w:rFonts w:hint="eastAsia" w:ascii="仿宋" w:hAnsi="仿宋" w:eastAsia="仿宋" w:cs="仿宋"/>
                <w:color w:val="auto"/>
                <w:sz w:val="21"/>
                <w:szCs w:val="21"/>
                <w:highlight w:val="none"/>
              </w:rPr>
            </w:pPr>
          </w:p>
        </w:tc>
      </w:tr>
      <w:tr w14:paraId="76CB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870" w:type="dxa"/>
            <w:vAlign w:val="center"/>
          </w:tcPr>
          <w:p w14:paraId="1DF8900C">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c>
          <w:tcPr>
            <w:tcW w:w="1983" w:type="dxa"/>
            <w:vAlign w:val="center"/>
          </w:tcPr>
          <w:p w14:paraId="7EBD225E">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c>
          <w:tcPr>
            <w:tcW w:w="1949" w:type="dxa"/>
            <w:vAlign w:val="center"/>
          </w:tcPr>
          <w:p w14:paraId="47020712">
            <w:pPr>
              <w:rPr>
                <w:rFonts w:hint="eastAsia" w:ascii="仿宋" w:hAnsi="仿宋" w:eastAsia="仿宋" w:cs="仿宋"/>
                <w:color w:val="auto"/>
                <w:sz w:val="21"/>
                <w:szCs w:val="21"/>
                <w:highlight w:val="none"/>
              </w:rPr>
            </w:pPr>
          </w:p>
        </w:tc>
        <w:tc>
          <w:tcPr>
            <w:tcW w:w="1628" w:type="dxa"/>
            <w:vAlign w:val="center"/>
          </w:tcPr>
          <w:p w14:paraId="757B1EC6">
            <w:pPr>
              <w:rPr>
                <w:rFonts w:hint="eastAsia" w:ascii="仿宋" w:hAnsi="仿宋" w:eastAsia="仿宋" w:cs="仿宋"/>
                <w:color w:val="auto"/>
                <w:sz w:val="21"/>
                <w:szCs w:val="21"/>
                <w:highlight w:val="none"/>
              </w:rPr>
            </w:pPr>
          </w:p>
        </w:tc>
        <w:tc>
          <w:tcPr>
            <w:tcW w:w="1672" w:type="dxa"/>
            <w:vAlign w:val="center"/>
          </w:tcPr>
          <w:p w14:paraId="3E5A2765">
            <w:pPr>
              <w:rPr>
                <w:rFonts w:hint="eastAsia" w:ascii="仿宋" w:hAnsi="仿宋" w:eastAsia="仿宋" w:cs="仿宋"/>
                <w:color w:val="auto"/>
                <w:sz w:val="21"/>
                <w:szCs w:val="21"/>
                <w:highlight w:val="none"/>
              </w:rPr>
            </w:pPr>
          </w:p>
        </w:tc>
        <w:tc>
          <w:tcPr>
            <w:tcW w:w="1811" w:type="dxa"/>
            <w:vAlign w:val="center"/>
          </w:tcPr>
          <w:p w14:paraId="0DD69D8D">
            <w:pPr>
              <w:rPr>
                <w:rFonts w:hint="eastAsia" w:ascii="仿宋" w:hAnsi="仿宋" w:eastAsia="仿宋" w:cs="仿宋"/>
                <w:color w:val="auto"/>
                <w:sz w:val="21"/>
                <w:szCs w:val="21"/>
                <w:highlight w:val="none"/>
              </w:rPr>
            </w:pPr>
          </w:p>
        </w:tc>
        <w:tc>
          <w:tcPr>
            <w:tcW w:w="1810" w:type="dxa"/>
            <w:vAlign w:val="center"/>
          </w:tcPr>
          <w:p w14:paraId="6662A81B">
            <w:pPr>
              <w:rPr>
                <w:rFonts w:hint="eastAsia" w:ascii="仿宋" w:hAnsi="仿宋" w:eastAsia="仿宋" w:cs="仿宋"/>
                <w:color w:val="auto"/>
                <w:sz w:val="21"/>
                <w:szCs w:val="21"/>
                <w:highlight w:val="none"/>
              </w:rPr>
            </w:pPr>
          </w:p>
        </w:tc>
        <w:tc>
          <w:tcPr>
            <w:tcW w:w="1266" w:type="dxa"/>
            <w:vAlign w:val="center"/>
          </w:tcPr>
          <w:p w14:paraId="2C1801A7">
            <w:pPr>
              <w:rPr>
                <w:rFonts w:hint="eastAsia" w:ascii="仿宋" w:hAnsi="仿宋" w:eastAsia="仿宋" w:cs="仿宋"/>
                <w:color w:val="auto"/>
                <w:sz w:val="21"/>
                <w:szCs w:val="21"/>
                <w:highlight w:val="none"/>
              </w:rPr>
            </w:pPr>
          </w:p>
        </w:tc>
        <w:tc>
          <w:tcPr>
            <w:tcW w:w="1086" w:type="dxa"/>
            <w:vAlign w:val="center"/>
          </w:tcPr>
          <w:p w14:paraId="316DBDD4">
            <w:pPr>
              <w:rPr>
                <w:rFonts w:hint="eastAsia" w:ascii="仿宋" w:hAnsi="仿宋" w:eastAsia="仿宋" w:cs="仿宋"/>
                <w:color w:val="auto"/>
                <w:sz w:val="21"/>
                <w:szCs w:val="21"/>
                <w:highlight w:val="none"/>
              </w:rPr>
            </w:pPr>
          </w:p>
        </w:tc>
      </w:tr>
    </w:tbl>
    <w:p w14:paraId="26CE121C">
      <w:pPr>
        <w:pStyle w:val="17"/>
        <w:spacing w:line="360" w:lineRule="auto"/>
        <w:rPr>
          <w:rFonts w:hint="eastAsia" w:ascii="仿宋" w:hAnsi="仿宋" w:eastAsia="仿宋" w:cs="仿宋"/>
          <w:color w:val="auto"/>
          <w:kern w:val="1"/>
          <w:szCs w:val="21"/>
          <w:highlight w:val="none"/>
        </w:rPr>
      </w:pPr>
      <w:r>
        <w:rPr>
          <w:rFonts w:hint="eastAsia" w:ascii="仿宋" w:hAnsi="仿宋" w:eastAsia="仿宋" w:cs="仿宋"/>
          <w:color w:val="auto"/>
          <w:kern w:val="1"/>
          <w:szCs w:val="21"/>
          <w:highlight w:val="none"/>
        </w:rPr>
        <w:t>注：生产商规模（微型企业、小型企业、中型企业、大型企业）；生产商特殊属性（监狱企业、残疾人福利性单位、其他）；产品属性（节能  节水  环保  其他）</w:t>
      </w:r>
    </w:p>
    <w:p w14:paraId="0F7A7351">
      <w:pPr>
        <w:pStyle w:val="13"/>
        <w:rPr>
          <w:rFonts w:hint="eastAsia" w:ascii="仿宋" w:hAnsi="仿宋" w:eastAsia="仿宋" w:cs="仿宋"/>
          <w:b/>
          <w:bCs/>
          <w:color w:val="auto"/>
          <w:spacing w:val="0"/>
          <w:kern w:val="1"/>
          <w:sz w:val="21"/>
          <w:szCs w:val="21"/>
          <w:highlight w:val="none"/>
          <w:lang w:eastAsia="zh-CN"/>
        </w:rPr>
      </w:pPr>
      <w:r>
        <w:rPr>
          <w:rFonts w:hint="eastAsia" w:ascii="仿宋" w:hAnsi="仿宋" w:eastAsia="仿宋" w:cs="仿宋"/>
          <w:b/>
          <w:bCs/>
          <w:color w:val="auto"/>
          <w:spacing w:val="0"/>
          <w:kern w:val="1"/>
          <w:sz w:val="21"/>
          <w:szCs w:val="21"/>
          <w:highlight w:val="none"/>
        </w:rPr>
        <w:t>注：详细编写此表格</w:t>
      </w:r>
      <w:r>
        <w:rPr>
          <w:rFonts w:hint="eastAsia" w:ascii="仿宋" w:hAnsi="仿宋" w:eastAsia="仿宋" w:cs="仿宋"/>
          <w:b/>
          <w:bCs/>
          <w:color w:val="auto"/>
          <w:spacing w:val="0"/>
          <w:kern w:val="1"/>
          <w:sz w:val="21"/>
          <w:szCs w:val="21"/>
          <w:highlight w:val="none"/>
          <w:lang w:eastAsia="zh-CN"/>
        </w:rPr>
        <w:t>（</w:t>
      </w:r>
      <w:r>
        <w:rPr>
          <w:rFonts w:hint="eastAsia" w:ascii="仿宋" w:hAnsi="仿宋" w:eastAsia="仿宋" w:cs="仿宋"/>
          <w:b/>
          <w:bCs/>
          <w:color w:val="auto"/>
          <w:spacing w:val="0"/>
          <w:kern w:val="1"/>
          <w:sz w:val="21"/>
          <w:szCs w:val="21"/>
          <w:highlight w:val="none"/>
          <w:lang w:val="en-US" w:eastAsia="zh-CN"/>
        </w:rPr>
        <w:t>出现缺项漏项视为符合性不通过</w:t>
      </w:r>
      <w:r>
        <w:rPr>
          <w:rFonts w:hint="eastAsia" w:ascii="仿宋" w:hAnsi="仿宋" w:eastAsia="仿宋" w:cs="仿宋"/>
          <w:b/>
          <w:bCs/>
          <w:color w:val="auto"/>
          <w:spacing w:val="0"/>
          <w:kern w:val="1"/>
          <w:sz w:val="21"/>
          <w:szCs w:val="21"/>
          <w:highlight w:val="none"/>
          <w:lang w:eastAsia="zh-CN"/>
        </w:rPr>
        <w:t>）</w:t>
      </w:r>
    </w:p>
    <w:p w14:paraId="5625F5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投标人：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7B5DBF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法定代表人或委托代理人：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5F0500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ab/>
      </w:r>
      <w:r>
        <w:rPr>
          <w:rFonts w:hint="eastAsia" w:ascii="仿宋" w:hAnsi="仿宋" w:eastAsia="仿宋" w:cs="仿宋"/>
          <w:color w:val="auto"/>
          <w:highlight w:val="none"/>
        </w:rPr>
        <w:t>日</w:t>
      </w:r>
    </w:p>
    <w:p w14:paraId="5EF4AD83">
      <w:pPr>
        <w:spacing w:line="360" w:lineRule="auto"/>
        <w:ind w:firstLine="420" w:firstLineChars="200"/>
        <w:rPr>
          <w:rFonts w:hint="eastAsia" w:ascii="仿宋" w:hAnsi="仿宋" w:eastAsia="仿宋" w:cs="仿宋"/>
          <w:color w:val="auto"/>
          <w:highlight w:val="none"/>
        </w:rPr>
        <w:sectPr>
          <w:pgSz w:w="16838" w:h="11906" w:orient="landscape"/>
          <w:pgMar w:top="1418" w:right="1418" w:bottom="1418" w:left="1418" w:header="936" w:footer="720" w:gutter="0"/>
          <w:cols w:space="720" w:num="1"/>
          <w:docGrid w:type="lines" w:linePitch="331" w:charSpace="0"/>
        </w:sectPr>
      </w:pPr>
    </w:p>
    <w:p w14:paraId="64E4168F">
      <w:pPr>
        <w:pStyle w:val="3"/>
        <w:numPr>
          <w:ilvl w:val="0"/>
          <w:numId w:val="0"/>
        </w:numPr>
        <w:spacing w:before="0"/>
        <w:ind w:left="425"/>
        <w:jc w:val="center"/>
        <w:rPr>
          <w:rFonts w:hint="eastAsia" w:ascii="仿宋" w:hAnsi="仿宋" w:eastAsia="仿宋" w:cs="仿宋"/>
          <w:color w:val="auto"/>
          <w:szCs w:val="28"/>
          <w:highlight w:val="none"/>
        </w:rPr>
      </w:pPr>
      <w:bookmarkStart w:id="158" w:name="_Toc8961"/>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六</w:t>
      </w:r>
      <w:r>
        <w:rPr>
          <w:rFonts w:hint="eastAsia" w:ascii="仿宋" w:hAnsi="仿宋" w:eastAsia="仿宋" w:cs="仿宋"/>
          <w:color w:val="auto"/>
          <w:szCs w:val="28"/>
          <w:highlight w:val="none"/>
        </w:rPr>
        <w:t>）商务条款偏离表</w:t>
      </w:r>
      <w:bookmarkEnd w:id="157"/>
      <w:bookmarkEnd w:id="158"/>
    </w:p>
    <w:p w14:paraId="589195D3">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投标人应逐条对应招标文件第五章“</w:t>
      </w:r>
      <w:r>
        <w:rPr>
          <w:rFonts w:hint="eastAsia" w:ascii="仿宋" w:hAnsi="仿宋" w:eastAsia="仿宋" w:cs="仿宋"/>
          <w:color w:val="auto"/>
          <w:szCs w:val="21"/>
          <w:highlight w:val="none"/>
        </w:rPr>
        <w:t>采购需求</w:t>
      </w:r>
      <w:r>
        <w:rPr>
          <w:rFonts w:hint="eastAsia" w:ascii="仿宋" w:hAnsi="仿宋" w:eastAsia="仿宋" w:cs="仿宋"/>
          <w:color w:val="auto"/>
          <w:highlight w:val="none"/>
        </w:rPr>
        <w:t>”和第三章“</w:t>
      </w:r>
      <w:r>
        <w:rPr>
          <w:rFonts w:hint="eastAsia" w:ascii="仿宋" w:hAnsi="仿宋" w:eastAsia="仿宋" w:cs="仿宋"/>
          <w:b/>
          <w:bCs/>
          <w:color w:val="auto"/>
          <w:highlight w:val="none"/>
        </w:rPr>
        <w:t>合同书样式及主要条款</w:t>
      </w:r>
      <w:r>
        <w:rPr>
          <w:rFonts w:hint="eastAsia" w:ascii="仿宋" w:hAnsi="仿宋" w:eastAsia="仿宋" w:cs="仿宋"/>
          <w:color w:val="auto"/>
          <w:highlight w:val="none"/>
        </w:rPr>
        <w:t>”中要求的商务条件，包括合同履行期限、付款方式、供货地点等内容，并根据实际投标情况如实填写本表格。</w:t>
      </w:r>
    </w:p>
    <w:p w14:paraId="5F70B1C1">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项目名称：</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 xml:space="preserve">                 </w:t>
      </w:r>
    </w:p>
    <w:p w14:paraId="6CE88FA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□我公司已详细阅读招标文件</w:t>
      </w:r>
      <w:r>
        <w:rPr>
          <w:rFonts w:hint="eastAsia" w:ascii="仿宋" w:hAnsi="仿宋" w:eastAsia="仿宋" w:cs="仿宋"/>
          <w:color w:val="auto"/>
          <w:highlight w:val="none"/>
          <w:lang w:eastAsia="zh-CN"/>
        </w:rPr>
        <w:t>中各</w:t>
      </w:r>
      <w:r>
        <w:rPr>
          <w:rFonts w:hint="eastAsia" w:ascii="仿宋" w:hAnsi="仿宋" w:eastAsia="仿宋" w:cs="仿宋"/>
          <w:color w:val="auto"/>
          <w:highlight w:val="none"/>
        </w:rPr>
        <w:t>项商务要求，所有商务要求均无偏离，中标后我公司将严格遵照执行。</w:t>
      </w:r>
    </w:p>
    <w:p w14:paraId="6163440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□我公司已详细阅读招标文件</w:t>
      </w:r>
      <w:r>
        <w:rPr>
          <w:rFonts w:hint="eastAsia" w:ascii="仿宋" w:hAnsi="仿宋" w:eastAsia="仿宋" w:cs="仿宋"/>
          <w:color w:val="auto"/>
          <w:highlight w:val="none"/>
          <w:lang w:eastAsia="zh-CN"/>
        </w:rPr>
        <w:t>中各</w:t>
      </w:r>
      <w:r>
        <w:rPr>
          <w:rFonts w:hint="eastAsia" w:ascii="仿宋" w:hAnsi="仿宋" w:eastAsia="仿宋" w:cs="仿宋"/>
          <w:color w:val="auto"/>
          <w:highlight w:val="none"/>
        </w:rPr>
        <w:t>项商务要求，除下述条款有偏离外，其余条款我公司均予以认可，中标后将严格遵照执行。</w:t>
      </w:r>
    </w:p>
    <w:tbl>
      <w:tblPr>
        <w:tblStyle w:val="36"/>
        <w:tblW w:w="8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4102"/>
        <w:gridCol w:w="3674"/>
      </w:tblGrid>
      <w:tr w14:paraId="135E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14:paraId="3B248B0C">
            <w:pPr>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102" w:type="dxa"/>
            <w:vAlign w:val="center"/>
          </w:tcPr>
          <w:p w14:paraId="5BED4E64">
            <w:pPr>
              <w:jc w:val="center"/>
              <w:rPr>
                <w:rFonts w:hint="eastAsia" w:ascii="仿宋" w:hAnsi="仿宋" w:eastAsia="仿宋" w:cs="仿宋"/>
                <w:color w:val="auto"/>
                <w:highlight w:val="none"/>
              </w:rPr>
            </w:pPr>
            <w:r>
              <w:rPr>
                <w:rFonts w:hint="eastAsia" w:ascii="仿宋" w:hAnsi="仿宋" w:eastAsia="仿宋" w:cs="仿宋"/>
                <w:color w:val="auto"/>
                <w:highlight w:val="none"/>
              </w:rPr>
              <w:t>招标文件的商务条款要求</w:t>
            </w:r>
          </w:p>
        </w:tc>
        <w:tc>
          <w:tcPr>
            <w:tcW w:w="3674" w:type="dxa"/>
            <w:vAlign w:val="center"/>
          </w:tcPr>
          <w:p w14:paraId="19937A40">
            <w:pPr>
              <w:jc w:val="center"/>
              <w:rPr>
                <w:rFonts w:hint="eastAsia" w:ascii="仿宋" w:hAnsi="仿宋" w:eastAsia="仿宋" w:cs="仿宋"/>
                <w:color w:val="auto"/>
                <w:highlight w:val="none"/>
              </w:rPr>
            </w:pPr>
            <w:r>
              <w:rPr>
                <w:rFonts w:hint="eastAsia" w:ascii="仿宋" w:hAnsi="仿宋" w:eastAsia="仿宋" w:cs="仿宋"/>
                <w:color w:val="auto"/>
                <w:highlight w:val="none"/>
              </w:rPr>
              <w:t>投标文件的商务条款</w:t>
            </w:r>
          </w:p>
        </w:tc>
      </w:tr>
      <w:tr w14:paraId="4CEA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14:paraId="145D835A">
            <w:pPr>
              <w:jc w:val="center"/>
              <w:rPr>
                <w:rFonts w:hint="eastAsia" w:ascii="仿宋" w:hAnsi="仿宋" w:eastAsia="仿宋" w:cs="仿宋"/>
                <w:color w:val="auto"/>
                <w:highlight w:val="none"/>
              </w:rPr>
            </w:pPr>
          </w:p>
        </w:tc>
        <w:tc>
          <w:tcPr>
            <w:tcW w:w="4102" w:type="dxa"/>
            <w:vAlign w:val="center"/>
          </w:tcPr>
          <w:p w14:paraId="54804ADB">
            <w:pPr>
              <w:jc w:val="center"/>
              <w:rPr>
                <w:rFonts w:hint="eastAsia" w:ascii="仿宋" w:hAnsi="仿宋" w:eastAsia="仿宋" w:cs="仿宋"/>
                <w:color w:val="auto"/>
                <w:highlight w:val="none"/>
              </w:rPr>
            </w:pPr>
          </w:p>
        </w:tc>
        <w:tc>
          <w:tcPr>
            <w:tcW w:w="3674" w:type="dxa"/>
            <w:vAlign w:val="center"/>
          </w:tcPr>
          <w:p w14:paraId="6D1B336C">
            <w:pPr>
              <w:jc w:val="center"/>
              <w:rPr>
                <w:rFonts w:hint="eastAsia" w:ascii="仿宋" w:hAnsi="仿宋" w:eastAsia="仿宋" w:cs="仿宋"/>
                <w:color w:val="auto"/>
                <w:highlight w:val="none"/>
              </w:rPr>
            </w:pPr>
          </w:p>
        </w:tc>
      </w:tr>
      <w:tr w14:paraId="1706A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14:paraId="6DF11B9C">
            <w:pPr>
              <w:jc w:val="center"/>
              <w:rPr>
                <w:rFonts w:hint="eastAsia" w:ascii="仿宋" w:hAnsi="仿宋" w:eastAsia="仿宋" w:cs="仿宋"/>
                <w:color w:val="auto"/>
                <w:highlight w:val="none"/>
              </w:rPr>
            </w:pPr>
          </w:p>
        </w:tc>
        <w:tc>
          <w:tcPr>
            <w:tcW w:w="4102" w:type="dxa"/>
            <w:vAlign w:val="center"/>
          </w:tcPr>
          <w:p w14:paraId="33D39386">
            <w:pPr>
              <w:jc w:val="center"/>
              <w:rPr>
                <w:rFonts w:hint="eastAsia" w:ascii="仿宋" w:hAnsi="仿宋" w:eastAsia="仿宋" w:cs="仿宋"/>
                <w:color w:val="auto"/>
                <w:highlight w:val="none"/>
              </w:rPr>
            </w:pPr>
          </w:p>
        </w:tc>
        <w:tc>
          <w:tcPr>
            <w:tcW w:w="3674" w:type="dxa"/>
            <w:vAlign w:val="center"/>
          </w:tcPr>
          <w:p w14:paraId="12B806FA">
            <w:pPr>
              <w:jc w:val="center"/>
              <w:rPr>
                <w:rFonts w:hint="eastAsia" w:ascii="仿宋" w:hAnsi="仿宋" w:eastAsia="仿宋" w:cs="仿宋"/>
                <w:color w:val="auto"/>
                <w:highlight w:val="none"/>
              </w:rPr>
            </w:pPr>
          </w:p>
        </w:tc>
      </w:tr>
      <w:tr w14:paraId="4928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14:paraId="6FA537D3">
            <w:pPr>
              <w:jc w:val="center"/>
              <w:rPr>
                <w:rFonts w:hint="eastAsia" w:ascii="仿宋" w:hAnsi="仿宋" w:eastAsia="仿宋" w:cs="仿宋"/>
                <w:color w:val="auto"/>
                <w:highlight w:val="none"/>
              </w:rPr>
            </w:pPr>
          </w:p>
        </w:tc>
        <w:tc>
          <w:tcPr>
            <w:tcW w:w="4102" w:type="dxa"/>
            <w:vAlign w:val="center"/>
          </w:tcPr>
          <w:p w14:paraId="2E65E838">
            <w:pPr>
              <w:jc w:val="center"/>
              <w:rPr>
                <w:rFonts w:hint="eastAsia" w:ascii="仿宋" w:hAnsi="仿宋" w:eastAsia="仿宋" w:cs="仿宋"/>
                <w:color w:val="auto"/>
                <w:highlight w:val="none"/>
              </w:rPr>
            </w:pPr>
          </w:p>
        </w:tc>
        <w:tc>
          <w:tcPr>
            <w:tcW w:w="3674" w:type="dxa"/>
            <w:vAlign w:val="center"/>
          </w:tcPr>
          <w:p w14:paraId="175FCCD3">
            <w:pPr>
              <w:jc w:val="center"/>
              <w:rPr>
                <w:rFonts w:hint="eastAsia" w:ascii="仿宋" w:hAnsi="仿宋" w:eastAsia="仿宋" w:cs="仿宋"/>
                <w:color w:val="auto"/>
                <w:highlight w:val="none"/>
              </w:rPr>
            </w:pPr>
          </w:p>
        </w:tc>
      </w:tr>
    </w:tbl>
    <w:p w14:paraId="0C901AF0">
      <w:pPr>
        <w:spacing w:line="360" w:lineRule="auto"/>
        <w:ind w:firstLine="2" w:firstLineChars="1"/>
        <w:rPr>
          <w:rFonts w:hint="eastAsia" w:ascii="仿宋" w:hAnsi="仿宋" w:eastAsia="仿宋" w:cs="仿宋"/>
          <w:color w:val="auto"/>
          <w:szCs w:val="21"/>
          <w:highlight w:val="none"/>
        </w:rPr>
      </w:pPr>
    </w:p>
    <w:p w14:paraId="151B8D7E">
      <w:pPr>
        <w:spacing w:line="360" w:lineRule="auto"/>
        <w:ind w:firstLine="2" w:firstLineChars="1"/>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3CA260E8">
      <w:pPr>
        <w:spacing w:line="360" w:lineRule="auto"/>
        <w:ind w:firstLine="2" w:firstLineChars="1"/>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03282569">
      <w:pPr>
        <w:spacing w:line="360" w:lineRule="auto"/>
        <w:ind w:firstLine="2" w:firstLineChars="1"/>
        <w:rPr>
          <w:rFonts w:hint="eastAsia" w:ascii="仿宋" w:hAnsi="仿宋" w:eastAsia="仿宋" w:cs="仿宋"/>
          <w:color w:val="auto"/>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53387C79">
      <w:pPr>
        <w:pStyle w:val="17"/>
        <w:spacing w:line="360" w:lineRule="auto"/>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表格填写说明：</w:t>
      </w:r>
    </w:p>
    <w:p w14:paraId="6731BAC3">
      <w:pPr>
        <w:pStyle w:val="17"/>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eastAsia="zh-CN"/>
        </w:rPr>
        <w:t>1.投标人</w:t>
      </w:r>
      <w:r>
        <w:rPr>
          <w:rFonts w:hint="eastAsia" w:ascii="仿宋" w:hAnsi="仿宋" w:eastAsia="仿宋" w:cs="仿宋"/>
          <w:color w:val="auto"/>
          <w:szCs w:val="24"/>
          <w:highlight w:val="none"/>
        </w:rPr>
        <w:t>应根据实际投标情况，填写本表格，若无偏离，则勾选A项，电子签章即可。若有偏离，则勾选B项，按表格要求及实际情况填写后电子签章。</w:t>
      </w:r>
    </w:p>
    <w:p w14:paraId="039B4FA1">
      <w:pPr>
        <w:pStyle w:val="17"/>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eastAsia="zh-CN"/>
        </w:rPr>
        <w:t>2.</w:t>
      </w:r>
      <w:r>
        <w:rPr>
          <w:rFonts w:hint="eastAsia" w:ascii="仿宋" w:hAnsi="仿宋" w:eastAsia="仿宋" w:cs="仿宋"/>
          <w:color w:val="auto"/>
          <w:szCs w:val="24"/>
          <w:highlight w:val="none"/>
        </w:rPr>
        <w:t>表格中“招标文件的商务条款要求”在填写时应注明该条款在招标文件的页码及条款号。</w:t>
      </w:r>
    </w:p>
    <w:p w14:paraId="1E3EBD2A">
      <w:pPr>
        <w:pStyle w:val="17"/>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eastAsia="zh-CN"/>
        </w:rPr>
        <w:t>3.</w:t>
      </w:r>
      <w:r>
        <w:rPr>
          <w:rFonts w:hint="eastAsia" w:ascii="仿宋" w:hAnsi="仿宋" w:eastAsia="仿宋" w:cs="仿宋"/>
          <w:color w:val="auto"/>
          <w:szCs w:val="24"/>
          <w:highlight w:val="none"/>
        </w:rPr>
        <w:t>表格中“投标文件的商务条款”请投标人根据实际投标情况如实、完整、准确</w:t>
      </w:r>
      <w:r>
        <w:rPr>
          <w:rFonts w:hint="eastAsia" w:ascii="仿宋" w:hAnsi="仿宋" w:eastAsia="仿宋" w:cs="仿宋"/>
          <w:color w:val="auto"/>
          <w:szCs w:val="24"/>
          <w:highlight w:val="none"/>
          <w:lang w:eastAsia="zh-CN"/>
        </w:rPr>
        <w:t>地</w:t>
      </w:r>
      <w:r>
        <w:rPr>
          <w:rFonts w:hint="eastAsia" w:ascii="仿宋" w:hAnsi="仿宋" w:eastAsia="仿宋" w:cs="仿宋"/>
          <w:color w:val="auto"/>
          <w:szCs w:val="24"/>
          <w:highlight w:val="none"/>
        </w:rPr>
        <w:t>填写。</w:t>
      </w:r>
    </w:p>
    <w:p w14:paraId="0067C420">
      <w:pPr>
        <w:pStyle w:val="17"/>
        <w:spacing w:line="360" w:lineRule="auto"/>
        <w:rPr>
          <w:rFonts w:hint="eastAsia" w:ascii="仿宋" w:hAnsi="仿宋" w:eastAsia="仿宋" w:cs="仿宋"/>
          <w:b/>
          <w:color w:val="auto"/>
          <w:szCs w:val="24"/>
          <w:highlight w:val="none"/>
        </w:rPr>
      </w:pPr>
      <w:r>
        <w:rPr>
          <w:rFonts w:hint="eastAsia" w:ascii="仿宋" w:hAnsi="仿宋" w:eastAsia="仿宋" w:cs="仿宋"/>
          <w:color w:val="auto"/>
          <w:szCs w:val="24"/>
          <w:highlight w:val="none"/>
          <w:lang w:eastAsia="zh-CN"/>
        </w:rPr>
        <w:t>4.</w:t>
      </w:r>
      <w:r>
        <w:rPr>
          <w:rFonts w:hint="eastAsia" w:ascii="仿宋" w:hAnsi="仿宋" w:eastAsia="仿宋" w:cs="仿宋"/>
          <w:b/>
          <w:color w:val="auto"/>
          <w:szCs w:val="24"/>
          <w:highlight w:val="none"/>
        </w:rPr>
        <w:t>本表格中内容与投标文件其余部分不一致的，以本表格为准。</w:t>
      </w:r>
    </w:p>
    <w:p w14:paraId="25A2AC3F">
      <w:pPr>
        <w:pStyle w:val="17"/>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eastAsia="zh-CN"/>
        </w:rPr>
        <w:t>5.</w:t>
      </w:r>
      <w:r>
        <w:rPr>
          <w:rFonts w:hint="eastAsia" w:ascii="仿宋" w:hAnsi="仿宋" w:eastAsia="仿宋" w:cs="仿宋"/>
          <w:color w:val="auto"/>
          <w:szCs w:val="24"/>
          <w:highlight w:val="none"/>
        </w:rPr>
        <w:t>填表示例：（有偏离情况的）</w:t>
      </w:r>
    </w:p>
    <w:p w14:paraId="5D95E59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eq \o\ac(□,</w:instrText>
      </w:r>
      <w:r>
        <w:rPr>
          <w:rFonts w:hint="eastAsia" w:ascii="仿宋" w:hAnsi="仿宋" w:eastAsia="仿宋" w:cs="仿宋"/>
          <w:color w:val="auto"/>
          <w:position w:val="2"/>
          <w:sz w:val="13"/>
          <w:highlight w:val="none"/>
        </w:rPr>
        <w:instrText xml:space="preserve">×</w:instrText>
      </w:r>
      <w:r>
        <w:rPr>
          <w:rFonts w:hint="eastAsia" w:ascii="仿宋" w:hAnsi="仿宋" w:eastAsia="仿宋" w:cs="仿宋"/>
          <w:color w:val="auto"/>
          <w:highlight w:val="none"/>
        </w:rPr>
        <w:instrText xml:space="preserve">)</w:instrTex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我公司已详细阅读招标文件</w:t>
      </w:r>
      <w:r>
        <w:rPr>
          <w:rFonts w:hint="eastAsia" w:ascii="仿宋" w:hAnsi="仿宋" w:eastAsia="仿宋" w:cs="仿宋"/>
          <w:color w:val="auto"/>
          <w:highlight w:val="none"/>
          <w:lang w:eastAsia="zh-CN"/>
        </w:rPr>
        <w:t>中各</w:t>
      </w:r>
      <w:r>
        <w:rPr>
          <w:rFonts w:hint="eastAsia" w:ascii="仿宋" w:hAnsi="仿宋" w:eastAsia="仿宋" w:cs="仿宋"/>
          <w:color w:val="auto"/>
          <w:highlight w:val="none"/>
        </w:rPr>
        <w:t>项商务要求，所有商务要求均无偏离，中标后我公司将严格遵照执行。</w:t>
      </w:r>
    </w:p>
    <w:p w14:paraId="3DEA16DF">
      <w:pPr>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eq \o\ac(□,</w:instrText>
      </w:r>
      <w:r>
        <w:rPr>
          <w:rFonts w:hint="eastAsia" w:ascii="仿宋" w:hAnsi="仿宋" w:eastAsia="仿宋" w:cs="仿宋"/>
          <w:color w:val="auto"/>
          <w:position w:val="2"/>
          <w:sz w:val="13"/>
          <w:highlight w:val="none"/>
        </w:rPr>
        <w:instrText xml:space="preserve">√</w:instrText>
      </w:r>
      <w:r>
        <w:rPr>
          <w:rFonts w:hint="eastAsia" w:ascii="仿宋" w:hAnsi="仿宋" w:eastAsia="仿宋" w:cs="仿宋"/>
          <w:color w:val="auto"/>
          <w:highlight w:val="none"/>
        </w:rPr>
        <w:instrText xml:space="preserve">)</w:instrTex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我公司已详细阅读招标文件</w:t>
      </w:r>
      <w:r>
        <w:rPr>
          <w:rFonts w:hint="eastAsia" w:ascii="仿宋" w:hAnsi="仿宋" w:eastAsia="仿宋" w:cs="仿宋"/>
          <w:color w:val="auto"/>
          <w:highlight w:val="none"/>
          <w:lang w:eastAsia="zh-CN"/>
        </w:rPr>
        <w:t>中各</w:t>
      </w:r>
      <w:r>
        <w:rPr>
          <w:rFonts w:hint="eastAsia" w:ascii="仿宋" w:hAnsi="仿宋" w:eastAsia="仿宋" w:cs="仿宋"/>
          <w:color w:val="auto"/>
          <w:highlight w:val="none"/>
        </w:rPr>
        <w:t>项商务要求，除下述条款有偏离外，其余条款我公司均予以认可，中标后将严格遵照执行。</w:t>
      </w:r>
    </w:p>
    <w:p w14:paraId="658F17E9">
      <w:pPr>
        <w:rPr>
          <w:rFonts w:hint="eastAsia" w:ascii="仿宋" w:hAnsi="仿宋" w:eastAsia="仿宋" w:cs="仿宋"/>
          <w:color w:val="auto"/>
          <w:highlight w:val="none"/>
        </w:rPr>
      </w:pPr>
    </w:p>
    <w:p w14:paraId="1583B2F1">
      <w:pPr>
        <w:rPr>
          <w:rFonts w:hint="eastAsia" w:ascii="仿宋" w:hAnsi="仿宋" w:eastAsia="仿宋" w:cs="仿宋"/>
          <w:color w:val="auto"/>
          <w:highlight w:val="none"/>
        </w:rPr>
      </w:pPr>
    </w:p>
    <w:p w14:paraId="492252E2">
      <w:pPr>
        <w:pStyle w:val="3"/>
        <w:numPr>
          <w:ilvl w:val="0"/>
          <w:numId w:val="0"/>
        </w:numPr>
        <w:spacing w:before="0"/>
        <w:ind w:left="425"/>
        <w:jc w:val="center"/>
        <w:rPr>
          <w:rFonts w:hint="eastAsia" w:ascii="仿宋" w:hAnsi="仿宋" w:eastAsia="仿宋" w:cs="仿宋"/>
          <w:color w:val="auto"/>
          <w:szCs w:val="28"/>
          <w:highlight w:val="none"/>
        </w:rPr>
      </w:pPr>
      <w:bookmarkStart w:id="159" w:name="_Toc12262"/>
      <w:bookmarkStart w:id="160" w:name="_Toc89692664"/>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七</w:t>
      </w:r>
      <w:r>
        <w:rPr>
          <w:rFonts w:hint="eastAsia" w:ascii="仿宋" w:hAnsi="仿宋" w:eastAsia="仿宋" w:cs="仿宋"/>
          <w:color w:val="auto"/>
          <w:szCs w:val="28"/>
          <w:highlight w:val="none"/>
        </w:rPr>
        <w:t>）技术规格偏离表</w:t>
      </w:r>
      <w:bookmarkEnd w:id="159"/>
      <w:bookmarkEnd w:id="160"/>
    </w:p>
    <w:p w14:paraId="0F1944C3">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请按投标产品的实际技术参数，逐条对应招标文件的“采购需求”中要求的技术参数认真填写该表。</w:t>
      </w:r>
    </w:p>
    <w:p w14:paraId="3E5F2DF6">
      <w:pPr>
        <w:rPr>
          <w:rFonts w:hint="eastAsia" w:ascii="仿宋" w:hAnsi="仿宋" w:eastAsia="仿宋" w:cs="仿宋"/>
          <w:color w:val="auto"/>
          <w:highlight w:val="none"/>
        </w:rPr>
      </w:pPr>
    </w:p>
    <w:p w14:paraId="63B88E28">
      <w:pPr>
        <w:rPr>
          <w:rFonts w:hint="eastAsia" w:ascii="仿宋" w:hAnsi="仿宋" w:eastAsia="仿宋" w:cs="仿宋"/>
          <w:color w:val="auto"/>
          <w:highlight w:val="none"/>
          <w:u w:val="single"/>
        </w:rPr>
      </w:pPr>
      <w:r>
        <w:rPr>
          <w:rFonts w:hint="eastAsia" w:ascii="仿宋" w:hAnsi="仿宋" w:eastAsia="仿宋" w:cs="仿宋"/>
          <w:color w:val="auto"/>
          <w:highlight w:val="none"/>
        </w:rPr>
        <w:t>项目名称：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highlight w:val="none"/>
        </w:rPr>
        <w:t xml:space="preserve">     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rPr>
        <w:tab/>
      </w:r>
    </w:p>
    <w:tbl>
      <w:tblPr>
        <w:tblStyle w:val="36"/>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3685"/>
        <w:gridCol w:w="1276"/>
        <w:gridCol w:w="1276"/>
      </w:tblGrid>
      <w:tr w14:paraId="0755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384" w:type="dxa"/>
            <w:vAlign w:val="center"/>
          </w:tcPr>
          <w:p w14:paraId="224E87FF">
            <w:pPr>
              <w:spacing w:line="400" w:lineRule="exact"/>
              <w:jc w:val="center"/>
              <w:rPr>
                <w:rFonts w:hint="eastAsia" w:ascii="仿宋" w:hAnsi="仿宋" w:eastAsia="仿宋" w:cs="仿宋"/>
                <w:b/>
                <w:color w:val="auto"/>
                <w:highlight w:val="none"/>
              </w:rPr>
            </w:pPr>
            <w:r>
              <w:rPr>
                <w:rFonts w:hint="eastAsia" w:ascii="仿宋" w:hAnsi="仿宋" w:eastAsia="仿宋" w:cs="仿宋"/>
                <w:b/>
                <w:color w:val="auto"/>
                <w:kern w:val="0"/>
                <w:szCs w:val="21"/>
                <w:highlight w:val="none"/>
              </w:rPr>
              <w:t>货物名称</w:t>
            </w:r>
          </w:p>
        </w:tc>
        <w:tc>
          <w:tcPr>
            <w:tcW w:w="2552" w:type="dxa"/>
            <w:vAlign w:val="center"/>
          </w:tcPr>
          <w:p w14:paraId="7C708EDE">
            <w:pPr>
              <w:spacing w:line="400" w:lineRule="exact"/>
              <w:jc w:val="center"/>
              <w:rPr>
                <w:rFonts w:hint="eastAsia" w:ascii="仿宋" w:hAnsi="仿宋" w:eastAsia="仿宋" w:cs="仿宋"/>
                <w:b/>
                <w:color w:val="auto"/>
                <w:highlight w:val="none"/>
              </w:rPr>
            </w:pPr>
            <w:r>
              <w:rPr>
                <w:rFonts w:hint="eastAsia" w:ascii="仿宋" w:hAnsi="仿宋" w:eastAsia="仿宋" w:cs="仿宋"/>
                <w:b/>
                <w:color w:val="auto"/>
                <w:highlight w:val="none"/>
              </w:rPr>
              <w:t>招标文件技术需求</w:t>
            </w:r>
          </w:p>
        </w:tc>
        <w:tc>
          <w:tcPr>
            <w:tcW w:w="3685" w:type="dxa"/>
            <w:vAlign w:val="center"/>
          </w:tcPr>
          <w:p w14:paraId="798BC438">
            <w:pPr>
              <w:spacing w:line="400" w:lineRule="exact"/>
              <w:jc w:val="center"/>
              <w:rPr>
                <w:rFonts w:hint="eastAsia" w:ascii="仿宋" w:hAnsi="仿宋" w:eastAsia="仿宋" w:cs="仿宋"/>
                <w:b/>
                <w:color w:val="auto"/>
                <w:highlight w:val="none"/>
              </w:rPr>
            </w:pPr>
            <w:r>
              <w:rPr>
                <w:rFonts w:hint="eastAsia" w:ascii="仿宋" w:hAnsi="仿宋" w:eastAsia="仿宋" w:cs="仿宋"/>
                <w:b/>
                <w:color w:val="auto"/>
                <w:highlight w:val="none"/>
              </w:rPr>
              <w:t>技术参数（指标）偏离值对比及说明（与招标文件采购需求逐条对照）品牌、参数</w:t>
            </w:r>
          </w:p>
        </w:tc>
        <w:tc>
          <w:tcPr>
            <w:tcW w:w="1276" w:type="dxa"/>
            <w:vAlign w:val="center"/>
          </w:tcPr>
          <w:p w14:paraId="7D6584DF">
            <w:pPr>
              <w:spacing w:line="400" w:lineRule="exact"/>
              <w:jc w:val="center"/>
              <w:rPr>
                <w:rFonts w:hint="eastAsia" w:ascii="仿宋" w:hAnsi="仿宋" w:eastAsia="仿宋" w:cs="仿宋"/>
                <w:b/>
                <w:color w:val="auto"/>
                <w:highlight w:val="none"/>
              </w:rPr>
            </w:pPr>
            <w:r>
              <w:rPr>
                <w:rFonts w:hint="eastAsia" w:ascii="仿宋" w:hAnsi="仿宋" w:eastAsia="仿宋" w:cs="仿宋"/>
                <w:b/>
                <w:color w:val="auto"/>
                <w:highlight w:val="none"/>
              </w:rPr>
              <w:t>（偏离）</w:t>
            </w:r>
          </w:p>
        </w:tc>
        <w:tc>
          <w:tcPr>
            <w:tcW w:w="1276" w:type="dxa"/>
            <w:vAlign w:val="center"/>
          </w:tcPr>
          <w:p w14:paraId="3B8BBD5A">
            <w:pPr>
              <w:spacing w:line="400" w:lineRule="exact"/>
              <w:jc w:val="center"/>
              <w:rPr>
                <w:rFonts w:hint="eastAsia" w:ascii="仿宋" w:hAnsi="仿宋" w:eastAsia="仿宋" w:cs="仿宋"/>
                <w:b/>
                <w:color w:val="auto"/>
                <w:highlight w:val="none"/>
              </w:rPr>
            </w:pPr>
            <w:r>
              <w:rPr>
                <w:rFonts w:hint="eastAsia" w:ascii="仿宋" w:hAnsi="仿宋" w:eastAsia="仿宋" w:cs="仿宋"/>
                <w:b/>
                <w:color w:val="auto"/>
                <w:highlight w:val="none"/>
              </w:rPr>
              <w:t>技术支持资料索引（页码或条目号等）</w:t>
            </w:r>
          </w:p>
        </w:tc>
      </w:tr>
      <w:tr w14:paraId="5881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384" w:type="dxa"/>
          </w:tcPr>
          <w:p w14:paraId="2A7F4E06">
            <w:pPr>
              <w:spacing w:line="400" w:lineRule="exact"/>
              <w:rPr>
                <w:rFonts w:hint="eastAsia" w:ascii="仿宋" w:hAnsi="仿宋" w:eastAsia="仿宋" w:cs="仿宋"/>
                <w:color w:val="auto"/>
                <w:sz w:val="24"/>
                <w:highlight w:val="none"/>
              </w:rPr>
            </w:pPr>
          </w:p>
        </w:tc>
        <w:tc>
          <w:tcPr>
            <w:tcW w:w="2552" w:type="dxa"/>
          </w:tcPr>
          <w:p w14:paraId="3008FA17">
            <w:pPr>
              <w:spacing w:line="400" w:lineRule="exact"/>
              <w:rPr>
                <w:rFonts w:hint="eastAsia" w:ascii="仿宋" w:hAnsi="仿宋" w:eastAsia="仿宋" w:cs="仿宋"/>
                <w:color w:val="auto"/>
                <w:sz w:val="24"/>
                <w:highlight w:val="none"/>
              </w:rPr>
            </w:pPr>
          </w:p>
        </w:tc>
        <w:tc>
          <w:tcPr>
            <w:tcW w:w="3685" w:type="dxa"/>
          </w:tcPr>
          <w:p w14:paraId="00E3F9B9">
            <w:pPr>
              <w:spacing w:line="400" w:lineRule="exact"/>
              <w:rPr>
                <w:rFonts w:hint="eastAsia" w:ascii="仿宋" w:hAnsi="仿宋" w:eastAsia="仿宋" w:cs="仿宋"/>
                <w:color w:val="auto"/>
                <w:sz w:val="24"/>
                <w:highlight w:val="none"/>
              </w:rPr>
            </w:pPr>
          </w:p>
        </w:tc>
        <w:tc>
          <w:tcPr>
            <w:tcW w:w="1276" w:type="dxa"/>
          </w:tcPr>
          <w:p w14:paraId="6821D469">
            <w:pPr>
              <w:spacing w:line="400" w:lineRule="exact"/>
              <w:rPr>
                <w:rFonts w:hint="eastAsia" w:ascii="仿宋" w:hAnsi="仿宋" w:eastAsia="仿宋" w:cs="仿宋"/>
                <w:color w:val="auto"/>
                <w:sz w:val="24"/>
                <w:highlight w:val="none"/>
              </w:rPr>
            </w:pPr>
          </w:p>
        </w:tc>
        <w:tc>
          <w:tcPr>
            <w:tcW w:w="1276" w:type="dxa"/>
          </w:tcPr>
          <w:p w14:paraId="2CAD4559">
            <w:pPr>
              <w:spacing w:line="400" w:lineRule="exact"/>
              <w:rPr>
                <w:rFonts w:hint="eastAsia" w:ascii="仿宋" w:hAnsi="仿宋" w:eastAsia="仿宋" w:cs="仿宋"/>
                <w:color w:val="auto"/>
                <w:sz w:val="24"/>
                <w:highlight w:val="none"/>
              </w:rPr>
            </w:pPr>
          </w:p>
        </w:tc>
      </w:tr>
      <w:tr w14:paraId="3699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384" w:type="dxa"/>
          </w:tcPr>
          <w:p w14:paraId="76D70201">
            <w:pPr>
              <w:spacing w:line="400" w:lineRule="exact"/>
              <w:rPr>
                <w:rFonts w:hint="eastAsia" w:ascii="仿宋" w:hAnsi="仿宋" w:eastAsia="仿宋" w:cs="仿宋"/>
                <w:color w:val="auto"/>
                <w:sz w:val="24"/>
                <w:highlight w:val="none"/>
              </w:rPr>
            </w:pPr>
          </w:p>
        </w:tc>
        <w:tc>
          <w:tcPr>
            <w:tcW w:w="2552" w:type="dxa"/>
          </w:tcPr>
          <w:p w14:paraId="704E5462">
            <w:pPr>
              <w:spacing w:line="400" w:lineRule="exact"/>
              <w:rPr>
                <w:rFonts w:hint="eastAsia" w:ascii="仿宋" w:hAnsi="仿宋" w:eastAsia="仿宋" w:cs="仿宋"/>
                <w:color w:val="auto"/>
                <w:sz w:val="24"/>
                <w:highlight w:val="none"/>
              </w:rPr>
            </w:pPr>
          </w:p>
        </w:tc>
        <w:tc>
          <w:tcPr>
            <w:tcW w:w="3685" w:type="dxa"/>
          </w:tcPr>
          <w:p w14:paraId="1BE86F6F">
            <w:pPr>
              <w:spacing w:line="400" w:lineRule="exact"/>
              <w:rPr>
                <w:rFonts w:hint="eastAsia" w:ascii="仿宋" w:hAnsi="仿宋" w:eastAsia="仿宋" w:cs="仿宋"/>
                <w:color w:val="auto"/>
                <w:sz w:val="24"/>
                <w:highlight w:val="none"/>
              </w:rPr>
            </w:pPr>
          </w:p>
        </w:tc>
        <w:tc>
          <w:tcPr>
            <w:tcW w:w="1276" w:type="dxa"/>
          </w:tcPr>
          <w:p w14:paraId="09EF68CF">
            <w:pPr>
              <w:spacing w:line="400" w:lineRule="exact"/>
              <w:rPr>
                <w:rFonts w:hint="eastAsia" w:ascii="仿宋" w:hAnsi="仿宋" w:eastAsia="仿宋" w:cs="仿宋"/>
                <w:color w:val="auto"/>
                <w:sz w:val="24"/>
                <w:highlight w:val="none"/>
              </w:rPr>
            </w:pPr>
          </w:p>
        </w:tc>
        <w:tc>
          <w:tcPr>
            <w:tcW w:w="1276" w:type="dxa"/>
          </w:tcPr>
          <w:p w14:paraId="764FA088">
            <w:pPr>
              <w:spacing w:line="400" w:lineRule="exact"/>
              <w:rPr>
                <w:rFonts w:hint="eastAsia" w:ascii="仿宋" w:hAnsi="仿宋" w:eastAsia="仿宋" w:cs="仿宋"/>
                <w:color w:val="auto"/>
                <w:sz w:val="24"/>
                <w:highlight w:val="none"/>
              </w:rPr>
            </w:pPr>
          </w:p>
        </w:tc>
      </w:tr>
      <w:tr w14:paraId="6336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384" w:type="dxa"/>
          </w:tcPr>
          <w:p w14:paraId="4E43559C">
            <w:pPr>
              <w:spacing w:line="400" w:lineRule="exact"/>
              <w:rPr>
                <w:rFonts w:hint="eastAsia" w:ascii="仿宋" w:hAnsi="仿宋" w:eastAsia="仿宋" w:cs="仿宋"/>
                <w:color w:val="auto"/>
                <w:sz w:val="24"/>
                <w:highlight w:val="none"/>
              </w:rPr>
            </w:pPr>
          </w:p>
        </w:tc>
        <w:tc>
          <w:tcPr>
            <w:tcW w:w="2552" w:type="dxa"/>
          </w:tcPr>
          <w:p w14:paraId="0109E2FE">
            <w:pPr>
              <w:spacing w:line="400" w:lineRule="exact"/>
              <w:rPr>
                <w:rFonts w:hint="eastAsia" w:ascii="仿宋" w:hAnsi="仿宋" w:eastAsia="仿宋" w:cs="仿宋"/>
                <w:color w:val="auto"/>
                <w:sz w:val="24"/>
                <w:highlight w:val="none"/>
              </w:rPr>
            </w:pPr>
          </w:p>
        </w:tc>
        <w:tc>
          <w:tcPr>
            <w:tcW w:w="3685" w:type="dxa"/>
          </w:tcPr>
          <w:p w14:paraId="3BD790E7">
            <w:pPr>
              <w:spacing w:line="400" w:lineRule="exact"/>
              <w:rPr>
                <w:rFonts w:hint="eastAsia" w:ascii="仿宋" w:hAnsi="仿宋" w:eastAsia="仿宋" w:cs="仿宋"/>
                <w:color w:val="auto"/>
                <w:sz w:val="24"/>
                <w:highlight w:val="none"/>
              </w:rPr>
            </w:pPr>
          </w:p>
        </w:tc>
        <w:tc>
          <w:tcPr>
            <w:tcW w:w="1276" w:type="dxa"/>
          </w:tcPr>
          <w:p w14:paraId="5D55F0D6">
            <w:pPr>
              <w:spacing w:line="400" w:lineRule="exact"/>
              <w:rPr>
                <w:rFonts w:hint="eastAsia" w:ascii="仿宋" w:hAnsi="仿宋" w:eastAsia="仿宋" w:cs="仿宋"/>
                <w:color w:val="auto"/>
                <w:sz w:val="24"/>
                <w:highlight w:val="none"/>
              </w:rPr>
            </w:pPr>
          </w:p>
        </w:tc>
        <w:tc>
          <w:tcPr>
            <w:tcW w:w="1276" w:type="dxa"/>
          </w:tcPr>
          <w:p w14:paraId="6E3BD259">
            <w:pPr>
              <w:spacing w:line="400" w:lineRule="exact"/>
              <w:rPr>
                <w:rFonts w:hint="eastAsia" w:ascii="仿宋" w:hAnsi="仿宋" w:eastAsia="仿宋" w:cs="仿宋"/>
                <w:color w:val="auto"/>
                <w:sz w:val="24"/>
                <w:highlight w:val="none"/>
              </w:rPr>
            </w:pPr>
          </w:p>
        </w:tc>
      </w:tr>
      <w:tr w14:paraId="2F83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384" w:type="dxa"/>
          </w:tcPr>
          <w:p w14:paraId="1C9C6641">
            <w:pPr>
              <w:spacing w:line="400" w:lineRule="exact"/>
              <w:rPr>
                <w:rFonts w:hint="eastAsia" w:ascii="仿宋" w:hAnsi="仿宋" w:eastAsia="仿宋" w:cs="仿宋"/>
                <w:color w:val="auto"/>
                <w:sz w:val="24"/>
                <w:highlight w:val="none"/>
              </w:rPr>
            </w:pPr>
          </w:p>
        </w:tc>
        <w:tc>
          <w:tcPr>
            <w:tcW w:w="2552" w:type="dxa"/>
          </w:tcPr>
          <w:p w14:paraId="52D0A8BC">
            <w:pPr>
              <w:spacing w:line="400" w:lineRule="exact"/>
              <w:rPr>
                <w:rFonts w:hint="eastAsia" w:ascii="仿宋" w:hAnsi="仿宋" w:eastAsia="仿宋" w:cs="仿宋"/>
                <w:color w:val="auto"/>
                <w:sz w:val="24"/>
                <w:highlight w:val="none"/>
              </w:rPr>
            </w:pPr>
          </w:p>
        </w:tc>
        <w:tc>
          <w:tcPr>
            <w:tcW w:w="3685" w:type="dxa"/>
          </w:tcPr>
          <w:p w14:paraId="50267203">
            <w:pPr>
              <w:spacing w:line="400" w:lineRule="exact"/>
              <w:rPr>
                <w:rFonts w:hint="eastAsia" w:ascii="仿宋" w:hAnsi="仿宋" w:eastAsia="仿宋" w:cs="仿宋"/>
                <w:color w:val="auto"/>
                <w:sz w:val="24"/>
                <w:highlight w:val="none"/>
              </w:rPr>
            </w:pPr>
          </w:p>
        </w:tc>
        <w:tc>
          <w:tcPr>
            <w:tcW w:w="1276" w:type="dxa"/>
          </w:tcPr>
          <w:p w14:paraId="0D0F64A4">
            <w:pPr>
              <w:spacing w:line="400" w:lineRule="exact"/>
              <w:rPr>
                <w:rFonts w:hint="eastAsia" w:ascii="仿宋" w:hAnsi="仿宋" w:eastAsia="仿宋" w:cs="仿宋"/>
                <w:color w:val="auto"/>
                <w:sz w:val="24"/>
                <w:highlight w:val="none"/>
              </w:rPr>
            </w:pPr>
          </w:p>
        </w:tc>
        <w:tc>
          <w:tcPr>
            <w:tcW w:w="1276" w:type="dxa"/>
          </w:tcPr>
          <w:p w14:paraId="57A8DA67">
            <w:pPr>
              <w:spacing w:line="400" w:lineRule="exact"/>
              <w:rPr>
                <w:rFonts w:hint="eastAsia" w:ascii="仿宋" w:hAnsi="仿宋" w:eastAsia="仿宋" w:cs="仿宋"/>
                <w:color w:val="auto"/>
                <w:sz w:val="24"/>
                <w:highlight w:val="none"/>
              </w:rPr>
            </w:pPr>
          </w:p>
        </w:tc>
      </w:tr>
      <w:tr w14:paraId="3DF5D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84" w:type="dxa"/>
          </w:tcPr>
          <w:p w14:paraId="7A6A274B">
            <w:pPr>
              <w:spacing w:line="400" w:lineRule="exact"/>
              <w:rPr>
                <w:rFonts w:hint="eastAsia" w:ascii="仿宋" w:hAnsi="仿宋" w:eastAsia="仿宋" w:cs="仿宋"/>
                <w:color w:val="auto"/>
                <w:sz w:val="24"/>
                <w:highlight w:val="none"/>
              </w:rPr>
            </w:pPr>
          </w:p>
        </w:tc>
        <w:tc>
          <w:tcPr>
            <w:tcW w:w="2552" w:type="dxa"/>
          </w:tcPr>
          <w:p w14:paraId="2FC5F3C7">
            <w:pPr>
              <w:spacing w:line="400" w:lineRule="exact"/>
              <w:rPr>
                <w:rFonts w:hint="eastAsia" w:ascii="仿宋" w:hAnsi="仿宋" w:eastAsia="仿宋" w:cs="仿宋"/>
                <w:color w:val="auto"/>
                <w:sz w:val="24"/>
                <w:highlight w:val="none"/>
              </w:rPr>
            </w:pPr>
          </w:p>
        </w:tc>
        <w:tc>
          <w:tcPr>
            <w:tcW w:w="3685" w:type="dxa"/>
          </w:tcPr>
          <w:p w14:paraId="62561EDC">
            <w:pPr>
              <w:spacing w:line="400" w:lineRule="exact"/>
              <w:rPr>
                <w:rFonts w:hint="eastAsia" w:ascii="仿宋" w:hAnsi="仿宋" w:eastAsia="仿宋" w:cs="仿宋"/>
                <w:color w:val="auto"/>
                <w:sz w:val="24"/>
                <w:highlight w:val="none"/>
              </w:rPr>
            </w:pPr>
          </w:p>
        </w:tc>
        <w:tc>
          <w:tcPr>
            <w:tcW w:w="1276" w:type="dxa"/>
          </w:tcPr>
          <w:p w14:paraId="3FA5852A">
            <w:pPr>
              <w:spacing w:line="400" w:lineRule="exact"/>
              <w:rPr>
                <w:rFonts w:hint="eastAsia" w:ascii="仿宋" w:hAnsi="仿宋" w:eastAsia="仿宋" w:cs="仿宋"/>
                <w:color w:val="auto"/>
                <w:sz w:val="24"/>
                <w:highlight w:val="none"/>
              </w:rPr>
            </w:pPr>
          </w:p>
        </w:tc>
        <w:tc>
          <w:tcPr>
            <w:tcW w:w="1276" w:type="dxa"/>
          </w:tcPr>
          <w:p w14:paraId="675FB0D5">
            <w:pPr>
              <w:spacing w:line="400" w:lineRule="exact"/>
              <w:rPr>
                <w:rFonts w:hint="eastAsia" w:ascii="仿宋" w:hAnsi="仿宋" w:eastAsia="仿宋" w:cs="仿宋"/>
                <w:color w:val="auto"/>
                <w:sz w:val="24"/>
                <w:highlight w:val="none"/>
              </w:rPr>
            </w:pPr>
          </w:p>
        </w:tc>
      </w:tr>
    </w:tbl>
    <w:p w14:paraId="4D3697C8">
      <w:pPr>
        <w:spacing w:line="360" w:lineRule="auto"/>
        <w:ind w:firstLine="420" w:firstLineChars="200"/>
        <w:rPr>
          <w:rFonts w:hint="eastAsia" w:ascii="仿宋" w:hAnsi="仿宋" w:eastAsia="仿宋" w:cs="仿宋"/>
          <w:color w:val="auto"/>
          <w:szCs w:val="21"/>
          <w:highlight w:val="none"/>
        </w:rPr>
      </w:pPr>
    </w:p>
    <w:p w14:paraId="353B79E5">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表格中“偏离”一列，投标人只能如实填写“正偏离”、“负偏离”或“无偏离”。凡投标内容高于招标文件要求的，按“正偏离”填写；低于招标文件要求的，按“负偏离”填写；满足招标文件要求的，按“无偏离”填写。</w:t>
      </w:r>
    </w:p>
    <w:p w14:paraId="20C6F9D1">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2.序号应对应该产品在第五章“采购需求”中的序号。</w:t>
      </w:r>
    </w:p>
    <w:p w14:paraId="57C1E2C0">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3.各投标人必须对招标文件第五章 “采购需求”中的技术参数要求作出全面、真实的反映。投标人除如实填写技术规格偏离表外，投标文件中须提供最新技术支持资料</w:t>
      </w:r>
      <w:r>
        <w:rPr>
          <w:rFonts w:hint="eastAsia" w:ascii="仿宋" w:hAnsi="仿宋" w:eastAsia="仿宋" w:cs="仿宋"/>
          <w:color w:val="auto"/>
          <w:szCs w:val="21"/>
          <w:highlight w:val="none"/>
          <w:lang w:eastAsia="zh-CN"/>
        </w:rPr>
        <w:t>，以支持</w:t>
      </w:r>
      <w:r>
        <w:rPr>
          <w:rFonts w:hint="eastAsia" w:ascii="仿宋" w:hAnsi="仿宋" w:eastAsia="仿宋" w:cs="仿宋"/>
          <w:color w:val="auto"/>
          <w:szCs w:val="21"/>
          <w:highlight w:val="none"/>
        </w:rPr>
        <w:t>技术规格偏离表应答</w:t>
      </w:r>
      <w:r>
        <w:rPr>
          <w:rFonts w:hint="eastAsia" w:ascii="仿宋" w:hAnsi="仿宋" w:eastAsia="仿宋" w:cs="仿宋"/>
          <w:b/>
          <w:bCs/>
          <w:color w:val="auto"/>
          <w:szCs w:val="21"/>
          <w:highlight w:val="none"/>
        </w:rPr>
        <w:t>（技术支持资料以检测机构出具的检测报告为准）</w:t>
      </w:r>
      <w:r>
        <w:rPr>
          <w:rFonts w:hint="eastAsia" w:ascii="仿宋" w:hAnsi="仿宋" w:eastAsia="仿宋" w:cs="仿宋"/>
          <w:color w:val="auto"/>
          <w:szCs w:val="21"/>
          <w:highlight w:val="none"/>
        </w:rPr>
        <w:t>。</w:t>
      </w:r>
    </w:p>
    <w:p w14:paraId="30E98A9B">
      <w:pPr>
        <w:rPr>
          <w:rFonts w:hint="eastAsia" w:ascii="仿宋" w:hAnsi="仿宋" w:eastAsia="仿宋" w:cs="仿宋"/>
          <w:color w:val="auto"/>
          <w:highlight w:val="none"/>
        </w:rPr>
      </w:pPr>
    </w:p>
    <w:p w14:paraId="270F2A54">
      <w:pPr>
        <w:pStyle w:val="17"/>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711155C4">
      <w:pPr>
        <w:pStyle w:val="17"/>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5DD9B8A9">
      <w:pPr>
        <w:pStyle w:val="17"/>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  月  日</w:t>
      </w:r>
    </w:p>
    <w:p w14:paraId="5DEA8F6B">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2DE3B213">
      <w:pPr>
        <w:pStyle w:val="17"/>
        <w:spacing w:line="360" w:lineRule="auto"/>
        <w:jc w:val="center"/>
        <w:outlineLvl w:val="1"/>
        <w:rPr>
          <w:rFonts w:hint="eastAsia" w:ascii="仿宋" w:hAnsi="仿宋" w:eastAsia="仿宋" w:cs="仿宋"/>
          <w:b/>
          <w:color w:val="auto"/>
          <w:kern w:val="0"/>
          <w:sz w:val="28"/>
          <w:szCs w:val="28"/>
          <w:highlight w:val="none"/>
        </w:rPr>
      </w:pPr>
      <w:bookmarkStart w:id="161" w:name="_Toc30672"/>
      <w:r>
        <w:rPr>
          <w:rFonts w:hint="eastAsia" w:ascii="仿宋" w:hAnsi="仿宋" w:eastAsia="仿宋" w:cs="仿宋"/>
          <w:b/>
          <w:color w:val="auto"/>
          <w:kern w:val="0"/>
          <w:sz w:val="28"/>
          <w:szCs w:val="28"/>
          <w:highlight w:val="none"/>
        </w:rPr>
        <w:t>（</w:t>
      </w:r>
      <w:r>
        <w:rPr>
          <w:rFonts w:hint="eastAsia" w:ascii="仿宋" w:hAnsi="仿宋" w:eastAsia="仿宋" w:cs="仿宋"/>
          <w:b/>
          <w:color w:val="auto"/>
          <w:kern w:val="0"/>
          <w:sz w:val="28"/>
          <w:szCs w:val="28"/>
          <w:highlight w:val="none"/>
          <w:lang w:val="en-US" w:eastAsia="zh-CN"/>
        </w:rPr>
        <w:t>八</w:t>
      </w:r>
      <w:r>
        <w:rPr>
          <w:rFonts w:hint="eastAsia" w:ascii="仿宋" w:hAnsi="仿宋" w:eastAsia="仿宋" w:cs="仿宋"/>
          <w:b/>
          <w:color w:val="auto"/>
          <w:kern w:val="0"/>
          <w:sz w:val="28"/>
          <w:szCs w:val="28"/>
          <w:highlight w:val="none"/>
        </w:rPr>
        <w:t>）投标保证金</w:t>
      </w:r>
      <w:r>
        <w:rPr>
          <w:rFonts w:hint="eastAsia" w:ascii="仿宋" w:hAnsi="仿宋" w:eastAsia="仿宋" w:cs="仿宋"/>
          <w:b/>
          <w:color w:val="auto"/>
          <w:kern w:val="0"/>
          <w:sz w:val="28"/>
          <w:szCs w:val="28"/>
          <w:highlight w:val="none"/>
          <w:lang w:eastAsia="zh-CN"/>
        </w:rPr>
        <w:t>缴纳</w:t>
      </w:r>
      <w:r>
        <w:rPr>
          <w:rFonts w:hint="eastAsia" w:ascii="仿宋" w:hAnsi="仿宋" w:eastAsia="仿宋" w:cs="仿宋"/>
          <w:b/>
          <w:color w:val="auto"/>
          <w:kern w:val="0"/>
          <w:sz w:val="28"/>
          <w:szCs w:val="28"/>
          <w:highlight w:val="none"/>
        </w:rPr>
        <w:t>凭证</w:t>
      </w:r>
      <w:bookmarkEnd w:id="161"/>
    </w:p>
    <w:p w14:paraId="6400C443">
      <w:pPr>
        <w:rPr>
          <w:rFonts w:hint="eastAsia" w:ascii="仿宋" w:hAnsi="仿宋" w:eastAsia="仿宋" w:cs="仿宋"/>
          <w:color w:val="auto"/>
          <w:szCs w:val="28"/>
          <w:highlight w:val="none"/>
        </w:rPr>
      </w:pPr>
      <w:r>
        <w:rPr>
          <w:rFonts w:hint="eastAsia" w:ascii="仿宋" w:hAnsi="仿宋" w:eastAsia="仿宋" w:cs="仿宋"/>
          <w:b/>
          <w:color w:val="auto"/>
          <w:kern w:val="0"/>
          <w:sz w:val="28"/>
          <w:szCs w:val="28"/>
          <w:highlight w:val="none"/>
        </w:rPr>
        <w:br w:type="page"/>
      </w:r>
      <w:bookmarkStart w:id="162" w:name="_Toc8689667"/>
      <w:bookmarkStart w:id="163" w:name="_Toc8168221"/>
      <w:bookmarkStart w:id="164" w:name="_Toc89692663"/>
    </w:p>
    <w:p w14:paraId="23AA6501">
      <w:pPr>
        <w:pStyle w:val="3"/>
        <w:numPr>
          <w:ilvl w:val="0"/>
          <w:numId w:val="0"/>
        </w:numPr>
        <w:spacing w:before="0"/>
        <w:ind w:left="425"/>
        <w:jc w:val="center"/>
        <w:rPr>
          <w:rFonts w:hint="eastAsia" w:ascii="仿宋" w:hAnsi="仿宋" w:eastAsia="仿宋" w:cs="仿宋"/>
          <w:color w:val="auto"/>
          <w:szCs w:val="28"/>
          <w:highlight w:val="none"/>
        </w:rPr>
      </w:pPr>
      <w:bookmarkStart w:id="165" w:name="_Toc15630"/>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九</w:t>
      </w:r>
      <w:r>
        <w:rPr>
          <w:rFonts w:hint="eastAsia" w:ascii="仿宋" w:hAnsi="仿宋" w:eastAsia="仿宋" w:cs="仿宋"/>
          <w:color w:val="auto"/>
          <w:szCs w:val="28"/>
          <w:highlight w:val="none"/>
        </w:rPr>
        <w:t>）类似业绩表</w:t>
      </w:r>
      <w:bookmarkEnd w:id="162"/>
      <w:bookmarkEnd w:id="163"/>
      <w:bookmarkEnd w:id="164"/>
      <w:bookmarkEnd w:id="165"/>
    </w:p>
    <w:tbl>
      <w:tblPr>
        <w:tblStyle w:val="3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417"/>
        <w:gridCol w:w="1701"/>
        <w:gridCol w:w="1418"/>
        <w:gridCol w:w="1479"/>
        <w:gridCol w:w="2094"/>
        <w:gridCol w:w="982"/>
      </w:tblGrid>
      <w:tr w14:paraId="47A3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461565C0">
            <w:pPr>
              <w:spacing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417" w:type="dxa"/>
            <w:vAlign w:val="center"/>
          </w:tcPr>
          <w:p w14:paraId="300A1561">
            <w:pPr>
              <w:spacing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w:t>
            </w:r>
          </w:p>
        </w:tc>
        <w:tc>
          <w:tcPr>
            <w:tcW w:w="1701" w:type="dxa"/>
            <w:vAlign w:val="center"/>
          </w:tcPr>
          <w:p w14:paraId="4935BA97">
            <w:pPr>
              <w:spacing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418" w:type="dxa"/>
            <w:vAlign w:val="center"/>
          </w:tcPr>
          <w:p w14:paraId="37541D7D">
            <w:pPr>
              <w:spacing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中标金额（元）</w:t>
            </w:r>
          </w:p>
        </w:tc>
        <w:tc>
          <w:tcPr>
            <w:tcW w:w="1479" w:type="dxa"/>
            <w:vAlign w:val="center"/>
          </w:tcPr>
          <w:p w14:paraId="3820171B">
            <w:pPr>
              <w:spacing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中标时间</w:t>
            </w:r>
          </w:p>
        </w:tc>
        <w:tc>
          <w:tcPr>
            <w:tcW w:w="2094" w:type="dxa"/>
            <w:vAlign w:val="center"/>
          </w:tcPr>
          <w:p w14:paraId="71C07F06">
            <w:pPr>
              <w:spacing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招标人联系人及联系电话</w:t>
            </w:r>
          </w:p>
        </w:tc>
        <w:tc>
          <w:tcPr>
            <w:tcW w:w="982" w:type="dxa"/>
            <w:vAlign w:val="center"/>
          </w:tcPr>
          <w:p w14:paraId="47E5C8EB">
            <w:pPr>
              <w:spacing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4A844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2179AEF3">
            <w:pPr>
              <w:spacing w:line="240" w:lineRule="atLeast"/>
              <w:jc w:val="center"/>
              <w:rPr>
                <w:rFonts w:hint="eastAsia" w:ascii="仿宋" w:hAnsi="仿宋" w:eastAsia="仿宋" w:cs="仿宋"/>
                <w:color w:val="auto"/>
                <w:sz w:val="24"/>
                <w:highlight w:val="none"/>
              </w:rPr>
            </w:pPr>
          </w:p>
        </w:tc>
        <w:tc>
          <w:tcPr>
            <w:tcW w:w="1417" w:type="dxa"/>
            <w:vAlign w:val="center"/>
          </w:tcPr>
          <w:p w14:paraId="3A75806F">
            <w:pPr>
              <w:spacing w:line="240" w:lineRule="atLeast"/>
              <w:jc w:val="center"/>
              <w:rPr>
                <w:rFonts w:hint="eastAsia" w:ascii="仿宋" w:hAnsi="仿宋" w:eastAsia="仿宋" w:cs="仿宋"/>
                <w:color w:val="auto"/>
                <w:sz w:val="24"/>
                <w:highlight w:val="none"/>
              </w:rPr>
            </w:pPr>
          </w:p>
        </w:tc>
        <w:tc>
          <w:tcPr>
            <w:tcW w:w="1701" w:type="dxa"/>
            <w:vAlign w:val="center"/>
          </w:tcPr>
          <w:p w14:paraId="69051BC3">
            <w:pPr>
              <w:spacing w:line="240" w:lineRule="atLeast"/>
              <w:jc w:val="center"/>
              <w:rPr>
                <w:rFonts w:hint="eastAsia" w:ascii="仿宋" w:hAnsi="仿宋" w:eastAsia="仿宋" w:cs="仿宋"/>
                <w:color w:val="auto"/>
                <w:sz w:val="24"/>
                <w:highlight w:val="none"/>
              </w:rPr>
            </w:pPr>
          </w:p>
        </w:tc>
        <w:tc>
          <w:tcPr>
            <w:tcW w:w="1418" w:type="dxa"/>
            <w:vAlign w:val="center"/>
          </w:tcPr>
          <w:p w14:paraId="3ED7A62B">
            <w:pPr>
              <w:spacing w:line="240" w:lineRule="atLeast"/>
              <w:jc w:val="center"/>
              <w:rPr>
                <w:rFonts w:hint="eastAsia" w:ascii="仿宋" w:hAnsi="仿宋" w:eastAsia="仿宋" w:cs="仿宋"/>
                <w:color w:val="auto"/>
                <w:sz w:val="24"/>
                <w:highlight w:val="none"/>
              </w:rPr>
            </w:pPr>
          </w:p>
        </w:tc>
        <w:tc>
          <w:tcPr>
            <w:tcW w:w="1479" w:type="dxa"/>
            <w:vAlign w:val="center"/>
          </w:tcPr>
          <w:p w14:paraId="6842158B">
            <w:pPr>
              <w:spacing w:line="240" w:lineRule="atLeast"/>
              <w:jc w:val="center"/>
              <w:rPr>
                <w:rFonts w:hint="eastAsia" w:ascii="仿宋" w:hAnsi="仿宋" w:eastAsia="仿宋" w:cs="仿宋"/>
                <w:color w:val="auto"/>
                <w:sz w:val="24"/>
                <w:highlight w:val="none"/>
              </w:rPr>
            </w:pPr>
          </w:p>
        </w:tc>
        <w:tc>
          <w:tcPr>
            <w:tcW w:w="2094" w:type="dxa"/>
            <w:vAlign w:val="center"/>
          </w:tcPr>
          <w:p w14:paraId="0F6E7704">
            <w:pPr>
              <w:spacing w:line="240" w:lineRule="atLeast"/>
              <w:jc w:val="center"/>
              <w:rPr>
                <w:rFonts w:hint="eastAsia" w:ascii="仿宋" w:hAnsi="仿宋" w:eastAsia="仿宋" w:cs="仿宋"/>
                <w:color w:val="auto"/>
                <w:sz w:val="24"/>
                <w:highlight w:val="none"/>
              </w:rPr>
            </w:pPr>
          </w:p>
        </w:tc>
        <w:tc>
          <w:tcPr>
            <w:tcW w:w="982" w:type="dxa"/>
            <w:vAlign w:val="center"/>
          </w:tcPr>
          <w:p w14:paraId="52F1817E">
            <w:pPr>
              <w:spacing w:line="240" w:lineRule="atLeast"/>
              <w:jc w:val="center"/>
              <w:rPr>
                <w:rFonts w:hint="eastAsia" w:ascii="仿宋" w:hAnsi="仿宋" w:eastAsia="仿宋" w:cs="仿宋"/>
                <w:color w:val="auto"/>
                <w:sz w:val="24"/>
                <w:highlight w:val="none"/>
              </w:rPr>
            </w:pPr>
          </w:p>
        </w:tc>
      </w:tr>
      <w:tr w14:paraId="3AE5C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781A03AA">
            <w:pPr>
              <w:spacing w:line="240" w:lineRule="atLeast"/>
              <w:jc w:val="center"/>
              <w:rPr>
                <w:rFonts w:hint="eastAsia" w:ascii="仿宋" w:hAnsi="仿宋" w:eastAsia="仿宋" w:cs="仿宋"/>
                <w:color w:val="auto"/>
                <w:sz w:val="24"/>
                <w:highlight w:val="none"/>
              </w:rPr>
            </w:pPr>
          </w:p>
        </w:tc>
        <w:tc>
          <w:tcPr>
            <w:tcW w:w="1417" w:type="dxa"/>
            <w:vAlign w:val="center"/>
          </w:tcPr>
          <w:p w14:paraId="6ED43CE0">
            <w:pPr>
              <w:spacing w:line="240" w:lineRule="atLeast"/>
              <w:jc w:val="center"/>
              <w:rPr>
                <w:rFonts w:hint="eastAsia" w:ascii="仿宋" w:hAnsi="仿宋" w:eastAsia="仿宋" w:cs="仿宋"/>
                <w:color w:val="auto"/>
                <w:sz w:val="24"/>
                <w:highlight w:val="none"/>
              </w:rPr>
            </w:pPr>
          </w:p>
        </w:tc>
        <w:tc>
          <w:tcPr>
            <w:tcW w:w="1701" w:type="dxa"/>
            <w:vAlign w:val="center"/>
          </w:tcPr>
          <w:p w14:paraId="3BA37D49">
            <w:pPr>
              <w:spacing w:line="240" w:lineRule="atLeast"/>
              <w:jc w:val="center"/>
              <w:rPr>
                <w:rFonts w:hint="eastAsia" w:ascii="仿宋" w:hAnsi="仿宋" w:eastAsia="仿宋" w:cs="仿宋"/>
                <w:color w:val="auto"/>
                <w:sz w:val="24"/>
                <w:highlight w:val="none"/>
              </w:rPr>
            </w:pPr>
          </w:p>
        </w:tc>
        <w:tc>
          <w:tcPr>
            <w:tcW w:w="1418" w:type="dxa"/>
            <w:vAlign w:val="center"/>
          </w:tcPr>
          <w:p w14:paraId="1695F2BE">
            <w:pPr>
              <w:spacing w:line="240" w:lineRule="atLeast"/>
              <w:jc w:val="center"/>
              <w:rPr>
                <w:rFonts w:hint="eastAsia" w:ascii="仿宋" w:hAnsi="仿宋" w:eastAsia="仿宋" w:cs="仿宋"/>
                <w:color w:val="auto"/>
                <w:sz w:val="24"/>
                <w:highlight w:val="none"/>
              </w:rPr>
            </w:pPr>
          </w:p>
        </w:tc>
        <w:tc>
          <w:tcPr>
            <w:tcW w:w="1479" w:type="dxa"/>
            <w:vAlign w:val="center"/>
          </w:tcPr>
          <w:p w14:paraId="0A244052">
            <w:pPr>
              <w:spacing w:line="240" w:lineRule="atLeast"/>
              <w:jc w:val="center"/>
              <w:rPr>
                <w:rFonts w:hint="eastAsia" w:ascii="仿宋" w:hAnsi="仿宋" w:eastAsia="仿宋" w:cs="仿宋"/>
                <w:color w:val="auto"/>
                <w:sz w:val="24"/>
                <w:highlight w:val="none"/>
              </w:rPr>
            </w:pPr>
          </w:p>
        </w:tc>
        <w:tc>
          <w:tcPr>
            <w:tcW w:w="2094" w:type="dxa"/>
            <w:vAlign w:val="center"/>
          </w:tcPr>
          <w:p w14:paraId="2E60EFA4">
            <w:pPr>
              <w:spacing w:line="240" w:lineRule="atLeast"/>
              <w:jc w:val="center"/>
              <w:rPr>
                <w:rFonts w:hint="eastAsia" w:ascii="仿宋" w:hAnsi="仿宋" w:eastAsia="仿宋" w:cs="仿宋"/>
                <w:color w:val="auto"/>
                <w:sz w:val="24"/>
                <w:highlight w:val="none"/>
              </w:rPr>
            </w:pPr>
          </w:p>
        </w:tc>
        <w:tc>
          <w:tcPr>
            <w:tcW w:w="982" w:type="dxa"/>
            <w:vAlign w:val="center"/>
          </w:tcPr>
          <w:p w14:paraId="7C2EAD68">
            <w:pPr>
              <w:spacing w:line="240" w:lineRule="atLeast"/>
              <w:jc w:val="center"/>
              <w:rPr>
                <w:rFonts w:hint="eastAsia" w:ascii="仿宋" w:hAnsi="仿宋" w:eastAsia="仿宋" w:cs="仿宋"/>
                <w:color w:val="auto"/>
                <w:sz w:val="24"/>
                <w:highlight w:val="none"/>
              </w:rPr>
            </w:pPr>
          </w:p>
        </w:tc>
      </w:tr>
      <w:tr w14:paraId="4F38C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76240BD9">
            <w:pPr>
              <w:spacing w:line="240" w:lineRule="atLeast"/>
              <w:jc w:val="center"/>
              <w:rPr>
                <w:rFonts w:hint="eastAsia" w:ascii="仿宋" w:hAnsi="仿宋" w:eastAsia="仿宋" w:cs="仿宋"/>
                <w:color w:val="auto"/>
                <w:sz w:val="24"/>
                <w:highlight w:val="none"/>
              </w:rPr>
            </w:pPr>
          </w:p>
        </w:tc>
        <w:tc>
          <w:tcPr>
            <w:tcW w:w="1417" w:type="dxa"/>
            <w:vAlign w:val="center"/>
          </w:tcPr>
          <w:p w14:paraId="59544611">
            <w:pPr>
              <w:spacing w:line="240" w:lineRule="atLeast"/>
              <w:jc w:val="center"/>
              <w:rPr>
                <w:rFonts w:hint="eastAsia" w:ascii="仿宋" w:hAnsi="仿宋" w:eastAsia="仿宋" w:cs="仿宋"/>
                <w:color w:val="auto"/>
                <w:sz w:val="24"/>
                <w:highlight w:val="none"/>
              </w:rPr>
            </w:pPr>
          </w:p>
        </w:tc>
        <w:tc>
          <w:tcPr>
            <w:tcW w:w="1701" w:type="dxa"/>
            <w:vAlign w:val="center"/>
          </w:tcPr>
          <w:p w14:paraId="6FB89F9B">
            <w:pPr>
              <w:spacing w:line="240" w:lineRule="atLeast"/>
              <w:jc w:val="center"/>
              <w:rPr>
                <w:rFonts w:hint="eastAsia" w:ascii="仿宋" w:hAnsi="仿宋" w:eastAsia="仿宋" w:cs="仿宋"/>
                <w:color w:val="auto"/>
                <w:sz w:val="24"/>
                <w:highlight w:val="none"/>
              </w:rPr>
            </w:pPr>
          </w:p>
        </w:tc>
        <w:tc>
          <w:tcPr>
            <w:tcW w:w="1418" w:type="dxa"/>
            <w:vAlign w:val="center"/>
          </w:tcPr>
          <w:p w14:paraId="4EACF5AA">
            <w:pPr>
              <w:spacing w:line="240" w:lineRule="atLeast"/>
              <w:jc w:val="center"/>
              <w:rPr>
                <w:rFonts w:hint="eastAsia" w:ascii="仿宋" w:hAnsi="仿宋" w:eastAsia="仿宋" w:cs="仿宋"/>
                <w:color w:val="auto"/>
                <w:sz w:val="24"/>
                <w:highlight w:val="none"/>
              </w:rPr>
            </w:pPr>
          </w:p>
        </w:tc>
        <w:tc>
          <w:tcPr>
            <w:tcW w:w="1479" w:type="dxa"/>
            <w:vAlign w:val="center"/>
          </w:tcPr>
          <w:p w14:paraId="2678EAD2">
            <w:pPr>
              <w:spacing w:line="240" w:lineRule="atLeast"/>
              <w:jc w:val="center"/>
              <w:rPr>
                <w:rFonts w:hint="eastAsia" w:ascii="仿宋" w:hAnsi="仿宋" w:eastAsia="仿宋" w:cs="仿宋"/>
                <w:color w:val="auto"/>
                <w:sz w:val="24"/>
                <w:highlight w:val="none"/>
              </w:rPr>
            </w:pPr>
          </w:p>
        </w:tc>
        <w:tc>
          <w:tcPr>
            <w:tcW w:w="2094" w:type="dxa"/>
            <w:vAlign w:val="center"/>
          </w:tcPr>
          <w:p w14:paraId="63183D17">
            <w:pPr>
              <w:spacing w:line="240" w:lineRule="atLeast"/>
              <w:jc w:val="center"/>
              <w:rPr>
                <w:rFonts w:hint="eastAsia" w:ascii="仿宋" w:hAnsi="仿宋" w:eastAsia="仿宋" w:cs="仿宋"/>
                <w:color w:val="auto"/>
                <w:sz w:val="24"/>
                <w:highlight w:val="none"/>
              </w:rPr>
            </w:pPr>
          </w:p>
        </w:tc>
        <w:tc>
          <w:tcPr>
            <w:tcW w:w="982" w:type="dxa"/>
            <w:vAlign w:val="center"/>
          </w:tcPr>
          <w:p w14:paraId="2AADEDF6">
            <w:pPr>
              <w:spacing w:line="240" w:lineRule="atLeast"/>
              <w:jc w:val="center"/>
              <w:rPr>
                <w:rFonts w:hint="eastAsia" w:ascii="仿宋" w:hAnsi="仿宋" w:eastAsia="仿宋" w:cs="仿宋"/>
                <w:color w:val="auto"/>
                <w:sz w:val="24"/>
                <w:highlight w:val="none"/>
              </w:rPr>
            </w:pPr>
          </w:p>
        </w:tc>
      </w:tr>
      <w:tr w14:paraId="3B03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31443889">
            <w:pPr>
              <w:spacing w:line="240" w:lineRule="atLeast"/>
              <w:jc w:val="center"/>
              <w:rPr>
                <w:rFonts w:hint="eastAsia" w:ascii="仿宋" w:hAnsi="仿宋" w:eastAsia="仿宋" w:cs="仿宋"/>
                <w:color w:val="auto"/>
                <w:sz w:val="24"/>
                <w:highlight w:val="none"/>
              </w:rPr>
            </w:pPr>
          </w:p>
        </w:tc>
        <w:tc>
          <w:tcPr>
            <w:tcW w:w="1417" w:type="dxa"/>
            <w:vAlign w:val="center"/>
          </w:tcPr>
          <w:p w14:paraId="3A4A6C83">
            <w:pPr>
              <w:spacing w:line="240" w:lineRule="atLeast"/>
              <w:jc w:val="center"/>
              <w:rPr>
                <w:rFonts w:hint="eastAsia" w:ascii="仿宋" w:hAnsi="仿宋" w:eastAsia="仿宋" w:cs="仿宋"/>
                <w:color w:val="auto"/>
                <w:sz w:val="24"/>
                <w:highlight w:val="none"/>
              </w:rPr>
            </w:pPr>
          </w:p>
        </w:tc>
        <w:tc>
          <w:tcPr>
            <w:tcW w:w="1701" w:type="dxa"/>
            <w:vAlign w:val="center"/>
          </w:tcPr>
          <w:p w14:paraId="6AE51DD5">
            <w:pPr>
              <w:spacing w:line="240" w:lineRule="atLeast"/>
              <w:jc w:val="center"/>
              <w:rPr>
                <w:rFonts w:hint="eastAsia" w:ascii="仿宋" w:hAnsi="仿宋" w:eastAsia="仿宋" w:cs="仿宋"/>
                <w:color w:val="auto"/>
                <w:sz w:val="24"/>
                <w:highlight w:val="none"/>
              </w:rPr>
            </w:pPr>
          </w:p>
        </w:tc>
        <w:tc>
          <w:tcPr>
            <w:tcW w:w="1418" w:type="dxa"/>
            <w:vAlign w:val="center"/>
          </w:tcPr>
          <w:p w14:paraId="67F3C214">
            <w:pPr>
              <w:spacing w:line="240" w:lineRule="atLeast"/>
              <w:jc w:val="center"/>
              <w:rPr>
                <w:rFonts w:hint="eastAsia" w:ascii="仿宋" w:hAnsi="仿宋" w:eastAsia="仿宋" w:cs="仿宋"/>
                <w:color w:val="auto"/>
                <w:sz w:val="24"/>
                <w:highlight w:val="none"/>
              </w:rPr>
            </w:pPr>
          </w:p>
        </w:tc>
        <w:tc>
          <w:tcPr>
            <w:tcW w:w="1479" w:type="dxa"/>
            <w:vAlign w:val="center"/>
          </w:tcPr>
          <w:p w14:paraId="2C60FD49">
            <w:pPr>
              <w:spacing w:line="240" w:lineRule="atLeast"/>
              <w:jc w:val="center"/>
              <w:rPr>
                <w:rFonts w:hint="eastAsia" w:ascii="仿宋" w:hAnsi="仿宋" w:eastAsia="仿宋" w:cs="仿宋"/>
                <w:color w:val="auto"/>
                <w:sz w:val="24"/>
                <w:highlight w:val="none"/>
              </w:rPr>
            </w:pPr>
          </w:p>
        </w:tc>
        <w:tc>
          <w:tcPr>
            <w:tcW w:w="2094" w:type="dxa"/>
            <w:vAlign w:val="center"/>
          </w:tcPr>
          <w:p w14:paraId="3C110A3D">
            <w:pPr>
              <w:spacing w:line="240" w:lineRule="atLeast"/>
              <w:jc w:val="center"/>
              <w:rPr>
                <w:rFonts w:hint="eastAsia" w:ascii="仿宋" w:hAnsi="仿宋" w:eastAsia="仿宋" w:cs="仿宋"/>
                <w:color w:val="auto"/>
                <w:sz w:val="24"/>
                <w:highlight w:val="none"/>
              </w:rPr>
            </w:pPr>
          </w:p>
        </w:tc>
        <w:tc>
          <w:tcPr>
            <w:tcW w:w="982" w:type="dxa"/>
            <w:vAlign w:val="center"/>
          </w:tcPr>
          <w:p w14:paraId="189AA2C4">
            <w:pPr>
              <w:spacing w:line="240" w:lineRule="atLeast"/>
              <w:jc w:val="center"/>
              <w:rPr>
                <w:rFonts w:hint="eastAsia" w:ascii="仿宋" w:hAnsi="仿宋" w:eastAsia="仿宋" w:cs="仿宋"/>
                <w:color w:val="auto"/>
                <w:sz w:val="24"/>
                <w:highlight w:val="none"/>
              </w:rPr>
            </w:pPr>
          </w:p>
        </w:tc>
      </w:tr>
      <w:tr w14:paraId="15AA2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2997F9A4">
            <w:pPr>
              <w:spacing w:line="240" w:lineRule="atLeast"/>
              <w:jc w:val="center"/>
              <w:rPr>
                <w:rFonts w:hint="eastAsia" w:ascii="仿宋" w:hAnsi="仿宋" w:eastAsia="仿宋" w:cs="仿宋"/>
                <w:color w:val="auto"/>
                <w:sz w:val="24"/>
                <w:highlight w:val="none"/>
              </w:rPr>
            </w:pPr>
          </w:p>
        </w:tc>
        <w:tc>
          <w:tcPr>
            <w:tcW w:w="1417" w:type="dxa"/>
            <w:vAlign w:val="center"/>
          </w:tcPr>
          <w:p w14:paraId="3BDFDDB8">
            <w:pPr>
              <w:spacing w:line="240" w:lineRule="atLeast"/>
              <w:jc w:val="center"/>
              <w:rPr>
                <w:rFonts w:hint="eastAsia" w:ascii="仿宋" w:hAnsi="仿宋" w:eastAsia="仿宋" w:cs="仿宋"/>
                <w:color w:val="auto"/>
                <w:sz w:val="24"/>
                <w:highlight w:val="none"/>
              </w:rPr>
            </w:pPr>
          </w:p>
        </w:tc>
        <w:tc>
          <w:tcPr>
            <w:tcW w:w="1701" w:type="dxa"/>
            <w:vAlign w:val="center"/>
          </w:tcPr>
          <w:p w14:paraId="7FCB4328">
            <w:pPr>
              <w:spacing w:line="240" w:lineRule="atLeast"/>
              <w:jc w:val="center"/>
              <w:rPr>
                <w:rFonts w:hint="eastAsia" w:ascii="仿宋" w:hAnsi="仿宋" w:eastAsia="仿宋" w:cs="仿宋"/>
                <w:color w:val="auto"/>
                <w:sz w:val="24"/>
                <w:highlight w:val="none"/>
              </w:rPr>
            </w:pPr>
          </w:p>
        </w:tc>
        <w:tc>
          <w:tcPr>
            <w:tcW w:w="1418" w:type="dxa"/>
            <w:vAlign w:val="center"/>
          </w:tcPr>
          <w:p w14:paraId="2BB9E349">
            <w:pPr>
              <w:spacing w:line="240" w:lineRule="atLeast"/>
              <w:jc w:val="center"/>
              <w:rPr>
                <w:rFonts w:hint="eastAsia" w:ascii="仿宋" w:hAnsi="仿宋" w:eastAsia="仿宋" w:cs="仿宋"/>
                <w:color w:val="auto"/>
                <w:sz w:val="24"/>
                <w:highlight w:val="none"/>
              </w:rPr>
            </w:pPr>
          </w:p>
        </w:tc>
        <w:tc>
          <w:tcPr>
            <w:tcW w:w="1479" w:type="dxa"/>
            <w:vAlign w:val="center"/>
          </w:tcPr>
          <w:p w14:paraId="50E2C6EA">
            <w:pPr>
              <w:spacing w:line="240" w:lineRule="atLeast"/>
              <w:jc w:val="center"/>
              <w:rPr>
                <w:rFonts w:hint="eastAsia" w:ascii="仿宋" w:hAnsi="仿宋" w:eastAsia="仿宋" w:cs="仿宋"/>
                <w:color w:val="auto"/>
                <w:sz w:val="24"/>
                <w:highlight w:val="none"/>
              </w:rPr>
            </w:pPr>
          </w:p>
        </w:tc>
        <w:tc>
          <w:tcPr>
            <w:tcW w:w="2094" w:type="dxa"/>
            <w:vAlign w:val="center"/>
          </w:tcPr>
          <w:p w14:paraId="5EF259E4">
            <w:pPr>
              <w:spacing w:line="240" w:lineRule="atLeast"/>
              <w:jc w:val="center"/>
              <w:rPr>
                <w:rFonts w:hint="eastAsia" w:ascii="仿宋" w:hAnsi="仿宋" w:eastAsia="仿宋" w:cs="仿宋"/>
                <w:color w:val="auto"/>
                <w:sz w:val="24"/>
                <w:highlight w:val="none"/>
              </w:rPr>
            </w:pPr>
          </w:p>
        </w:tc>
        <w:tc>
          <w:tcPr>
            <w:tcW w:w="982" w:type="dxa"/>
            <w:vAlign w:val="center"/>
          </w:tcPr>
          <w:p w14:paraId="6CBA3704">
            <w:pPr>
              <w:spacing w:line="240" w:lineRule="atLeast"/>
              <w:jc w:val="center"/>
              <w:rPr>
                <w:rFonts w:hint="eastAsia" w:ascii="仿宋" w:hAnsi="仿宋" w:eastAsia="仿宋" w:cs="仿宋"/>
                <w:color w:val="auto"/>
                <w:sz w:val="24"/>
                <w:highlight w:val="none"/>
              </w:rPr>
            </w:pPr>
          </w:p>
        </w:tc>
      </w:tr>
      <w:tr w14:paraId="03F1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7F80E6B6">
            <w:pPr>
              <w:spacing w:line="240" w:lineRule="atLeast"/>
              <w:jc w:val="center"/>
              <w:rPr>
                <w:rFonts w:hint="eastAsia" w:ascii="仿宋" w:hAnsi="仿宋" w:eastAsia="仿宋" w:cs="仿宋"/>
                <w:color w:val="auto"/>
                <w:sz w:val="24"/>
                <w:highlight w:val="none"/>
              </w:rPr>
            </w:pPr>
          </w:p>
        </w:tc>
        <w:tc>
          <w:tcPr>
            <w:tcW w:w="1417" w:type="dxa"/>
            <w:vAlign w:val="center"/>
          </w:tcPr>
          <w:p w14:paraId="381F7727">
            <w:pPr>
              <w:spacing w:line="240" w:lineRule="atLeast"/>
              <w:jc w:val="center"/>
              <w:rPr>
                <w:rFonts w:hint="eastAsia" w:ascii="仿宋" w:hAnsi="仿宋" w:eastAsia="仿宋" w:cs="仿宋"/>
                <w:color w:val="auto"/>
                <w:sz w:val="24"/>
                <w:highlight w:val="none"/>
              </w:rPr>
            </w:pPr>
          </w:p>
        </w:tc>
        <w:tc>
          <w:tcPr>
            <w:tcW w:w="1701" w:type="dxa"/>
            <w:vAlign w:val="center"/>
          </w:tcPr>
          <w:p w14:paraId="4539A60C">
            <w:pPr>
              <w:spacing w:line="240" w:lineRule="atLeast"/>
              <w:jc w:val="center"/>
              <w:rPr>
                <w:rFonts w:hint="eastAsia" w:ascii="仿宋" w:hAnsi="仿宋" w:eastAsia="仿宋" w:cs="仿宋"/>
                <w:color w:val="auto"/>
                <w:sz w:val="24"/>
                <w:highlight w:val="none"/>
              </w:rPr>
            </w:pPr>
          </w:p>
        </w:tc>
        <w:tc>
          <w:tcPr>
            <w:tcW w:w="1418" w:type="dxa"/>
            <w:vAlign w:val="center"/>
          </w:tcPr>
          <w:p w14:paraId="50B0DE0A">
            <w:pPr>
              <w:spacing w:line="240" w:lineRule="atLeast"/>
              <w:jc w:val="center"/>
              <w:rPr>
                <w:rFonts w:hint="eastAsia" w:ascii="仿宋" w:hAnsi="仿宋" w:eastAsia="仿宋" w:cs="仿宋"/>
                <w:color w:val="auto"/>
                <w:sz w:val="24"/>
                <w:highlight w:val="none"/>
              </w:rPr>
            </w:pPr>
          </w:p>
        </w:tc>
        <w:tc>
          <w:tcPr>
            <w:tcW w:w="1479" w:type="dxa"/>
            <w:vAlign w:val="center"/>
          </w:tcPr>
          <w:p w14:paraId="0ECEB0BA">
            <w:pPr>
              <w:spacing w:line="240" w:lineRule="atLeast"/>
              <w:jc w:val="center"/>
              <w:rPr>
                <w:rFonts w:hint="eastAsia" w:ascii="仿宋" w:hAnsi="仿宋" w:eastAsia="仿宋" w:cs="仿宋"/>
                <w:color w:val="auto"/>
                <w:sz w:val="24"/>
                <w:highlight w:val="none"/>
              </w:rPr>
            </w:pPr>
          </w:p>
        </w:tc>
        <w:tc>
          <w:tcPr>
            <w:tcW w:w="2094" w:type="dxa"/>
            <w:vAlign w:val="center"/>
          </w:tcPr>
          <w:p w14:paraId="3299CE90">
            <w:pPr>
              <w:spacing w:line="240" w:lineRule="atLeast"/>
              <w:jc w:val="center"/>
              <w:rPr>
                <w:rFonts w:hint="eastAsia" w:ascii="仿宋" w:hAnsi="仿宋" w:eastAsia="仿宋" w:cs="仿宋"/>
                <w:color w:val="auto"/>
                <w:sz w:val="24"/>
                <w:highlight w:val="none"/>
              </w:rPr>
            </w:pPr>
          </w:p>
        </w:tc>
        <w:tc>
          <w:tcPr>
            <w:tcW w:w="982" w:type="dxa"/>
            <w:vAlign w:val="center"/>
          </w:tcPr>
          <w:p w14:paraId="7FE19901">
            <w:pPr>
              <w:spacing w:line="240" w:lineRule="atLeast"/>
              <w:jc w:val="center"/>
              <w:rPr>
                <w:rFonts w:hint="eastAsia" w:ascii="仿宋" w:hAnsi="仿宋" w:eastAsia="仿宋" w:cs="仿宋"/>
                <w:color w:val="auto"/>
                <w:sz w:val="24"/>
                <w:highlight w:val="none"/>
              </w:rPr>
            </w:pPr>
          </w:p>
        </w:tc>
      </w:tr>
      <w:tr w14:paraId="0313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233E068F">
            <w:pPr>
              <w:spacing w:line="240" w:lineRule="atLeast"/>
              <w:jc w:val="center"/>
              <w:rPr>
                <w:rFonts w:hint="eastAsia" w:ascii="仿宋" w:hAnsi="仿宋" w:eastAsia="仿宋" w:cs="仿宋"/>
                <w:color w:val="auto"/>
                <w:sz w:val="24"/>
                <w:highlight w:val="none"/>
              </w:rPr>
            </w:pPr>
          </w:p>
        </w:tc>
        <w:tc>
          <w:tcPr>
            <w:tcW w:w="1417" w:type="dxa"/>
            <w:vAlign w:val="center"/>
          </w:tcPr>
          <w:p w14:paraId="7C7D5639">
            <w:pPr>
              <w:spacing w:line="240" w:lineRule="atLeast"/>
              <w:jc w:val="center"/>
              <w:rPr>
                <w:rFonts w:hint="eastAsia" w:ascii="仿宋" w:hAnsi="仿宋" w:eastAsia="仿宋" w:cs="仿宋"/>
                <w:color w:val="auto"/>
                <w:sz w:val="24"/>
                <w:highlight w:val="none"/>
              </w:rPr>
            </w:pPr>
          </w:p>
        </w:tc>
        <w:tc>
          <w:tcPr>
            <w:tcW w:w="1701" w:type="dxa"/>
            <w:vAlign w:val="center"/>
          </w:tcPr>
          <w:p w14:paraId="106C2BC1">
            <w:pPr>
              <w:spacing w:line="240" w:lineRule="atLeast"/>
              <w:jc w:val="center"/>
              <w:rPr>
                <w:rFonts w:hint="eastAsia" w:ascii="仿宋" w:hAnsi="仿宋" w:eastAsia="仿宋" w:cs="仿宋"/>
                <w:color w:val="auto"/>
                <w:sz w:val="24"/>
                <w:highlight w:val="none"/>
              </w:rPr>
            </w:pPr>
          </w:p>
        </w:tc>
        <w:tc>
          <w:tcPr>
            <w:tcW w:w="1418" w:type="dxa"/>
            <w:vAlign w:val="center"/>
          </w:tcPr>
          <w:p w14:paraId="096AF960">
            <w:pPr>
              <w:spacing w:line="240" w:lineRule="atLeast"/>
              <w:jc w:val="center"/>
              <w:rPr>
                <w:rFonts w:hint="eastAsia" w:ascii="仿宋" w:hAnsi="仿宋" w:eastAsia="仿宋" w:cs="仿宋"/>
                <w:color w:val="auto"/>
                <w:sz w:val="24"/>
                <w:highlight w:val="none"/>
              </w:rPr>
            </w:pPr>
          </w:p>
        </w:tc>
        <w:tc>
          <w:tcPr>
            <w:tcW w:w="1479" w:type="dxa"/>
            <w:vAlign w:val="center"/>
          </w:tcPr>
          <w:p w14:paraId="138DE784">
            <w:pPr>
              <w:spacing w:line="240" w:lineRule="atLeast"/>
              <w:jc w:val="center"/>
              <w:rPr>
                <w:rFonts w:hint="eastAsia" w:ascii="仿宋" w:hAnsi="仿宋" w:eastAsia="仿宋" w:cs="仿宋"/>
                <w:color w:val="auto"/>
                <w:sz w:val="24"/>
                <w:highlight w:val="none"/>
              </w:rPr>
            </w:pPr>
          </w:p>
        </w:tc>
        <w:tc>
          <w:tcPr>
            <w:tcW w:w="2094" w:type="dxa"/>
            <w:vAlign w:val="center"/>
          </w:tcPr>
          <w:p w14:paraId="34EB59E5">
            <w:pPr>
              <w:spacing w:line="240" w:lineRule="atLeast"/>
              <w:jc w:val="center"/>
              <w:rPr>
                <w:rFonts w:hint="eastAsia" w:ascii="仿宋" w:hAnsi="仿宋" w:eastAsia="仿宋" w:cs="仿宋"/>
                <w:color w:val="auto"/>
                <w:sz w:val="24"/>
                <w:highlight w:val="none"/>
              </w:rPr>
            </w:pPr>
          </w:p>
        </w:tc>
        <w:tc>
          <w:tcPr>
            <w:tcW w:w="982" w:type="dxa"/>
            <w:vAlign w:val="center"/>
          </w:tcPr>
          <w:p w14:paraId="5B7FBA90">
            <w:pPr>
              <w:spacing w:line="240" w:lineRule="atLeast"/>
              <w:jc w:val="center"/>
              <w:rPr>
                <w:rFonts w:hint="eastAsia" w:ascii="仿宋" w:hAnsi="仿宋" w:eastAsia="仿宋" w:cs="仿宋"/>
                <w:color w:val="auto"/>
                <w:sz w:val="24"/>
                <w:highlight w:val="none"/>
              </w:rPr>
            </w:pPr>
          </w:p>
        </w:tc>
      </w:tr>
    </w:tbl>
    <w:p w14:paraId="6B428201">
      <w:pPr>
        <w:pStyle w:val="17"/>
        <w:spacing w:line="360" w:lineRule="auto"/>
        <w:rPr>
          <w:rFonts w:hint="eastAsia" w:ascii="仿宋" w:hAnsi="仿宋" w:eastAsia="仿宋" w:cs="仿宋"/>
          <w:color w:val="auto"/>
          <w:sz w:val="24"/>
          <w:highlight w:val="none"/>
        </w:rPr>
      </w:pPr>
    </w:p>
    <w:p w14:paraId="034DF371">
      <w:pPr>
        <w:pStyle w:val="17"/>
        <w:spacing w:line="360" w:lineRule="auto"/>
        <w:rPr>
          <w:rFonts w:hint="eastAsia" w:ascii="仿宋" w:hAnsi="仿宋" w:eastAsia="仿宋" w:cs="仿宋"/>
          <w:color w:val="auto"/>
          <w:szCs w:val="21"/>
          <w:highlight w:val="none"/>
        </w:rPr>
      </w:pPr>
    </w:p>
    <w:p w14:paraId="0A28E196">
      <w:pPr>
        <w:pStyle w:val="17"/>
        <w:spacing w:line="360" w:lineRule="auto"/>
        <w:rPr>
          <w:rFonts w:hint="eastAsia" w:ascii="仿宋" w:hAnsi="仿宋" w:eastAsia="仿宋" w:cs="仿宋"/>
          <w:color w:val="auto"/>
          <w:sz w:val="24"/>
          <w:highlight w:val="none"/>
        </w:rPr>
      </w:pPr>
      <w:r>
        <w:rPr>
          <w:rFonts w:hint="eastAsia" w:ascii="仿宋" w:hAnsi="仿宋" w:eastAsia="仿宋" w:cs="仿宋"/>
          <w:color w:val="auto"/>
          <w:szCs w:val="21"/>
          <w:highlight w:val="none"/>
        </w:rPr>
        <w:t>注：本表须附业绩证明材料（中标通知书或委托合同）。</w:t>
      </w:r>
    </w:p>
    <w:p w14:paraId="6E446488">
      <w:pPr>
        <w:pStyle w:val="17"/>
        <w:spacing w:line="360" w:lineRule="auto"/>
        <w:rPr>
          <w:rFonts w:hint="eastAsia" w:ascii="仿宋" w:hAnsi="仿宋" w:eastAsia="仿宋" w:cs="仿宋"/>
          <w:color w:val="auto"/>
          <w:sz w:val="24"/>
          <w:highlight w:val="none"/>
        </w:rPr>
      </w:pPr>
    </w:p>
    <w:p w14:paraId="16E77824">
      <w:pPr>
        <w:pStyle w:val="17"/>
        <w:spacing w:line="360" w:lineRule="auto"/>
        <w:rPr>
          <w:rFonts w:hint="eastAsia" w:ascii="仿宋" w:hAnsi="仿宋" w:eastAsia="仿宋" w:cs="仿宋"/>
          <w:color w:val="auto"/>
          <w:sz w:val="24"/>
          <w:highlight w:val="none"/>
        </w:rPr>
      </w:pPr>
    </w:p>
    <w:p w14:paraId="6F6D5070">
      <w:pPr>
        <w:pStyle w:val="17"/>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7AE994D8">
      <w:pPr>
        <w:pStyle w:val="17"/>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21F342C2">
      <w:pPr>
        <w:pStyle w:val="17"/>
        <w:spacing w:line="360" w:lineRule="auto"/>
        <w:rPr>
          <w:rFonts w:hint="eastAsia" w:ascii="仿宋" w:hAnsi="仿宋" w:eastAsia="仿宋" w:cs="仿宋"/>
          <w:color w:val="auto"/>
          <w:sz w:val="24"/>
          <w:highlight w:val="none"/>
        </w:rPr>
      </w:pPr>
      <w:r>
        <w:rPr>
          <w:rFonts w:hint="eastAsia" w:ascii="仿宋" w:hAnsi="仿宋" w:eastAsia="仿宋" w:cs="仿宋"/>
          <w:color w:val="auto"/>
          <w:szCs w:val="21"/>
          <w:highlight w:val="none"/>
        </w:rPr>
        <w:t>年  月  日</w:t>
      </w:r>
    </w:p>
    <w:p w14:paraId="264D4749">
      <w:pPr>
        <w:pStyle w:val="17"/>
        <w:spacing w:line="360" w:lineRule="auto"/>
        <w:rPr>
          <w:rFonts w:hint="eastAsia" w:ascii="仿宋" w:hAnsi="仿宋" w:eastAsia="仿宋" w:cs="仿宋"/>
          <w:color w:val="auto"/>
          <w:sz w:val="24"/>
          <w:highlight w:val="none"/>
        </w:rPr>
      </w:pPr>
    </w:p>
    <w:p w14:paraId="09B21353">
      <w:pPr>
        <w:pStyle w:val="17"/>
        <w:spacing w:line="360" w:lineRule="auto"/>
        <w:rPr>
          <w:rFonts w:hint="eastAsia" w:ascii="仿宋" w:hAnsi="仿宋" w:eastAsia="仿宋" w:cs="仿宋"/>
          <w:color w:val="auto"/>
          <w:sz w:val="24"/>
          <w:highlight w:val="none"/>
        </w:rPr>
      </w:pPr>
    </w:p>
    <w:p w14:paraId="753EA0BC">
      <w:pPr>
        <w:pStyle w:val="17"/>
        <w:spacing w:line="360" w:lineRule="auto"/>
        <w:rPr>
          <w:rFonts w:hint="eastAsia" w:ascii="仿宋" w:hAnsi="仿宋" w:eastAsia="仿宋" w:cs="仿宋"/>
          <w:color w:val="auto"/>
          <w:sz w:val="24"/>
          <w:highlight w:val="none"/>
        </w:rPr>
      </w:pPr>
    </w:p>
    <w:p w14:paraId="5F7B5019">
      <w:pPr>
        <w:pStyle w:val="17"/>
        <w:spacing w:line="360" w:lineRule="auto"/>
        <w:rPr>
          <w:rFonts w:hint="eastAsia" w:ascii="仿宋" w:hAnsi="仿宋" w:eastAsia="仿宋" w:cs="仿宋"/>
          <w:color w:val="auto"/>
          <w:sz w:val="24"/>
          <w:highlight w:val="none"/>
        </w:rPr>
      </w:pPr>
    </w:p>
    <w:p w14:paraId="701504EC">
      <w:pPr>
        <w:pStyle w:val="17"/>
        <w:spacing w:line="360" w:lineRule="auto"/>
        <w:rPr>
          <w:rFonts w:hint="eastAsia" w:ascii="仿宋" w:hAnsi="仿宋" w:eastAsia="仿宋" w:cs="仿宋"/>
          <w:color w:val="auto"/>
          <w:sz w:val="24"/>
          <w:highlight w:val="none"/>
        </w:rPr>
      </w:pPr>
    </w:p>
    <w:p w14:paraId="3ECA2545">
      <w:pPr>
        <w:rPr>
          <w:rFonts w:hint="eastAsia" w:ascii="仿宋" w:hAnsi="仿宋" w:eastAsia="仿宋" w:cs="仿宋"/>
          <w:color w:val="auto"/>
          <w:szCs w:val="28"/>
          <w:highlight w:val="none"/>
        </w:rPr>
      </w:pPr>
      <w:bookmarkStart w:id="166" w:name="_Toc8168226"/>
      <w:bookmarkStart w:id="167" w:name="_Toc89692665"/>
      <w:bookmarkStart w:id="168" w:name="_Toc8689668"/>
      <w:r>
        <w:rPr>
          <w:rFonts w:hint="eastAsia" w:ascii="仿宋" w:hAnsi="仿宋" w:eastAsia="仿宋" w:cs="仿宋"/>
          <w:color w:val="auto"/>
          <w:szCs w:val="28"/>
          <w:highlight w:val="none"/>
        </w:rPr>
        <w:br w:type="page"/>
      </w:r>
    </w:p>
    <w:p w14:paraId="6F020499">
      <w:pPr>
        <w:pStyle w:val="3"/>
        <w:numPr>
          <w:ilvl w:val="0"/>
          <w:numId w:val="0"/>
        </w:numPr>
        <w:spacing w:before="0"/>
        <w:ind w:left="425"/>
        <w:jc w:val="center"/>
        <w:rPr>
          <w:rFonts w:hint="eastAsia" w:ascii="仿宋" w:hAnsi="仿宋" w:eastAsia="仿宋" w:cs="仿宋"/>
          <w:color w:val="auto"/>
          <w:szCs w:val="28"/>
          <w:highlight w:val="none"/>
        </w:rPr>
      </w:pPr>
      <w:bookmarkStart w:id="169" w:name="_Toc17023"/>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十</w:t>
      </w:r>
      <w:r>
        <w:rPr>
          <w:rFonts w:hint="eastAsia" w:ascii="仿宋" w:hAnsi="仿宋" w:eastAsia="仿宋" w:cs="仿宋"/>
          <w:color w:val="auto"/>
          <w:szCs w:val="28"/>
          <w:highlight w:val="none"/>
        </w:rPr>
        <w:t>）</w:t>
      </w:r>
      <w:bookmarkEnd w:id="166"/>
      <w:r>
        <w:rPr>
          <w:rFonts w:hint="eastAsia" w:ascii="仿宋" w:hAnsi="仿宋" w:eastAsia="仿宋" w:cs="仿宋"/>
          <w:color w:val="auto"/>
          <w:szCs w:val="28"/>
          <w:highlight w:val="none"/>
        </w:rPr>
        <w:t>技术文件</w:t>
      </w:r>
      <w:bookmarkEnd w:id="167"/>
      <w:bookmarkEnd w:id="168"/>
      <w:bookmarkEnd w:id="169"/>
    </w:p>
    <w:p w14:paraId="46D1F88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应包括第五章采购需求中要求的内容及第七章评标办法中技术部分、商务部分评分标准要求。</w:t>
      </w:r>
    </w:p>
    <w:p w14:paraId="3495C3F9">
      <w:pPr>
        <w:spacing w:line="360" w:lineRule="auto"/>
        <w:ind w:firstLine="480" w:firstLineChars="200"/>
        <w:rPr>
          <w:rFonts w:hint="eastAsia" w:ascii="仿宋" w:hAnsi="仿宋" w:eastAsia="仿宋" w:cs="仿宋"/>
          <w:color w:val="auto"/>
          <w:sz w:val="24"/>
          <w:highlight w:val="none"/>
        </w:rPr>
      </w:pPr>
    </w:p>
    <w:p w14:paraId="7A7A19F0">
      <w:pPr>
        <w:spacing w:line="360" w:lineRule="auto"/>
        <w:ind w:firstLine="420" w:firstLineChars="200"/>
        <w:rPr>
          <w:rFonts w:hint="eastAsia" w:ascii="仿宋" w:hAnsi="仿宋" w:eastAsia="仿宋" w:cs="仿宋"/>
          <w:color w:val="auto"/>
          <w:szCs w:val="21"/>
          <w:highlight w:val="none"/>
        </w:rPr>
      </w:pPr>
    </w:p>
    <w:p w14:paraId="4382FD31">
      <w:pPr>
        <w:spacing w:line="360" w:lineRule="auto"/>
        <w:rPr>
          <w:rFonts w:hint="eastAsia" w:ascii="仿宋" w:hAnsi="仿宋" w:eastAsia="仿宋" w:cs="仿宋"/>
          <w:color w:val="auto"/>
          <w:sz w:val="24"/>
          <w:highlight w:val="none"/>
        </w:rPr>
      </w:pPr>
    </w:p>
    <w:p w14:paraId="65808E31">
      <w:pPr>
        <w:spacing w:line="360" w:lineRule="auto"/>
        <w:rPr>
          <w:rFonts w:hint="eastAsia" w:ascii="仿宋" w:hAnsi="仿宋" w:eastAsia="仿宋" w:cs="仿宋"/>
          <w:color w:val="auto"/>
          <w:sz w:val="24"/>
          <w:highlight w:val="none"/>
        </w:rPr>
      </w:pPr>
    </w:p>
    <w:p w14:paraId="0C0D790B">
      <w:pPr>
        <w:spacing w:line="360" w:lineRule="auto"/>
        <w:rPr>
          <w:rFonts w:hint="eastAsia" w:ascii="仿宋" w:hAnsi="仿宋" w:eastAsia="仿宋" w:cs="仿宋"/>
          <w:color w:val="auto"/>
          <w:sz w:val="24"/>
          <w:highlight w:val="none"/>
        </w:rPr>
      </w:pPr>
    </w:p>
    <w:p w14:paraId="01733538">
      <w:pPr>
        <w:spacing w:line="360" w:lineRule="auto"/>
        <w:rPr>
          <w:rFonts w:hint="eastAsia" w:ascii="仿宋" w:hAnsi="仿宋" w:eastAsia="仿宋" w:cs="仿宋"/>
          <w:color w:val="auto"/>
          <w:sz w:val="24"/>
          <w:highlight w:val="none"/>
        </w:rPr>
      </w:pPr>
    </w:p>
    <w:p w14:paraId="3E3D0F2C">
      <w:pPr>
        <w:spacing w:line="360" w:lineRule="auto"/>
        <w:rPr>
          <w:rFonts w:hint="eastAsia" w:ascii="仿宋" w:hAnsi="仿宋" w:eastAsia="仿宋" w:cs="仿宋"/>
          <w:color w:val="auto"/>
          <w:sz w:val="24"/>
          <w:highlight w:val="none"/>
        </w:rPr>
      </w:pPr>
    </w:p>
    <w:p w14:paraId="773D2C63">
      <w:pPr>
        <w:spacing w:line="360" w:lineRule="auto"/>
        <w:rPr>
          <w:rFonts w:hint="eastAsia" w:ascii="仿宋" w:hAnsi="仿宋" w:eastAsia="仿宋" w:cs="仿宋"/>
          <w:color w:val="auto"/>
          <w:sz w:val="24"/>
          <w:highlight w:val="none"/>
        </w:rPr>
      </w:pPr>
    </w:p>
    <w:p w14:paraId="501E9C50">
      <w:pPr>
        <w:spacing w:line="360" w:lineRule="auto"/>
        <w:rPr>
          <w:rFonts w:hint="eastAsia" w:ascii="仿宋" w:hAnsi="仿宋" w:eastAsia="仿宋" w:cs="仿宋"/>
          <w:color w:val="auto"/>
          <w:sz w:val="24"/>
          <w:highlight w:val="none"/>
        </w:rPr>
      </w:pPr>
    </w:p>
    <w:p w14:paraId="4CFEB46A">
      <w:pPr>
        <w:spacing w:line="360" w:lineRule="auto"/>
        <w:rPr>
          <w:rFonts w:hint="eastAsia" w:ascii="仿宋" w:hAnsi="仿宋" w:eastAsia="仿宋" w:cs="仿宋"/>
          <w:color w:val="auto"/>
          <w:sz w:val="24"/>
          <w:highlight w:val="none"/>
        </w:rPr>
      </w:pPr>
    </w:p>
    <w:p w14:paraId="775B6C5E">
      <w:pPr>
        <w:spacing w:line="360" w:lineRule="auto"/>
        <w:rPr>
          <w:rFonts w:hint="eastAsia" w:ascii="仿宋" w:hAnsi="仿宋" w:eastAsia="仿宋" w:cs="仿宋"/>
          <w:color w:val="auto"/>
          <w:sz w:val="24"/>
          <w:highlight w:val="none"/>
        </w:rPr>
      </w:pPr>
    </w:p>
    <w:p w14:paraId="772CCC2B">
      <w:pPr>
        <w:spacing w:line="360" w:lineRule="auto"/>
        <w:rPr>
          <w:rFonts w:hint="eastAsia" w:ascii="仿宋" w:hAnsi="仿宋" w:eastAsia="仿宋" w:cs="仿宋"/>
          <w:color w:val="auto"/>
          <w:sz w:val="24"/>
          <w:highlight w:val="none"/>
        </w:rPr>
      </w:pPr>
    </w:p>
    <w:p w14:paraId="2B7A244E">
      <w:pPr>
        <w:spacing w:line="360" w:lineRule="auto"/>
        <w:rPr>
          <w:rFonts w:hint="eastAsia" w:ascii="仿宋" w:hAnsi="仿宋" w:eastAsia="仿宋" w:cs="仿宋"/>
          <w:color w:val="auto"/>
          <w:sz w:val="24"/>
          <w:highlight w:val="none"/>
        </w:rPr>
      </w:pPr>
    </w:p>
    <w:p w14:paraId="330980AE">
      <w:pPr>
        <w:spacing w:line="360" w:lineRule="auto"/>
        <w:rPr>
          <w:rFonts w:hint="eastAsia" w:ascii="仿宋" w:hAnsi="仿宋" w:eastAsia="仿宋" w:cs="仿宋"/>
          <w:color w:val="auto"/>
          <w:sz w:val="24"/>
          <w:highlight w:val="none"/>
        </w:rPr>
      </w:pPr>
    </w:p>
    <w:p w14:paraId="2BC18EC6">
      <w:pPr>
        <w:spacing w:line="360" w:lineRule="auto"/>
        <w:rPr>
          <w:rFonts w:hint="eastAsia" w:ascii="仿宋" w:hAnsi="仿宋" w:eastAsia="仿宋" w:cs="仿宋"/>
          <w:color w:val="auto"/>
          <w:sz w:val="24"/>
          <w:highlight w:val="none"/>
        </w:rPr>
      </w:pPr>
    </w:p>
    <w:p w14:paraId="76FFD4FB">
      <w:pPr>
        <w:spacing w:line="360" w:lineRule="auto"/>
        <w:rPr>
          <w:rFonts w:hint="eastAsia" w:ascii="仿宋" w:hAnsi="仿宋" w:eastAsia="仿宋" w:cs="仿宋"/>
          <w:color w:val="auto"/>
          <w:sz w:val="24"/>
          <w:highlight w:val="none"/>
        </w:rPr>
      </w:pPr>
    </w:p>
    <w:p w14:paraId="6E504403">
      <w:pPr>
        <w:spacing w:line="360" w:lineRule="auto"/>
        <w:rPr>
          <w:rFonts w:hint="eastAsia" w:ascii="仿宋" w:hAnsi="仿宋" w:eastAsia="仿宋" w:cs="仿宋"/>
          <w:color w:val="auto"/>
          <w:sz w:val="24"/>
          <w:highlight w:val="none"/>
        </w:rPr>
      </w:pPr>
    </w:p>
    <w:p w14:paraId="08EC59B3">
      <w:pPr>
        <w:spacing w:line="360" w:lineRule="auto"/>
        <w:rPr>
          <w:rFonts w:hint="eastAsia" w:ascii="仿宋" w:hAnsi="仿宋" w:eastAsia="仿宋" w:cs="仿宋"/>
          <w:color w:val="auto"/>
          <w:sz w:val="24"/>
          <w:highlight w:val="none"/>
        </w:rPr>
      </w:pPr>
    </w:p>
    <w:p w14:paraId="524687DC">
      <w:pPr>
        <w:spacing w:line="360" w:lineRule="auto"/>
        <w:rPr>
          <w:rFonts w:hint="eastAsia" w:ascii="仿宋" w:hAnsi="仿宋" w:eastAsia="仿宋" w:cs="仿宋"/>
          <w:color w:val="auto"/>
          <w:sz w:val="24"/>
          <w:highlight w:val="none"/>
        </w:rPr>
      </w:pPr>
    </w:p>
    <w:p w14:paraId="2C53A352">
      <w:pPr>
        <w:spacing w:line="360" w:lineRule="auto"/>
        <w:rPr>
          <w:rFonts w:hint="eastAsia" w:ascii="仿宋" w:hAnsi="仿宋" w:eastAsia="仿宋" w:cs="仿宋"/>
          <w:color w:val="auto"/>
          <w:sz w:val="24"/>
          <w:highlight w:val="none"/>
        </w:rPr>
      </w:pPr>
    </w:p>
    <w:p w14:paraId="3AFD48FC">
      <w:pPr>
        <w:spacing w:line="360" w:lineRule="auto"/>
        <w:rPr>
          <w:rFonts w:hint="eastAsia" w:ascii="仿宋" w:hAnsi="仿宋" w:eastAsia="仿宋" w:cs="仿宋"/>
          <w:color w:val="auto"/>
          <w:sz w:val="24"/>
          <w:highlight w:val="none"/>
        </w:rPr>
      </w:pPr>
    </w:p>
    <w:p w14:paraId="7D050FC5">
      <w:pPr>
        <w:spacing w:line="360" w:lineRule="auto"/>
        <w:rPr>
          <w:rFonts w:hint="eastAsia" w:ascii="仿宋" w:hAnsi="仿宋" w:eastAsia="仿宋" w:cs="仿宋"/>
          <w:color w:val="auto"/>
          <w:sz w:val="24"/>
          <w:highlight w:val="none"/>
        </w:rPr>
      </w:pPr>
    </w:p>
    <w:p w14:paraId="7FEE6AA6">
      <w:pPr>
        <w:spacing w:line="360" w:lineRule="auto"/>
        <w:rPr>
          <w:rFonts w:hint="eastAsia" w:ascii="仿宋" w:hAnsi="仿宋" w:eastAsia="仿宋" w:cs="仿宋"/>
          <w:color w:val="auto"/>
          <w:sz w:val="24"/>
          <w:highlight w:val="none"/>
        </w:rPr>
      </w:pPr>
    </w:p>
    <w:p w14:paraId="4D232DA4">
      <w:pPr>
        <w:spacing w:line="360" w:lineRule="auto"/>
        <w:rPr>
          <w:rFonts w:hint="eastAsia" w:ascii="仿宋" w:hAnsi="仿宋" w:eastAsia="仿宋" w:cs="仿宋"/>
          <w:color w:val="auto"/>
          <w:sz w:val="24"/>
          <w:highlight w:val="none"/>
        </w:rPr>
      </w:pPr>
    </w:p>
    <w:p w14:paraId="22DA46CB">
      <w:pPr>
        <w:spacing w:line="360" w:lineRule="auto"/>
        <w:rPr>
          <w:rFonts w:hint="eastAsia" w:ascii="仿宋" w:hAnsi="仿宋" w:eastAsia="仿宋" w:cs="仿宋"/>
          <w:color w:val="auto"/>
          <w:sz w:val="24"/>
          <w:highlight w:val="none"/>
        </w:rPr>
      </w:pPr>
    </w:p>
    <w:p w14:paraId="3D5D67EE">
      <w:pPr>
        <w:spacing w:line="360" w:lineRule="auto"/>
        <w:rPr>
          <w:rFonts w:hint="eastAsia" w:ascii="仿宋" w:hAnsi="仿宋" w:eastAsia="仿宋" w:cs="仿宋"/>
          <w:color w:val="auto"/>
          <w:sz w:val="24"/>
          <w:highlight w:val="none"/>
        </w:rPr>
      </w:pPr>
    </w:p>
    <w:p w14:paraId="33CDD424">
      <w:pPr>
        <w:pStyle w:val="3"/>
        <w:numPr>
          <w:ilvl w:val="0"/>
          <w:numId w:val="0"/>
        </w:numPr>
        <w:ind w:left="425"/>
        <w:jc w:val="center"/>
        <w:rPr>
          <w:rFonts w:hint="eastAsia" w:ascii="仿宋" w:hAnsi="仿宋" w:eastAsia="仿宋" w:cs="仿宋"/>
          <w:color w:val="auto"/>
          <w:szCs w:val="28"/>
          <w:highlight w:val="none"/>
        </w:rPr>
      </w:pPr>
      <w:bookmarkStart w:id="170" w:name="_Toc8168223"/>
      <w:bookmarkStart w:id="171" w:name="_Toc4639"/>
      <w:bookmarkStart w:id="172" w:name="_Toc89692666"/>
      <w:bookmarkStart w:id="173" w:name="_Toc8689669"/>
      <w:r>
        <w:rPr>
          <w:rFonts w:hint="eastAsia" w:ascii="仿宋" w:hAnsi="仿宋" w:eastAsia="仿宋" w:cs="仿宋"/>
          <w:color w:val="auto"/>
          <w:szCs w:val="28"/>
          <w:highlight w:val="none"/>
        </w:rPr>
        <w:t>（十</w:t>
      </w:r>
      <w:r>
        <w:rPr>
          <w:rFonts w:hint="eastAsia" w:ascii="仿宋" w:hAnsi="仿宋" w:eastAsia="仿宋" w:cs="仿宋"/>
          <w:color w:val="auto"/>
          <w:szCs w:val="28"/>
          <w:highlight w:val="none"/>
          <w:lang w:val="en-US" w:eastAsia="zh-CN"/>
        </w:rPr>
        <w:t>一</w:t>
      </w:r>
      <w:r>
        <w:rPr>
          <w:rFonts w:hint="eastAsia" w:ascii="仿宋" w:hAnsi="仿宋" w:eastAsia="仿宋" w:cs="仿宋"/>
          <w:color w:val="auto"/>
          <w:szCs w:val="28"/>
          <w:highlight w:val="none"/>
        </w:rPr>
        <w:t>）构成投标文件的</w:t>
      </w:r>
      <w:r>
        <w:rPr>
          <w:rFonts w:hint="eastAsia" w:ascii="仿宋" w:hAnsi="仿宋" w:eastAsia="仿宋" w:cs="仿宋"/>
          <w:color w:val="auto"/>
          <w:szCs w:val="28"/>
          <w:highlight w:val="none"/>
          <w:lang w:eastAsia="zh-CN"/>
        </w:rPr>
        <w:t>其他</w:t>
      </w:r>
      <w:r>
        <w:rPr>
          <w:rFonts w:hint="eastAsia" w:ascii="仿宋" w:hAnsi="仿宋" w:eastAsia="仿宋" w:cs="仿宋"/>
          <w:color w:val="auto"/>
          <w:szCs w:val="28"/>
          <w:highlight w:val="none"/>
        </w:rPr>
        <w:t>资料</w:t>
      </w:r>
      <w:bookmarkEnd w:id="170"/>
      <w:bookmarkEnd w:id="171"/>
      <w:bookmarkEnd w:id="172"/>
      <w:bookmarkEnd w:id="173"/>
    </w:p>
    <w:p w14:paraId="41E2C70A">
      <w:pPr>
        <w:rPr>
          <w:rFonts w:hint="eastAsia" w:ascii="仿宋" w:hAnsi="仿宋" w:eastAsia="仿宋" w:cs="仿宋"/>
          <w:color w:val="auto"/>
          <w:highlight w:val="none"/>
        </w:rPr>
      </w:pPr>
      <w:r>
        <w:rPr>
          <w:rFonts w:hint="eastAsia" w:ascii="仿宋" w:hAnsi="仿宋" w:eastAsia="仿宋" w:cs="仿宋"/>
          <w:color w:val="auto"/>
          <w:highlight w:val="none"/>
        </w:rPr>
        <w:t>格式自拟</w:t>
      </w:r>
    </w:p>
    <w:p w14:paraId="5590223E">
      <w:pPr>
        <w:spacing w:line="360" w:lineRule="auto"/>
        <w:jc w:val="center"/>
        <w:rPr>
          <w:rFonts w:hint="eastAsia" w:ascii="仿宋" w:hAnsi="仿宋" w:eastAsia="仿宋" w:cs="仿宋"/>
          <w:b/>
          <w:bCs/>
          <w:color w:val="auto"/>
          <w:sz w:val="32"/>
          <w:szCs w:val="32"/>
          <w:highlight w:val="none"/>
        </w:rPr>
      </w:pPr>
    </w:p>
    <w:p w14:paraId="61429DE4">
      <w:pPr>
        <w:spacing w:line="360" w:lineRule="auto"/>
        <w:rPr>
          <w:rFonts w:hint="eastAsia" w:ascii="仿宋" w:hAnsi="仿宋" w:eastAsia="仿宋" w:cs="仿宋"/>
          <w:color w:val="auto"/>
          <w:sz w:val="24"/>
          <w:highlight w:val="none"/>
        </w:rPr>
      </w:pPr>
    </w:p>
    <w:p w14:paraId="2035540F">
      <w:pPr>
        <w:spacing w:line="360" w:lineRule="auto"/>
        <w:rPr>
          <w:rFonts w:hint="eastAsia" w:ascii="仿宋" w:hAnsi="仿宋" w:eastAsia="仿宋" w:cs="仿宋"/>
          <w:color w:val="auto"/>
          <w:szCs w:val="21"/>
          <w:highlight w:val="none"/>
        </w:rPr>
      </w:pPr>
    </w:p>
    <w:p w14:paraId="653EA3CE">
      <w:pPr>
        <w:spacing w:line="360" w:lineRule="auto"/>
        <w:rPr>
          <w:rFonts w:hint="eastAsia" w:ascii="仿宋" w:hAnsi="仿宋" w:eastAsia="仿宋" w:cs="仿宋"/>
          <w:color w:val="auto"/>
          <w:szCs w:val="21"/>
          <w:highlight w:val="none"/>
        </w:rPr>
      </w:pPr>
    </w:p>
    <w:p w14:paraId="21EC78E9">
      <w:pPr>
        <w:spacing w:line="360" w:lineRule="auto"/>
        <w:ind w:firstLine="480" w:firstLineChars="200"/>
        <w:rPr>
          <w:rFonts w:hint="eastAsia" w:ascii="仿宋" w:hAnsi="仿宋" w:eastAsia="仿宋" w:cs="仿宋"/>
          <w:color w:val="auto"/>
          <w:sz w:val="24"/>
          <w:highlight w:val="none"/>
        </w:rPr>
      </w:pPr>
    </w:p>
    <w:p w14:paraId="5DBC78FF">
      <w:pPr>
        <w:spacing w:line="360" w:lineRule="auto"/>
        <w:ind w:firstLine="480" w:firstLineChars="200"/>
        <w:rPr>
          <w:rFonts w:hint="eastAsia" w:ascii="仿宋" w:hAnsi="仿宋" w:eastAsia="仿宋" w:cs="仿宋"/>
          <w:color w:val="auto"/>
          <w:sz w:val="24"/>
          <w:highlight w:val="none"/>
        </w:rPr>
      </w:pPr>
    </w:p>
    <w:p w14:paraId="4C120AD3">
      <w:pPr>
        <w:spacing w:line="360" w:lineRule="auto"/>
        <w:ind w:firstLine="480" w:firstLineChars="200"/>
        <w:rPr>
          <w:rFonts w:hint="eastAsia" w:ascii="仿宋" w:hAnsi="仿宋" w:eastAsia="仿宋" w:cs="仿宋"/>
          <w:color w:val="auto"/>
          <w:sz w:val="24"/>
          <w:highlight w:val="none"/>
        </w:rPr>
      </w:pPr>
    </w:p>
    <w:p w14:paraId="07DC7038">
      <w:pPr>
        <w:spacing w:line="360" w:lineRule="auto"/>
        <w:ind w:firstLine="480" w:firstLineChars="200"/>
        <w:rPr>
          <w:rFonts w:hint="eastAsia" w:ascii="仿宋" w:hAnsi="仿宋" w:eastAsia="仿宋" w:cs="仿宋"/>
          <w:color w:val="auto"/>
          <w:sz w:val="24"/>
          <w:highlight w:val="none"/>
        </w:rPr>
      </w:pPr>
    </w:p>
    <w:p w14:paraId="24C34CD6">
      <w:pPr>
        <w:spacing w:line="360" w:lineRule="auto"/>
        <w:ind w:firstLine="480" w:firstLineChars="200"/>
        <w:rPr>
          <w:rFonts w:hint="eastAsia" w:ascii="仿宋" w:hAnsi="仿宋" w:eastAsia="仿宋" w:cs="仿宋"/>
          <w:color w:val="auto"/>
          <w:sz w:val="24"/>
          <w:highlight w:val="none"/>
        </w:rPr>
      </w:pPr>
    </w:p>
    <w:p w14:paraId="13C45C1C">
      <w:pPr>
        <w:spacing w:line="360" w:lineRule="auto"/>
        <w:ind w:firstLine="480" w:firstLineChars="200"/>
        <w:rPr>
          <w:rFonts w:hint="eastAsia" w:ascii="仿宋" w:hAnsi="仿宋" w:eastAsia="仿宋" w:cs="仿宋"/>
          <w:color w:val="auto"/>
          <w:sz w:val="24"/>
          <w:highlight w:val="none"/>
        </w:rPr>
      </w:pPr>
    </w:p>
    <w:p w14:paraId="3BBF06EA">
      <w:pPr>
        <w:spacing w:line="360" w:lineRule="auto"/>
        <w:ind w:firstLine="480" w:firstLineChars="200"/>
        <w:rPr>
          <w:rFonts w:hint="eastAsia" w:ascii="仿宋" w:hAnsi="仿宋" w:eastAsia="仿宋" w:cs="仿宋"/>
          <w:color w:val="auto"/>
          <w:sz w:val="24"/>
          <w:highlight w:val="none"/>
        </w:rPr>
      </w:pPr>
    </w:p>
    <w:p w14:paraId="749093A5">
      <w:pPr>
        <w:spacing w:line="360" w:lineRule="auto"/>
        <w:ind w:firstLine="480" w:firstLineChars="200"/>
        <w:rPr>
          <w:rFonts w:hint="eastAsia" w:ascii="仿宋" w:hAnsi="仿宋" w:eastAsia="仿宋" w:cs="仿宋"/>
          <w:color w:val="auto"/>
          <w:sz w:val="24"/>
          <w:highlight w:val="none"/>
        </w:rPr>
      </w:pPr>
    </w:p>
    <w:p w14:paraId="579D351A">
      <w:pPr>
        <w:spacing w:line="360" w:lineRule="auto"/>
        <w:ind w:firstLine="480" w:firstLineChars="200"/>
        <w:rPr>
          <w:rFonts w:hint="eastAsia" w:ascii="仿宋" w:hAnsi="仿宋" w:eastAsia="仿宋" w:cs="仿宋"/>
          <w:color w:val="auto"/>
          <w:sz w:val="24"/>
          <w:highlight w:val="none"/>
        </w:rPr>
      </w:pPr>
    </w:p>
    <w:p w14:paraId="1FBDCFD6">
      <w:pPr>
        <w:spacing w:line="360" w:lineRule="auto"/>
        <w:ind w:firstLine="480" w:firstLineChars="200"/>
        <w:rPr>
          <w:rFonts w:hint="eastAsia" w:ascii="仿宋" w:hAnsi="仿宋" w:eastAsia="仿宋" w:cs="仿宋"/>
          <w:color w:val="auto"/>
          <w:sz w:val="24"/>
          <w:highlight w:val="none"/>
        </w:rPr>
      </w:pPr>
    </w:p>
    <w:p w14:paraId="12BB6145">
      <w:pPr>
        <w:spacing w:line="360" w:lineRule="auto"/>
        <w:ind w:firstLine="480" w:firstLineChars="200"/>
        <w:rPr>
          <w:rFonts w:hint="eastAsia" w:ascii="仿宋" w:hAnsi="仿宋" w:eastAsia="仿宋" w:cs="仿宋"/>
          <w:color w:val="auto"/>
          <w:sz w:val="24"/>
          <w:highlight w:val="none"/>
        </w:rPr>
      </w:pPr>
    </w:p>
    <w:p w14:paraId="3A5B77D2">
      <w:pPr>
        <w:spacing w:line="360" w:lineRule="auto"/>
        <w:ind w:firstLine="480" w:firstLineChars="200"/>
        <w:rPr>
          <w:rFonts w:hint="eastAsia" w:ascii="仿宋" w:hAnsi="仿宋" w:eastAsia="仿宋" w:cs="仿宋"/>
          <w:color w:val="auto"/>
          <w:sz w:val="24"/>
          <w:highlight w:val="none"/>
        </w:rPr>
      </w:pPr>
    </w:p>
    <w:p w14:paraId="6BC64298">
      <w:pPr>
        <w:spacing w:line="360" w:lineRule="auto"/>
        <w:ind w:firstLine="480" w:firstLineChars="200"/>
        <w:rPr>
          <w:rFonts w:hint="eastAsia" w:ascii="仿宋" w:hAnsi="仿宋" w:eastAsia="仿宋" w:cs="仿宋"/>
          <w:color w:val="auto"/>
          <w:sz w:val="24"/>
          <w:highlight w:val="none"/>
        </w:rPr>
      </w:pPr>
    </w:p>
    <w:p w14:paraId="48DFD657">
      <w:pPr>
        <w:spacing w:line="360" w:lineRule="auto"/>
        <w:ind w:firstLine="480" w:firstLineChars="200"/>
        <w:rPr>
          <w:rFonts w:hint="eastAsia" w:ascii="仿宋" w:hAnsi="仿宋" w:eastAsia="仿宋" w:cs="仿宋"/>
          <w:color w:val="auto"/>
          <w:sz w:val="24"/>
          <w:highlight w:val="none"/>
        </w:rPr>
      </w:pPr>
    </w:p>
    <w:p w14:paraId="78324A14">
      <w:pPr>
        <w:spacing w:line="360" w:lineRule="auto"/>
        <w:ind w:firstLine="480" w:firstLineChars="200"/>
        <w:rPr>
          <w:rFonts w:hint="eastAsia" w:ascii="仿宋" w:hAnsi="仿宋" w:eastAsia="仿宋" w:cs="仿宋"/>
          <w:color w:val="auto"/>
          <w:sz w:val="24"/>
          <w:highlight w:val="none"/>
        </w:rPr>
      </w:pPr>
    </w:p>
    <w:p w14:paraId="0EEE2351">
      <w:pPr>
        <w:spacing w:line="360" w:lineRule="auto"/>
        <w:ind w:firstLine="480" w:firstLineChars="200"/>
        <w:rPr>
          <w:rFonts w:hint="eastAsia" w:ascii="仿宋" w:hAnsi="仿宋" w:eastAsia="仿宋" w:cs="仿宋"/>
          <w:color w:val="auto"/>
          <w:sz w:val="24"/>
          <w:highlight w:val="none"/>
        </w:rPr>
      </w:pPr>
    </w:p>
    <w:p w14:paraId="2C4C7351">
      <w:pPr>
        <w:spacing w:line="360" w:lineRule="auto"/>
        <w:ind w:firstLine="480" w:firstLineChars="200"/>
        <w:rPr>
          <w:rFonts w:hint="eastAsia" w:ascii="仿宋" w:hAnsi="仿宋" w:eastAsia="仿宋" w:cs="仿宋"/>
          <w:color w:val="auto"/>
          <w:sz w:val="24"/>
          <w:highlight w:val="none"/>
        </w:rPr>
      </w:pPr>
    </w:p>
    <w:p w14:paraId="1FD3656F">
      <w:pPr>
        <w:spacing w:line="360" w:lineRule="auto"/>
        <w:ind w:firstLine="480" w:firstLineChars="200"/>
        <w:rPr>
          <w:rFonts w:hint="eastAsia" w:ascii="仿宋" w:hAnsi="仿宋" w:eastAsia="仿宋" w:cs="仿宋"/>
          <w:color w:val="auto"/>
          <w:sz w:val="24"/>
          <w:highlight w:val="none"/>
        </w:rPr>
      </w:pPr>
    </w:p>
    <w:p w14:paraId="70EA4657">
      <w:pPr>
        <w:spacing w:line="360" w:lineRule="auto"/>
        <w:ind w:firstLine="480" w:firstLineChars="200"/>
        <w:rPr>
          <w:rFonts w:hint="eastAsia" w:ascii="仿宋" w:hAnsi="仿宋" w:eastAsia="仿宋" w:cs="仿宋"/>
          <w:color w:val="auto"/>
          <w:sz w:val="24"/>
          <w:highlight w:val="none"/>
        </w:rPr>
      </w:pPr>
    </w:p>
    <w:p w14:paraId="1926D28A">
      <w:pPr>
        <w:spacing w:line="360" w:lineRule="auto"/>
        <w:rPr>
          <w:rFonts w:hint="eastAsia" w:ascii="仿宋" w:hAnsi="仿宋" w:eastAsia="仿宋" w:cs="仿宋"/>
          <w:color w:val="auto"/>
          <w:sz w:val="24"/>
          <w:highlight w:val="none"/>
        </w:rPr>
      </w:pPr>
    </w:p>
    <w:p w14:paraId="3BDEB5AA">
      <w:pPr>
        <w:pStyle w:val="3"/>
        <w:numPr>
          <w:ilvl w:val="0"/>
          <w:numId w:val="0"/>
        </w:numPr>
        <w:ind w:left="425"/>
        <w:jc w:val="center"/>
        <w:rPr>
          <w:rFonts w:hint="eastAsia" w:ascii="仿宋" w:hAnsi="仿宋" w:eastAsia="仿宋" w:cs="仿宋"/>
          <w:color w:val="auto"/>
          <w:sz w:val="32"/>
          <w:szCs w:val="32"/>
          <w:highlight w:val="none"/>
        </w:rPr>
      </w:pPr>
      <w:bookmarkStart w:id="174" w:name="_Toc3927"/>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十二</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关于符合本国产品标准的声明函</w:t>
      </w:r>
      <w:bookmarkEnd w:id="174"/>
    </w:p>
    <w:p w14:paraId="53990444">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shd w:val="clear" w:fill="FFFFFF"/>
          <w:vertAlign w:val="baseline"/>
        </w:rPr>
        <w:t> </w:t>
      </w:r>
    </w:p>
    <w:p w14:paraId="3780121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0C3FC72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1.</w:t>
      </w:r>
      <w:r>
        <w:rPr>
          <w:rStyle w:val="42"/>
          <w:rFonts w:hint="eastAsia" w:ascii="仿宋" w:hAnsi="仿宋" w:eastAsia="仿宋" w:cs="仿宋"/>
          <w:i w:val="0"/>
          <w:iCs w:val="0"/>
          <w:caps w:val="0"/>
          <w:color w:val="auto"/>
          <w:spacing w:val="0"/>
          <w:sz w:val="21"/>
          <w:szCs w:val="21"/>
          <w:u w:val="single"/>
          <w:shd w:val="clear" w:fill="FFFFFF"/>
          <w:vertAlign w:val="baseline"/>
        </w:rPr>
        <w:t>（产品名称1）</w:t>
      </w:r>
      <w:r>
        <w:rPr>
          <w:rStyle w:val="42"/>
          <w:rFonts w:hint="eastAsia" w:ascii="仿宋" w:hAnsi="仿宋" w:eastAsia="仿宋" w:cs="仿宋"/>
          <w:i w:val="0"/>
          <w:iCs w:val="0"/>
          <w:caps w:val="0"/>
          <w:color w:val="auto"/>
          <w:spacing w:val="0"/>
          <w:sz w:val="21"/>
          <w:szCs w:val="21"/>
          <w:shd w:val="clear" w:fill="FFFFFF"/>
          <w:vertAlign w:val="baseline"/>
        </w:rPr>
        <w:t>1</w:t>
      </w:r>
      <w:r>
        <w:rPr>
          <w:rFonts w:hint="eastAsia" w:ascii="仿宋" w:hAnsi="仿宋" w:eastAsia="仿宋" w:cs="仿宋"/>
          <w:i w:val="0"/>
          <w:iCs w:val="0"/>
          <w:caps w:val="0"/>
          <w:color w:val="auto"/>
          <w:spacing w:val="0"/>
          <w:sz w:val="21"/>
          <w:szCs w:val="21"/>
          <w:shd w:val="clear" w:fill="FFFFFF"/>
          <w:vertAlign w:val="baseline"/>
        </w:rPr>
        <w:t>，生产厂为</w:t>
      </w:r>
      <w:r>
        <w:rPr>
          <w:rStyle w:val="42"/>
          <w:rFonts w:hint="eastAsia" w:ascii="仿宋" w:hAnsi="仿宋" w:eastAsia="仿宋" w:cs="仿宋"/>
          <w:i w:val="0"/>
          <w:iCs w:val="0"/>
          <w:caps w:val="0"/>
          <w:color w:val="auto"/>
          <w:spacing w:val="0"/>
          <w:sz w:val="21"/>
          <w:szCs w:val="21"/>
          <w:u w:val="single"/>
          <w:shd w:val="clear" w:fill="FFFFFF"/>
          <w:vertAlign w:val="baseline"/>
        </w:rPr>
        <w:t>（厂名）</w:t>
      </w:r>
      <w:r>
        <w:rPr>
          <w:rStyle w:val="42"/>
          <w:rFonts w:hint="eastAsia" w:ascii="仿宋" w:hAnsi="仿宋" w:eastAsia="仿宋" w:cs="仿宋"/>
          <w:i w:val="0"/>
          <w:iCs w:val="0"/>
          <w:caps w:val="0"/>
          <w:color w:val="auto"/>
          <w:spacing w:val="0"/>
          <w:sz w:val="21"/>
          <w:szCs w:val="21"/>
          <w:shd w:val="clear" w:fill="FFFFFF"/>
          <w:vertAlign w:val="baseline"/>
        </w:rPr>
        <w:t>2</w:t>
      </w:r>
      <w:r>
        <w:rPr>
          <w:rFonts w:hint="eastAsia" w:ascii="仿宋" w:hAnsi="仿宋" w:eastAsia="仿宋" w:cs="仿宋"/>
          <w:i w:val="0"/>
          <w:iCs w:val="0"/>
          <w:caps w:val="0"/>
          <w:color w:val="auto"/>
          <w:spacing w:val="0"/>
          <w:sz w:val="21"/>
          <w:szCs w:val="21"/>
          <w:shd w:val="clear" w:fill="FFFFFF"/>
          <w:vertAlign w:val="baseline"/>
        </w:rPr>
        <w:t>，厂址为</w:t>
      </w:r>
      <w:r>
        <w:rPr>
          <w:rStyle w:val="42"/>
          <w:rFonts w:hint="eastAsia" w:ascii="仿宋" w:hAnsi="仿宋" w:eastAsia="仿宋" w:cs="仿宋"/>
          <w:i w:val="0"/>
          <w:iCs w:val="0"/>
          <w:caps w:val="0"/>
          <w:color w:val="auto"/>
          <w:spacing w:val="0"/>
          <w:sz w:val="21"/>
          <w:szCs w:val="21"/>
          <w:u w:val="single"/>
          <w:shd w:val="clear" w:fill="FFFFFF"/>
          <w:vertAlign w:val="baseline"/>
        </w:rPr>
        <w:t>（生产厂址）</w:t>
      </w:r>
      <w:r>
        <w:rPr>
          <w:rFonts w:hint="eastAsia" w:ascii="仿宋" w:hAnsi="仿宋" w:eastAsia="仿宋" w:cs="仿宋"/>
          <w:i w:val="0"/>
          <w:iCs w:val="0"/>
          <w:caps w:val="0"/>
          <w:color w:val="auto"/>
          <w:spacing w:val="0"/>
          <w:sz w:val="21"/>
          <w:szCs w:val="21"/>
          <w:shd w:val="clear" w:fill="FFFFFF"/>
          <w:vertAlign w:val="baseline"/>
        </w:rPr>
        <w:t>。</w:t>
      </w:r>
      <w:r>
        <w:rPr>
          <w:rStyle w:val="42"/>
          <w:rFonts w:hint="eastAsia" w:ascii="仿宋" w:hAnsi="仿宋" w:eastAsia="仿宋" w:cs="仿宋"/>
          <w:i w:val="0"/>
          <w:iCs w:val="0"/>
          <w:caps w:val="0"/>
          <w:color w:val="auto"/>
          <w:spacing w:val="0"/>
          <w:sz w:val="21"/>
          <w:szCs w:val="21"/>
          <w:u w:val="single"/>
          <w:shd w:val="clear" w:fill="FFFFFF"/>
          <w:vertAlign w:val="baseline"/>
        </w:rPr>
        <w:t>（产品名称1）</w:t>
      </w:r>
      <w:r>
        <w:rPr>
          <w:rFonts w:hint="eastAsia" w:ascii="仿宋" w:hAnsi="仿宋" w:eastAsia="仿宋" w:cs="仿宋"/>
          <w:i w:val="0"/>
          <w:iCs w:val="0"/>
          <w:caps w:val="0"/>
          <w:color w:val="auto"/>
          <w:spacing w:val="0"/>
          <w:sz w:val="21"/>
          <w:szCs w:val="21"/>
          <w:shd w:val="clear" w:fill="FFFFFF"/>
          <w:vertAlign w:val="baseline"/>
        </w:rPr>
        <w:t>的中国境内生产的组件成本占比≥</w:t>
      </w:r>
      <w:r>
        <w:rPr>
          <w:rStyle w:val="42"/>
          <w:rFonts w:hint="eastAsia" w:ascii="仿宋" w:hAnsi="仿宋" w:eastAsia="仿宋" w:cs="仿宋"/>
          <w:i w:val="0"/>
          <w:iCs w:val="0"/>
          <w:caps w:val="0"/>
          <w:color w:val="auto"/>
          <w:spacing w:val="0"/>
          <w:sz w:val="21"/>
          <w:szCs w:val="21"/>
          <w:u w:val="single"/>
          <w:shd w:val="clear" w:fill="FFFFFF"/>
          <w:vertAlign w:val="baseline"/>
        </w:rPr>
        <w:t>（规定比例）</w:t>
      </w:r>
      <w:r>
        <w:rPr>
          <w:rStyle w:val="42"/>
          <w:rFonts w:hint="eastAsia" w:ascii="仿宋" w:hAnsi="仿宋" w:eastAsia="仿宋" w:cs="仿宋"/>
          <w:i w:val="0"/>
          <w:iCs w:val="0"/>
          <w:caps w:val="0"/>
          <w:color w:val="auto"/>
          <w:spacing w:val="0"/>
          <w:sz w:val="21"/>
          <w:szCs w:val="21"/>
          <w:shd w:val="clear" w:fill="FFFFFF"/>
          <w:vertAlign w:val="baseline"/>
        </w:rPr>
        <w:t>3</w:t>
      </w:r>
      <w:r>
        <w:rPr>
          <w:rFonts w:hint="eastAsia" w:ascii="仿宋" w:hAnsi="仿宋" w:eastAsia="仿宋" w:cs="仿宋"/>
          <w:i w:val="0"/>
          <w:iCs w:val="0"/>
          <w:caps w:val="0"/>
          <w:color w:val="auto"/>
          <w:spacing w:val="0"/>
          <w:sz w:val="21"/>
          <w:szCs w:val="21"/>
          <w:shd w:val="clear" w:fill="FFFFFF"/>
          <w:vertAlign w:val="baseline"/>
        </w:rPr>
        <w:t>。</w:t>
      </w:r>
      <w:r>
        <w:rPr>
          <w:rStyle w:val="42"/>
          <w:rFonts w:hint="eastAsia" w:ascii="仿宋" w:hAnsi="仿宋" w:eastAsia="仿宋" w:cs="仿宋"/>
          <w:i w:val="0"/>
          <w:iCs w:val="0"/>
          <w:caps w:val="0"/>
          <w:color w:val="auto"/>
          <w:spacing w:val="0"/>
          <w:sz w:val="21"/>
          <w:szCs w:val="21"/>
          <w:u w:val="single"/>
          <w:shd w:val="clear" w:fill="FFFFFF"/>
          <w:vertAlign w:val="baseline"/>
        </w:rPr>
        <w:t>（产品名称1）</w:t>
      </w:r>
      <w:r>
        <w:rPr>
          <w:rFonts w:hint="eastAsia" w:ascii="仿宋" w:hAnsi="仿宋" w:eastAsia="仿宋" w:cs="仿宋"/>
          <w:i w:val="0"/>
          <w:iCs w:val="0"/>
          <w:caps w:val="0"/>
          <w:color w:val="auto"/>
          <w:spacing w:val="0"/>
          <w:sz w:val="21"/>
          <w:szCs w:val="21"/>
          <w:shd w:val="clear" w:fill="FFFFFF"/>
          <w:vertAlign w:val="baseline"/>
        </w:rPr>
        <w:t>的</w:t>
      </w:r>
      <w:r>
        <w:rPr>
          <w:rStyle w:val="42"/>
          <w:rFonts w:hint="eastAsia" w:ascii="仿宋" w:hAnsi="仿宋" w:eastAsia="仿宋" w:cs="仿宋"/>
          <w:i w:val="0"/>
          <w:iCs w:val="0"/>
          <w:caps w:val="0"/>
          <w:color w:val="auto"/>
          <w:spacing w:val="0"/>
          <w:sz w:val="21"/>
          <w:szCs w:val="21"/>
          <w:u w:val="single"/>
          <w:shd w:val="clear" w:fill="FFFFFF"/>
          <w:vertAlign w:val="baseline"/>
        </w:rPr>
        <w:t>（关键组件）</w:t>
      </w:r>
      <w:r>
        <w:rPr>
          <w:rStyle w:val="42"/>
          <w:rFonts w:hint="eastAsia" w:ascii="仿宋" w:hAnsi="仿宋" w:eastAsia="仿宋" w:cs="仿宋"/>
          <w:i w:val="0"/>
          <w:iCs w:val="0"/>
          <w:caps w:val="0"/>
          <w:color w:val="auto"/>
          <w:spacing w:val="0"/>
          <w:sz w:val="21"/>
          <w:szCs w:val="21"/>
          <w:shd w:val="clear" w:fill="FFFFFF"/>
          <w:vertAlign w:val="baseline"/>
        </w:rPr>
        <w:t>4</w:t>
      </w:r>
      <w:r>
        <w:rPr>
          <w:rFonts w:hint="eastAsia" w:ascii="仿宋" w:hAnsi="仿宋" w:eastAsia="仿宋" w:cs="仿宋"/>
          <w:i w:val="0"/>
          <w:iCs w:val="0"/>
          <w:caps w:val="0"/>
          <w:color w:val="auto"/>
          <w:spacing w:val="0"/>
          <w:sz w:val="21"/>
          <w:szCs w:val="21"/>
          <w:shd w:val="clear" w:fill="FFFFFF"/>
          <w:vertAlign w:val="baseline"/>
        </w:rPr>
        <w:t>在中国境内生产。</w:t>
      </w:r>
      <w:r>
        <w:rPr>
          <w:rStyle w:val="42"/>
          <w:rFonts w:hint="eastAsia" w:ascii="仿宋" w:hAnsi="仿宋" w:eastAsia="仿宋" w:cs="仿宋"/>
          <w:i w:val="0"/>
          <w:iCs w:val="0"/>
          <w:caps w:val="0"/>
          <w:color w:val="auto"/>
          <w:spacing w:val="0"/>
          <w:sz w:val="21"/>
          <w:szCs w:val="21"/>
          <w:shd w:val="clear" w:fill="FFFFFF"/>
          <w:vertAlign w:val="baseline"/>
        </w:rPr>
        <w:t>（产品名称1）</w:t>
      </w:r>
      <w:r>
        <w:rPr>
          <w:rFonts w:hint="eastAsia" w:ascii="仿宋" w:hAnsi="仿宋" w:eastAsia="仿宋" w:cs="仿宋"/>
          <w:i w:val="0"/>
          <w:iCs w:val="0"/>
          <w:caps w:val="0"/>
          <w:color w:val="auto"/>
          <w:spacing w:val="0"/>
          <w:sz w:val="21"/>
          <w:szCs w:val="21"/>
          <w:shd w:val="clear" w:fill="FFFFFF"/>
          <w:vertAlign w:val="baseline"/>
        </w:rPr>
        <w:t>的</w:t>
      </w:r>
      <w:r>
        <w:rPr>
          <w:rStyle w:val="42"/>
          <w:rFonts w:hint="eastAsia" w:ascii="仿宋" w:hAnsi="仿宋" w:eastAsia="仿宋" w:cs="仿宋"/>
          <w:i w:val="0"/>
          <w:iCs w:val="0"/>
          <w:caps w:val="0"/>
          <w:color w:val="auto"/>
          <w:spacing w:val="0"/>
          <w:sz w:val="21"/>
          <w:szCs w:val="21"/>
          <w:shd w:val="clear" w:fill="FFFFFF"/>
          <w:vertAlign w:val="baseline"/>
        </w:rPr>
        <w:t>（关键工序）5</w:t>
      </w:r>
      <w:r>
        <w:rPr>
          <w:rFonts w:hint="eastAsia" w:ascii="仿宋" w:hAnsi="仿宋" w:eastAsia="仿宋" w:cs="仿宋"/>
          <w:i w:val="0"/>
          <w:iCs w:val="0"/>
          <w:caps w:val="0"/>
          <w:color w:val="auto"/>
          <w:spacing w:val="0"/>
          <w:sz w:val="21"/>
          <w:szCs w:val="21"/>
          <w:shd w:val="clear" w:fill="FFFFFF"/>
          <w:vertAlign w:val="baseline"/>
        </w:rPr>
        <w:t>在中国境内完成。</w:t>
      </w:r>
    </w:p>
    <w:p w14:paraId="6DD532E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2.</w:t>
      </w:r>
      <w:r>
        <w:rPr>
          <w:rStyle w:val="42"/>
          <w:rFonts w:hint="eastAsia" w:ascii="仿宋" w:hAnsi="仿宋" w:eastAsia="仿宋" w:cs="仿宋"/>
          <w:i w:val="0"/>
          <w:iCs w:val="0"/>
          <w:caps w:val="0"/>
          <w:color w:val="auto"/>
          <w:spacing w:val="0"/>
          <w:sz w:val="21"/>
          <w:szCs w:val="21"/>
          <w:u w:val="single"/>
          <w:shd w:val="clear" w:fill="FFFFFF"/>
          <w:vertAlign w:val="baseline"/>
        </w:rPr>
        <w:t>（产品名称2）</w:t>
      </w:r>
      <w:r>
        <w:rPr>
          <w:rFonts w:hint="eastAsia" w:ascii="仿宋" w:hAnsi="仿宋" w:eastAsia="仿宋" w:cs="仿宋"/>
          <w:i w:val="0"/>
          <w:iCs w:val="0"/>
          <w:caps w:val="0"/>
          <w:color w:val="auto"/>
          <w:spacing w:val="0"/>
          <w:sz w:val="21"/>
          <w:szCs w:val="21"/>
          <w:shd w:val="clear" w:fill="FFFFFF"/>
          <w:vertAlign w:val="baseline"/>
        </w:rPr>
        <w:t>，生产厂为</w:t>
      </w:r>
      <w:r>
        <w:rPr>
          <w:rStyle w:val="42"/>
          <w:rFonts w:hint="eastAsia" w:ascii="仿宋" w:hAnsi="仿宋" w:eastAsia="仿宋" w:cs="仿宋"/>
          <w:i w:val="0"/>
          <w:iCs w:val="0"/>
          <w:caps w:val="0"/>
          <w:color w:val="auto"/>
          <w:spacing w:val="0"/>
          <w:sz w:val="21"/>
          <w:szCs w:val="21"/>
          <w:u w:val="single"/>
          <w:shd w:val="clear" w:fill="FFFFFF"/>
          <w:vertAlign w:val="baseline"/>
        </w:rPr>
        <w:t>（厂名）</w:t>
      </w:r>
      <w:r>
        <w:rPr>
          <w:rFonts w:hint="eastAsia" w:ascii="仿宋" w:hAnsi="仿宋" w:eastAsia="仿宋" w:cs="仿宋"/>
          <w:i w:val="0"/>
          <w:iCs w:val="0"/>
          <w:caps w:val="0"/>
          <w:color w:val="auto"/>
          <w:spacing w:val="0"/>
          <w:sz w:val="21"/>
          <w:szCs w:val="21"/>
          <w:shd w:val="clear" w:fill="FFFFFF"/>
          <w:vertAlign w:val="baseline"/>
        </w:rPr>
        <w:t>，厂址为</w:t>
      </w:r>
      <w:r>
        <w:rPr>
          <w:rStyle w:val="42"/>
          <w:rFonts w:hint="eastAsia" w:ascii="仿宋" w:hAnsi="仿宋" w:eastAsia="仿宋" w:cs="仿宋"/>
          <w:i w:val="0"/>
          <w:iCs w:val="0"/>
          <w:caps w:val="0"/>
          <w:color w:val="auto"/>
          <w:spacing w:val="0"/>
          <w:sz w:val="21"/>
          <w:szCs w:val="21"/>
          <w:u w:val="single"/>
          <w:shd w:val="clear" w:fill="FFFFFF"/>
          <w:vertAlign w:val="baseline"/>
        </w:rPr>
        <w:t>（生产厂址）</w:t>
      </w:r>
      <w:r>
        <w:rPr>
          <w:rFonts w:hint="eastAsia" w:ascii="仿宋" w:hAnsi="仿宋" w:eastAsia="仿宋" w:cs="仿宋"/>
          <w:i w:val="0"/>
          <w:iCs w:val="0"/>
          <w:caps w:val="0"/>
          <w:color w:val="auto"/>
          <w:spacing w:val="0"/>
          <w:sz w:val="21"/>
          <w:szCs w:val="21"/>
          <w:shd w:val="clear" w:fill="FFFFFF"/>
          <w:vertAlign w:val="baseline"/>
        </w:rPr>
        <w:t>。</w:t>
      </w:r>
      <w:r>
        <w:rPr>
          <w:rStyle w:val="42"/>
          <w:rFonts w:hint="eastAsia" w:ascii="仿宋" w:hAnsi="仿宋" w:eastAsia="仿宋" w:cs="仿宋"/>
          <w:i w:val="0"/>
          <w:iCs w:val="0"/>
          <w:caps w:val="0"/>
          <w:color w:val="auto"/>
          <w:spacing w:val="0"/>
          <w:sz w:val="21"/>
          <w:szCs w:val="21"/>
          <w:u w:val="single"/>
          <w:shd w:val="clear" w:fill="FFFFFF"/>
          <w:vertAlign w:val="baseline"/>
        </w:rPr>
        <w:t>（产品名称2）</w:t>
      </w:r>
      <w:r>
        <w:rPr>
          <w:rFonts w:hint="eastAsia" w:ascii="仿宋" w:hAnsi="仿宋" w:eastAsia="仿宋" w:cs="仿宋"/>
          <w:i w:val="0"/>
          <w:iCs w:val="0"/>
          <w:caps w:val="0"/>
          <w:color w:val="auto"/>
          <w:spacing w:val="0"/>
          <w:sz w:val="21"/>
          <w:szCs w:val="21"/>
          <w:shd w:val="clear" w:fill="FFFFFF"/>
          <w:vertAlign w:val="baseline"/>
        </w:rPr>
        <w:t>的中国境内生产的组件成本占比≥</w:t>
      </w:r>
      <w:r>
        <w:rPr>
          <w:rStyle w:val="42"/>
          <w:rFonts w:hint="eastAsia" w:ascii="仿宋" w:hAnsi="仿宋" w:eastAsia="仿宋" w:cs="仿宋"/>
          <w:i w:val="0"/>
          <w:iCs w:val="0"/>
          <w:caps w:val="0"/>
          <w:color w:val="auto"/>
          <w:spacing w:val="0"/>
          <w:sz w:val="21"/>
          <w:szCs w:val="21"/>
          <w:u w:val="single"/>
          <w:shd w:val="clear" w:fill="FFFFFF"/>
          <w:vertAlign w:val="baseline"/>
        </w:rPr>
        <w:t>（规定比例）</w:t>
      </w:r>
      <w:r>
        <w:rPr>
          <w:rFonts w:hint="eastAsia" w:ascii="仿宋" w:hAnsi="仿宋" w:eastAsia="仿宋" w:cs="仿宋"/>
          <w:i w:val="0"/>
          <w:iCs w:val="0"/>
          <w:caps w:val="0"/>
          <w:color w:val="auto"/>
          <w:spacing w:val="0"/>
          <w:sz w:val="21"/>
          <w:szCs w:val="21"/>
          <w:shd w:val="clear" w:fill="FFFFFF"/>
          <w:vertAlign w:val="baseline"/>
        </w:rPr>
        <w:t>。</w:t>
      </w:r>
      <w:r>
        <w:rPr>
          <w:rStyle w:val="42"/>
          <w:rFonts w:hint="eastAsia" w:ascii="仿宋" w:hAnsi="仿宋" w:eastAsia="仿宋" w:cs="仿宋"/>
          <w:i w:val="0"/>
          <w:iCs w:val="0"/>
          <w:caps w:val="0"/>
          <w:color w:val="auto"/>
          <w:spacing w:val="0"/>
          <w:sz w:val="21"/>
          <w:szCs w:val="21"/>
          <w:u w:val="single"/>
          <w:shd w:val="clear" w:fill="FFFFFF"/>
          <w:vertAlign w:val="baseline"/>
        </w:rPr>
        <w:t>（产品名称2）</w:t>
      </w:r>
      <w:r>
        <w:rPr>
          <w:rFonts w:hint="eastAsia" w:ascii="仿宋" w:hAnsi="仿宋" w:eastAsia="仿宋" w:cs="仿宋"/>
          <w:i w:val="0"/>
          <w:iCs w:val="0"/>
          <w:caps w:val="0"/>
          <w:color w:val="auto"/>
          <w:spacing w:val="0"/>
          <w:sz w:val="21"/>
          <w:szCs w:val="21"/>
          <w:shd w:val="clear" w:fill="FFFFFF"/>
          <w:vertAlign w:val="baseline"/>
        </w:rPr>
        <w:t>的</w:t>
      </w:r>
      <w:r>
        <w:rPr>
          <w:rStyle w:val="42"/>
          <w:rFonts w:hint="eastAsia" w:ascii="仿宋" w:hAnsi="仿宋" w:eastAsia="仿宋" w:cs="仿宋"/>
          <w:i w:val="0"/>
          <w:iCs w:val="0"/>
          <w:caps w:val="0"/>
          <w:color w:val="auto"/>
          <w:spacing w:val="0"/>
          <w:sz w:val="21"/>
          <w:szCs w:val="21"/>
          <w:u w:val="single"/>
          <w:shd w:val="clear" w:fill="FFFFFF"/>
          <w:vertAlign w:val="baseline"/>
        </w:rPr>
        <w:t>（关键组件）</w:t>
      </w:r>
      <w:r>
        <w:rPr>
          <w:rFonts w:hint="eastAsia" w:ascii="仿宋" w:hAnsi="仿宋" w:eastAsia="仿宋" w:cs="仿宋"/>
          <w:i w:val="0"/>
          <w:iCs w:val="0"/>
          <w:caps w:val="0"/>
          <w:color w:val="auto"/>
          <w:spacing w:val="0"/>
          <w:sz w:val="21"/>
          <w:szCs w:val="21"/>
          <w:shd w:val="clear" w:fill="FFFFFF"/>
          <w:vertAlign w:val="baseline"/>
        </w:rPr>
        <w:t>在中国境内生产。</w:t>
      </w:r>
      <w:r>
        <w:rPr>
          <w:rStyle w:val="42"/>
          <w:rFonts w:hint="eastAsia" w:ascii="仿宋" w:hAnsi="仿宋" w:eastAsia="仿宋" w:cs="仿宋"/>
          <w:i w:val="0"/>
          <w:iCs w:val="0"/>
          <w:caps w:val="0"/>
          <w:color w:val="auto"/>
          <w:spacing w:val="0"/>
          <w:sz w:val="21"/>
          <w:szCs w:val="21"/>
          <w:u w:val="single"/>
          <w:shd w:val="clear" w:fill="FFFFFF"/>
          <w:vertAlign w:val="baseline"/>
        </w:rPr>
        <w:t>（产品名称2）</w:t>
      </w:r>
      <w:r>
        <w:rPr>
          <w:rFonts w:hint="eastAsia" w:ascii="仿宋" w:hAnsi="仿宋" w:eastAsia="仿宋" w:cs="仿宋"/>
          <w:i w:val="0"/>
          <w:iCs w:val="0"/>
          <w:caps w:val="0"/>
          <w:color w:val="auto"/>
          <w:spacing w:val="0"/>
          <w:sz w:val="21"/>
          <w:szCs w:val="21"/>
          <w:shd w:val="clear" w:fill="FFFFFF"/>
          <w:vertAlign w:val="baseline"/>
        </w:rPr>
        <w:t>的</w:t>
      </w:r>
      <w:r>
        <w:rPr>
          <w:rStyle w:val="42"/>
          <w:rFonts w:hint="eastAsia" w:ascii="仿宋" w:hAnsi="仿宋" w:eastAsia="仿宋" w:cs="仿宋"/>
          <w:i w:val="0"/>
          <w:iCs w:val="0"/>
          <w:caps w:val="0"/>
          <w:color w:val="auto"/>
          <w:spacing w:val="0"/>
          <w:sz w:val="21"/>
          <w:szCs w:val="21"/>
          <w:u w:val="single"/>
          <w:shd w:val="clear" w:fill="FFFFFF"/>
          <w:vertAlign w:val="baseline"/>
        </w:rPr>
        <w:t>（关键工序）</w:t>
      </w:r>
      <w:r>
        <w:rPr>
          <w:rFonts w:hint="eastAsia" w:ascii="仿宋" w:hAnsi="仿宋" w:eastAsia="仿宋" w:cs="仿宋"/>
          <w:i w:val="0"/>
          <w:iCs w:val="0"/>
          <w:caps w:val="0"/>
          <w:color w:val="auto"/>
          <w:spacing w:val="0"/>
          <w:sz w:val="21"/>
          <w:szCs w:val="21"/>
          <w:shd w:val="clear" w:fill="FFFFFF"/>
          <w:vertAlign w:val="baseline"/>
        </w:rPr>
        <w:t>在中国境内完成。</w:t>
      </w:r>
    </w:p>
    <w:p w14:paraId="04A84AF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w:t>
      </w:r>
    </w:p>
    <w:p w14:paraId="6768E9A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本公司（单位）对上述声明内容的真实性负责。如有虚假，愿承担相应法律责任。</w:t>
      </w:r>
    </w:p>
    <w:p w14:paraId="3FE6CFA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 </w:t>
      </w:r>
    </w:p>
    <w:p w14:paraId="1A9EC264">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公司（单位）名称（</w:t>
      </w:r>
      <w:r>
        <w:rPr>
          <w:rFonts w:hint="eastAsia" w:ascii="仿宋" w:hAnsi="仿宋" w:eastAsia="仿宋" w:cs="仿宋"/>
          <w:i w:val="0"/>
          <w:iCs w:val="0"/>
          <w:caps w:val="0"/>
          <w:color w:val="auto"/>
          <w:spacing w:val="0"/>
          <w:sz w:val="21"/>
          <w:szCs w:val="21"/>
          <w:shd w:val="clear" w:fill="FFFFFF"/>
          <w:vertAlign w:val="baseline"/>
          <w:lang w:val="en-US" w:eastAsia="zh-CN"/>
        </w:rPr>
        <w:t>电子签章</w:t>
      </w:r>
      <w:r>
        <w:rPr>
          <w:rFonts w:hint="eastAsia" w:ascii="仿宋" w:hAnsi="仿宋" w:eastAsia="仿宋" w:cs="仿宋"/>
          <w:i w:val="0"/>
          <w:iCs w:val="0"/>
          <w:caps w:val="0"/>
          <w:color w:val="auto"/>
          <w:spacing w:val="0"/>
          <w:sz w:val="21"/>
          <w:szCs w:val="21"/>
          <w:shd w:val="clear" w:fill="FFFFFF"/>
          <w:vertAlign w:val="baseline"/>
        </w:rPr>
        <w:t>）：　        </w:t>
      </w:r>
    </w:p>
    <w:p w14:paraId="64AADF04">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日期：　     年　  月　  日         </w:t>
      </w:r>
    </w:p>
    <w:p w14:paraId="49377AA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shd w:val="clear" w:fill="FFFFFF"/>
          <w:vertAlign w:val="baseline"/>
        </w:rPr>
      </w:pPr>
    </w:p>
    <w:p w14:paraId="3A38750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1.产品如有型号，请在“产品名称”栏一并填写。</w:t>
      </w:r>
    </w:p>
    <w:p w14:paraId="25D16A2C">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2.生产厂名与厂址应与生产厂营业执照载明的相关信息保持一致。</w:t>
      </w:r>
    </w:p>
    <w:p w14:paraId="038E247C">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3.该产品的中国境内生产的组件成本占比相关要求实施前，“规定比例”栏可不填，下同。</w:t>
      </w:r>
    </w:p>
    <w:p w14:paraId="1AA3C7A2">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4.该产品的关键组件要求实施前，“关键组件”栏可不填，下同。</w:t>
      </w:r>
    </w:p>
    <w:p w14:paraId="5203025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shd w:val="clear" w:fill="FFFFFF"/>
          <w:vertAlign w:val="baseline"/>
        </w:rPr>
        <w:t>5.该产品的关键工序要求实施前，“关键工序”栏可不填，下同。</w:t>
      </w:r>
    </w:p>
    <w:p w14:paraId="1DE13E96">
      <w:pPr>
        <w:spacing w:line="360" w:lineRule="auto"/>
        <w:ind w:firstLine="420" w:firstLineChars="200"/>
        <w:jc w:val="left"/>
        <w:rPr>
          <w:rFonts w:hint="eastAsia" w:ascii="仿宋" w:hAnsi="仿宋" w:eastAsia="仿宋" w:cs="仿宋"/>
          <w:color w:val="auto"/>
          <w:szCs w:val="21"/>
          <w:highlight w:val="none"/>
        </w:rPr>
      </w:pPr>
    </w:p>
    <w:p w14:paraId="00C75C71">
      <w:pPr>
        <w:spacing w:line="360" w:lineRule="auto"/>
        <w:ind w:firstLine="420" w:firstLineChars="200"/>
        <w:jc w:val="left"/>
        <w:rPr>
          <w:rFonts w:hint="eastAsia" w:ascii="仿宋" w:hAnsi="仿宋" w:eastAsia="仿宋" w:cs="仿宋"/>
          <w:color w:val="auto"/>
          <w:szCs w:val="21"/>
          <w:highlight w:val="none"/>
        </w:rPr>
        <w:sectPr>
          <w:pgSz w:w="11906" w:h="16838"/>
          <w:pgMar w:top="1418" w:right="1418" w:bottom="1418" w:left="1418" w:header="936" w:footer="720" w:gutter="0"/>
          <w:cols w:space="720" w:num="1"/>
          <w:docGrid w:type="linesAndChars" w:linePitch="331" w:charSpace="0"/>
        </w:sectPr>
      </w:pPr>
    </w:p>
    <w:p w14:paraId="496669A8">
      <w:pPr>
        <w:pStyle w:val="3"/>
        <w:numPr>
          <w:ilvl w:val="0"/>
          <w:numId w:val="0"/>
        </w:numPr>
        <w:ind w:left="425"/>
        <w:jc w:val="center"/>
        <w:rPr>
          <w:rFonts w:hint="eastAsia" w:ascii="仿宋" w:hAnsi="仿宋" w:eastAsia="仿宋" w:cs="仿宋"/>
          <w:color w:val="auto"/>
          <w:sz w:val="32"/>
          <w:szCs w:val="32"/>
          <w:highlight w:val="none"/>
          <w:lang w:eastAsia="zh-CN"/>
        </w:rPr>
      </w:pPr>
      <w:bookmarkStart w:id="175" w:name="_Toc5780249"/>
      <w:bookmarkStart w:id="176" w:name="_Toc89692667"/>
      <w:bookmarkStart w:id="177" w:name="_Toc28565"/>
      <w:r>
        <w:rPr>
          <w:rFonts w:hint="eastAsia" w:ascii="仿宋" w:hAnsi="仿宋" w:eastAsia="仿宋" w:cs="仿宋"/>
          <w:color w:val="auto"/>
          <w:sz w:val="32"/>
          <w:szCs w:val="32"/>
          <w:highlight w:val="none"/>
        </w:rPr>
        <w:t>（十</w:t>
      </w:r>
      <w:r>
        <w:rPr>
          <w:rFonts w:hint="eastAsia" w:ascii="仿宋" w:hAnsi="仿宋" w:eastAsia="仿宋" w:cs="仿宋"/>
          <w:color w:val="auto"/>
          <w:sz w:val="32"/>
          <w:szCs w:val="32"/>
          <w:highlight w:val="none"/>
          <w:lang w:val="en-US" w:eastAsia="zh-CN"/>
        </w:rPr>
        <w:t>三</w:t>
      </w:r>
      <w:r>
        <w:rPr>
          <w:rFonts w:hint="eastAsia" w:ascii="仿宋" w:hAnsi="仿宋" w:eastAsia="仿宋" w:cs="仿宋"/>
          <w:color w:val="auto"/>
          <w:sz w:val="32"/>
          <w:szCs w:val="32"/>
          <w:highlight w:val="none"/>
        </w:rPr>
        <w:t>）</w:t>
      </w:r>
      <w:bookmarkEnd w:id="175"/>
      <w:r>
        <w:rPr>
          <w:rFonts w:hint="eastAsia" w:ascii="仿宋" w:hAnsi="仿宋" w:eastAsia="仿宋" w:cs="仿宋"/>
          <w:color w:val="auto"/>
          <w:sz w:val="32"/>
          <w:szCs w:val="32"/>
          <w:highlight w:val="none"/>
        </w:rPr>
        <w:t>残疾人福利性单位声明函</w:t>
      </w:r>
      <w:bookmarkEnd w:id="176"/>
      <w:r>
        <w:rPr>
          <w:rFonts w:hint="eastAsia" w:ascii="仿宋" w:hAnsi="仿宋" w:eastAsia="仿宋" w:cs="仿宋"/>
          <w:color w:val="auto"/>
          <w:sz w:val="32"/>
          <w:szCs w:val="32"/>
          <w:highlight w:val="none"/>
          <w:lang w:eastAsia="zh-CN"/>
        </w:rPr>
        <w:t>、监狱企业</w:t>
      </w:r>
      <w:bookmarkEnd w:id="177"/>
    </w:p>
    <w:p w14:paraId="05764614">
      <w:pPr>
        <w:pStyle w:val="17"/>
        <w:spacing w:line="360" w:lineRule="auto"/>
        <w:jc w:val="center"/>
        <w:rPr>
          <w:rFonts w:hint="eastAsia" w:ascii="仿宋" w:hAnsi="仿宋" w:eastAsia="仿宋" w:cs="仿宋"/>
          <w:b/>
          <w:color w:val="auto"/>
          <w:sz w:val="24"/>
          <w:szCs w:val="24"/>
          <w:highlight w:val="none"/>
        </w:rPr>
      </w:pPr>
      <w:bookmarkStart w:id="178" w:name="_Toc530745470"/>
      <w:bookmarkStart w:id="179" w:name="_Toc5780251"/>
      <w:bookmarkStart w:id="180" w:name="_Hlk512677434"/>
      <w:bookmarkStart w:id="181" w:name="_Hlk512677445"/>
    </w:p>
    <w:p w14:paraId="6AD1A346">
      <w:pPr>
        <w:pStyle w:val="17"/>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残疾人福利性单位声明函</w:t>
      </w:r>
      <w:bookmarkEnd w:id="178"/>
      <w:bookmarkEnd w:id="179"/>
    </w:p>
    <w:p w14:paraId="6AF245E1">
      <w:pPr>
        <w:spacing w:line="360" w:lineRule="auto"/>
        <w:ind w:firstLine="560" w:firstLineChars="200"/>
        <w:rPr>
          <w:rFonts w:hint="eastAsia" w:ascii="仿宋" w:hAnsi="仿宋" w:eastAsia="仿宋" w:cs="仿宋"/>
          <w:b/>
          <w:color w:val="auto"/>
          <w:sz w:val="28"/>
          <w:szCs w:val="28"/>
          <w:highlight w:val="none"/>
        </w:rPr>
      </w:pPr>
    </w:p>
    <w:p w14:paraId="0068AFF0">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本单位郑重声明，根据《财政部 民政部 中国残疾人联合会关于促进残疾人就业政府采购政策的通知》（财库</w:t>
      </w:r>
      <w:r>
        <w:rPr>
          <w:rFonts w:hint="eastAsia" w:ascii="仿宋" w:hAnsi="仿宋" w:eastAsia="仿宋" w:cs="仿宋"/>
          <w:color w:val="auto"/>
          <w:szCs w:val="21"/>
          <w:highlight w:val="none"/>
          <w:lang w:eastAsia="zh-CN"/>
        </w:rPr>
        <w:t>〔2017〕141号</w:t>
      </w:r>
      <w:r>
        <w:rPr>
          <w:rFonts w:hint="eastAsia" w:ascii="仿宋" w:hAnsi="仿宋" w:eastAsia="仿宋" w:cs="仿宋"/>
          <w:color w:val="auto"/>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2D7D25">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本单位对上述声明的真实性负责。如有虚假，将依法承担相应责任。</w:t>
      </w:r>
    </w:p>
    <w:p w14:paraId="534420EC">
      <w:pPr>
        <w:spacing w:line="360" w:lineRule="auto"/>
        <w:ind w:firstLine="420" w:firstLineChars="200"/>
        <w:rPr>
          <w:rFonts w:hint="eastAsia" w:ascii="仿宋" w:hAnsi="仿宋" w:eastAsia="仿宋" w:cs="仿宋"/>
          <w:color w:val="auto"/>
          <w:szCs w:val="21"/>
          <w:highlight w:val="none"/>
        </w:rPr>
      </w:pPr>
    </w:p>
    <w:p w14:paraId="0F39BBEE">
      <w:pPr>
        <w:spacing w:line="360" w:lineRule="auto"/>
        <w:ind w:firstLine="420" w:firstLineChars="200"/>
        <w:rPr>
          <w:rFonts w:hint="eastAsia" w:ascii="仿宋" w:hAnsi="仿宋" w:eastAsia="仿宋" w:cs="仿宋"/>
          <w:color w:val="auto"/>
          <w:szCs w:val="21"/>
          <w:highlight w:val="none"/>
        </w:rPr>
      </w:pPr>
    </w:p>
    <w:p w14:paraId="41329F72">
      <w:pPr>
        <w:pStyle w:val="17"/>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652C47E5">
      <w:pPr>
        <w:pStyle w:val="17"/>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法定代表人或委托代理人：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1B6FED61">
      <w:pPr>
        <w:pStyle w:val="17"/>
        <w:spacing w:line="360" w:lineRule="auto"/>
        <w:ind w:right="840" w:firstLine="5460" w:firstLineChars="26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日  期：</w:t>
      </w:r>
      <w:r>
        <w:rPr>
          <w:rFonts w:hint="eastAsia" w:ascii="仿宋" w:hAnsi="仿宋" w:eastAsia="仿宋" w:cs="仿宋"/>
          <w:color w:val="auto"/>
          <w:szCs w:val="21"/>
          <w:highlight w:val="none"/>
          <w:u w:val="single"/>
        </w:rPr>
        <w:t xml:space="preserve">                      </w:t>
      </w:r>
    </w:p>
    <w:bookmarkEnd w:id="180"/>
    <w:bookmarkEnd w:id="181"/>
    <w:p w14:paraId="3ABF1B5B">
      <w:pPr>
        <w:spacing w:line="360" w:lineRule="auto"/>
        <w:jc w:val="left"/>
        <w:rPr>
          <w:rFonts w:hint="eastAsia" w:ascii="仿宋" w:hAnsi="仿宋" w:eastAsia="仿宋" w:cs="仿宋"/>
          <w:color w:val="auto"/>
          <w:szCs w:val="21"/>
          <w:highlight w:val="none"/>
        </w:rPr>
      </w:pPr>
    </w:p>
    <w:p w14:paraId="74228374">
      <w:pPr>
        <w:spacing w:line="360" w:lineRule="auto"/>
        <w:jc w:val="lef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注：中标人为残疾人福利性单位的，其《残疾人福利性单位声明函》将随中标结果同时公告，接受社会监督。投标人提供的《残疾人福利性单位声明函》与事实不符的，依照</w:t>
      </w:r>
      <w:r>
        <w:rPr>
          <w:rFonts w:hint="eastAsia" w:ascii="仿宋" w:hAnsi="仿宋" w:eastAsia="仿宋" w:cs="仿宋"/>
          <w:b/>
          <w:color w:val="auto"/>
          <w:szCs w:val="21"/>
          <w:highlight w:val="none"/>
          <w:lang w:eastAsia="zh-CN"/>
        </w:rPr>
        <w:t>《中华人民共和国政府采购法》</w:t>
      </w:r>
      <w:r>
        <w:rPr>
          <w:rFonts w:hint="eastAsia" w:ascii="仿宋" w:hAnsi="仿宋" w:eastAsia="仿宋" w:cs="仿宋"/>
          <w:b/>
          <w:color w:val="auto"/>
          <w:szCs w:val="21"/>
          <w:highlight w:val="none"/>
        </w:rPr>
        <w:t>第七十七条第一款的规定追究法律责任。</w:t>
      </w:r>
    </w:p>
    <w:p w14:paraId="47644720">
      <w:pPr>
        <w:widowControl/>
        <w:jc w:val="left"/>
        <w:rPr>
          <w:rFonts w:hint="eastAsia" w:ascii="仿宋" w:hAnsi="仿宋" w:eastAsia="仿宋" w:cs="仿宋"/>
          <w:b/>
          <w:color w:val="auto"/>
          <w:sz w:val="28"/>
          <w:szCs w:val="28"/>
          <w:highlight w:val="none"/>
        </w:rPr>
      </w:pPr>
      <w:bookmarkStart w:id="182" w:name="_Toc530745471"/>
      <w:bookmarkStart w:id="183" w:name="_Toc523832877"/>
      <w:bookmarkStart w:id="184" w:name="_Toc5780252"/>
    </w:p>
    <w:p w14:paraId="252FA04E">
      <w:pPr>
        <w:widowControl/>
        <w:jc w:val="left"/>
        <w:rPr>
          <w:rFonts w:hint="eastAsia" w:ascii="仿宋" w:hAnsi="仿宋" w:eastAsia="仿宋" w:cs="仿宋"/>
          <w:b/>
          <w:color w:val="auto"/>
          <w:sz w:val="28"/>
          <w:szCs w:val="28"/>
          <w:highlight w:val="none"/>
        </w:rPr>
      </w:pPr>
    </w:p>
    <w:p w14:paraId="60E1C270">
      <w:pPr>
        <w:widowControl/>
        <w:jc w:val="left"/>
        <w:rPr>
          <w:rFonts w:hint="eastAsia" w:ascii="仿宋" w:hAnsi="仿宋" w:eastAsia="仿宋" w:cs="仿宋"/>
          <w:b/>
          <w:color w:val="auto"/>
          <w:sz w:val="28"/>
          <w:szCs w:val="28"/>
          <w:highlight w:val="none"/>
        </w:rPr>
      </w:pPr>
    </w:p>
    <w:p w14:paraId="6A02D6C2">
      <w:pPr>
        <w:widowControl/>
        <w:jc w:val="left"/>
        <w:rPr>
          <w:rFonts w:hint="eastAsia" w:ascii="仿宋" w:hAnsi="仿宋" w:eastAsia="仿宋" w:cs="仿宋"/>
          <w:b/>
          <w:color w:val="auto"/>
          <w:sz w:val="28"/>
          <w:szCs w:val="28"/>
          <w:highlight w:val="none"/>
        </w:rPr>
      </w:pPr>
    </w:p>
    <w:p w14:paraId="51C9F29E">
      <w:pPr>
        <w:pStyle w:val="48"/>
        <w:rPr>
          <w:rFonts w:hint="eastAsia" w:ascii="仿宋" w:hAnsi="仿宋" w:eastAsia="仿宋" w:cs="仿宋"/>
          <w:color w:val="auto"/>
          <w:highlight w:val="none"/>
        </w:rPr>
      </w:pPr>
    </w:p>
    <w:p w14:paraId="5BE1590A">
      <w:pPr>
        <w:pStyle w:val="48"/>
        <w:rPr>
          <w:rFonts w:hint="eastAsia" w:ascii="仿宋" w:hAnsi="仿宋" w:eastAsia="仿宋" w:cs="仿宋"/>
          <w:color w:val="auto"/>
          <w:highlight w:val="none"/>
        </w:rPr>
      </w:pPr>
    </w:p>
    <w:p w14:paraId="66300FC7">
      <w:pPr>
        <w:pStyle w:val="48"/>
        <w:rPr>
          <w:rFonts w:hint="eastAsia" w:ascii="仿宋" w:hAnsi="仿宋" w:eastAsia="仿宋" w:cs="仿宋"/>
          <w:color w:val="auto"/>
          <w:highlight w:val="none"/>
        </w:rPr>
      </w:pPr>
    </w:p>
    <w:p w14:paraId="473C036D">
      <w:pPr>
        <w:widowControl/>
        <w:jc w:val="left"/>
        <w:rPr>
          <w:rFonts w:hint="eastAsia" w:ascii="仿宋" w:hAnsi="仿宋" w:eastAsia="仿宋" w:cs="仿宋"/>
          <w:b/>
          <w:color w:val="auto"/>
          <w:sz w:val="28"/>
          <w:szCs w:val="28"/>
          <w:highlight w:val="none"/>
        </w:rPr>
      </w:pPr>
    </w:p>
    <w:p w14:paraId="76D60578">
      <w:pPr>
        <w:widowControl/>
        <w:jc w:val="left"/>
        <w:rPr>
          <w:rFonts w:hint="eastAsia" w:ascii="仿宋" w:hAnsi="仿宋" w:eastAsia="仿宋" w:cs="仿宋"/>
          <w:b/>
          <w:color w:val="auto"/>
          <w:sz w:val="28"/>
          <w:szCs w:val="28"/>
          <w:highlight w:val="none"/>
        </w:rPr>
      </w:pPr>
    </w:p>
    <w:p w14:paraId="5DADB118">
      <w:pPr>
        <w:widowControl/>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2</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监狱企业证明文件</w:t>
      </w:r>
      <w:bookmarkEnd w:id="182"/>
      <w:bookmarkEnd w:id="183"/>
      <w:bookmarkEnd w:id="184"/>
    </w:p>
    <w:p w14:paraId="54E26469">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DBC0B4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监狱企业参加政府采购活动时，应当提供由省级以上监狱管理局、戒毒管理局（含新疆生产建设兵团）出具的属于监狱企业的证明文件。</w:t>
      </w:r>
    </w:p>
    <w:p w14:paraId="5A8C662F">
      <w:pPr>
        <w:spacing w:line="360" w:lineRule="auto"/>
        <w:ind w:firstLine="420" w:firstLineChars="200"/>
        <w:jc w:val="left"/>
        <w:rPr>
          <w:rFonts w:hint="eastAsia" w:ascii="仿宋" w:hAnsi="仿宋" w:eastAsia="仿宋" w:cs="仿宋"/>
          <w:color w:val="auto"/>
          <w:szCs w:val="21"/>
          <w:highlight w:val="none"/>
        </w:rPr>
      </w:pPr>
    </w:p>
    <w:p w14:paraId="17E75741">
      <w:pPr>
        <w:spacing w:line="360" w:lineRule="auto"/>
        <w:ind w:firstLine="420" w:firstLineChars="200"/>
        <w:jc w:val="left"/>
        <w:rPr>
          <w:rFonts w:hint="eastAsia" w:ascii="仿宋" w:hAnsi="仿宋" w:eastAsia="仿宋" w:cs="仿宋"/>
          <w:color w:val="auto"/>
          <w:szCs w:val="21"/>
          <w:highlight w:val="none"/>
        </w:rPr>
      </w:pPr>
    </w:p>
    <w:p w14:paraId="6718A513">
      <w:pPr>
        <w:spacing w:line="360" w:lineRule="auto"/>
        <w:ind w:firstLine="420" w:firstLineChars="200"/>
        <w:jc w:val="left"/>
        <w:rPr>
          <w:rFonts w:hint="eastAsia" w:ascii="仿宋" w:hAnsi="仿宋" w:eastAsia="仿宋" w:cs="仿宋"/>
          <w:color w:val="auto"/>
          <w:szCs w:val="21"/>
          <w:highlight w:val="none"/>
        </w:rPr>
      </w:pPr>
    </w:p>
    <w:p w14:paraId="513C3ECD">
      <w:pPr>
        <w:spacing w:line="360" w:lineRule="auto"/>
        <w:ind w:firstLine="420" w:firstLineChars="200"/>
        <w:jc w:val="left"/>
        <w:rPr>
          <w:rFonts w:hint="eastAsia" w:ascii="仿宋" w:hAnsi="仿宋" w:eastAsia="仿宋" w:cs="仿宋"/>
          <w:color w:val="auto"/>
          <w:szCs w:val="21"/>
          <w:highlight w:val="none"/>
        </w:rPr>
      </w:pPr>
    </w:p>
    <w:p w14:paraId="68AB2198">
      <w:pPr>
        <w:spacing w:line="360" w:lineRule="auto"/>
        <w:ind w:firstLine="420" w:firstLineChars="200"/>
        <w:jc w:val="left"/>
        <w:rPr>
          <w:rFonts w:hint="eastAsia" w:ascii="仿宋" w:hAnsi="仿宋" w:eastAsia="仿宋" w:cs="仿宋"/>
          <w:color w:val="auto"/>
          <w:szCs w:val="21"/>
          <w:highlight w:val="none"/>
        </w:rPr>
      </w:pPr>
    </w:p>
    <w:p w14:paraId="6C98125F">
      <w:pPr>
        <w:spacing w:line="360" w:lineRule="auto"/>
        <w:ind w:firstLine="420" w:firstLineChars="200"/>
        <w:jc w:val="left"/>
        <w:rPr>
          <w:rFonts w:hint="eastAsia" w:ascii="仿宋" w:hAnsi="仿宋" w:eastAsia="仿宋" w:cs="仿宋"/>
          <w:color w:val="auto"/>
          <w:szCs w:val="21"/>
          <w:highlight w:val="none"/>
        </w:rPr>
      </w:pPr>
    </w:p>
    <w:p w14:paraId="6F2AE3F0">
      <w:pPr>
        <w:spacing w:line="360" w:lineRule="auto"/>
        <w:ind w:firstLine="420" w:firstLineChars="200"/>
        <w:jc w:val="left"/>
        <w:rPr>
          <w:rFonts w:hint="eastAsia" w:ascii="仿宋" w:hAnsi="仿宋" w:eastAsia="仿宋" w:cs="仿宋"/>
          <w:color w:val="auto"/>
          <w:szCs w:val="21"/>
          <w:highlight w:val="none"/>
        </w:rPr>
      </w:pPr>
    </w:p>
    <w:p w14:paraId="63AAEF3F">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BDDAED6">
      <w:pPr>
        <w:pStyle w:val="17"/>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.节能产品/环境标志产品承诺书（按需提供）</w:t>
      </w:r>
    </w:p>
    <w:p w14:paraId="04B16E96">
      <w:pPr>
        <w:pStyle w:val="48"/>
        <w:spacing w:before="156"/>
        <w:ind w:firstLine="420"/>
        <w:rPr>
          <w:rFonts w:hint="eastAsia" w:ascii="仿宋" w:hAnsi="仿宋" w:eastAsia="仿宋" w:cs="仿宋"/>
          <w:color w:val="auto"/>
          <w:highlight w:val="none"/>
        </w:rPr>
      </w:pPr>
    </w:p>
    <w:p w14:paraId="2F7E4FE2">
      <w:pPr>
        <w:pStyle w:val="48"/>
        <w:spacing w:before="156"/>
        <w:ind w:firstLine="420"/>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致    （采购人名称）  ；</w:t>
      </w:r>
    </w:p>
    <w:p w14:paraId="0A1FFCCE">
      <w:pPr>
        <w:pStyle w:val="48"/>
        <w:spacing w:before="156"/>
        <w:ind w:firstLine="420"/>
        <w:rPr>
          <w:rFonts w:hint="eastAsia" w:ascii="仿宋" w:hAnsi="仿宋" w:eastAsia="仿宋" w:cs="仿宋"/>
          <w:color w:val="auto"/>
          <w:kern w:val="2"/>
          <w:sz w:val="21"/>
          <w:szCs w:val="21"/>
          <w:highlight w:val="none"/>
        </w:rPr>
      </w:pPr>
    </w:p>
    <w:p w14:paraId="4D23B54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本单位承诺，根据《财政部发展改革委生态环境部市场监管总局关于调整优化节能产品、环境标志产品政府采购执行机制的通知》（财库</w:t>
      </w:r>
      <w:r>
        <w:rPr>
          <w:rFonts w:hint="eastAsia" w:ascii="仿宋" w:hAnsi="仿宋" w:eastAsia="仿宋" w:cs="仿宋"/>
          <w:color w:val="auto"/>
          <w:szCs w:val="21"/>
          <w:highlight w:val="none"/>
          <w:lang w:eastAsia="zh-CN"/>
        </w:rPr>
        <w:t>〔2019〕9号</w:t>
      </w:r>
      <w:r>
        <w:rPr>
          <w:rFonts w:hint="eastAsia" w:ascii="仿宋" w:hAnsi="仿宋" w:eastAsia="仿宋" w:cs="仿宋"/>
          <w:color w:val="auto"/>
          <w:szCs w:val="21"/>
          <w:highlight w:val="none"/>
        </w:rPr>
        <w:t>）的规定，本单位提供的（产品名称）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w:t>
      </w:r>
    </w:p>
    <w:p w14:paraId="17B4ACA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本单位对上述承诺的真实性负责。如有虚假，将依法承担相应责任。</w:t>
      </w:r>
    </w:p>
    <w:p w14:paraId="1CCBEF68">
      <w:pPr>
        <w:pStyle w:val="48"/>
        <w:spacing w:before="156"/>
        <w:ind w:firstLine="420"/>
        <w:rPr>
          <w:rFonts w:hint="eastAsia" w:ascii="仿宋" w:hAnsi="仿宋" w:eastAsia="仿宋" w:cs="仿宋"/>
          <w:color w:val="auto"/>
          <w:kern w:val="2"/>
          <w:sz w:val="21"/>
          <w:szCs w:val="21"/>
          <w:highlight w:val="none"/>
        </w:rPr>
      </w:pPr>
    </w:p>
    <w:p w14:paraId="1B682727">
      <w:pPr>
        <w:tabs>
          <w:tab w:val="left" w:pos="4860"/>
        </w:tabs>
        <w:spacing w:line="588" w:lineRule="exact"/>
        <w:ind w:right="1560" w:firstLine="420" w:firstLineChars="2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p>
    <w:p w14:paraId="547EFE09">
      <w:pPr>
        <w:tabs>
          <w:tab w:val="left" w:pos="4860"/>
        </w:tabs>
        <w:spacing w:line="588" w:lineRule="exact"/>
        <w:ind w:right="1560" w:firstLine="420" w:firstLineChars="200"/>
        <w:jc w:val="center"/>
        <w:rPr>
          <w:rFonts w:hint="eastAsia" w:ascii="仿宋" w:hAnsi="仿宋" w:eastAsia="仿宋" w:cs="仿宋"/>
          <w:color w:val="auto"/>
          <w:szCs w:val="21"/>
          <w:highlight w:val="none"/>
        </w:rPr>
      </w:pPr>
    </w:p>
    <w:p w14:paraId="43F6A3C1">
      <w:pPr>
        <w:tabs>
          <w:tab w:val="left" w:pos="4860"/>
        </w:tabs>
        <w:spacing w:line="588" w:lineRule="exact"/>
        <w:ind w:right="1560" w:firstLine="420" w:firstLineChars="200"/>
        <w:jc w:val="center"/>
        <w:rPr>
          <w:rFonts w:hint="eastAsia" w:ascii="仿宋" w:hAnsi="仿宋" w:eastAsia="仿宋" w:cs="仿宋"/>
          <w:color w:val="auto"/>
          <w:szCs w:val="21"/>
          <w:highlight w:val="none"/>
        </w:rPr>
      </w:pPr>
    </w:p>
    <w:p w14:paraId="7A868C70">
      <w:pPr>
        <w:tabs>
          <w:tab w:val="left" w:pos="4860"/>
        </w:tabs>
        <w:spacing w:line="588" w:lineRule="exact"/>
        <w:ind w:right="1560" w:firstLine="420" w:firstLineChars="20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企业名称（电子签章）： </w:t>
      </w:r>
    </w:p>
    <w:p w14:paraId="720E5731">
      <w:pPr>
        <w:pStyle w:val="48"/>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 xml:space="preserve">                                                 日期：    </w:t>
      </w:r>
    </w:p>
    <w:p w14:paraId="3B7120CD">
      <w:pPr>
        <w:pStyle w:val="48"/>
        <w:rPr>
          <w:rFonts w:hint="eastAsia" w:ascii="仿宋" w:hAnsi="仿宋" w:eastAsia="仿宋" w:cs="仿宋"/>
          <w:color w:val="auto"/>
          <w:highlight w:val="none"/>
        </w:rPr>
      </w:pPr>
    </w:p>
    <w:p w14:paraId="08C8325A">
      <w:pPr>
        <w:spacing w:line="360" w:lineRule="auto"/>
        <w:ind w:firstLine="420" w:firstLineChars="200"/>
        <w:jc w:val="left"/>
        <w:rPr>
          <w:rFonts w:hint="eastAsia" w:ascii="仿宋" w:hAnsi="仿宋" w:eastAsia="仿宋" w:cs="仿宋"/>
          <w:color w:val="auto"/>
          <w:szCs w:val="21"/>
          <w:highlight w:val="none"/>
        </w:rPr>
      </w:pPr>
    </w:p>
    <w:p w14:paraId="4A5AC56A">
      <w:pPr>
        <w:spacing w:line="360" w:lineRule="auto"/>
        <w:ind w:firstLine="420" w:firstLineChars="200"/>
        <w:jc w:val="left"/>
        <w:rPr>
          <w:rFonts w:hint="eastAsia" w:ascii="仿宋" w:hAnsi="仿宋" w:eastAsia="仿宋" w:cs="仿宋"/>
          <w:color w:val="auto"/>
          <w:szCs w:val="21"/>
          <w:highlight w:val="none"/>
        </w:rPr>
      </w:pPr>
    </w:p>
    <w:p w14:paraId="0FB9DF13">
      <w:pPr>
        <w:spacing w:line="360" w:lineRule="auto"/>
        <w:ind w:firstLine="420" w:firstLineChars="200"/>
        <w:jc w:val="left"/>
        <w:rPr>
          <w:rFonts w:hint="eastAsia" w:ascii="仿宋" w:hAnsi="仿宋" w:eastAsia="仿宋" w:cs="仿宋"/>
          <w:color w:val="auto"/>
          <w:szCs w:val="21"/>
          <w:highlight w:val="none"/>
        </w:rPr>
      </w:pPr>
    </w:p>
    <w:p w14:paraId="1C8BF5B1">
      <w:pPr>
        <w:spacing w:line="360" w:lineRule="auto"/>
        <w:ind w:firstLine="420" w:firstLineChars="200"/>
        <w:jc w:val="left"/>
        <w:rPr>
          <w:rFonts w:hint="eastAsia" w:ascii="仿宋" w:hAnsi="仿宋" w:eastAsia="仿宋" w:cs="仿宋"/>
          <w:color w:val="auto"/>
          <w:szCs w:val="21"/>
          <w:highlight w:val="none"/>
        </w:rPr>
      </w:pPr>
    </w:p>
    <w:p w14:paraId="56BD772C">
      <w:pPr>
        <w:spacing w:line="360" w:lineRule="auto"/>
        <w:ind w:firstLine="420" w:firstLineChars="200"/>
        <w:jc w:val="left"/>
        <w:rPr>
          <w:rFonts w:hint="eastAsia" w:ascii="仿宋" w:hAnsi="仿宋" w:eastAsia="仿宋" w:cs="仿宋"/>
          <w:color w:val="auto"/>
          <w:szCs w:val="21"/>
          <w:highlight w:val="none"/>
        </w:rPr>
      </w:pPr>
    </w:p>
    <w:p w14:paraId="0BFBFBA1">
      <w:pPr>
        <w:spacing w:line="360" w:lineRule="auto"/>
        <w:ind w:firstLine="420" w:firstLineChars="200"/>
        <w:jc w:val="left"/>
        <w:rPr>
          <w:rFonts w:hint="eastAsia" w:ascii="仿宋" w:hAnsi="仿宋" w:eastAsia="仿宋" w:cs="仿宋"/>
          <w:color w:val="auto"/>
          <w:szCs w:val="21"/>
          <w:highlight w:val="none"/>
        </w:rPr>
      </w:pPr>
    </w:p>
    <w:p w14:paraId="661EBBED">
      <w:pPr>
        <w:spacing w:line="360" w:lineRule="auto"/>
        <w:ind w:firstLine="420" w:firstLineChars="200"/>
        <w:jc w:val="left"/>
        <w:rPr>
          <w:rFonts w:hint="eastAsia" w:ascii="仿宋" w:hAnsi="仿宋" w:eastAsia="仿宋" w:cs="仿宋"/>
          <w:color w:val="auto"/>
          <w:szCs w:val="21"/>
          <w:highlight w:val="none"/>
        </w:rPr>
      </w:pPr>
    </w:p>
    <w:p w14:paraId="7FD78035">
      <w:pPr>
        <w:spacing w:line="360" w:lineRule="auto"/>
        <w:ind w:firstLine="420" w:firstLineChars="200"/>
        <w:jc w:val="left"/>
        <w:rPr>
          <w:rFonts w:hint="eastAsia" w:ascii="仿宋" w:hAnsi="仿宋" w:eastAsia="仿宋" w:cs="仿宋"/>
          <w:color w:val="auto"/>
          <w:szCs w:val="21"/>
          <w:highlight w:val="none"/>
        </w:rPr>
      </w:pPr>
    </w:p>
    <w:p w14:paraId="2C792BC9">
      <w:pPr>
        <w:spacing w:line="360" w:lineRule="auto"/>
        <w:ind w:firstLine="420" w:firstLineChars="200"/>
        <w:jc w:val="left"/>
        <w:rPr>
          <w:rFonts w:hint="eastAsia" w:ascii="仿宋" w:hAnsi="仿宋" w:eastAsia="仿宋" w:cs="仿宋"/>
          <w:color w:val="auto"/>
          <w:szCs w:val="21"/>
          <w:highlight w:val="none"/>
        </w:rPr>
      </w:pPr>
    </w:p>
    <w:p w14:paraId="2D704EA1">
      <w:pPr>
        <w:spacing w:line="360" w:lineRule="auto"/>
        <w:ind w:firstLine="420" w:firstLineChars="200"/>
        <w:jc w:val="left"/>
        <w:rPr>
          <w:rFonts w:hint="eastAsia" w:ascii="仿宋" w:hAnsi="仿宋" w:eastAsia="仿宋" w:cs="仿宋"/>
          <w:color w:val="auto"/>
          <w:szCs w:val="21"/>
          <w:highlight w:val="none"/>
        </w:rPr>
      </w:pPr>
    </w:p>
    <w:p w14:paraId="0DE68AE0">
      <w:pPr>
        <w:pStyle w:val="2"/>
        <w:numPr>
          <w:ilvl w:val="0"/>
          <w:numId w:val="0"/>
        </w:numPr>
        <w:spacing w:before="0"/>
        <w:jc w:val="center"/>
        <w:rPr>
          <w:rFonts w:hint="eastAsia" w:ascii="仿宋" w:hAnsi="仿宋" w:eastAsia="仿宋" w:cs="仿宋"/>
          <w:color w:val="auto"/>
          <w:sz w:val="36"/>
          <w:highlight w:val="none"/>
        </w:rPr>
      </w:pPr>
      <w:bookmarkStart w:id="185" w:name="_Toc12956"/>
      <w:r>
        <w:rPr>
          <w:rFonts w:hint="eastAsia" w:ascii="仿宋" w:hAnsi="仿宋" w:eastAsia="仿宋" w:cs="仿宋"/>
          <w:color w:val="auto"/>
          <w:sz w:val="36"/>
          <w:highlight w:val="none"/>
        </w:rPr>
        <w:t>第五章  采购需求</w:t>
      </w:r>
      <w:bookmarkEnd w:id="185"/>
    </w:p>
    <w:p w14:paraId="1EB22415">
      <w:pPr>
        <w:rPr>
          <w:rFonts w:hint="eastAsia" w:ascii="仿宋" w:hAnsi="仿宋" w:eastAsia="仿宋" w:cs="仿宋"/>
          <w:color w:val="auto"/>
          <w:highlight w:val="none"/>
          <w:lang w:val="en-US" w:eastAsia="zh-CN"/>
        </w:rPr>
      </w:pPr>
    </w:p>
    <w:p w14:paraId="0F66A3F1">
      <w:pPr>
        <w:spacing w:before="380" w:after="140" w:line="288" w:lineRule="auto"/>
        <w:ind w:left="0"/>
        <w:jc w:val="left"/>
        <w:outlineLvl w:val="0"/>
        <w:rPr>
          <w:rFonts w:hint="eastAsia" w:ascii="仿宋" w:hAnsi="仿宋" w:eastAsia="仿宋" w:cs="仿宋"/>
          <w:sz w:val="24"/>
          <w:szCs w:val="24"/>
        </w:rPr>
      </w:pPr>
      <w:bookmarkStart w:id="186" w:name="heading_0"/>
      <w:r>
        <w:rPr>
          <w:rFonts w:hint="eastAsia" w:ascii="仿宋" w:hAnsi="仿宋" w:eastAsia="仿宋" w:cs="仿宋"/>
          <w:b/>
          <w:sz w:val="24"/>
          <w:szCs w:val="24"/>
        </w:rPr>
        <w:t>一、项目基本概况</w:t>
      </w:r>
      <w:bookmarkEnd w:id="186"/>
    </w:p>
    <w:p w14:paraId="45CF5691">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为保障昆明市东川区殡仪馆日常殡葬服务常态化、规范化、标准化开展，完善殡葬服务物资储备体系，提升殡仪服务标准化、人性化、环保化、安全化服务水平，规范殡葬用品采购、入库、储存、领用、结算及全流程管理，杜绝物资短缺、劣质用品流入服务场景，切实保障辖区群众殡葬服务合法权益。</w:t>
      </w:r>
    </w:p>
    <w:p w14:paraId="1EA587B2">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项目为殡仪馆刚需殡葬用品统一政府采购项目，采购范围涵盖实木骨灰盒系列、一次性环保可降解纸棺、标准化一次性捡灰托盘、成套棉质寿衣裤、遗体收纳尸袋、高温防护石棉垫、殡仪专用鲜花等全品类配套殡葬物资，均为日常殡仪服务、遗体处置、告别祭祀、应急保障必备物资。</w:t>
      </w:r>
    </w:p>
    <w:p w14:paraId="7A356C2B">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项目全程严格遵循《中华人民共和国政府采购法》《政府采购需求管理办法》《殡葬管理条例》，严格对标《木质骨灰盒通用技术条件》（GB/T 23288-2023）、《火化随葬品使用要求》（MZ/T 105-2017）、《寿衣及相关纺织品》（T/SFITA 005—2025）、《阻燃纸和纸板燃烧性能试验方法》（GB/T 14656-2009）等国家、省、市殡葬行业管理规范及环保、安全、消防、防疫标准，择优采购质量合格、工艺合规、性价比优良、安全环保、合规溯源的殡葬用品，全面满足辖区常态化殡葬服务及应急保障需求。</w:t>
      </w:r>
    </w:p>
    <w:p w14:paraId="30E36736">
      <w:pPr>
        <w:spacing w:before="380" w:after="140" w:line="288" w:lineRule="auto"/>
        <w:ind w:left="0"/>
        <w:jc w:val="left"/>
        <w:outlineLvl w:val="0"/>
        <w:rPr>
          <w:rFonts w:hint="eastAsia" w:ascii="仿宋" w:hAnsi="仿宋" w:eastAsia="仿宋" w:cs="仿宋"/>
          <w:sz w:val="24"/>
          <w:szCs w:val="24"/>
        </w:rPr>
      </w:pPr>
      <w:bookmarkStart w:id="187" w:name="heading_1"/>
      <w:r>
        <w:rPr>
          <w:rFonts w:hint="eastAsia" w:ascii="仿宋" w:hAnsi="仿宋" w:eastAsia="仿宋" w:cs="仿宋"/>
          <w:b/>
          <w:sz w:val="24"/>
          <w:szCs w:val="24"/>
        </w:rPr>
        <w:t>二、总体采购要求</w:t>
      </w:r>
      <w:bookmarkEnd w:id="187"/>
    </w:p>
    <w:p w14:paraId="60F805CC">
      <w:pPr>
        <w:spacing w:before="320" w:after="120" w:line="288" w:lineRule="auto"/>
        <w:ind w:left="0"/>
        <w:jc w:val="left"/>
        <w:outlineLvl w:val="1"/>
        <w:rPr>
          <w:rFonts w:hint="eastAsia" w:ascii="仿宋" w:hAnsi="仿宋" w:eastAsia="仿宋" w:cs="仿宋"/>
          <w:sz w:val="24"/>
          <w:szCs w:val="24"/>
        </w:rPr>
      </w:pPr>
      <w:bookmarkStart w:id="188" w:name="heading_2"/>
      <w:r>
        <w:rPr>
          <w:rFonts w:hint="eastAsia" w:ascii="仿宋" w:hAnsi="仿宋" w:eastAsia="仿宋" w:cs="仿宋"/>
          <w:b/>
          <w:sz w:val="24"/>
          <w:szCs w:val="24"/>
        </w:rPr>
        <w:t>（一）政策合规要求</w:t>
      </w:r>
      <w:bookmarkEnd w:id="188"/>
    </w:p>
    <w:p w14:paraId="27D4D229">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项目采购全过程严格遵守国家政府采购及殡葬行业相关法律法规，全面落实政府采购节能环保、优先采购合规产品、公平竞争、诚信履约、绿色殡葬政策要求。所有采购产品必须符合殡葬行业准入标准、生态环保标准、消防安全标准、公共卫生防疫标准，严禁采购、供应三无产品、劣质产品、非标产品、低俗殡葬用品及不符合环保焚烧标准的违规物资，全程杜绝不合格产品投入殡仪服务使用。供应商须严格遵守政府采购诚信准则，无政府采购失信记录、无重大违法违规经营记录。</w:t>
      </w:r>
    </w:p>
    <w:p w14:paraId="4D76E02A">
      <w:pPr>
        <w:spacing w:before="320" w:after="120" w:line="288" w:lineRule="auto"/>
        <w:ind w:left="0"/>
        <w:jc w:val="left"/>
        <w:outlineLvl w:val="1"/>
        <w:rPr>
          <w:rFonts w:hint="eastAsia" w:ascii="仿宋" w:hAnsi="仿宋" w:eastAsia="仿宋" w:cs="仿宋"/>
          <w:sz w:val="24"/>
          <w:szCs w:val="24"/>
        </w:rPr>
      </w:pPr>
      <w:bookmarkStart w:id="189" w:name="heading_3"/>
      <w:r>
        <w:rPr>
          <w:rFonts w:hint="eastAsia" w:ascii="仿宋" w:hAnsi="仿宋" w:eastAsia="仿宋" w:cs="仿宋"/>
          <w:b/>
          <w:sz w:val="24"/>
          <w:szCs w:val="24"/>
        </w:rPr>
        <w:t>（二）质量通用要求</w:t>
      </w:r>
      <w:bookmarkEnd w:id="189"/>
    </w:p>
    <w:p w14:paraId="23D21BAD">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所有供货产品均为全新未使用正品，无破损、变形、开裂、霉变、异味、脱线、毛刺、色差等质量瑕疵，材质纯正达标、工艺精细规整、尺寸精准合规。全部产品需通过国家权威检测，符合对应品类国家及行业标准，适配殡仪馆遗体处置、骨灰存放、告别祭祀、火化作业等全场景服务需求，具备良好的安全性、环保性、耐用性、阻燃性、密封性。所有产品焚烧、使用过程无有毒有害气体析出、无污染物残留，完全契合绿色殡葬发展要求。</w:t>
      </w:r>
    </w:p>
    <w:p w14:paraId="47401BB9">
      <w:pPr>
        <w:spacing w:before="320" w:after="120" w:line="288" w:lineRule="auto"/>
        <w:ind w:left="0"/>
        <w:jc w:val="left"/>
        <w:outlineLvl w:val="1"/>
        <w:rPr>
          <w:rFonts w:hint="eastAsia" w:ascii="仿宋" w:hAnsi="仿宋" w:eastAsia="仿宋" w:cs="仿宋"/>
          <w:sz w:val="24"/>
          <w:szCs w:val="24"/>
        </w:rPr>
      </w:pPr>
      <w:bookmarkStart w:id="190" w:name="heading_4"/>
      <w:r>
        <w:rPr>
          <w:rFonts w:hint="eastAsia" w:ascii="仿宋" w:hAnsi="仿宋" w:eastAsia="仿宋" w:cs="仿宋"/>
          <w:b/>
          <w:sz w:val="24"/>
          <w:szCs w:val="24"/>
        </w:rPr>
        <w:t>（三）供货通用要求</w:t>
      </w:r>
      <w:bookmarkEnd w:id="190"/>
    </w:p>
    <w:p w14:paraId="1993FA6C">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项目实行按需分批供货、动态库存保障、据实结算模式，无固定强制采购量。供应商需根据采购人日常服务量、库存周转情况、节假日及祭祀高峰期、应急服务需求，动态调整供货节奏。接到采购人书面、微信、电话补货通知后，24小时内完成响应，常规场景48小时内完成供货，紧急应急场景12小时内到位，全程保障物资库存充足、服务不间断、无物资短缺风险。</w:t>
      </w:r>
    </w:p>
    <w:p w14:paraId="01117603">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所有货物运输全程采用防潮、防震、防破损、防污染专项包装，分类封装、规范堆放，杜绝运输损耗。到货后主动配合采购人完成清点、抽样验收、质量核查、分类入库、台账登记等工作，同步随货提供产品合格证、第三方质检报告、环保检测证明、阻燃检测报告、材质溯源凭证等全套合规资料，做到一物一溯源、一批一备案。</w:t>
      </w:r>
    </w:p>
    <w:p w14:paraId="288F585A">
      <w:pPr>
        <w:spacing w:before="320" w:after="120" w:line="288" w:lineRule="auto"/>
        <w:ind w:left="0"/>
        <w:jc w:val="left"/>
        <w:outlineLvl w:val="1"/>
        <w:rPr>
          <w:rFonts w:hint="eastAsia" w:ascii="仿宋" w:hAnsi="仿宋" w:eastAsia="仿宋" w:cs="仿宋"/>
          <w:sz w:val="24"/>
          <w:szCs w:val="24"/>
        </w:rPr>
      </w:pPr>
      <w:bookmarkStart w:id="191" w:name="heading_5"/>
      <w:r>
        <w:rPr>
          <w:rFonts w:hint="eastAsia" w:ascii="仿宋" w:hAnsi="仿宋" w:eastAsia="仿宋" w:cs="仿宋"/>
          <w:b/>
          <w:sz w:val="24"/>
          <w:szCs w:val="24"/>
        </w:rPr>
        <w:t>（四）价格结算要求</w:t>
      </w:r>
      <w:bookmarkEnd w:id="191"/>
    </w:p>
    <w:p w14:paraId="2CB3846F">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项目所有产品进销价格严格按照本方案清单执行，进销差率合规可控。投标报价为全费用包干总价，包含材料费、加工制作费、工艺费、包装费、运输费、装卸费、税费、质检费、售后保障费、耗材配件、运输损耗、应急供货等所有履约费用，采购人无需额外支付任何费用。</w:t>
      </w:r>
    </w:p>
    <w:p w14:paraId="0ED43616">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项目所有单品投标单价、合同履约单价固定不变，合同期内不随市场价格波动调整。采购清单数量均为年度预估量，采购人可根据实际服务需求合理微调各品类采购比例及数量，供应商无条件配合。最终结算以采购人实际验收合格、实际领用使用的物资数量为准，严格执行据实结算原则，按月/按季度对账结算，结算流程完全遵循政府采购及合同约定要求。</w:t>
      </w:r>
    </w:p>
    <w:p w14:paraId="504ED23D">
      <w:pPr>
        <w:spacing w:before="380" w:after="140" w:line="288" w:lineRule="auto"/>
        <w:ind w:left="0"/>
        <w:jc w:val="left"/>
        <w:outlineLvl w:val="0"/>
        <w:rPr>
          <w:rFonts w:hint="eastAsia" w:ascii="仿宋" w:hAnsi="仿宋" w:eastAsia="仿宋" w:cs="仿宋"/>
          <w:sz w:val="24"/>
          <w:szCs w:val="24"/>
        </w:rPr>
      </w:pPr>
      <w:bookmarkStart w:id="192" w:name="heading_6"/>
      <w:r>
        <w:rPr>
          <w:rFonts w:hint="eastAsia" w:ascii="仿宋" w:hAnsi="仿宋" w:eastAsia="仿宋" w:cs="仿宋"/>
          <w:b/>
          <w:sz w:val="24"/>
          <w:szCs w:val="24"/>
        </w:rPr>
        <w:t>三、详细采购技术参数及清单（合规升级、细化国标参数）</w:t>
      </w:r>
      <w:bookmarkEnd w:id="192"/>
    </w:p>
    <w:p w14:paraId="3149A717">
      <w:pPr>
        <w:spacing w:before="320" w:after="120" w:line="288" w:lineRule="auto"/>
        <w:ind w:left="0"/>
        <w:jc w:val="left"/>
        <w:outlineLvl w:val="1"/>
        <w:rPr>
          <w:rFonts w:hint="eastAsia" w:ascii="仿宋" w:hAnsi="仿宋" w:eastAsia="仿宋" w:cs="仿宋"/>
          <w:sz w:val="24"/>
          <w:szCs w:val="24"/>
        </w:rPr>
      </w:pPr>
      <w:bookmarkStart w:id="193" w:name="heading_7"/>
      <w:r>
        <w:rPr>
          <w:rFonts w:hint="eastAsia" w:ascii="仿宋" w:hAnsi="仿宋" w:eastAsia="仿宋" w:cs="仿宋"/>
          <w:b/>
          <w:sz w:val="24"/>
          <w:szCs w:val="24"/>
        </w:rPr>
        <w:t>（一）实木骨灰盒系列（执行标准：GB/T 23288-2023、MZ/T 105-2017）</w:t>
      </w:r>
      <w:bookmarkEnd w:id="193"/>
    </w:p>
    <w:p w14:paraId="747CDE90">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系列所有实木骨灰盒统一规格尺寸38×26×26cm，严格契合国标尺寸公差要求，尺寸偏差≤±1mm；主材为纯实木，无拼接碎木、无密度板、无胶合板材，木材含水率控制在8%–12%，适配本地气候环境，杜绝开裂、变形、霉变、起翘。盒体打磨精细、漆面均匀牢固、无掉漆、无划痕、无毛刺，漆面采用环保水性漆，甲醛释放量符合国家E1级环保标准，无异味、无污染。</w:t>
      </w:r>
    </w:p>
    <w:p w14:paraId="0ED8B7E3">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结构工艺稳固，通过50kg静态加压24小时无变形、无开裂，50mm高度跌落测试无破损；造型端庄规整、纹饰对称均匀，符合殡葬礼仪规范及绿色火化标准，焚烧无重金属残留、无有毒气体析出。所有品类工艺等级区分清晰、质量梯度明确，具体采购明细及参数如下：</w:t>
      </w:r>
    </w:p>
    <w:tbl>
      <w:tblPr>
        <w:tblStyle w:val="36"/>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227"/>
        <w:gridCol w:w="604"/>
        <w:gridCol w:w="812"/>
        <w:gridCol w:w="1680"/>
        <w:gridCol w:w="1092"/>
        <w:gridCol w:w="3106"/>
      </w:tblGrid>
      <w:tr w14:paraId="61CA0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blHeader/>
          <w:jc w:val="center"/>
        </w:trPr>
        <w:tc>
          <w:tcPr>
            <w:tcW w:w="1271" w:type="dxa"/>
            <w:tcMar>
              <w:top w:w="60" w:type="dxa"/>
              <w:left w:w="120" w:type="dxa"/>
              <w:bottom w:w="30" w:type="dxa"/>
              <w:right w:w="120" w:type="dxa"/>
            </w:tcMar>
            <w:vAlign w:val="center"/>
          </w:tcPr>
          <w:p w14:paraId="79D30560">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品类</w:t>
            </w:r>
          </w:p>
        </w:tc>
        <w:tc>
          <w:tcPr>
            <w:tcW w:w="611" w:type="dxa"/>
            <w:tcMar>
              <w:top w:w="60" w:type="dxa"/>
              <w:left w:w="120" w:type="dxa"/>
              <w:bottom w:w="30" w:type="dxa"/>
              <w:right w:w="120" w:type="dxa"/>
            </w:tcMar>
            <w:vAlign w:val="center"/>
          </w:tcPr>
          <w:p w14:paraId="62D8A804">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831" w:type="dxa"/>
            <w:tcMar>
              <w:top w:w="60" w:type="dxa"/>
              <w:left w:w="120" w:type="dxa"/>
              <w:bottom w:w="30" w:type="dxa"/>
              <w:right w:w="120" w:type="dxa"/>
            </w:tcMar>
            <w:vAlign w:val="center"/>
          </w:tcPr>
          <w:p w14:paraId="5A39FD62">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主材质</w:t>
            </w:r>
          </w:p>
        </w:tc>
        <w:tc>
          <w:tcPr>
            <w:tcW w:w="1450" w:type="dxa"/>
            <w:tcMar>
              <w:top w:w="60" w:type="dxa"/>
              <w:left w:w="120" w:type="dxa"/>
              <w:bottom w:w="30" w:type="dxa"/>
              <w:right w:w="120" w:type="dxa"/>
            </w:tcMar>
            <w:vAlign w:val="center"/>
          </w:tcPr>
          <w:p w14:paraId="3367307B">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规格尺寸</w:t>
            </w:r>
          </w:p>
        </w:tc>
        <w:tc>
          <w:tcPr>
            <w:tcW w:w="1113" w:type="dxa"/>
            <w:tcMar>
              <w:top w:w="60" w:type="dxa"/>
              <w:left w:w="120" w:type="dxa"/>
              <w:bottom w:w="30" w:type="dxa"/>
              <w:right w:w="120" w:type="dxa"/>
            </w:tcMar>
            <w:vAlign w:val="center"/>
          </w:tcPr>
          <w:p w14:paraId="29811384">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单价限价</w:t>
            </w:r>
          </w:p>
          <w:p w14:paraId="3E3DC491">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（元/个）</w:t>
            </w:r>
          </w:p>
        </w:tc>
        <w:tc>
          <w:tcPr>
            <w:tcW w:w="3244" w:type="dxa"/>
            <w:tcMar>
              <w:top w:w="60" w:type="dxa"/>
              <w:left w:w="120" w:type="dxa"/>
              <w:bottom w:w="30" w:type="dxa"/>
              <w:right w:w="120" w:type="dxa"/>
            </w:tcMar>
            <w:vAlign w:val="center"/>
          </w:tcPr>
          <w:p w14:paraId="3BA8A9DC">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工艺、质量及合规备注</w:t>
            </w:r>
          </w:p>
        </w:tc>
      </w:tr>
      <w:tr w14:paraId="390E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restart"/>
            <w:tcMar>
              <w:top w:w="60" w:type="dxa"/>
              <w:left w:w="120" w:type="dxa"/>
              <w:bottom w:w="30" w:type="dxa"/>
              <w:right w:w="120" w:type="dxa"/>
            </w:tcMar>
            <w:vAlign w:val="center"/>
          </w:tcPr>
          <w:p w14:paraId="5780B841">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骨灰盒系列</w:t>
            </w:r>
          </w:p>
        </w:tc>
        <w:tc>
          <w:tcPr>
            <w:tcW w:w="611" w:type="dxa"/>
            <w:tcMar>
              <w:top w:w="60" w:type="dxa"/>
              <w:left w:w="120" w:type="dxa"/>
              <w:bottom w:w="30" w:type="dxa"/>
              <w:right w:w="120" w:type="dxa"/>
            </w:tcMar>
            <w:vAlign w:val="center"/>
          </w:tcPr>
          <w:p w14:paraId="0908B30F">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831" w:type="dxa"/>
            <w:tcMar>
              <w:top w:w="60" w:type="dxa"/>
              <w:left w:w="120" w:type="dxa"/>
              <w:bottom w:w="30" w:type="dxa"/>
              <w:right w:w="120" w:type="dxa"/>
            </w:tcMar>
            <w:vAlign w:val="center"/>
          </w:tcPr>
          <w:p w14:paraId="48C516E7">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53AA3FCA">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2F1EF4B0">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310</w:t>
            </w:r>
          </w:p>
        </w:tc>
        <w:tc>
          <w:tcPr>
            <w:tcW w:w="3244" w:type="dxa"/>
            <w:tcMar>
              <w:top w:w="60" w:type="dxa"/>
              <w:left w:w="120" w:type="dxa"/>
              <w:bottom w:w="30" w:type="dxa"/>
              <w:right w:w="120" w:type="dxa"/>
            </w:tcMar>
            <w:vAlign w:val="center"/>
          </w:tcPr>
          <w:p w14:paraId="15CCB2CF">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标准工艺，通体打磨光滑，漆面平整，无瑕疵、无异味，含水率达标，符合国标火化、存放标准</w:t>
            </w:r>
          </w:p>
        </w:tc>
      </w:tr>
      <w:tr w14:paraId="449D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18261366">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71DCF451">
            <w:pPr>
              <w:snapToGrid w:val="0"/>
              <w:spacing w:before="120" w:after="120" w:line="240" w:lineRule="auto"/>
              <w:ind w:left="0" w:leftChars="0" w:right="0" w:righ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831" w:type="dxa"/>
            <w:tcMar>
              <w:top w:w="60" w:type="dxa"/>
              <w:left w:w="120" w:type="dxa"/>
              <w:bottom w:w="30" w:type="dxa"/>
              <w:right w:w="120" w:type="dxa"/>
            </w:tcMar>
            <w:vAlign w:val="center"/>
          </w:tcPr>
          <w:p w14:paraId="710B188C">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58493ABA">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5AC4DD8B">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544</w:t>
            </w:r>
          </w:p>
        </w:tc>
        <w:tc>
          <w:tcPr>
            <w:tcW w:w="3244" w:type="dxa"/>
            <w:tcMar>
              <w:top w:w="60" w:type="dxa"/>
              <w:left w:w="120" w:type="dxa"/>
              <w:bottom w:w="30" w:type="dxa"/>
              <w:right w:w="120" w:type="dxa"/>
            </w:tcMar>
            <w:vAlign w:val="center"/>
          </w:tcPr>
          <w:p w14:paraId="12910022">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精工工艺，木材纹理清晰对称，漆面均匀透亮，结构稳固，无开裂变形，合规达标</w:t>
            </w:r>
          </w:p>
        </w:tc>
      </w:tr>
      <w:tr w14:paraId="36A88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3E40C48D">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05AB75DA">
            <w:pPr>
              <w:snapToGrid w:val="0"/>
              <w:spacing w:before="120" w:after="120" w:line="240" w:lineRule="auto"/>
              <w:ind w:left="0" w:leftChars="0" w:right="0" w:righ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831" w:type="dxa"/>
            <w:tcMar>
              <w:top w:w="60" w:type="dxa"/>
              <w:left w:w="120" w:type="dxa"/>
              <w:bottom w:w="30" w:type="dxa"/>
              <w:right w:w="120" w:type="dxa"/>
            </w:tcMar>
            <w:vAlign w:val="center"/>
          </w:tcPr>
          <w:p w14:paraId="2AD3CA90">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09E1A86B">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06F8D48F">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792</w:t>
            </w:r>
          </w:p>
        </w:tc>
        <w:tc>
          <w:tcPr>
            <w:tcW w:w="3244" w:type="dxa"/>
            <w:tcMar>
              <w:top w:w="60" w:type="dxa"/>
              <w:left w:w="120" w:type="dxa"/>
              <w:bottom w:w="30" w:type="dxa"/>
              <w:right w:w="120" w:type="dxa"/>
            </w:tcMar>
            <w:vAlign w:val="center"/>
          </w:tcPr>
          <w:p w14:paraId="55BABF1B">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精细打磨工艺，多遍漆面抛光，漆面光亮通透，边角圆润无毛刺，材质致密稳定</w:t>
            </w:r>
          </w:p>
        </w:tc>
      </w:tr>
      <w:tr w14:paraId="268EB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72723DD2">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2313EECD">
            <w:pPr>
              <w:snapToGrid w:val="0"/>
              <w:spacing w:before="120" w:after="120" w:line="240" w:lineRule="auto"/>
              <w:ind w:left="0" w:leftChars="0" w:right="0" w:righ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831" w:type="dxa"/>
            <w:tcMar>
              <w:top w:w="60" w:type="dxa"/>
              <w:left w:w="120" w:type="dxa"/>
              <w:bottom w:w="30" w:type="dxa"/>
              <w:right w:w="120" w:type="dxa"/>
            </w:tcMar>
            <w:vAlign w:val="center"/>
          </w:tcPr>
          <w:p w14:paraId="73FCD8A6">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23B923ED">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2BE753BD">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1088</w:t>
            </w:r>
          </w:p>
        </w:tc>
        <w:tc>
          <w:tcPr>
            <w:tcW w:w="3244" w:type="dxa"/>
            <w:tcMar>
              <w:top w:w="60" w:type="dxa"/>
              <w:left w:w="120" w:type="dxa"/>
              <w:bottom w:w="30" w:type="dxa"/>
              <w:right w:w="120" w:type="dxa"/>
            </w:tcMar>
            <w:vAlign w:val="center"/>
          </w:tcPr>
          <w:p w14:paraId="05A6F6A7">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高端精工工艺，整体造型精致规整，纹饰简约大气，材质含水率精准可控，耐潮耐腐</w:t>
            </w:r>
          </w:p>
        </w:tc>
      </w:tr>
      <w:tr w14:paraId="4ED3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6418DA48">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2178FF45">
            <w:pPr>
              <w:snapToGrid w:val="0"/>
              <w:spacing w:before="120" w:after="120" w:line="240" w:lineRule="auto"/>
              <w:ind w:left="0" w:leftChars="0" w:right="0" w:righ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p>
        </w:tc>
        <w:tc>
          <w:tcPr>
            <w:tcW w:w="831" w:type="dxa"/>
            <w:tcMar>
              <w:top w:w="60" w:type="dxa"/>
              <w:left w:w="120" w:type="dxa"/>
              <w:bottom w:w="30" w:type="dxa"/>
              <w:right w:w="120" w:type="dxa"/>
            </w:tcMar>
            <w:vAlign w:val="center"/>
          </w:tcPr>
          <w:p w14:paraId="76B70706">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1F39F3B4">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7B86FFA9">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1344</w:t>
            </w:r>
          </w:p>
        </w:tc>
        <w:tc>
          <w:tcPr>
            <w:tcW w:w="3244" w:type="dxa"/>
            <w:tcMar>
              <w:top w:w="60" w:type="dxa"/>
              <w:left w:w="120" w:type="dxa"/>
              <w:bottom w:w="30" w:type="dxa"/>
              <w:right w:w="120" w:type="dxa"/>
            </w:tcMar>
            <w:vAlign w:val="center"/>
          </w:tcPr>
          <w:p w14:paraId="5FD689BB">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精细雕花工艺，雕纹深浅均匀、线条流畅、无崩边瑕疵，木质质感上乘，环保无异味</w:t>
            </w:r>
          </w:p>
        </w:tc>
      </w:tr>
      <w:tr w14:paraId="30AB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6BD3CDEE">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6187DDC5">
            <w:pPr>
              <w:snapToGrid w:val="0"/>
              <w:spacing w:before="120" w:after="120" w:line="240" w:lineRule="auto"/>
              <w:ind w:left="0" w:leftChars="0" w:right="0" w:righ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831" w:type="dxa"/>
            <w:tcMar>
              <w:top w:w="60" w:type="dxa"/>
              <w:left w:w="120" w:type="dxa"/>
              <w:bottom w:w="30" w:type="dxa"/>
              <w:right w:w="120" w:type="dxa"/>
            </w:tcMar>
            <w:vAlign w:val="center"/>
          </w:tcPr>
          <w:p w14:paraId="23004C8B">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42B44229">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36F9380A">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1584</w:t>
            </w:r>
          </w:p>
        </w:tc>
        <w:tc>
          <w:tcPr>
            <w:tcW w:w="3244" w:type="dxa"/>
            <w:tcMar>
              <w:top w:w="60" w:type="dxa"/>
              <w:left w:w="120" w:type="dxa"/>
              <w:bottom w:w="30" w:type="dxa"/>
              <w:right w:w="120" w:type="dxa"/>
            </w:tcMar>
            <w:vAlign w:val="center"/>
          </w:tcPr>
          <w:p w14:paraId="3F648E04">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轻奢精工工艺，天然木材纹理自然流畅，色泽温润均匀，漆面耐磨防刮，适配长期存放</w:t>
            </w:r>
          </w:p>
        </w:tc>
      </w:tr>
      <w:tr w14:paraId="1CC62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0F2406A0">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5693FE7E">
            <w:pPr>
              <w:snapToGrid w:val="0"/>
              <w:spacing w:before="120" w:after="120" w:line="240" w:lineRule="auto"/>
              <w:ind w:left="0" w:leftChars="0" w:right="0" w:righ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p>
        </w:tc>
        <w:tc>
          <w:tcPr>
            <w:tcW w:w="831" w:type="dxa"/>
            <w:tcMar>
              <w:top w:w="60" w:type="dxa"/>
              <w:left w:w="120" w:type="dxa"/>
              <w:bottom w:w="30" w:type="dxa"/>
              <w:right w:w="120" w:type="dxa"/>
            </w:tcMar>
            <w:vAlign w:val="center"/>
          </w:tcPr>
          <w:p w14:paraId="0CBEEBE5">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58662645">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3AD82134">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1888</w:t>
            </w:r>
          </w:p>
        </w:tc>
        <w:tc>
          <w:tcPr>
            <w:tcW w:w="3244" w:type="dxa"/>
            <w:tcMar>
              <w:top w:w="60" w:type="dxa"/>
              <w:left w:w="120" w:type="dxa"/>
              <w:bottom w:w="30" w:type="dxa"/>
              <w:right w:w="120" w:type="dxa"/>
            </w:tcMar>
            <w:vAlign w:val="center"/>
          </w:tcPr>
          <w:p w14:paraId="2E1B0AF9">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高端实木基材，通体精工雕花，纹饰对称规整，材质稳定耐候，无甲醛残留，绿色环保</w:t>
            </w:r>
          </w:p>
        </w:tc>
      </w:tr>
      <w:tr w14:paraId="1714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204BE975">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343598E4">
            <w:pPr>
              <w:snapToGrid w:val="0"/>
              <w:spacing w:before="120" w:after="120" w:line="240" w:lineRule="auto"/>
              <w:ind w:left="0" w:leftChars="0" w:right="0" w:righ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p>
        </w:tc>
        <w:tc>
          <w:tcPr>
            <w:tcW w:w="831" w:type="dxa"/>
            <w:tcMar>
              <w:top w:w="60" w:type="dxa"/>
              <w:left w:w="120" w:type="dxa"/>
              <w:bottom w:w="30" w:type="dxa"/>
              <w:right w:w="120" w:type="dxa"/>
            </w:tcMar>
            <w:vAlign w:val="center"/>
          </w:tcPr>
          <w:p w14:paraId="3555FDC2">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2B5FB816">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17BD06B1">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2128</w:t>
            </w:r>
          </w:p>
        </w:tc>
        <w:tc>
          <w:tcPr>
            <w:tcW w:w="3244" w:type="dxa"/>
            <w:tcMar>
              <w:top w:w="60" w:type="dxa"/>
              <w:left w:w="120" w:type="dxa"/>
              <w:bottom w:w="30" w:type="dxa"/>
              <w:right w:w="120" w:type="dxa"/>
            </w:tcMar>
            <w:vAlign w:val="center"/>
          </w:tcPr>
          <w:p w14:paraId="15BE0F68">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精品全套工艺，整体色泽均匀通透，边角精细打磨，结构承重性强，工艺无瑕疵</w:t>
            </w:r>
          </w:p>
        </w:tc>
      </w:tr>
      <w:tr w14:paraId="7306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5C914EF8">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08524549">
            <w:pPr>
              <w:snapToGrid w:val="0"/>
              <w:spacing w:before="120" w:after="120" w:line="240" w:lineRule="auto"/>
              <w:ind w:left="0" w:leftChars="0" w:right="0" w:righ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p>
        </w:tc>
        <w:tc>
          <w:tcPr>
            <w:tcW w:w="831" w:type="dxa"/>
            <w:tcMar>
              <w:top w:w="60" w:type="dxa"/>
              <w:left w:w="120" w:type="dxa"/>
              <w:bottom w:w="30" w:type="dxa"/>
              <w:right w:w="120" w:type="dxa"/>
            </w:tcMar>
            <w:vAlign w:val="center"/>
          </w:tcPr>
          <w:p w14:paraId="6206D806">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01D21F05">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1C9CC2CB">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2392</w:t>
            </w:r>
          </w:p>
        </w:tc>
        <w:tc>
          <w:tcPr>
            <w:tcW w:w="3244" w:type="dxa"/>
            <w:tcMar>
              <w:top w:w="60" w:type="dxa"/>
              <w:left w:w="120" w:type="dxa"/>
              <w:bottom w:w="30" w:type="dxa"/>
              <w:right w:w="120" w:type="dxa"/>
            </w:tcMar>
            <w:vAlign w:val="center"/>
          </w:tcPr>
          <w:p w14:paraId="6C041B68">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高端定制工艺，专属规整造型，精细浮雕工艺，纹理层次分明，质感高端，合规达标</w:t>
            </w:r>
          </w:p>
        </w:tc>
      </w:tr>
      <w:tr w14:paraId="11794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26DED8A1">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14DAD15A">
            <w:pPr>
              <w:snapToGrid w:val="0"/>
              <w:spacing w:before="120" w:after="120" w:line="240" w:lineRule="auto"/>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831" w:type="dxa"/>
            <w:tcMar>
              <w:top w:w="60" w:type="dxa"/>
              <w:left w:w="120" w:type="dxa"/>
              <w:bottom w:w="30" w:type="dxa"/>
              <w:right w:w="120" w:type="dxa"/>
            </w:tcMar>
            <w:vAlign w:val="center"/>
          </w:tcPr>
          <w:p w14:paraId="348002F0">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0A3CC597">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73CBD0AE">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2608</w:t>
            </w:r>
          </w:p>
        </w:tc>
        <w:tc>
          <w:tcPr>
            <w:tcW w:w="3244" w:type="dxa"/>
            <w:tcMar>
              <w:top w:w="60" w:type="dxa"/>
              <w:left w:w="120" w:type="dxa"/>
              <w:bottom w:w="30" w:type="dxa"/>
              <w:right w:w="120" w:type="dxa"/>
            </w:tcMar>
            <w:vAlign w:val="center"/>
          </w:tcPr>
          <w:p w14:paraId="077A8CC0">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顶级实木基材，全手工精雕工艺，细节极致打磨，无任何工艺瑕疵，耐腐耐潮、长久保形</w:t>
            </w:r>
          </w:p>
        </w:tc>
      </w:tr>
      <w:tr w14:paraId="339F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1222A88D">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7C9827FC">
            <w:pPr>
              <w:snapToGrid w:val="0"/>
              <w:spacing w:before="120" w:after="120" w:line="240" w:lineRule="auto"/>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831" w:type="dxa"/>
            <w:tcMar>
              <w:top w:w="60" w:type="dxa"/>
              <w:left w:w="120" w:type="dxa"/>
              <w:bottom w:w="30" w:type="dxa"/>
              <w:right w:w="120" w:type="dxa"/>
            </w:tcMar>
            <w:vAlign w:val="center"/>
          </w:tcPr>
          <w:p w14:paraId="4926DFC8">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3B7FE9FD">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46013097">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2928</w:t>
            </w:r>
          </w:p>
        </w:tc>
        <w:tc>
          <w:tcPr>
            <w:tcW w:w="3244" w:type="dxa"/>
            <w:tcMar>
              <w:top w:w="60" w:type="dxa"/>
              <w:left w:w="120" w:type="dxa"/>
              <w:bottom w:w="30" w:type="dxa"/>
              <w:right w:w="120" w:type="dxa"/>
            </w:tcMar>
            <w:vAlign w:val="center"/>
          </w:tcPr>
          <w:p w14:paraId="47CBB35F">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高端典藏款，全工序精工制作，纹饰立体饱满，漆面多层养护，质感醇厚，符合高端殡仪服务标准</w:t>
            </w:r>
          </w:p>
        </w:tc>
      </w:tr>
      <w:tr w14:paraId="62F7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627DC492">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11AE71B8">
            <w:pPr>
              <w:snapToGrid w:val="0"/>
              <w:spacing w:before="120" w:after="120" w:line="240" w:lineRule="auto"/>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831" w:type="dxa"/>
            <w:tcMar>
              <w:top w:w="60" w:type="dxa"/>
              <w:left w:w="120" w:type="dxa"/>
              <w:bottom w:w="30" w:type="dxa"/>
              <w:right w:w="120" w:type="dxa"/>
            </w:tcMar>
            <w:vAlign w:val="center"/>
          </w:tcPr>
          <w:p w14:paraId="5082A780">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089FE521">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2E74FF7F">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3184</w:t>
            </w:r>
          </w:p>
        </w:tc>
        <w:tc>
          <w:tcPr>
            <w:tcW w:w="3244" w:type="dxa"/>
            <w:tcMar>
              <w:top w:w="60" w:type="dxa"/>
              <w:left w:w="120" w:type="dxa"/>
              <w:bottom w:w="30" w:type="dxa"/>
              <w:right w:w="120" w:type="dxa"/>
            </w:tcMar>
            <w:vAlign w:val="center"/>
          </w:tcPr>
          <w:p w14:paraId="3046A553">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典藏升级款，加厚实木基材，工艺升级优化，整体质感高端厚重，结构稳定性极强</w:t>
            </w:r>
          </w:p>
        </w:tc>
      </w:tr>
      <w:tr w14:paraId="39218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04F03A51">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19014A80">
            <w:pPr>
              <w:snapToGrid w:val="0"/>
              <w:spacing w:before="120" w:after="120" w:line="240" w:lineRule="auto"/>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c>
          <w:tcPr>
            <w:tcW w:w="831" w:type="dxa"/>
            <w:tcMar>
              <w:top w:w="60" w:type="dxa"/>
              <w:left w:w="120" w:type="dxa"/>
              <w:bottom w:w="30" w:type="dxa"/>
              <w:right w:w="120" w:type="dxa"/>
            </w:tcMar>
            <w:vAlign w:val="center"/>
          </w:tcPr>
          <w:p w14:paraId="4B315416">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5C254863">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3105E417">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3648</w:t>
            </w:r>
          </w:p>
        </w:tc>
        <w:tc>
          <w:tcPr>
            <w:tcW w:w="3244" w:type="dxa"/>
            <w:tcMar>
              <w:top w:w="60" w:type="dxa"/>
              <w:left w:w="120" w:type="dxa"/>
              <w:bottom w:w="30" w:type="dxa"/>
              <w:right w:w="120" w:type="dxa"/>
            </w:tcMar>
            <w:vAlign w:val="center"/>
          </w:tcPr>
          <w:p w14:paraId="24A2C5C5">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至尊典藏款，全手工打磨雕刻，无机械加工瑕疵，材质顶级，环保阻燃，适配高端殡葬礼仪</w:t>
            </w:r>
          </w:p>
        </w:tc>
      </w:tr>
      <w:tr w14:paraId="5430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1" w:type="dxa"/>
            <w:vMerge w:val="continue"/>
            <w:tcMar>
              <w:top w:w="60" w:type="dxa"/>
              <w:left w:w="120" w:type="dxa"/>
              <w:bottom w:w="30" w:type="dxa"/>
              <w:right w:w="120" w:type="dxa"/>
            </w:tcMar>
            <w:vAlign w:val="center"/>
          </w:tcPr>
          <w:p w14:paraId="1AD32410">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p>
        </w:tc>
        <w:tc>
          <w:tcPr>
            <w:tcW w:w="611" w:type="dxa"/>
            <w:tcMar>
              <w:top w:w="60" w:type="dxa"/>
              <w:left w:w="120" w:type="dxa"/>
              <w:bottom w:w="30" w:type="dxa"/>
              <w:right w:w="120" w:type="dxa"/>
            </w:tcMar>
            <w:vAlign w:val="center"/>
          </w:tcPr>
          <w:p w14:paraId="4FDB5153">
            <w:pPr>
              <w:snapToGrid w:val="0"/>
              <w:spacing w:before="120" w:after="120" w:line="240" w:lineRule="auto"/>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831" w:type="dxa"/>
            <w:tcMar>
              <w:top w:w="60" w:type="dxa"/>
              <w:left w:w="120" w:type="dxa"/>
              <w:bottom w:w="30" w:type="dxa"/>
              <w:right w:w="120" w:type="dxa"/>
            </w:tcMar>
            <w:vAlign w:val="center"/>
          </w:tcPr>
          <w:p w14:paraId="2F34DD68">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实木</w:t>
            </w:r>
          </w:p>
        </w:tc>
        <w:tc>
          <w:tcPr>
            <w:tcW w:w="1450" w:type="dxa"/>
            <w:tcMar>
              <w:top w:w="60" w:type="dxa"/>
              <w:left w:w="120" w:type="dxa"/>
              <w:bottom w:w="30" w:type="dxa"/>
              <w:right w:w="120" w:type="dxa"/>
            </w:tcMar>
            <w:vAlign w:val="center"/>
          </w:tcPr>
          <w:p w14:paraId="799D5938">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38×26×26cm</w:t>
            </w:r>
          </w:p>
        </w:tc>
        <w:tc>
          <w:tcPr>
            <w:tcW w:w="1113" w:type="dxa"/>
            <w:tcMar>
              <w:top w:w="60" w:type="dxa"/>
              <w:left w:w="120" w:type="dxa"/>
              <w:bottom w:w="30" w:type="dxa"/>
              <w:right w:w="120" w:type="dxa"/>
            </w:tcMar>
            <w:vAlign w:val="center"/>
          </w:tcPr>
          <w:p w14:paraId="2E8CBF39">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3984</w:t>
            </w:r>
          </w:p>
        </w:tc>
        <w:tc>
          <w:tcPr>
            <w:tcW w:w="3244" w:type="dxa"/>
            <w:tcMar>
              <w:top w:w="60" w:type="dxa"/>
              <w:left w:w="120" w:type="dxa"/>
              <w:bottom w:w="30" w:type="dxa"/>
              <w:right w:w="120" w:type="dxa"/>
            </w:tcMar>
            <w:vAlign w:val="center"/>
          </w:tcPr>
          <w:p w14:paraId="62209C9D">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至尊顶配款，精工细作、全细节优化，材质致密、工艺极致，焚烧完全、无残留污染物</w:t>
            </w:r>
          </w:p>
        </w:tc>
      </w:tr>
    </w:tbl>
    <w:p w14:paraId="0A23D3DD">
      <w:pPr>
        <w:spacing w:before="320" w:after="120" w:line="288" w:lineRule="auto"/>
        <w:ind w:left="0"/>
        <w:jc w:val="left"/>
        <w:outlineLvl w:val="1"/>
        <w:rPr>
          <w:rFonts w:hint="eastAsia" w:ascii="仿宋" w:hAnsi="仿宋" w:eastAsia="仿宋" w:cs="仿宋"/>
          <w:sz w:val="24"/>
          <w:szCs w:val="24"/>
        </w:rPr>
      </w:pPr>
      <w:bookmarkStart w:id="194" w:name="heading_8"/>
      <w:r>
        <w:rPr>
          <w:rFonts w:hint="eastAsia" w:ascii="仿宋" w:hAnsi="仿宋" w:eastAsia="仿宋" w:cs="仿宋"/>
          <w:b/>
          <w:sz w:val="24"/>
          <w:szCs w:val="24"/>
        </w:rPr>
        <w:t>（二）一次性环保纸棺（执行标准：GB/T 14656-2009、MZ/T 105-2017）</w:t>
      </w:r>
      <w:bookmarkEnd w:id="194"/>
    </w:p>
    <w:p w14:paraId="1EFD39DA">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次采购三款环保可降解纸棺，均采用无异味、无毒无害、可完全降解的环保纸质基材，全程无重金属、无有害化工添加剂；严格执行阻燃标准，平均续燃时间≤5s、平均灼燃时间≤60s、平均炭化长度≤115mm，达到离火自熄效果，杜绝燃烧安全隐患。产品承重性强、耐腐蚀、抗挤压、不易变形，最大承重≥120kg，适配常规遗体存放、转运、火化使用，焚烧充分、无残留、无有毒气体析出，完全符合绿色殡葬环保标准，进销差率统一为25%，具体参数明细如下：</w:t>
      </w:r>
    </w:p>
    <w:tbl>
      <w:tblPr>
        <w:tblStyle w:val="36"/>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020"/>
        <w:gridCol w:w="580"/>
        <w:gridCol w:w="1463"/>
        <w:gridCol w:w="3020"/>
        <w:gridCol w:w="1081"/>
        <w:gridCol w:w="2340"/>
      </w:tblGrid>
      <w:tr w14:paraId="2D447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blHeader/>
          <w:jc w:val="center"/>
        </w:trPr>
        <w:tc>
          <w:tcPr>
            <w:tcW w:w="1020" w:type="dxa"/>
            <w:tcMar>
              <w:top w:w="60" w:type="dxa"/>
              <w:left w:w="120" w:type="dxa"/>
              <w:bottom w:w="30" w:type="dxa"/>
              <w:right w:w="120" w:type="dxa"/>
            </w:tcMar>
            <w:vAlign w:val="center"/>
          </w:tcPr>
          <w:p w14:paraId="186FA920">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品名</w:t>
            </w:r>
          </w:p>
        </w:tc>
        <w:tc>
          <w:tcPr>
            <w:tcW w:w="580" w:type="dxa"/>
            <w:tcMar>
              <w:top w:w="60" w:type="dxa"/>
              <w:left w:w="120" w:type="dxa"/>
              <w:bottom w:w="30" w:type="dxa"/>
              <w:right w:w="120" w:type="dxa"/>
            </w:tcMar>
            <w:vAlign w:val="center"/>
          </w:tcPr>
          <w:p w14:paraId="200B46B5">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0" w:type="auto"/>
            <w:tcMar>
              <w:top w:w="60" w:type="dxa"/>
              <w:left w:w="120" w:type="dxa"/>
              <w:bottom w:w="30" w:type="dxa"/>
              <w:right w:w="120" w:type="dxa"/>
            </w:tcMar>
            <w:vAlign w:val="center"/>
          </w:tcPr>
          <w:p w14:paraId="2D5B3DF2">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主材质</w:t>
            </w:r>
          </w:p>
        </w:tc>
        <w:tc>
          <w:tcPr>
            <w:tcW w:w="3020" w:type="dxa"/>
            <w:tcMar>
              <w:top w:w="60" w:type="dxa"/>
              <w:left w:w="120" w:type="dxa"/>
              <w:bottom w:w="30" w:type="dxa"/>
              <w:right w:w="120" w:type="dxa"/>
            </w:tcMar>
            <w:vAlign w:val="center"/>
          </w:tcPr>
          <w:p w14:paraId="257C2A1D">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规格尺寸</w:t>
            </w:r>
          </w:p>
        </w:tc>
        <w:tc>
          <w:tcPr>
            <w:tcW w:w="1081" w:type="dxa"/>
            <w:tcMar>
              <w:top w:w="60" w:type="dxa"/>
              <w:left w:w="120" w:type="dxa"/>
              <w:bottom w:w="30" w:type="dxa"/>
              <w:right w:w="120" w:type="dxa"/>
            </w:tcMar>
            <w:vAlign w:val="center"/>
          </w:tcPr>
          <w:p w14:paraId="5ABF1AD6">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单价限价</w:t>
            </w:r>
          </w:p>
          <w:p w14:paraId="01B2301E">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（元/个）</w:t>
            </w:r>
          </w:p>
        </w:tc>
        <w:tc>
          <w:tcPr>
            <w:tcW w:w="2340" w:type="dxa"/>
            <w:tcMar>
              <w:top w:w="60" w:type="dxa"/>
              <w:left w:w="120" w:type="dxa"/>
              <w:bottom w:w="30" w:type="dxa"/>
              <w:right w:w="120" w:type="dxa"/>
            </w:tcMar>
            <w:vAlign w:val="center"/>
          </w:tcPr>
          <w:p w14:paraId="21FFCD63">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款式、工艺及合规备注</w:t>
            </w:r>
          </w:p>
        </w:tc>
      </w:tr>
      <w:tr w14:paraId="77B36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020" w:type="dxa"/>
            <w:tcMar>
              <w:top w:w="60" w:type="dxa"/>
              <w:left w:w="120" w:type="dxa"/>
              <w:bottom w:w="30" w:type="dxa"/>
              <w:right w:w="120" w:type="dxa"/>
            </w:tcMar>
            <w:vAlign w:val="center"/>
          </w:tcPr>
          <w:p w14:paraId="45A6CD2B">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福䘵安康</w:t>
            </w:r>
          </w:p>
        </w:tc>
        <w:tc>
          <w:tcPr>
            <w:tcW w:w="580" w:type="dxa"/>
            <w:tcMar>
              <w:top w:w="60" w:type="dxa"/>
              <w:left w:w="120" w:type="dxa"/>
              <w:bottom w:w="30" w:type="dxa"/>
              <w:right w:w="120" w:type="dxa"/>
            </w:tcMar>
            <w:vAlign w:val="center"/>
          </w:tcPr>
          <w:p w14:paraId="0E5B9F40">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tcMar>
              <w:top w:w="60" w:type="dxa"/>
              <w:left w:w="120" w:type="dxa"/>
              <w:bottom w:w="30" w:type="dxa"/>
              <w:right w:w="120" w:type="dxa"/>
            </w:tcMar>
            <w:vAlign w:val="center"/>
          </w:tcPr>
          <w:p w14:paraId="1EC77EF5">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高强度瓦楞纸（环保可降解）</w:t>
            </w:r>
          </w:p>
        </w:tc>
        <w:tc>
          <w:tcPr>
            <w:tcW w:w="3020" w:type="dxa"/>
            <w:tcMar>
              <w:top w:w="60" w:type="dxa"/>
              <w:left w:w="120" w:type="dxa"/>
              <w:bottom w:w="30" w:type="dxa"/>
              <w:right w:w="120" w:type="dxa"/>
            </w:tcMar>
            <w:vAlign w:val="center"/>
          </w:tcPr>
          <w:p w14:paraId="22BFDD6B">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外尺寸：1910mm×550mm×410mm；内尺寸：1850mm×500mm×360mm</w:t>
            </w:r>
          </w:p>
        </w:tc>
        <w:tc>
          <w:tcPr>
            <w:tcW w:w="1081" w:type="dxa"/>
            <w:tcMar>
              <w:top w:w="60" w:type="dxa"/>
              <w:left w:w="120" w:type="dxa"/>
              <w:bottom w:w="30" w:type="dxa"/>
              <w:right w:w="120" w:type="dxa"/>
            </w:tcMar>
            <w:vAlign w:val="center"/>
          </w:tcPr>
          <w:p w14:paraId="3492EE66">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360</w:t>
            </w:r>
          </w:p>
        </w:tc>
        <w:tc>
          <w:tcPr>
            <w:tcW w:w="2340" w:type="dxa"/>
            <w:tcMar>
              <w:top w:w="60" w:type="dxa"/>
              <w:left w:w="120" w:type="dxa"/>
              <w:bottom w:w="30" w:type="dxa"/>
              <w:right w:w="120" w:type="dxa"/>
            </w:tcMar>
            <w:vAlign w:val="center"/>
          </w:tcPr>
          <w:p w14:paraId="4C17D627">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黑色方形制式，正面及两侧印制合规殡葬装饰图案，印刷清晰、无晕染、无掉色；整体加固成型，承重稳定、不易变形，阻燃、环保、可完全降解，适配常规火化作业</w:t>
            </w:r>
          </w:p>
        </w:tc>
      </w:tr>
      <w:tr w14:paraId="6AB8A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020" w:type="dxa"/>
            <w:tcMar>
              <w:top w:w="60" w:type="dxa"/>
              <w:left w:w="120" w:type="dxa"/>
              <w:bottom w:w="30" w:type="dxa"/>
              <w:right w:w="120" w:type="dxa"/>
            </w:tcMar>
            <w:vAlign w:val="center"/>
          </w:tcPr>
          <w:p w14:paraId="39EF3C8D">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祥云福锦</w:t>
            </w:r>
          </w:p>
        </w:tc>
        <w:tc>
          <w:tcPr>
            <w:tcW w:w="580" w:type="dxa"/>
            <w:tcMar>
              <w:top w:w="60" w:type="dxa"/>
              <w:left w:w="120" w:type="dxa"/>
              <w:bottom w:w="30" w:type="dxa"/>
              <w:right w:w="120" w:type="dxa"/>
            </w:tcMar>
            <w:vAlign w:val="center"/>
          </w:tcPr>
          <w:p w14:paraId="4EBC31E6">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2</w:t>
            </w:r>
          </w:p>
        </w:tc>
        <w:tc>
          <w:tcPr>
            <w:tcW w:w="0" w:type="auto"/>
            <w:tcMar>
              <w:top w:w="60" w:type="dxa"/>
              <w:left w:w="120" w:type="dxa"/>
              <w:bottom w:w="30" w:type="dxa"/>
              <w:right w:w="120" w:type="dxa"/>
            </w:tcMar>
            <w:vAlign w:val="center"/>
          </w:tcPr>
          <w:p w14:paraId="29EF4528">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加厚蜂窝纸板（环保可降解）</w:t>
            </w:r>
          </w:p>
        </w:tc>
        <w:tc>
          <w:tcPr>
            <w:tcW w:w="3020" w:type="dxa"/>
            <w:tcMar>
              <w:top w:w="60" w:type="dxa"/>
              <w:left w:w="120" w:type="dxa"/>
              <w:bottom w:w="30" w:type="dxa"/>
              <w:right w:w="120" w:type="dxa"/>
            </w:tcMar>
            <w:vAlign w:val="center"/>
          </w:tcPr>
          <w:p w14:paraId="14E5FB6E">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外尺寸：1910mm×550mm×410mm；内尺寸：1850mm×500mm×360mm</w:t>
            </w:r>
          </w:p>
        </w:tc>
        <w:tc>
          <w:tcPr>
            <w:tcW w:w="1081" w:type="dxa"/>
            <w:tcMar>
              <w:top w:w="60" w:type="dxa"/>
              <w:left w:w="120" w:type="dxa"/>
              <w:bottom w:w="30" w:type="dxa"/>
              <w:right w:w="120" w:type="dxa"/>
            </w:tcMar>
            <w:vAlign w:val="center"/>
          </w:tcPr>
          <w:p w14:paraId="53DCBFDF">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650</w:t>
            </w:r>
          </w:p>
        </w:tc>
        <w:tc>
          <w:tcPr>
            <w:tcW w:w="2340" w:type="dxa"/>
            <w:tcMar>
              <w:top w:w="60" w:type="dxa"/>
              <w:left w:w="120" w:type="dxa"/>
              <w:bottom w:w="30" w:type="dxa"/>
              <w:right w:w="120" w:type="dxa"/>
            </w:tcMar>
            <w:vAlign w:val="center"/>
          </w:tcPr>
          <w:p w14:paraId="77514176">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棕褐色方形制式，正面及两侧精美合规装饰图案，加厚蜂窝结构、韧性更强、抗压抗摔；整体防潮处理，阻燃达标，承重性能优于普通瓦楞纸棺，适配多数殡葬服务场景</w:t>
            </w:r>
          </w:p>
        </w:tc>
      </w:tr>
      <w:tr w14:paraId="5C6C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020" w:type="dxa"/>
            <w:tcMar>
              <w:top w:w="60" w:type="dxa"/>
              <w:left w:w="120" w:type="dxa"/>
              <w:bottom w:w="30" w:type="dxa"/>
              <w:right w:w="120" w:type="dxa"/>
            </w:tcMar>
            <w:vAlign w:val="center"/>
          </w:tcPr>
          <w:p w14:paraId="07395488">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千福万寿</w:t>
            </w:r>
          </w:p>
        </w:tc>
        <w:tc>
          <w:tcPr>
            <w:tcW w:w="580" w:type="dxa"/>
            <w:tcMar>
              <w:top w:w="60" w:type="dxa"/>
              <w:left w:w="120" w:type="dxa"/>
              <w:bottom w:w="30" w:type="dxa"/>
              <w:right w:w="120" w:type="dxa"/>
            </w:tcMar>
            <w:vAlign w:val="center"/>
          </w:tcPr>
          <w:p w14:paraId="4A991110">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w:t>
            </w:r>
          </w:p>
        </w:tc>
        <w:tc>
          <w:tcPr>
            <w:tcW w:w="1463" w:type="dxa"/>
            <w:tcMar>
              <w:top w:w="60" w:type="dxa"/>
              <w:left w:w="120" w:type="dxa"/>
              <w:bottom w:w="30" w:type="dxa"/>
              <w:right w:w="120" w:type="dxa"/>
            </w:tcMar>
            <w:vAlign w:val="center"/>
          </w:tcPr>
          <w:p w14:paraId="4B621826">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加厚蜂窝纸板（高端环保可降解）</w:t>
            </w:r>
          </w:p>
        </w:tc>
        <w:tc>
          <w:tcPr>
            <w:tcW w:w="3020" w:type="dxa"/>
            <w:tcMar>
              <w:top w:w="60" w:type="dxa"/>
              <w:left w:w="120" w:type="dxa"/>
              <w:bottom w:w="30" w:type="dxa"/>
              <w:right w:w="120" w:type="dxa"/>
            </w:tcMar>
            <w:vAlign w:val="center"/>
          </w:tcPr>
          <w:p w14:paraId="1E2DF02F">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外尺寸：1970mm×550mm×440mm；内尺寸：1830mm×500mm×360mm</w:t>
            </w:r>
          </w:p>
        </w:tc>
        <w:tc>
          <w:tcPr>
            <w:tcW w:w="1081" w:type="dxa"/>
            <w:tcMar>
              <w:top w:w="60" w:type="dxa"/>
              <w:left w:w="120" w:type="dxa"/>
              <w:bottom w:w="30" w:type="dxa"/>
              <w:right w:w="120" w:type="dxa"/>
            </w:tcMar>
            <w:vAlign w:val="center"/>
          </w:tcPr>
          <w:p w14:paraId="40F334AE">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1060</w:t>
            </w:r>
          </w:p>
        </w:tc>
        <w:tc>
          <w:tcPr>
            <w:tcW w:w="2340" w:type="dxa"/>
            <w:tcMar>
              <w:top w:w="60" w:type="dxa"/>
              <w:left w:w="120" w:type="dxa"/>
              <w:bottom w:w="30" w:type="dxa"/>
              <w:right w:w="120" w:type="dxa"/>
            </w:tcMar>
            <w:vAlign w:val="center"/>
          </w:tcPr>
          <w:p w14:paraId="7812C141">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黑色棺材式大小头高端款式，正面尊字浮雕装饰，简约庄重；整体加厚加密加固，结构稳固、承重优异，防潮阻燃、可完全降解，无任何有害残留，适配高端殡仪告别及火化服务</w:t>
            </w:r>
          </w:p>
        </w:tc>
      </w:tr>
    </w:tbl>
    <w:p w14:paraId="3542630F">
      <w:pPr>
        <w:spacing w:before="320" w:after="120" w:line="288" w:lineRule="auto"/>
        <w:ind w:left="0"/>
        <w:jc w:val="left"/>
        <w:outlineLvl w:val="1"/>
        <w:rPr>
          <w:rFonts w:hint="eastAsia" w:ascii="仿宋" w:hAnsi="仿宋" w:eastAsia="仿宋" w:cs="仿宋"/>
          <w:sz w:val="24"/>
          <w:szCs w:val="24"/>
        </w:rPr>
      </w:pPr>
      <w:bookmarkStart w:id="195" w:name="heading_9"/>
      <w:r>
        <w:rPr>
          <w:rFonts w:hint="eastAsia" w:ascii="仿宋" w:hAnsi="仿宋" w:eastAsia="仿宋" w:cs="仿宋"/>
          <w:b/>
          <w:sz w:val="24"/>
          <w:szCs w:val="24"/>
        </w:rPr>
        <w:t>（三）一次性捡灰托盘（执行标准：MZ/T 102-2017、殡葬作业安全规范）</w:t>
      </w:r>
      <w:bookmarkEnd w:id="195"/>
    </w:p>
    <w:p w14:paraId="67BD66AD">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次性捡灰托盘为殡仪馆标准化作业专用成套设备，采用食品级环保铝箔板材质，无毒无害、无有害物质析出、无异味、无污染；耐高温、抗撕裂、防破损、耐腐蚀，可适配火化后高温骨灰捡拾作业场景，符合殡葬公共卫生及安全作业标准。产品规格统一、配件标准化配套，独立无菌密封包装，防尘、防潮、防污染，开箱即可使用，适配殡仪馆标准化、规范化、无菌化捡灰作业流程。具体参数明细如下：</w:t>
      </w:r>
    </w:p>
    <w:tbl>
      <w:tblPr>
        <w:tblStyle w:val="36"/>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020"/>
        <w:gridCol w:w="1140"/>
        <w:gridCol w:w="1247"/>
        <w:gridCol w:w="2352"/>
        <w:gridCol w:w="1081"/>
        <w:gridCol w:w="1681"/>
      </w:tblGrid>
      <w:tr w14:paraId="447E5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blHeader/>
          <w:jc w:val="center"/>
        </w:trPr>
        <w:tc>
          <w:tcPr>
            <w:tcW w:w="1020" w:type="dxa"/>
            <w:tcMar>
              <w:top w:w="60" w:type="dxa"/>
              <w:left w:w="120" w:type="dxa"/>
              <w:bottom w:w="30" w:type="dxa"/>
              <w:right w:w="120" w:type="dxa"/>
            </w:tcMar>
            <w:vAlign w:val="center"/>
          </w:tcPr>
          <w:p w14:paraId="219DC6E4">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品名</w:t>
            </w:r>
          </w:p>
        </w:tc>
        <w:tc>
          <w:tcPr>
            <w:tcW w:w="1140" w:type="dxa"/>
            <w:tcMar>
              <w:top w:w="60" w:type="dxa"/>
              <w:left w:w="120" w:type="dxa"/>
              <w:bottom w:w="30" w:type="dxa"/>
              <w:right w:w="120" w:type="dxa"/>
            </w:tcMar>
            <w:vAlign w:val="center"/>
          </w:tcPr>
          <w:p w14:paraId="5B2082B4">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包装形式</w:t>
            </w:r>
          </w:p>
        </w:tc>
        <w:tc>
          <w:tcPr>
            <w:tcW w:w="0" w:type="auto"/>
            <w:tcMar>
              <w:top w:w="60" w:type="dxa"/>
              <w:left w:w="120" w:type="dxa"/>
              <w:bottom w:w="30" w:type="dxa"/>
              <w:right w:w="120" w:type="dxa"/>
            </w:tcMar>
            <w:vAlign w:val="center"/>
          </w:tcPr>
          <w:p w14:paraId="271629C8">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主材质</w:t>
            </w:r>
          </w:p>
        </w:tc>
        <w:tc>
          <w:tcPr>
            <w:tcW w:w="2352" w:type="dxa"/>
            <w:tcMar>
              <w:top w:w="60" w:type="dxa"/>
              <w:left w:w="120" w:type="dxa"/>
              <w:bottom w:w="30" w:type="dxa"/>
              <w:right w:w="120" w:type="dxa"/>
            </w:tcMar>
            <w:vAlign w:val="center"/>
          </w:tcPr>
          <w:p w14:paraId="054F76EA">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规格尺寸</w:t>
            </w:r>
          </w:p>
        </w:tc>
        <w:tc>
          <w:tcPr>
            <w:tcW w:w="1081" w:type="dxa"/>
            <w:tcMar>
              <w:top w:w="60" w:type="dxa"/>
              <w:left w:w="120" w:type="dxa"/>
              <w:bottom w:w="30" w:type="dxa"/>
              <w:right w:w="120" w:type="dxa"/>
            </w:tcMar>
            <w:vAlign w:val="center"/>
          </w:tcPr>
          <w:p w14:paraId="2AC5E0B8">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单价限价</w:t>
            </w:r>
          </w:p>
          <w:p w14:paraId="0BFEB86C">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（元/套）</w:t>
            </w:r>
          </w:p>
        </w:tc>
        <w:tc>
          <w:tcPr>
            <w:tcW w:w="1681" w:type="dxa"/>
            <w:tcMar>
              <w:top w:w="60" w:type="dxa"/>
              <w:left w:w="120" w:type="dxa"/>
              <w:bottom w:w="30" w:type="dxa"/>
              <w:right w:w="120" w:type="dxa"/>
            </w:tcMar>
            <w:vAlign w:val="center"/>
          </w:tcPr>
          <w:p w14:paraId="32E589B3">
            <w:pPr>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配置及合规备注</w:t>
            </w:r>
          </w:p>
        </w:tc>
      </w:tr>
      <w:tr w14:paraId="3C32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020" w:type="dxa"/>
            <w:tcMar>
              <w:top w:w="60" w:type="dxa"/>
              <w:left w:w="120" w:type="dxa"/>
              <w:bottom w:w="30" w:type="dxa"/>
              <w:right w:w="120" w:type="dxa"/>
            </w:tcMar>
            <w:vAlign w:val="center"/>
          </w:tcPr>
          <w:p w14:paraId="3BE674CB">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捡灰托盘</w:t>
            </w:r>
          </w:p>
        </w:tc>
        <w:tc>
          <w:tcPr>
            <w:tcW w:w="1140" w:type="dxa"/>
            <w:tcMar>
              <w:top w:w="60" w:type="dxa"/>
              <w:left w:w="120" w:type="dxa"/>
              <w:bottom w:w="30" w:type="dxa"/>
              <w:right w:w="120" w:type="dxa"/>
            </w:tcMar>
            <w:vAlign w:val="center"/>
          </w:tcPr>
          <w:p w14:paraId="3077B098">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无菌独立密封包装</w:t>
            </w:r>
          </w:p>
        </w:tc>
        <w:tc>
          <w:tcPr>
            <w:tcW w:w="1247" w:type="dxa"/>
            <w:tcMar>
              <w:top w:w="60" w:type="dxa"/>
              <w:left w:w="120" w:type="dxa"/>
              <w:bottom w:w="30" w:type="dxa"/>
              <w:right w:w="120" w:type="dxa"/>
            </w:tcMar>
            <w:vAlign w:val="center"/>
          </w:tcPr>
          <w:p w14:paraId="076BA45F">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食品级环保铝箔板</w:t>
            </w:r>
          </w:p>
        </w:tc>
        <w:tc>
          <w:tcPr>
            <w:tcW w:w="2352" w:type="dxa"/>
            <w:tcMar>
              <w:top w:w="60" w:type="dxa"/>
              <w:left w:w="120" w:type="dxa"/>
              <w:bottom w:w="30" w:type="dxa"/>
              <w:right w:w="120" w:type="dxa"/>
            </w:tcMar>
            <w:vAlign w:val="center"/>
          </w:tcPr>
          <w:p w14:paraId="2E3992CC">
            <w:pPr>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350mm×450mm×5mm</w:t>
            </w:r>
          </w:p>
        </w:tc>
        <w:tc>
          <w:tcPr>
            <w:tcW w:w="1081" w:type="dxa"/>
            <w:tcMar>
              <w:top w:w="60" w:type="dxa"/>
              <w:left w:w="120" w:type="dxa"/>
              <w:bottom w:w="30" w:type="dxa"/>
              <w:right w:w="120" w:type="dxa"/>
            </w:tcMar>
            <w:vAlign w:val="center"/>
          </w:tcPr>
          <w:p w14:paraId="49BBCC4D">
            <w:pPr>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50</w:t>
            </w:r>
          </w:p>
        </w:tc>
        <w:tc>
          <w:tcPr>
            <w:tcW w:w="1681" w:type="dxa"/>
            <w:tcMar>
              <w:top w:w="60" w:type="dxa"/>
              <w:left w:w="120" w:type="dxa"/>
              <w:bottom w:w="30" w:type="dxa"/>
              <w:right w:w="120" w:type="dxa"/>
            </w:tcMar>
            <w:vAlign w:val="center"/>
          </w:tcPr>
          <w:p w14:paraId="7099D54B">
            <w:pPr>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每套含托盘3个、专用软毛刷子1个、专用无尘铲子1个，配件齐全无缺失；整体耐高温≥300℃，无变形、无破损、无掉屑，无菌无污染，完全适配骨灰捡拾标准化作业，符合殡葬卫生防疫标准</w:t>
            </w:r>
          </w:p>
        </w:tc>
      </w:tr>
    </w:tbl>
    <w:p w14:paraId="303BD613">
      <w:pPr>
        <w:spacing w:before="320" w:after="120" w:line="288" w:lineRule="auto"/>
        <w:ind w:left="0"/>
        <w:jc w:val="left"/>
        <w:outlineLvl w:val="1"/>
        <w:rPr>
          <w:rFonts w:hint="eastAsia" w:ascii="仿宋" w:hAnsi="仿宋" w:eastAsia="仿宋" w:cs="仿宋"/>
          <w:sz w:val="24"/>
          <w:szCs w:val="24"/>
        </w:rPr>
      </w:pPr>
      <w:bookmarkStart w:id="196" w:name="heading_10"/>
      <w:r>
        <w:rPr>
          <w:rFonts w:hint="eastAsia" w:ascii="仿宋" w:hAnsi="仿宋" w:eastAsia="仿宋" w:cs="仿宋"/>
          <w:b/>
          <w:sz w:val="24"/>
          <w:szCs w:val="24"/>
        </w:rPr>
        <w:t>（四）成套寿衣裤（执行标准：T/SFITA 005—2025、MZ/T 102-2017）</w:t>
      </w:r>
      <w:bookmarkEnd w:id="196"/>
    </w:p>
    <w:p w14:paraId="19A5B439">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所有成套寿衣裤均采用优质纯棉面料，面料柔软亲肤、透气无异味、无化纤劣质材质、无荧光剂、无有害染料；做工精细、走线工整、针脚均匀、无脱线、无跳线、无开线瑕疵，尺寸偏差严格遵循国标要求，衣长、裤长偏差≤±1.5cm，腰围偏差≤±1.0cm，对称互差≤0.3cm。色泽素雅庄重、耐洗耐晒、不褪色、不起球，完全符合殡葬礼仪规范及公共卫生标准。所有产品均为独立无菌成套包装，配件齐全、分类规整，分男女两款、高低两个档次，适配不同群众服务需求，具体参数明细如下：</w:t>
      </w:r>
    </w:p>
    <w:tbl>
      <w:tblPr>
        <w:tblStyle w:val="36"/>
        <w:tblpPr w:leftFromText="180" w:rightFromText="180" w:vertAnchor="text" w:tblpXSpec="center" w:tblpY="1"/>
        <w:tblOverlap w:val="never"/>
        <w:tblW w:w="8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484"/>
        <w:gridCol w:w="1529"/>
        <w:gridCol w:w="1586"/>
        <w:gridCol w:w="1081"/>
        <w:gridCol w:w="3020"/>
      </w:tblGrid>
      <w:tr w14:paraId="19F24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blHeader/>
        </w:trPr>
        <w:tc>
          <w:tcPr>
            <w:tcW w:w="1484" w:type="dxa"/>
            <w:tcMar>
              <w:top w:w="60" w:type="dxa"/>
              <w:left w:w="120" w:type="dxa"/>
              <w:bottom w:w="30" w:type="dxa"/>
              <w:right w:w="120" w:type="dxa"/>
            </w:tcMar>
            <w:vAlign w:val="center"/>
          </w:tcPr>
          <w:p w14:paraId="5D5D9F5E">
            <w:pPr>
              <w:keepNext/>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品名</w:t>
            </w:r>
          </w:p>
        </w:tc>
        <w:tc>
          <w:tcPr>
            <w:tcW w:w="0" w:type="auto"/>
            <w:tcMar>
              <w:top w:w="60" w:type="dxa"/>
              <w:left w:w="120" w:type="dxa"/>
              <w:bottom w:w="30" w:type="dxa"/>
              <w:right w:w="120" w:type="dxa"/>
            </w:tcMar>
            <w:vAlign w:val="center"/>
          </w:tcPr>
          <w:p w14:paraId="7122D84C">
            <w:pPr>
              <w:keepNext/>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包装形式</w:t>
            </w:r>
          </w:p>
        </w:tc>
        <w:tc>
          <w:tcPr>
            <w:tcW w:w="0" w:type="auto"/>
            <w:tcMar>
              <w:top w:w="60" w:type="dxa"/>
              <w:left w:w="120" w:type="dxa"/>
              <w:bottom w:w="30" w:type="dxa"/>
              <w:right w:w="120" w:type="dxa"/>
            </w:tcMar>
            <w:vAlign w:val="center"/>
          </w:tcPr>
          <w:p w14:paraId="11C319BF">
            <w:pPr>
              <w:keepNext/>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主材质</w:t>
            </w:r>
          </w:p>
        </w:tc>
        <w:tc>
          <w:tcPr>
            <w:tcW w:w="1081" w:type="dxa"/>
            <w:tcMar>
              <w:top w:w="60" w:type="dxa"/>
              <w:left w:w="120" w:type="dxa"/>
              <w:bottom w:w="30" w:type="dxa"/>
              <w:right w:w="120" w:type="dxa"/>
            </w:tcMar>
            <w:vAlign w:val="center"/>
          </w:tcPr>
          <w:p w14:paraId="582202BD">
            <w:pPr>
              <w:keepNext/>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单价限价</w:t>
            </w:r>
          </w:p>
          <w:p w14:paraId="6E40D6B6">
            <w:pPr>
              <w:keepNext/>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（元/套）</w:t>
            </w:r>
          </w:p>
        </w:tc>
        <w:tc>
          <w:tcPr>
            <w:tcW w:w="3020" w:type="dxa"/>
            <w:tcMar>
              <w:top w:w="60" w:type="dxa"/>
              <w:left w:w="120" w:type="dxa"/>
              <w:bottom w:w="30" w:type="dxa"/>
              <w:right w:w="120" w:type="dxa"/>
            </w:tcMar>
            <w:vAlign w:val="center"/>
          </w:tcPr>
          <w:p w14:paraId="5D940613">
            <w:pPr>
              <w:keepNext/>
              <w:snapToGrid w:val="0"/>
              <w:spacing w:before="120" w:after="120" w:line="240" w:lineRule="auto"/>
              <w:ind w:left="0" w:leftChars="0" w:right="0" w:rightChars="0" w:firstLine="0" w:firstLineChars="0"/>
              <w:jc w:val="center"/>
              <w:rPr>
                <w:rFonts w:hint="eastAsia" w:ascii="仿宋" w:hAnsi="仿宋" w:eastAsia="仿宋" w:cs="仿宋"/>
                <w:b/>
                <w:sz w:val="24"/>
                <w:szCs w:val="24"/>
              </w:rPr>
            </w:pPr>
            <w:r>
              <w:rPr>
                <w:rFonts w:hint="eastAsia" w:ascii="仿宋" w:hAnsi="仿宋" w:eastAsia="仿宋" w:cs="仿宋"/>
                <w:b/>
                <w:sz w:val="24"/>
                <w:szCs w:val="24"/>
              </w:rPr>
              <w:t>包装及全套合规配置</w:t>
            </w:r>
          </w:p>
        </w:tc>
      </w:tr>
      <w:tr w14:paraId="5290C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rPr>
        <w:tc>
          <w:tcPr>
            <w:tcW w:w="1484" w:type="dxa"/>
            <w:tcMar>
              <w:top w:w="60" w:type="dxa"/>
              <w:left w:w="120" w:type="dxa"/>
              <w:bottom w:w="30" w:type="dxa"/>
              <w:right w:w="120" w:type="dxa"/>
            </w:tcMar>
            <w:vAlign w:val="center"/>
          </w:tcPr>
          <w:p w14:paraId="1F21C646">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寿衣裤男A款</w:t>
            </w:r>
          </w:p>
        </w:tc>
        <w:tc>
          <w:tcPr>
            <w:tcW w:w="0" w:type="auto"/>
            <w:tcMar>
              <w:top w:w="60" w:type="dxa"/>
              <w:left w:w="120" w:type="dxa"/>
              <w:bottom w:w="30" w:type="dxa"/>
              <w:right w:w="120" w:type="dxa"/>
            </w:tcMar>
            <w:vAlign w:val="center"/>
          </w:tcPr>
          <w:p w14:paraId="419B958A">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无菌独立成套密封包装</w:t>
            </w:r>
          </w:p>
        </w:tc>
        <w:tc>
          <w:tcPr>
            <w:tcW w:w="0" w:type="auto"/>
            <w:tcMar>
              <w:top w:w="60" w:type="dxa"/>
              <w:left w:w="120" w:type="dxa"/>
              <w:bottom w:w="30" w:type="dxa"/>
              <w:right w:w="120" w:type="dxa"/>
            </w:tcMar>
            <w:vAlign w:val="center"/>
          </w:tcPr>
          <w:p w14:paraId="29F7A77D">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优质纯棉面料（无荧光剂、无有害染料）</w:t>
            </w:r>
          </w:p>
        </w:tc>
        <w:tc>
          <w:tcPr>
            <w:tcW w:w="1081" w:type="dxa"/>
            <w:tcMar>
              <w:top w:w="60" w:type="dxa"/>
              <w:left w:w="120" w:type="dxa"/>
              <w:bottom w:w="30" w:type="dxa"/>
              <w:right w:w="120" w:type="dxa"/>
            </w:tcMar>
            <w:vAlign w:val="center"/>
          </w:tcPr>
          <w:p w14:paraId="08DD8621">
            <w:pPr>
              <w:keepNext/>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450</w:t>
            </w:r>
          </w:p>
        </w:tc>
        <w:tc>
          <w:tcPr>
            <w:tcW w:w="3020" w:type="dxa"/>
            <w:tcMar>
              <w:top w:w="60" w:type="dxa"/>
              <w:left w:w="120" w:type="dxa"/>
              <w:bottom w:w="30" w:type="dxa"/>
              <w:right w:w="120" w:type="dxa"/>
            </w:tcMar>
            <w:vAlign w:val="center"/>
          </w:tcPr>
          <w:p w14:paraId="0D663537">
            <w:pPr>
              <w:keepNext/>
              <w:snapToGrid w:val="0"/>
              <w:spacing w:before="120" w:after="120" w:line="240" w:lineRule="auto"/>
              <w:ind w:left="0" w:leftChars="0" w:right="0" w:rightChars="0" w:firstLine="0" w:firstLineChars="0"/>
              <w:jc w:val="left"/>
              <w:rPr>
                <w:rFonts w:hint="eastAsia" w:ascii="仿宋" w:hAnsi="仿宋" w:eastAsia="仿宋" w:cs="仿宋"/>
                <w:sz w:val="24"/>
                <w:szCs w:val="24"/>
                <w:lang w:eastAsia="zh-CN"/>
              </w:rPr>
            </w:pPr>
            <w:r>
              <w:rPr>
                <w:rFonts w:hint="eastAsia" w:ascii="仿宋" w:hAnsi="仿宋" w:eastAsia="仿宋" w:cs="仿宋"/>
                <w:sz w:val="24"/>
                <w:szCs w:val="24"/>
              </w:rPr>
              <w:t>含白色1套、青色1套、黑色1套、垫盖被1套、寿帽1顶、寿鞋1双、寿袜1双、腰线100根、枕头1个、靠脚1个、盖脸布1块、口含玉1份；全套配件齐全、做工合规、尺寸标准，无质量瑕疵，符合</w:t>
            </w:r>
            <w:r>
              <w:rPr>
                <w:rFonts w:hint="eastAsia" w:ascii="仿宋" w:hAnsi="仿宋" w:eastAsia="仿宋" w:cs="仿宋"/>
                <w:sz w:val="24"/>
                <w:szCs w:val="24"/>
                <w:lang w:val="en-US" w:eastAsia="zh-CN"/>
              </w:rPr>
              <w:t>男性</w:t>
            </w:r>
            <w:r>
              <w:rPr>
                <w:rFonts w:hint="eastAsia" w:ascii="仿宋" w:hAnsi="仿宋" w:eastAsia="仿宋" w:cs="仿宋"/>
                <w:sz w:val="24"/>
                <w:szCs w:val="24"/>
              </w:rPr>
              <w:t>殡葬礼仪</w:t>
            </w:r>
            <w:r>
              <w:rPr>
                <w:rFonts w:hint="eastAsia" w:ascii="仿宋" w:hAnsi="仿宋" w:eastAsia="仿宋" w:cs="仿宋"/>
                <w:sz w:val="24"/>
                <w:szCs w:val="24"/>
                <w:lang w:val="en-US" w:eastAsia="zh-CN"/>
              </w:rPr>
              <w:t>规范</w:t>
            </w:r>
          </w:p>
        </w:tc>
      </w:tr>
      <w:tr w14:paraId="3287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rPr>
        <w:tc>
          <w:tcPr>
            <w:tcW w:w="1484" w:type="dxa"/>
            <w:tcMar>
              <w:top w:w="60" w:type="dxa"/>
              <w:left w:w="120" w:type="dxa"/>
              <w:bottom w:w="30" w:type="dxa"/>
              <w:right w:w="120" w:type="dxa"/>
            </w:tcMar>
            <w:vAlign w:val="center"/>
          </w:tcPr>
          <w:p w14:paraId="158553EA">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寿衣裤男B款</w:t>
            </w:r>
          </w:p>
        </w:tc>
        <w:tc>
          <w:tcPr>
            <w:tcW w:w="0" w:type="auto"/>
            <w:tcMar>
              <w:top w:w="60" w:type="dxa"/>
              <w:left w:w="120" w:type="dxa"/>
              <w:bottom w:w="30" w:type="dxa"/>
              <w:right w:w="120" w:type="dxa"/>
            </w:tcMar>
            <w:vAlign w:val="center"/>
          </w:tcPr>
          <w:p w14:paraId="55360267">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无菌独立成套密封包装</w:t>
            </w:r>
          </w:p>
        </w:tc>
        <w:tc>
          <w:tcPr>
            <w:tcW w:w="0" w:type="auto"/>
            <w:tcMar>
              <w:top w:w="60" w:type="dxa"/>
              <w:left w:w="120" w:type="dxa"/>
              <w:bottom w:w="30" w:type="dxa"/>
              <w:right w:w="120" w:type="dxa"/>
            </w:tcMar>
            <w:vAlign w:val="center"/>
          </w:tcPr>
          <w:p w14:paraId="7DCAE6F3">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优质纯棉面料（加厚加密、无荧光剂）</w:t>
            </w:r>
          </w:p>
        </w:tc>
        <w:tc>
          <w:tcPr>
            <w:tcW w:w="1081" w:type="dxa"/>
            <w:tcMar>
              <w:top w:w="60" w:type="dxa"/>
              <w:left w:w="120" w:type="dxa"/>
              <w:bottom w:w="30" w:type="dxa"/>
              <w:right w:w="120" w:type="dxa"/>
            </w:tcMar>
            <w:vAlign w:val="center"/>
          </w:tcPr>
          <w:p w14:paraId="73B0B42C">
            <w:pPr>
              <w:keepNext/>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688</w:t>
            </w:r>
          </w:p>
        </w:tc>
        <w:tc>
          <w:tcPr>
            <w:tcW w:w="3020" w:type="dxa"/>
            <w:tcMar>
              <w:top w:w="60" w:type="dxa"/>
              <w:left w:w="120" w:type="dxa"/>
              <w:bottom w:w="30" w:type="dxa"/>
              <w:right w:w="120" w:type="dxa"/>
            </w:tcMar>
            <w:vAlign w:val="center"/>
          </w:tcPr>
          <w:p w14:paraId="4D1647EC">
            <w:pPr>
              <w:keepNext/>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含白色1套、青色1套、黑色1套、棉质加厚外套2套、垫盖被1套、寿帽1顶、寿鞋1双、寿袜1双、腰线100根、枕头1个、靠脚1个、盖脸布1块、口含玉1份；面料舒适厚实、工艺精湛、版型端庄，适配高端殡仪服务</w:t>
            </w:r>
          </w:p>
        </w:tc>
      </w:tr>
      <w:tr w14:paraId="5BCFE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rPr>
        <w:tc>
          <w:tcPr>
            <w:tcW w:w="1484" w:type="dxa"/>
            <w:tcMar>
              <w:top w:w="60" w:type="dxa"/>
              <w:left w:w="120" w:type="dxa"/>
              <w:bottom w:w="30" w:type="dxa"/>
              <w:right w:w="120" w:type="dxa"/>
            </w:tcMar>
            <w:vAlign w:val="center"/>
          </w:tcPr>
          <w:p w14:paraId="0B08F555">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寿衣裤女A款</w:t>
            </w:r>
          </w:p>
        </w:tc>
        <w:tc>
          <w:tcPr>
            <w:tcW w:w="0" w:type="auto"/>
            <w:tcMar>
              <w:top w:w="60" w:type="dxa"/>
              <w:left w:w="120" w:type="dxa"/>
              <w:bottom w:w="30" w:type="dxa"/>
              <w:right w:w="120" w:type="dxa"/>
            </w:tcMar>
            <w:vAlign w:val="center"/>
          </w:tcPr>
          <w:p w14:paraId="546B2D0E">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无菌独立成套密封包装</w:t>
            </w:r>
          </w:p>
        </w:tc>
        <w:tc>
          <w:tcPr>
            <w:tcW w:w="0" w:type="auto"/>
            <w:tcMar>
              <w:top w:w="60" w:type="dxa"/>
              <w:left w:w="120" w:type="dxa"/>
              <w:bottom w:w="30" w:type="dxa"/>
              <w:right w:w="120" w:type="dxa"/>
            </w:tcMar>
            <w:vAlign w:val="center"/>
          </w:tcPr>
          <w:p w14:paraId="5BF54BF6">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优质纯棉面料（无荧光剂、无有害染料）</w:t>
            </w:r>
          </w:p>
        </w:tc>
        <w:tc>
          <w:tcPr>
            <w:tcW w:w="1081" w:type="dxa"/>
            <w:tcMar>
              <w:top w:w="60" w:type="dxa"/>
              <w:left w:w="120" w:type="dxa"/>
              <w:bottom w:w="30" w:type="dxa"/>
              <w:right w:w="120" w:type="dxa"/>
            </w:tcMar>
            <w:vAlign w:val="center"/>
          </w:tcPr>
          <w:p w14:paraId="578D7EED">
            <w:pPr>
              <w:keepNext/>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450</w:t>
            </w:r>
          </w:p>
        </w:tc>
        <w:tc>
          <w:tcPr>
            <w:tcW w:w="3020" w:type="dxa"/>
            <w:tcMar>
              <w:top w:w="60" w:type="dxa"/>
              <w:left w:w="120" w:type="dxa"/>
              <w:bottom w:w="30" w:type="dxa"/>
              <w:right w:w="120" w:type="dxa"/>
            </w:tcMar>
            <w:vAlign w:val="center"/>
          </w:tcPr>
          <w:p w14:paraId="67AC1A9D">
            <w:pPr>
              <w:keepNext/>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含白色1套、青色1套、黑色1套、棉质外套2套、垫盖被1套、寿帽1顶、寿鞋1双、寿袜1双、腰线100根、枕头1个、靠脚1个、盖脸布1块、口含玉1份；全套配件齐全、做工合规、尺寸标准，无质量瑕疵，符合女性殡葬礼仪规范</w:t>
            </w:r>
          </w:p>
        </w:tc>
      </w:tr>
      <w:tr w14:paraId="2669F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rPr>
        <w:tc>
          <w:tcPr>
            <w:tcW w:w="1484" w:type="dxa"/>
            <w:tcMar>
              <w:top w:w="60" w:type="dxa"/>
              <w:left w:w="120" w:type="dxa"/>
              <w:bottom w:w="30" w:type="dxa"/>
              <w:right w:w="120" w:type="dxa"/>
            </w:tcMar>
            <w:vAlign w:val="center"/>
          </w:tcPr>
          <w:p w14:paraId="5DF65E80">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寿衣裤女B款</w:t>
            </w:r>
          </w:p>
        </w:tc>
        <w:tc>
          <w:tcPr>
            <w:tcW w:w="1529" w:type="dxa"/>
            <w:tcMar>
              <w:top w:w="60" w:type="dxa"/>
              <w:left w:w="120" w:type="dxa"/>
              <w:bottom w:w="30" w:type="dxa"/>
              <w:right w:w="120" w:type="dxa"/>
            </w:tcMar>
            <w:vAlign w:val="center"/>
          </w:tcPr>
          <w:p w14:paraId="45FB8A5A">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无菌独立成套密封包装</w:t>
            </w:r>
          </w:p>
        </w:tc>
        <w:tc>
          <w:tcPr>
            <w:tcW w:w="1586" w:type="dxa"/>
            <w:tcMar>
              <w:top w:w="60" w:type="dxa"/>
              <w:left w:w="120" w:type="dxa"/>
              <w:bottom w:w="30" w:type="dxa"/>
              <w:right w:w="120" w:type="dxa"/>
            </w:tcMar>
            <w:vAlign w:val="center"/>
          </w:tcPr>
          <w:p w14:paraId="76CA1F73">
            <w:pPr>
              <w:keepNext/>
              <w:snapToGrid w:val="0"/>
              <w:spacing w:before="120" w:after="120" w:line="240" w:lineRule="auto"/>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优质纯棉面料（加厚加密、无荧光剂）</w:t>
            </w:r>
          </w:p>
        </w:tc>
        <w:tc>
          <w:tcPr>
            <w:tcW w:w="1081" w:type="dxa"/>
            <w:tcMar>
              <w:top w:w="60" w:type="dxa"/>
              <w:left w:w="120" w:type="dxa"/>
              <w:bottom w:w="30" w:type="dxa"/>
              <w:right w:w="120" w:type="dxa"/>
            </w:tcMar>
            <w:vAlign w:val="center"/>
          </w:tcPr>
          <w:p w14:paraId="0CC8D1B4">
            <w:pPr>
              <w:keepNext/>
              <w:snapToGrid w:val="0"/>
              <w:spacing w:before="120" w:after="120" w:line="240" w:lineRule="auto"/>
              <w:ind w:left="0" w:leftChars="0" w:right="0" w:rightChars="0" w:firstLine="0" w:firstLineChars="0"/>
              <w:jc w:val="right"/>
              <w:rPr>
                <w:rFonts w:hint="eastAsia" w:ascii="仿宋" w:hAnsi="仿宋" w:eastAsia="仿宋" w:cs="仿宋"/>
                <w:sz w:val="24"/>
                <w:szCs w:val="24"/>
              </w:rPr>
            </w:pPr>
            <w:r>
              <w:rPr>
                <w:rFonts w:hint="eastAsia" w:ascii="仿宋" w:hAnsi="仿宋" w:eastAsia="仿宋" w:cs="仿宋"/>
                <w:sz w:val="24"/>
                <w:szCs w:val="24"/>
              </w:rPr>
              <w:t>688</w:t>
            </w:r>
          </w:p>
        </w:tc>
        <w:tc>
          <w:tcPr>
            <w:tcW w:w="3020" w:type="dxa"/>
            <w:tcMar>
              <w:top w:w="60" w:type="dxa"/>
              <w:left w:w="120" w:type="dxa"/>
              <w:bottom w:w="30" w:type="dxa"/>
              <w:right w:w="120" w:type="dxa"/>
            </w:tcMar>
            <w:vAlign w:val="center"/>
          </w:tcPr>
          <w:p w14:paraId="7297BC1C">
            <w:pPr>
              <w:keepNext/>
              <w:snapToGrid w:val="0"/>
              <w:spacing w:before="120" w:after="120" w:line="240" w:lineRule="auto"/>
              <w:ind w:left="0" w:leftChars="0" w:right="0" w:rightChars="0" w:firstLine="0" w:firstLineChars="0"/>
              <w:jc w:val="left"/>
              <w:rPr>
                <w:rFonts w:hint="eastAsia" w:ascii="仿宋" w:hAnsi="仿宋" w:eastAsia="仿宋" w:cs="仿宋"/>
                <w:sz w:val="24"/>
                <w:szCs w:val="24"/>
              </w:rPr>
            </w:pPr>
            <w:r>
              <w:rPr>
                <w:rFonts w:hint="eastAsia" w:ascii="仿宋" w:hAnsi="仿宋" w:eastAsia="仿宋" w:cs="仿宋"/>
                <w:sz w:val="24"/>
                <w:szCs w:val="24"/>
              </w:rPr>
              <w:t>含白色1套、青色1套、黑色1套、棉质加厚外套2套、垫盖被1套、寿帽1顶、寿鞋1双、寿袜1双、腰线100根、枕头1个、靠脚1个、盖脸布1块、口含玉1份；面料舒适厚实、工艺精湛、版型端庄，适配高端殡仪服务</w:t>
            </w:r>
          </w:p>
        </w:tc>
      </w:tr>
    </w:tbl>
    <w:p w14:paraId="0AFF087D">
      <w:pPr>
        <w:spacing w:before="320" w:after="120" w:line="288" w:lineRule="auto"/>
        <w:ind w:left="0"/>
        <w:jc w:val="left"/>
        <w:outlineLvl w:val="1"/>
        <w:rPr>
          <w:rFonts w:hint="eastAsia" w:ascii="仿宋" w:hAnsi="仿宋" w:eastAsia="仿宋" w:cs="仿宋"/>
          <w:sz w:val="24"/>
          <w:szCs w:val="24"/>
        </w:rPr>
      </w:pPr>
      <w:bookmarkStart w:id="197" w:name="heading_11"/>
      <w:r>
        <w:rPr>
          <w:rFonts w:hint="eastAsia" w:ascii="仿宋" w:hAnsi="仿宋" w:eastAsia="仿宋" w:cs="仿宋"/>
          <w:b/>
          <w:sz w:val="24"/>
          <w:szCs w:val="24"/>
        </w:rPr>
        <w:t>（五）其他配套殡葬用品（按需供货、据实结算）</w:t>
      </w:r>
      <w:bookmarkEnd w:id="197"/>
    </w:p>
    <w:p w14:paraId="4EB55F95">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品类无固定预估采购数量，完全根据殡仪馆日常服务、遗体处置、祭祀高峰、应急保障、告别仪式等实际需求按需分批供货，全部据实结算，不强制采购、不积压库存，所有产品严格符合国家殡葬安全、防疫、环保标准，具体细化技术及质量要求如下：</w:t>
      </w:r>
    </w:p>
    <w:p w14:paraId="299A93AB">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bookmarkStart w:id="198" w:name="heading_12"/>
      <w:r>
        <w:rPr>
          <w:rFonts w:hint="eastAsia" w:ascii="仿宋" w:hAnsi="仿宋" w:eastAsia="仿宋" w:cs="仿宋"/>
          <w:sz w:val="24"/>
          <w:szCs w:val="24"/>
        </w:rPr>
        <w:t>1. 遗体收纳尸袋</w:t>
      </w:r>
      <w:bookmarkEnd w:id="198"/>
    </w:p>
    <w:p w14:paraId="28C5BAF2">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执行殡葬防疫及遗体收纳行业标准，采用加厚环保防水PVC复合材质，材质厚实坚韧、抗拉耐磨、不易破损；整体密封性强、双层防水防漏、不透水、不渗液，可有效阻隔体液渗漏、细菌滋生；无毒无味、无有害化学物质，符合公共卫生防疫标准。尺寸适配成人常规遗体收纳需求，承重≥200kg，封口牢固、不易开裂，适配遗体转运、存放、火化全流程使用，安全卫生、合规达标。</w:t>
      </w:r>
    </w:p>
    <w:p w14:paraId="1D8B2E33">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bookmarkStart w:id="199" w:name="heading_13"/>
      <w:r>
        <w:rPr>
          <w:rFonts w:hint="eastAsia" w:ascii="仿宋" w:hAnsi="仿宋" w:eastAsia="仿宋" w:cs="仿宋"/>
          <w:sz w:val="24"/>
          <w:szCs w:val="24"/>
        </w:rPr>
        <w:t>2. 高温防护石棉垫</w:t>
      </w:r>
      <w:bookmarkEnd w:id="199"/>
    </w:p>
    <w:p w14:paraId="4D4B1CA8">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采用高纯石棉环保材质，无粉尘脱落、无异味、无毒无害；耐高温≥500℃，防火隔热、阻燃性能优异，导热系数低，可有效适配殡仪馆火化、高温作业防护场景。垫体质地平整规整、厚度均匀、无破损、无褶皱、无掉屑、无开裂，结构稳固、耐磨耐用，符合殡仪高温作业安全防护标准及消防安全规范，保障作业人员操作安全。</w:t>
      </w:r>
    </w:p>
    <w:p w14:paraId="72B8D0FB">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bookmarkStart w:id="200" w:name="heading_14"/>
      <w:r>
        <w:rPr>
          <w:rFonts w:hint="eastAsia" w:ascii="仿宋" w:hAnsi="仿宋" w:eastAsia="仿宋" w:cs="仿宋"/>
          <w:sz w:val="24"/>
          <w:szCs w:val="24"/>
        </w:rPr>
        <w:t>3. 殡仪专用鲜花</w:t>
      </w:r>
      <w:bookmarkEnd w:id="200"/>
    </w:p>
    <w:p w14:paraId="6EDD5B3E">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选用A级新鲜花材，花材饱满挺拔、无枯萎、无黄叶、无病虫害、无损伤、无腐烂；花型规整、色泽鲜亮均匀、花期持久、无异味。适配殡仪馆遗体告别、祭祀追思、仪式布置等殡仪专用场景，可根据需求按需搭配花束、花篮、花艺造型、花圈等花艺产品。供货时保证新鲜度，无脱水、无蔫败，现场摆放美观庄重，契合殡葬礼仪肃穆氛围，按需供货、随用随供。</w:t>
      </w:r>
    </w:p>
    <w:p w14:paraId="275CD438">
      <w:pPr>
        <w:spacing w:before="380" w:after="140" w:line="288" w:lineRule="auto"/>
        <w:ind w:left="0"/>
        <w:jc w:val="left"/>
        <w:outlineLvl w:val="0"/>
        <w:rPr>
          <w:rFonts w:hint="eastAsia" w:ascii="仿宋" w:hAnsi="仿宋" w:eastAsia="仿宋" w:cs="仿宋"/>
          <w:sz w:val="24"/>
          <w:szCs w:val="24"/>
        </w:rPr>
      </w:pPr>
      <w:bookmarkStart w:id="201" w:name="heading_15"/>
      <w:r>
        <w:rPr>
          <w:rFonts w:hint="eastAsia" w:ascii="仿宋" w:hAnsi="仿宋" w:eastAsia="仿宋" w:cs="仿宋"/>
          <w:b/>
          <w:sz w:val="24"/>
          <w:szCs w:val="24"/>
        </w:rPr>
        <w:t>四、商务服务要求</w:t>
      </w:r>
      <w:bookmarkEnd w:id="201"/>
    </w:p>
    <w:p w14:paraId="40AEB455">
      <w:pPr>
        <w:spacing w:before="320" w:after="120" w:line="288" w:lineRule="auto"/>
        <w:ind w:left="0"/>
        <w:jc w:val="left"/>
        <w:outlineLvl w:val="1"/>
        <w:rPr>
          <w:rFonts w:hint="eastAsia" w:ascii="仿宋" w:hAnsi="仿宋" w:eastAsia="仿宋" w:cs="仿宋"/>
          <w:sz w:val="24"/>
          <w:szCs w:val="24"/>
        </w:rPr>
      </w:pPr>
      <w:bookmarkStart w:id="202" w:name="heading_16"/>
      <w:r>
        <w:rPr>
          <w:rFonts w:hint="eastAsia" w:ascii="仿宋" w:hAnsi="仿宋" w:eastAsia="仿宋" w:cs="仿宋"/>
          <w:b/>
          <w:sz w:val="24"/>
          <w:szCs w:val="24"/>
        </w:rPr>
        <w:t>（一）供货周期与库存保障要求</w:t>
      </w:r>
      <w:bookmarkEnd w:id="202"/>
    </w:p>
    <w:p w14:paraId="1158C8D8">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合同签订生效后3个工作日内，供应商须完成首批常备物资足额供货、卸货就位、验收入库，保障初期服务正常运转。项目全程实行常态化按需补货、动态库存管控机制，采购人根据库存余量、服务频次、节假日、清明、中元等祭祀高峰期及突发应急服务需求，随时下达补货通知。供应商接到通知后24小时内正式响应，常规物资48小时内送达指定场地，紧急应急物资12小时内到位。</w:t>
      </w:r>
    </w:p>
    <w:p w14:paraId="15E3B6C7">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祭祀高峰期、节假日需提前主动备货，建立应急物资储备库，保障突发大批量需求可快速响应、足额供货，全程实现殡仪服务物资零短缺、服务零中断。所有供货批次按需分配，不强制批量采购，库存充足不重复供货，杜绝物资积压浪费。</w:t>
      </w:r>
    </w:p>
    <w:p w14:paraId="3BE3D1D3">
      <w:pPr>
        <w:spacing w:before="320" w:after="120" w:line="288" w:lineRule="auto"/>
        <w:ind w:left="0"/>
        <w:jc w:val="left"/>
        <w:outlineLvl w:val="1"/>
        <w:rPr>
          <w:rFonts w:hint="eastAsia" w:ascii="仿宋" w:hAnsi="仿宋" w:eastAsia="仿宋" w:cs="仿宋"/>
          <w:sz w:val="24"/>
          <w:szCs w:val="24"/>
        </w:rPr>
      </w:pPr>
      <w:bookmarkStart w:id="203" w:name="heading_17"/>
      <w:r>
        <w:rPr>
          <w:rFonts w:hint="eastAsia" w:ascii="仿宋" w:hAnsi="仿宋" w:eastAsia="仿宋" w:cs="仿宋"/>
          <w:b/>
          <w:sz w:val="24"/>
          <w:szCs w:val="24"/>
        </w:rPr>
        <w:t>（二）交付地点及交付方式</w:t>
      </w:r>
      <w:bookmarkEnd w:id="203"/>
    </w:p>
    <w:p w14:paraId="6679B0B8">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所有货物统一免费交付至昆明市东川区殡仪馆指定库房、服务场地，供应商全权负责货物运输、上门送货、卸货、分类分拣、规整摆放、入库就位、台账核对等全部工作，全程承担运输途中破损、丢失、污染、延误的全部责任及损失，采购人无需承担任何运输、装卸、整理费用。</w:t>
      </w:r>
    </w:p>
    <w:p w14:paraId="3D0C85B6">
      <w:pPr>
        <w:spacing w:before="320" w:after="120" w:line="288" w:lineRule="auto"/>
        <w:ind w:left="0"/>
        <w:jc w:val="left"/>
        <w:outlineLvl w:val="1"/>
        <w:rPr>
          <w:rFonts w:hint="eastAsia" w:ascii="仿宋" w:hAnsi="仿宋" w:eastAsia="仿宋" w:cs="仿宋"/>
          <w:sz w:val="24"/>
          <w:szCs w:val="24"/>
        </w:rPr>
      </w:pPr>
      <w:bookmarkStart w:id="204" w:name="heading_18"/>
      <w:r>
        <w:rPr>
          <w:rFonts w:hint="eastAsia" w:ascii="仿宋" w:hAnsi="仿宋" w:eastAsia="仿宋" w:cs="仿宋"/>
          <w:b/>
          <w:sz w:val="24"/>
          <w:szCs w:val="24"/>
        </w:rPr>
        <w:t>（三）验收标准及不合格处置机制</w:t>
      </w:r>
      <w:bookmarkEnd w:id="204"/>
    </w:p>
    <w:p w14:paraId="15EAC337">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本项目实行逐批次、全维度验收制度，验收结果作为结算唯一依据，具体标准如下：</w:t>
      </w:r>
    </w:p>
    <w:p w14:paraId="318906FF">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 数量验收：每批次供货数量与采购人补货通知、采购清单完全一致，无短缺、错发、漏发、多发，按需供货、精准匹配需求。</w:t>
      </w:r>
    </w:p>
    <w:p w14:paraId="1D6E7F7D">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 质量验收：所有产品材质、规格、尺寸、工艺、包装、性能完全符合本方案细化技术参数及国家、行业标准，无任何质量瑕疵，阻燃、环保、安全、防疫指标全部达标。</w:t>
      </w:r>
    </w:p>
    <w:p w14:paraId="1A615D38">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 资料验收：每批次随货附带完整的产品合格证、第三方质检报告、环保检测报告、阻燃检测证明、材质溯源资料，资料真实有效、可查可溯。</w:t>
      </w:r>
    </w:p>
    <w:p w14:paraId="31EE3FD5">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4. 不合格处置：凡验收不合格、参数不达标、资料缺失、存在质量瑕疵的产品，供应商须无条件免费退换货，在采购人规定时限内完成整改补货，承担全部运输、损耗、误工损失及相关责任，逾期未整改的，采购人有权扣除相应履约保证金、终止供货资格。</w:t>
      </w:r>
    </w:p>
    <w:p w14:paraId="6C40C6B8">
      <w:pPr>
        <w:spacing w:before="320" w:after="120" w:line="288" w:lineRule="auto"/>
        <w:ind w:left="0"/>
        <w:jc w:val="left"/>
        <w:outlineLvl w:val="1"/>
        <w:rPr>
          <w:rFonts w:hint="eastAsia" w:ascii="仿宋" w:hAnsi="仿宋" w:eastAsia="仿宋" w:cs="仿宋"/>
          <w:sz w:val="24"/>
          <w:szCs w:val="24"/>
        </w:rPr>
      </w:pPr>
      <w:bookmarkStart w:id="205" w:name="heading_19"/>
      <w:r>
        <w:rPr>
          <w:rFonts w:hint="eastAsia" w:ascii="仿宋" w:hAnsi="仿宋" w:eastAsia="仿宋" w:cs="仿宋"/>
          <w:b/>
          <w:sz w:val="24"/>
          <w:szCs w:val="24"/>
        </w:rPr>
        <w:t>（四）售后服务及应急保障要求</w:t>
      </w:r>
      <w:bookmarkEnd w:id="205"/>
    </w:p>
    <w:p w14:paraId="455A8E3C">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 全品类产品提供不少于1年质保服务，质保期内出现材质缺陷、工艺瑕疵、自然开裂、霉变、掉漆、破损等非人为质量问题，供应商无条件免费更换、补货、售后维修。</w:t>
      </w:r>
    </w:p>
    <w:p w14:paraId="1D310B8C">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 供应商须配备专属固定对接人员，全程对接供货、补货、验收、结算、售后咨询、问题整改等全部工作，保持24小时通讯畅通，响应及时、服务规范。</w:t>
      </w:r>
    </w:p>
    <w:p w14:paraId="4E5CBA22">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 建立专项应急供货保障机制，针对遗体紧急处置、突发大批量服务、突发物资短缺等应急场景，优先响应、极速供货，全力保障殡仪馆殡仪服务正常有序开展，杜绝因物资问题影响公共服务。</w:t>
      </w:r>
    </w:p>
    <w:p w14:paraId="3CAB4780">
      <w:pPr>
        <w:spacing w:before="380" w:after="140" w:line="288" w:lineRule="auto"/>
        <w:ind w:left="0"/>
        <w:jc w:val="left"/>
        <w:outlineLvl w:val="0"/>
        <w:rPr>
          <w:rFonts w:hint="eastAsia" w:ascii="仿宋" w:hAnsi="仿宋" w:eastAsia="仿宋" w:cs="仿宋"/>
          <w:sz w:val="24"/>
          <w:szCs w:val="24"/>
        </w:rPr>
      </w:pPr>
      <w:bookmarkStart w:id="206" w:name="heading_21"/>
      <w:r>
        <w:rPr>
          <w:rFonts w:hint="eastAsia" w:ascii="仿宋" w:hAnsi="仿宋" w:eastAsia="仿宋" w:cs="仿宋"/>
          <w:b/>
          <w:sz w:val="24"/>
          <w:szCs w:val="24"/>
          <w:lang w:val="en-US" w:eastAsia="zh-CN"/>
        </w:rPr>
        <w:t>四</w:t>
      </w:r>
      <w:r>
        <w:rPr>
          <w:rFonts w:hint="eastAsia" w:ascii="仿宋" w:hAnsi="仿宋" w:eastAsia="仿宋" w:cs="仿宋"/>
          <w:b/>
          <w:sz w:val="24"/>
          <w:szCs w:val="24"/>
        </w:rPr>
        <w:t>、结算与履约补充说明</w:t>
      </w:r>
      <w:bookmarkEnd w:id="206"/>
    </w:p>
    <w:p w14:paraId="1E62DB3D">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 本采购需求为本项目招标、投标、评标、履约验收、价款结算、合同履约的核心法定依据，供应商投标响应须完全满足本方案所有技术参数、商务条款、质量标准、售后要求，关键参数及服务条款不响应、不满足的，直接判定为无效投标。</w:t>
      </w:r>
    </w:p>
    <w:p w14:paraId="186C7508">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 本项目所有清单数量均为年度预估参考量，无强制采购额度，采购人可根据年度服务总量、库存周转、季节波动、应急需求，在不改变单品固定单价、不降低质量标准的前提下，自主微调各品类采购数量及供货频次，供应商无条件配合。</w:t>
      </w:r>
    </w:p>
    <w:p w14:paraId="2F460687">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 项目全程严格执行按需供货、据实结算原则，合同期内所有单品单价固定不变，供应商不得擅自涨价、调价、变相加价。按月核对实际领用合格物资数量，依据实际验收合格数量结算价款，未领用、验收不合格物资不予结算。</w:t>
      </w:r>
    </w:p>
    <w:p w14:paraId="36895825">
      <w:pPr>
        <w:pStyle w:val="15"/>
        <w:ind w:left="0" w:leftChars="0" w:firstLine="480" w:firstLineChars="200"/>
        <w:rPr>
          <w:rFonts w:hint="eastAsia" w:ascii="仿宋" w:hAnsi="仿宋" w:eastAsia="仿宋" w:cs="仿宋"/>
          <w:color w:val="auto"/>
          <w:highlight w:val="none"/>
          <w:lang w:val="en-US" w:eastAsia="zh-CN"/>
        </w:rPr>
      </w:pPr>
      <w:r>
        <w:rPr>
          <w:rFonts w:hint="eastAsia" w:ascii="仿宋" w:hAnsi="仿宋" w:eastAsia="仿宋" w:cs="仿宋"/>
          <w:sz w:val="24"/>
          <w:szCs w:val="24"/>
        </w:rPr>
        <w:t>4. 所有供货产品必须全程合规溯源，若后续抽检发现产品参数不达标、资质造假、质量不合格等问题，采购人有权追溯全部履约责任，扣除保证金、终止合同，并上报政府采购监管部门记入不良信用记录。</w:t>
      </w:r>
    </w:p>
    <w:p w14:paraId="7992C951">
      <w:pPr>
        <w:rPr>
          <w:rFonts w:hint="eastAsia" w:ascii="仿宋" w:hAnsi="仿宋" w:eastAsia="仿宋" w:cs="仿宋"/>
          <w:b/>
          <w:bCs/>
          <w:color w:val="auto"/>
          <w:sz w:val="28"/>
          <w:szCs w:val="28"/>
          <w:highlight w:val="none"/>
          <w:lang w:val="en-US" w:eastAsia="zh-CN"/>
        </w:rPr>
      </w:pPr>
    </w:p>
    <w:p w14:paraId="02EC104C">
      <w:pPr>
        <w:rPr>
          <w:rFonts w:hint="eastAsia" w:ascii="仿宋" w:hAnsi="仿宋" w:eastAsia="仿宋" w:cs="仿宋"/>
          <w:b/>
          <w:bCs/>
          <w:color w:val="auto"/>
          <w:sz w:val="28"/>
          <w:szCs w:val="28"/>
          <w:highlight w:val="none"/>
          <w:lang w:val="en-US" w:eastAsia="zh-CN"/>
        </w:rPr>
      </w:pPr>
    </w:p>
    <w:p w14:paraId="4558B14B">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本项目核心产品：实木骨灰盒</w:t>
      </w:r>
    </w:p>
    <w:p w14:paraId="0499260A">
      <w:pPr>
        <w:rPr>
          <w:rFonts w:hint="eastAsia" w:ascii="仿宋" w:hAnsi="仿宋" w:eastAsia="仿宋" w:cs="仿宋"/>
          <w:b w:val="0"/>
          <w:bCs w:val="0"/>
          <w:color w:val="auto"/>
          <w:sz w:val="21"/>
          <w:szCs w:val="21"/>
          <w:highlight w:val="none"/>
        </w:rPr>
      </w:pPr>
      <w:r>
        <w:rPr>
          <w:rFonts w:hint="eastAsia" w:ascii="仿宋" w:hAnsi="仿宋" w:eastAsia="仿宋" w:cs="仿宋"/>
          <w:b/>
          <w:bCs/>
          <w:color w:val="auto"/>
          <w:sz w:val="28"/>
          <w:szCs w:val="28"/>
          <w:highlight w:val="none"/>
        </w:rPr>
        <w:t>本项目所属行业：制造业</w:t>
      </w:r>
    </w:p>
    <w:p w14:paraId="42C9F4A8">
      <w:pPr>
        <w:pStyle w:val="3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auto"/>
          <w:kern w:val="0"/>
          <w:sz w:val="28"/>
          <w:szCs w:val="28"/>
          <w:highlight w:val="none"/>
          <w:shd w:val="clear" w:color="auto" w:fill="FFFFFF"/>
          <w:lang w:val="en-US" w:eastAsia="zh-CN" w:bidi="ar"/>
        </w:rPr>
      </w:pPr>
    </w:p>
    <w:p w14:paraId="08EE85BA">
      <w:pPr>
        <w:ind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br w:type="page"/>
      </w:r>
    </w:p>
    <w:p w14:paraId="13B53D49">
      <w:pPr>
        <w:rPr>
          <w:rFonts w:hint="eastAsia" w:ascii="仿宋" w:hAnsi="仿宋" w:eastAsia="仿宋" w:cs="仿宋"/>
          <w:b w:val="0"/>
          <w:bCs w:val="0"/>
          <w:color w:val="auto"/>
          <w:sz w:val="21"/>
          <w:szCs w:val="21"/>
          <w:highlight w:val="none"/>
          <w:lang w:val="en-US" w:eastAsia="zh-CN"/>
        </w:rPr>
        <w:sectPr>
          <w:pgSz w:w="11906" w:h="16838"/>
          <w:pgMar w:top="1418" w:right="1418" w:bottom="1418" w:left="1418" w:header="936" w:footer="720" w:gutter="0"/>
          <w:cols w:space="720" w:num="1"/>
          <w:docGrid w:type="linesAndChars" w:linePitch="331" w:charSpace="0"/>
        </w:sectPr>
      </w:pPr>
    </w:p>
    <w:bookmarkEnd w:id="105"/>
    <w:p w14:paraId="6D7F3FC0">
      <w:pPr>
        <w:jc w:val="center"/>
        <w:outlineLvl w:val="0"/>
        <w:rPr>
          <w:rFonts w:hint="eastAsia" w:ascii="仿宋" w:hAnsi="仿宋" w:eastAsia="仿宋" w:cs="仿宋"/>
          <w:b/>
          <w:bCs/>
          <w:color w:val="auto"/>
          <w:sz w:val="36"/>
          <w:highlight w:val="none"/>
        </w:rPr>
      </w:pPr>
      <w:bookmarkStart w:id="207" w:name="_Toc89692669"/>
      <w:r>
        <w:rPr>
          <w:rFonts w:hint="eastAsia" w:ascii="仿宋" w:hAnsi="仿宋" w:eastAsia="仿宋" w:cs="仿宋"/>
          <w:b/>
          <w:bCs/>
          <w:color w:val="auto"/>
          <w:sz w:val="36"/>
          <w:highlight w:val="none"/>
        </w:rPr>
        <w:t>第六章  资格审查</w:t>
      </w:r>
      <w:bookmarkEnd w:id="207"/>
    </w:p>
    <w:p w14:paraId="51711036">
      <w:pPr>
        <w:pStyle w:val="3"/>
        <w:numPr>
          <w:ilvl w:val="0"/>
          <w:numId w:val="0"/>
        </w:numPr>
        <w:snapToGrid w:val="0"/>
        <w:spacing w:before="0" w:line="240" w:lineRule="auto"/>
        <w:jc w:val="center"/>
        <w:rPr>
          <w:rFonts w:hint="eastAsia" w:ascii="仿宋" w:hAnsi="仿宋" w:eastAsia="仿宋" w:cs="仿宋"/>
          <w:color w:val="auto"/>
          <w:szCs w:val="28"/>
          <w:highlight w:val="none"/>
        </w:rPr>
      </w:pPr>
      <w:bookmarkStart w:id="208" w:name="_Toc15340"/>
      <w:bookmarkStart w:id="209" w:name="_Toc89692670"/>
      <w:r>
        <w:rPr>
          <w:rFonts w:hint="eastAsia" w:ascii="仿宋" w:hAnsi="仿宋" w:eastAsia="仿宋" w:cs="仿宋"/>
          <w:color w:val="auto"/>
          <w:szCs w:val="28"/>
          <w:highlight w:val="none"/>
        </w:rPr>
        <w:t>资格审查前附表</w:t>
      </w:r>
      <w:bookmarkEnd w:id="208"/>
      <w:bookmarkEnd w:id="209"/>
    </w:p>
    <w:tbl>
      <w:tblPr>
        <w:tblStyle w:val="37"/>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96" w:type="dxa"/>
          <w:bottom w:w="45" w:type="dxa"/>
          <w:right w:w="96" w:type="dxa"/>
        </w:tblCellMar>
      </w:tblPr>
      <w:tblGrid>
        <w:gridCol w:w="732"/>
        <w:gridCol w:w="2536"/>
        <w:gridCol w:w="6012"/>
      </w:tblGrid>
      <w:tr w14:paraId="4A49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blHeader/>
          <w:jc w:val="center"/>
        </w:trPr>
        <w:tc>
          <w:tcPr>
            <w:tcW w:w="732" w:type="dxa"/>
            <w:vAlign w:val="center"/>
          </w:tcPr>
          <w:p w14:paraId="5BC344E5">
            <w:pPr>
              <w:snapToGrid w:val="0"/>
              <w:jc w:val="center"/>
              <w:rPr>
                <w:rFonts w:hint="eastAsia" w:ascii="仿宋" w:hAnsi="仿宋" w:eastAsia="仿宋" w:cs="仿宋"/>
                <w:b/>
                <w:color w:val="auto"/>
                <w:highlight w:val="none"/>
                <w:lang w:eastAsia="zh-CN"/>
              </w:rPr>
            </w:pPr>
            <w:r>
              <w:rPr>
                <w:rFonts w:hint="eastAsia" w:ascii="仿宋" w:hAnsi="仿宋" w:eastAsia="仿宋" w:cs="仿宋"/>
                <w:b/>
                <w:color w:val="auto"/>
                <w:szCs w:val="21"/>
                <w:highlight w:val="none"/>
                <w:lang w:eastAsia="zh-CN"/>
              </w:rPr>
              <w:t>序号</w:t>
            </w:r>
          </w:p>
        </w:tc>
        <w:tc>
          <w:tcPr>
            <w:tcW w:w="2536" w:type="dxa"/>
            <w:vAlign w:val="center"/>
          </w:tcPr>
          <w:p w14:paraId="1B6A3D6E">
            <w:pPr>
              <w:snapToGrid w:val="0"/>
              <w:jc w:val="center"/>
              <w:rPr>
                <w:rFonts w:hint="eastAsia" w:ascii="仿宋" w:hAnsi="仿宋" w:eastAsia="仿宋" w:cs="仿宋"/>
                <w:b/>
                <w:color w:val="auto"/>
                <w:highlight w:val="none"/>
                <w:lang w:eastAsia="zh-CN"/>
              </w:rPr>
            </w:pPr>
            <w:r>
              <w:rPr>
                <w:rFonts w:hint="eastAsia" w:ascii="仿宋" w:hAnsi="仿宋" w:eastAsia="仿宋" w:cs="仿宋"/>
                <w:b/>
                <w:color w:val="auto"/>
                <w:szCs w:val="21"/>
                <w:highlight w:val="none"/>
                <w:lang w:eastAsia="zh-CN"/>
              </w:rPr>
              <w:t>评审因素</w:t>
            </w:r>
          </w:p>
        </w:tc>
        <w:tc>
          <w:tcPr>
            <w:tcW w:w="6012" w:type="dxa"/>
            <w:vAlign w:val="center"/>
          </w:tcPr>
          <w:p w14:paraId="5E75E3BE">
            <w:pPr>
              <w:snapToGrid w:val="0"/>
              <w:jc w:val="center"/>
              <w:rPr>
                <w:rFonts w:hint="eastAsia" w:ascii="仿宋" w:hAnsi="仿宋" w:eastAsia="仿宋" w:cs="仿宋"/>
                <w:b/>
                <w:color w:val="auto"/>
                <w:highlight w:val="none"/>
                <w:lang w:eastAsia="zh-CN"/>
              </w:rPr>
            </w:pPr>
            <w:r>
              <w:rPr>
                <w:rFonts w:hint="eastAsia" w:ascii="仿宋" w:hAnsi="仿宋" w:eastAsia="仿宋" w:cs="仿宋"/>
                <w:b/>
                <w:color w:val="auto"/>
                <w:szCs w:val="21"/>
                <w:highlight w:val="none"/>
                <w:lang w:eastAsia="zh-CN"/>
              </w:rPr>
              <w:t>评审标准</w:t>
            </w:r>
          </w:p>
        </w:tc>
      </w:tr>
      <w:tr w14:paraId="0433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32" w:type="dxa"/>
            <w:vAlign w:val="center"/>
          </w:tcPr>
          <w:p w14:paraId="0CD4AE55">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2536" w:type="dxa"/>
            <w:vAlign w:val="center"/>
          </w:tcPr>
          <w:p w14:paraId="5680A02F">
            <w:pPr>
              <w:snapToGrid w:val="0"/>
              <w:jc w:val="left"/>
              <w:rPr>
                <w:rFonts w:hint="eastAsia" w:ascii="仿宋" w:hAnsi="仿宋" w:eastAsia="仿宋" w:cs="仿宋"/>
                <w:color w:val="auto"/>
                <w:highlight w:val="none"/>
              </w:rPr>
            </w:pPr>
            <w:r>
              <w:rPr>
                <w:rFonts w:hint="eastAsia" w:ascii="仿宋" w:hAnsi="仿宋" w:eastAsia="仿宋" w:cs="仿宋"/>
                <w:color w:val="auto"/>
                <w:szCs w:val="21"/>
                <w:highlight w:val="none"/>
              </w:rPr>
              <w:t>具有独立承担民事责任能力</w:t>
            </w:r>
          </w:p>
        </w:tc>
        <w:tc>
          <w:tcPr>
            <w:tcW w:w="6012" w:type="dxa"/>
            <w:vAlign w:val="center"/>
          </w:tcPr>
          <w:p w14:paraId="392596FF">
            <w:pPr>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t>法人或者其他组织的营业执照等证明文件。</w:t>
            </w:r>
          </w:p>
        </w:tc>
      </w:tr>
      <w:tr w14:paraId="5D9C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32" w:type="dxa"/>
            <w:vAlign w:val="center"/>
          </w:tcPr>
          <w:p w14:paraId="4DD4A3C1">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2536" w:type="dxa"/>
            <w:vAlign w:val="center"/>
          </w:tcPr>
          <w:p w14:paraId="55CB6217">
            <w:pPr>
              <w:snapToGrid w:val="0"/>
              <w:jc w:val="left"/>
              <w:rPr>
                <w:rFonts w:hint="eastAsia" w:ascii="仿宋" w:hAnsi="仿宋" w:eastAsia="仿宋" w:cs="仿宋"/>
                <w:color w:val="auto"/>
                <w:highlight w:val="none"/>
              </w:rPr>
            </w:pPr>
            <w:r>
              <w:rPr>
                <w:rFonts w:hint="eastAsia" w:ascii="仿宋" w:hAnsi="仿宋" w:eastAsia="仿宋" w:cs="仿宋"/>
                <w:bCs/>
                <w:color w:val="auto"/>
                <w:szCs w:val="21"/>
                <w:highlight w:val="none"/>
              </w:rPr>
              <w:t>具有良好的商业信誉和健全的财务会计制度</w:t>
            </w:r>
          </w:p>
        </w:tc>
        <w:tc>
          <w:tcPr>
            <w:tcW w:w="6012" w:type="dxa"/>
            <w:vAlign w:val="center"/>
          </w:tcPr>
          <w:p w14:paraId="57FD5919">
            <w:pPr>
              <w:snapToGrid w:val="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提供2023年至今任意一年经赋码的审计财务报告（包含资产负债表、利润表、现金流量表、所有者权益变动表及附注即“四表一注”）或其基本开户银行出具的资信证明或财政部门认可的政府采购专业担保机构出具的投标担保函。工商登记注册之日起至磋商截止时间不满一年的需提供自成立至今的财务报表或承诺书。</w:t>
            </w:r>
          </w:p>
        </w:tc>
      </w:tr>
      <w:tr w14:paraId="777B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32" w:type="dxa"/>
            <w:vAlign w:val="center"/>
          </w:tcPr>
          <w:p w14:paraId="07A1163D">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2536" w:type="dxa"/>
            <w:vAlign w:val="center"/>
          </w:tcPr>
          <w:p w14:paraId="46E56BDE">
            <w:pPr>
              <w:snapToGrid w:val="0"/>
              <w:jc w:val="left"/>
              <w:rPr>
                <w:rFonts w:hint="eastAsia" w:ascii="仿宋" w:hAnsi="仿宋" w:eastAsia="仿宋" w:cs="仿宋"/>
                <w:color w:val="auto"/>
                <w:highlight w:val="none"/>
              </w:rPr>
            </w:pPr>
            <w:r>
              <w:rPr>
                <w:rFonts w:hint="eastAsia" w:ascii="仿宋" w:hAnsi="仿宋" w:eastAsia="仿宋" w:cs="仿宋"/>
                <w:bCs/>
                <w:color w:val="auto"/>
                <w:szCs w:val="21"/>
                <w:highlight w:val="none"/>
              </w:rPr>
              <w:t>具有履行合同所必需的设备和专业技术能力</w:t>
            </w:r>
          </w:p>
        </w:tc>
        <w:tc>
          <w:tcPr>
            <w:tcW w:w="6012" w:type="dxa"/>
            <w:vAlign w:val="center"/>
          </w:tcPr>
          <w:p w14:paraId="35C19C47">
            <w:pPr>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t>提供书面声明或相关证明材料。</w:t>
            </w:r>
          </w:p>
        </w:tc>
      </w:tr>
      <w:tr w14:paraId="5D12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32" w:type="dxa"/>
            <w:vAlign w:val="center"/>
          </w:tcPr>
          <w:p w14:paraId="23DDA824">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2536" w:type="dxa"/>
            <w:vAlign w:val="center"/>
          </w:tcPr>
          <w:p w14:paraId="21D8609A">
            <w:pPr>
              <w:snapToGrid w:val="0"/>
              <w:jc w:val="left"/>
              <w:rPr>
                <w:rFonts w:hint="eastAsia" w:ascii="仿宋" w:hAnsi="仿宋" w:eastAsia="仿宋" w:cs="仿宋"/>
                <w:color w:val="auto"/>
                <w:highlight w:val="none"/>
              </w:rPr>
            </w:pPr>
            <w:r>
              <w:rPr>
                <w:rFonts w:hint="eastAsia" w:ascii="仿宋" w:hAnsi="仿宋" w:eastAsia="仿宋" w:cs="仿宋"/>
                <w:bCs/>
                <w:color w:val="auto"/>
                <w:szCs w:val="21"/>
                <w:highlight w:val="none"/>
              </w:rPr>
              <w:t>有依法缴纳税收和社会保障资金的良好记录</w:t>
            </w:r>
          </w:p>
        </w:tc>
        <w:tc>
          <w:tcPr>
            <w:tcW w:w="6012" w:type="dxa"/>
            <w:vAlign w:val="center"/>
          </w:tcPr>
          <w:p w14:paraId="299FAE97">
            <w:pPr>
              <w:snapToGrid w:val="0"/>
              <w:jc w:val="left"/>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①提供在投标截止之日前十二个月内</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税款所属时期</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任意2个月的税务局税收通用缴款书扫描件或银行电子缴税</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费</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凭证扫描件或税务局出具纳税情况的相关证明，依法免税的，应提供依法免税的相关证明文件；成立至今不足2个月的投标人须提供承诺书；②提供在投标截止之日前十二个月内</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费款所属时期</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任意2个月的社会保险费缴款书扫描件或银行电子缴税</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费</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凭证扫描件或社保管理部门出具的有效的缴款证明，依法免缴的，应提供依法免缴的相关证明文件；成立至今不足2个月的投标人须提供承诺书</w:t>
            </w:r>
            <w:r>
              <w:rPr>
                <w:rFonts w:hint="eastAsia" w:ascii="仿宋" w:hAnsi="仿宋" w:eastAsia="仿宋" w:cs="仿宋"/>
                <w:color w:val="auto"/>
                <w:szCs w:val="21"/>
                <w:highlight w:val="none"/>
                <w:lang w:eastAsia="zh-CN"/>
              </w:rPr>
              <w:t>。</w:t>
            </w:r>
          </w:p>
        </w:tc>
      </w:tr>
      <w:tr w14:paraId="133FB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32" w:type="dxa"/>
            <w:vAlign w:val="center"/>
          </w:tcPr>
          <w:p w14:paraId="30E65B46">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2536" w:type="dxa"/>
            <w:vAlign w:val="center"/>
          </w:tcPr>
          <w:p w14:paraId="6203C488">
            <w:pPr>
              <w:snapToGrid w:val="0"/>
              <w:jc w:val="left"/>
              <w:rPr>
                <w:rFonts w:hint="eastAsia" w:ascii="仿宋" w:hAnsi="仿宋" w:eastAsia="仿宋" w:cs="仿宋"/>
                <w:color w:val="auto"/>
                <w:highlight w:val="none"/>
              </w:rPr>
            </w:pPr>
            <w:r>
              <w:rPr>
                <w:rFonts w:hint="eastAsia" w:ascii="仿宋" w:hAnsi="仿宋" w:eastAsia="仿宋" w:cs="仿宋"/>
                <w:color w:val="auto"/>
                <w:szCs w:val="21"/>
                <w:highlight w:val="none"/>
              </w:rPr>
              <w:t>参加政府采购活动前三年内，在经营活动中没有重大违法记录</w:t>
            </w:r>
          </w:p>
        </w:tc>
        <w:tc>
          <w:tcPr>
            <w:tcW w:w="6012" w:type="dxa"/>
            <w:vAlign w:val="center"/>
          </w:tcPr>
          <w:p w14:paraId="6D926BB9">
            <w:pPr>
              <w:snapToGrid w:val="0"/>
              <w:jc w:val="left"/>
              <w:rPr>
                <w:rFonts w:hint="eastAsia" w:ascii="仿宋" w:hAnsi="仿宋" w:eastAsia="仿宋" w:cs="仿宋"/>
                <w:color w:val="auto"/>
                <w:highlight w:val="none"/>
              </w:rPr>
            </w:pPr>
            <w:r>
              <w:rPr>
                <w:rFonts w:hint="eastAsia" w:ascii="仿宋" w:hAnsi="仿宋" w:eastAsia="仿宋" w:cs="仿宋"/>
                <w:color w:val="auto"/>
                <w:szCs w:val="21"/>
                <w:highlight w:val="none"/>
              </w:rPr>
              <w:t>重大违法记录，是指投标人因违法经营受到刑事处罚或者责令停产停业、吊销许可证或者执照、较大数额罚款等行政处罚。</w:t>
            </w:r>
            <w:r>
              <w:rPr>
                <w:rFonts w:hint="eastAsia" w:ascii="仿宋" w:hAnsi="仿宋" w:eastAsia="仿宋" w:cs="仿宋"/>
                <w:color w:val="auto"/>
                <w:highlight w:val="none"/>
              </w:rPr>
              <w:t>提供书面声明或相关证明材料。</w:t>
            </w:r>
          </w:p>
        </w:tc>
      </w:tr>
      <w:tr w14:paraId="2CC0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32" w:type="dxa"/>
            <w:vAlign w:val="center"/>
          </w:tcPr>
          <w:p w14:paraId="2F8F9E8A">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2536" w:type="dxa"/>
            <w:vAlign w:val="center"/>
          </w:tcPr>
          <w:p w14:paraId="19F1FEC5">
            <w:pPr>
              <w:snapToGrid w:val="0"/>
              <w:jc w:val="left"/>
              <w:rPr>
                <w:rFonts w:hint="eastAsia" w:ascii="仿宋" w:hAnsi="仿宋" w:eastAsia="仿宋" w:cs="仿宋"/>
                <w:color w:val="auto"/>
                <w:highlight w:val="none"/>
              </w:rPr>
            </w:pPr>
            <w:r>
              <w:rPr>
                <w:rFonts w:hint="eastAsia" w:ascii="仿宋" w:hAnsi="仿宋" w:eastAsia="仿宋" w:cs="仿宋"/>
                <w:color w:val="auto"/>
                <w:szCs w:val="21"/>
                <w:highlight w:val="none"/>
              </w:rPr>
              <w:t>法律、行政法规规定的其他条件</w:t>
            </w:r>
          </w:p>
        </w:tc>
        <w:tc>
          <w:tcPr>
            <w:tcW w:w="6012" w:type="dxa"/>
            <w:vAlign w:val="center"/>
          </w:tcPr>
          <w:p w14:paraId="4A6F83F3">
            <w:pPr>
              <w:snapToGrid w:val="0"/>
              <w:jc w:val="left"/>
              <w:rPr>
                <w:rFonts w:hint="eastAsia" w:ascii="仿宋" w:hAnsi="仿宋" w:eastAsia="仿宋" w:cs="仿宋"/>
                <w:color w:val="auto"/>
                <w:highlight w:val="none"/>
              </w:rPr>
            </w:pPr>
            <w:r>
              <w:rPr>
                <w:rFonts w:hint="eastAsia" w:ascii="仿宋" w:hAnsi="仿宋" w:eastAsia="仿宋" w:cs="仿宋"/>
                <w:color w:val="auto"/>
                <w:szCs w:val="21"/>
                <w:highlight w:val="none"/>
              </w:rPr>
              <w:t>①投标人未被列入“信用中国”网站（www.creditchina.gov.cn）失信被执行人、重大税收违法失信主体、严重失信主体名单及中国政府采购网（www.ccgp.gov.cn）“政府采购严重违法失信行为信息记录”。（被禁止在一定期限内参加政府采购活动但期限届满的除外）。评标前由采购代理机构查询，交由评标委员会审查后存档。②法律、行政法规规定的其他条件。③单位负责人为同一人或者存在直接控股、管理关系的不同单位，不得同时参加本项目的投标活动。</w:t>
            </w:r>
          </w:p>
        </w:tc>
      </w:tr>
      <w:tr w14:paraId="2127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32" w:type="dxa"/>
            <w:vAlign w:val="center"/>
          </w:tcPr>
          <w:p w14:paraId="5B31E416">
            <w:pPr>
              <w:snapToGrid w:val="0"/>
              <w:jc w:val="center"/>
              <w:rPr>
                <w:rFonts w:hint="eastAsia" w:ascii="仿宋" w:hAnsi="仿宋" w:eastAsia="仿宋" w:cs="仿宋"/>
                <w:color w:val="auto"/>
                <w:highlight w:val="none"/>
                <w:lang w:val="en-US" w:eastAsia="zh-CN"/>
              </w:rPr>
            </w:pPr>
            <w:bookmarkStart w:id="210" w:name="_Toc89692671"/>
            <w:r>
              <w:rPr>
                <w:rFonts w:hint="eastAsia" w:ascii="仿宋" w:hAnsi="仿宋" w:eastAsia="仿宋" w:cs="仿宋"/>
                <w:color w:val="auto"/>
                <w:highlight w:val="none"/>
                <w:lang w:val="en-US" w:eastAsia="zh-CN"/>
              </w:rPr>
              <w:t>7</w:t>
            </w:r>
          </w:p>
        </w:tc>
        <w:tc>
          <w:tcPr>
            <w:tcW w:w="2536" w:type="dxa"/>
            <w:vAlign w:val="center"/>
          </w:tcPr>
          <w:p w14:paraId="62EDD60A">
            <w:pPr>
              <w:jc w:val="center"/>
              <w:rPr>
                <w:rFonts w:hint="eastAsia" w:ascii="仿宋" w:hAnsi="仿宋" w:eastAsia="仿宋" w:cs="仿宋"/>
                <w:color w:val="auto"/>
                <w:szCs w:val="21"/>
                <w:highlight w:val="none"/>
              </w:rPr>
            </w:pPr>
            <w:r>
              <w:rPr>
                <w:rFonts w:hint="eastAsia" w:ascii="仿宋" w:hAnsi="仿宋" w:eastAsia="仿宋" w:cs="仿宋"/>
                <w:szCs w:val="21"/>
                <w:highlight w:val="none"/>
              </w:rPr>
              <w:t>落实政府采购政策需满足的资格要求</w:t>
            </w:r>
          </w:p>
        </w:tc>
        <w:tc>
          <w:tcPr>
            <w:tcW w:w="6012" w:type="dxa"/>
            <w:vAlign w:val="center"/>
          </w:tcPr>
          <w:p w14:paraId="311EFFB8">
            <w:pPr>
              <w:rPr>
                <w:rFonts w:hint="eastAsia" w:ascii="仿宋" w:hAnsi="仿宋" w:eastAsia="仿宋" w:cs="仿宋"/>
                <w:color w:val="auto"/>
                <w:szCs w:val="21"/>
                <w:highlight w:val="none"/>
              </w:rPr>
            </w:pPr>
            <w:r>
              <w:rPr>
                <w:rFonts w:hint="eastAsia" w:ascii="仿宋" w:hAnsi="仿宋" w:eastAsia="仿宋" w:cs="仿宋"/>
                <w:szCs w:val="21"/>
                <w:highlight w:val="none"/>
                <w:lang w:val="en-US" w:eastAsia="zh-CN"/>
              </w:rPr>
              <w:t>本项目专门面向中小企业采购，请根据要求单独上传《中小企业声明函》。格式以采购文件要求为准。</w:t>
            </w:r>
          </w:p>
        </w:tc>
      </w:tr>
      <w:tr w14:paraId="38C2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732" w:type="dxa"/>
            <w:vAlign w:val="center"/>
          </w:tcPr>
          <w:p w14:paraId="04D64C41">
            <w:pPr>
              <w:snapToGrid w:val="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w:t>
            </w:r>
          </w:p>
        </w:tc>
        <w:tc>
          <w:tcPr>
            <w:tcW w:w="2536" w:type="dxa"/>
            <w:vAlign w:val="center"/>
          </w:tcPr>
          <w:p w14:paraId="3FF6601C">
            <w:pPr>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本项目的特定资格要求</w:t>
            </w:r>
          </w:p>
        </w:tc>
        <w:tc>
          <w:tcPr>
            <w:tcW w:w="6012" w:type="dxa"/>
            <w:vAlign w:val="center"/>
          </w:tcPr>
          <w:p w14:paraId="5D705F44">
            <w:pPr>
              <w:snapToGrid w:val="0"/>
              <w:jc w:val="lef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无</w:t>
            </w:r>
          </w:p>
        </w:tc>
      </w:tr>
    </w:tbl>
    <w:p w14:paraId="29B46B75">
      <w:pPr>
        <w:pStyle w:val="3"/>
        <w:keepLines w:val="0"/>
        <w:pageBreakBefore w:val="0"/>
        <w:widowControl w:val="0"/>
        <w:numPr>
          <w:ilvl w:val="0"/>
          <w:numId w:val="0"/>
        </w:numPr>
        <w:kinsoku/>
        <w:wordWrap/>
        <w:overflowPunct/>
        <w:topLinePunct w:val="0"/>
        <w:autoSpaceDE/>
        <w:autoSpaceDN/>
        <w:bidi w:val="0"/>
        <w:snapToGrid/>
        <w:spacing w:before="0" w:line="240" w:lineRule="auto"/>
        <w:rPr>
          <w:rFonts w:hint="eastAsia" w:ascii="仿宋" w:hAnsi="仿宋" w:eastAsia="仿宋" w:cs="仿宋"/>
          <w:color w:val="auto"/>
          <w:szCs w:val="28"/>
          <w:highlight w:val="none"/>
        </w:rPr>
      </w:pPr>
      <w:bookmarkStart w:id="211" w:name="_Toc28605"/>
      <w:r>
        <w:rPr>
          <w:rFonts w:hint="eastAsia" w:ascii="仿宋" w:hAnsi="仿宋" w:eastAsia="仿宋" w:cs="仿宋"/>
          <w:color w:val="auto"/>
          <w:szCs w:val="28"/>
          <w:highlight w:val="none"/>
        </w:rPr>
        <w:t>1. 资格审查</w:t>
      </w:r>
      <w:bookmarkEnd w:id="210"/>
      <w:bookmarkEnd w:id="211"/>
    </w:p>
    <w:p w14:paraId="49AA60CE">
      <w:pPr>
        <w:keepLines w:val="0"/>
        <w:pageBreakBefore w:val="0"/>
        <w:widowControl w:val="0"/>
        <w:kinsoku/>
        <w:wordWrap/>
        <w:overflowPunct/>
        <w:topLinePunct w:val="0"/>
        <w:autoSpaceDE/>
        <w:autoSpaceDN/>
        <w:bidi w:val="0"/>
        <w:snapToGrid/>
        <w:spacing w:line="24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公开招标采购项目开标结束后，采购人或者采购代理机构依法对投标人的资格进行审查。</w:t>
      </w:r>
    </w:p>
    <w:p w14:paraId="1AA0F468">
      <w:pPr>
        <w:pStyle w:val="3"/>
        <w:keepLines w:val="0"/>
        <w:pageBreakBefore w:val="0"/>
        <w:widowControl w:val="0"/>
        <w:numPr>
          <w:ilvl w:val="0"/>
          <w:numId w:val="0"/>
        </w:numPr>
        <w:kinsoku/>
        <w:wordWrap/>
        <w:overflowPunct/>
        <w:topLinePunct w:val="0"/>
        <w:autoSpaceDE/>
        <w:autoSpaceDN/>
        <w:bidi w:val="0"/>
        <w:snapToGrid/>
        <w:spacing w:before="0" w:line="240" w:lineRule="auto"/>
        <w:rPr>
          <w:rFonts w:hint="eastAsia" w:ascii="仿宋" w:hAnsi="仿宋" w:eastAsia="仿宋" w:cs="仿宋"/>
          <w:color w:val="auto"/>
          <w:szCs w:val="28"/>
          <w:highlight w:val="none"/>
        </w:rPr>
      </w:pPr>
      <w:bookmarkStart w:id="212" w:name="_Toc20535"/>
      <w:bookmarkStart w:id="213" w:name="_Toc89692672"/>
      <w:r>
        <w:rPr>
          <w:rFonts w:hint="eastAsia" w:ascii="仿宋" w:hAnsi="仿宋" w:eastAsia="仿宋" w:cs="仿宋"/>
          <w:color w:val="auto"/>
          <w:szCs w:val="28"/>
          <w:highlight w:val="none"/>
        </w:rPr>
        <w:t>2. 资格审查标准</w:t>
      </w:r>
      <w:bookmarkEnd w:id="212"/>
      <w:bookmarkEnd w:id="213"/>
    </w:p>
    <w:p w14:paraId="0A28ED82">
      <w:pPr>
        <w:keepLines w:val="0"/>
        <w:pageBreakBefore w:val="0"/>
        <w:widowControl w:val="0"/>
        <w:kinsoku/>
        <w:wordWrap/>
        <w:overflowPunct/>
        <w:topLinePunct w:val="0"/>
        <w:autoSpaceDE/>
        <w:autoSpaceDN/>
        <w:bidi w:val="0"/>
        <w:snapToGrid/>
        <w:spacing w:line="24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资格审查标准：依据法律法规和招标文件的规定，对投标文件中的资格条件以及证明文件等进行审查，以确定投标人是否具备投标资格；见资格审查前附表。</w:t>
      </w:r>
    </w:p>
    <w:p w14:paraId="5450CD38">
      <w:pPr>
        <w:pStyle w:val="3"/>
        <w:keepLines w:val="0"/>
        <w:pageBreakBefore w:val="0"/>
        <w:widowControl w:val="0"/>
        <w:numPr>
          <w:ilvl w:val="0"/>
          <w:numId w:val="0"/>
        </w:numPr>
        <w:kinsoku/>
        <w:wordWrap/>
        <w:overflowPunct/>
        <w:topLinePunct w:val="0"/>
        <w:autoSpaceDE/>
        <w:autoSpaceDN/>
        <w:bidi w:val="0"/>
        <w:snapToGrid/>
        <w:spacing w:before="0" w:line="240" w:lineRule="auto"/>
        <w:rPr>
          <w:rFonts w:hint="eastAsia" w:ascii="仿宋" w:hAnsi="仿宋" w:eastAsia="仿宋" w:cs="仿宋"/>
          <w:color w:val="auto"/>
          <w:szCs w:val="28"/>
          <w:highlight w:val="none"/>
        </w:rPr>
      </w:pPr>
      <w:bookmarkStart w:id="214" w:name="_Toc89692673"/>
      <w:bookmarkStart w:id="215" w:name="_Toc14707"/>
      <w:r>
        <w:rPr>
          <w:rFonts w:hint="eastAsia" w:ascii="仿宋" w:hAnsi="仿宋" w:eastAsia="仿宋" w:cs="仿宋"/>
          <w:color w:val="auto"/>
          <w:szCs w:val="28"/>
          <w:highlight w:val="none"/>
        </w:rPr>
        <w:t>3. 资格审查程序</w:t>
      </w:r>
      <w:bookmarkEnd w:id="214"/>
      <w:bookmarkEnd w:id="215"/>
    </w:p>
    <w:p w14:paraId="78672DE6">
      <w:pPr>
        <w:pStyle w:val="17"/>
        <w:keepLines w:val="0"/>
        <w:pageBreakBefore w:val="0"/>
        <w:widowControl w:val="0"/>
        <w:tabs>
          <w:tab w:val="left" w:pos="2472"/>
        </w:tabs>
        <w:kinsoku/>
        <w:wordWrap/>
        <w:overflowPunct/>
        <w:topLinePunct w:val="0"/>
        <w:autoSpaceDE/>
        <w:autoSpaceDN/>
        <w:bidi w:val="0"/>
        <w:snapToGrid/>
        <w:spacing w:line="240" w:lineRule="auto"/>
        <w:ind w:firstLine="420" w:firstLineChars="200"/>
        <w:rPr>
          <w:rFonts w:hint="eastAsia" w:ascii="仿宋" w:hAnsi="仿宋" w:eastAsia="仿宋" w:cs="仿宋"/>
          <w:b/>
          <w:color w:val="auto"/>
          <w:szCs w:val="21"/>
          <w:highlight w:val="none"/>
          <w:u w:val="single"/>
        </w:rPr>
      </w:pPr>
      <w:r>
        <w:rPr>
          <w:rFonts w:hint="eastAsia" w:ascii="仿宋" w:hAnsi="仿宋" w:eastAsia="仿宋" w:cs="仿宋"/>
          <w:color w:val="auto"/>
          <w:szCs w:val="21"/>
          <w:highlight w:val="none"/>
        </w:rPr>
        <w:t>采购人依据本章第2项规定的标准对投标文件进行资格审查。有一项不符合审查标准的，投标无效。</w:t>
      </w:r>
      <w:r>
        <w:rPr>
          <w:rFonts w:hint="eastAsia" w:ascii="仿宋" w:hAnsi="仿宋" w:eastAsia="仿宋" w:cs="仿宋"/>
          <w:b/>
          <w:color w:val="auto"/>
          <w:szCs w:val="21"/>
          <w:highlight w:val="none"/>
          <w:u w:val="single"/>
        </w:rPr>
        <w:t>注：合格投标人不足3家的，不再进入评标程序，作废标处理。</w:t>
      </w:r>
    </w:p>
    <w:p w14:paraId="69BF8746">
      <w:pPr>
        <w:rPr>
          <w:rFonts w:hint="eastAsia" w:ascii="仿宋" w:hAnsi="仿宋" w:eastAsia="仿宋" w:cs="仿宋"/>
          <w:color w:val="auto"/>
          <w:sz w:val="36"/>
          <w:highlight w:val="none"/>
        </w:rPr>
      </w:pPr>
      <w:bookmarkStart w:id="216" w:name="_Toc89692674"/>
    </w:p>
    <w:p w14:paraId="30566B1D">
      <w:pPr>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r>
    </w:p>
    <w:p w14:paraId="646136BD">
      <w:pPr>
        <w:pStyle w:val="2"/>
        <w:numPr>
          <w:ilvl w:val="0"/>
          <w:numId w:val="0"/>
        </w:numPr>
        <w:spacing w:before="0"/>
        <w:jc w:val="center"/>
        <w:rPr>
          <w:rFonts w:hint="eastAsia" w:ascii="仿宋" w:hAnsi="仿宋" w:eastAsia="仿宋" w:cs="仿宋"/>
          <w:color w:val="auto"/>
          <w:sz w:val="36"/>
          <w:highlight w:val="none"/>
        </w:rPr>
      </w:pPr>
      <w:bookmarkStart w:id="217" w:name="_Toc8820"/>
      <w:r>
        <w:rPr>
          <w:rFonts w:hint="eastAsia" w:ascii="仿宋" w:hAnsi="仿宋" w:eastAsia="仿宋" w:cs="仿宋"/>
          <w:color w:val="auto"/>
          <w:sz w:val="36"/>
          <w:highlight w:val="none"/>
        </w:rPr>
        <w:t>第七章  评标办法（综合评分法）</w:t>
      </w:r>
      <w:bookmarkEnd w:id="216"/>
      <w:bookmarkEnd w:id="217"/>
    </w:p>
    <w:p w14:paraId="70E097EC">
      <w:pPr>
        <w:pStyle w:val="3"/>
        <w:numPr>
          <w:ilvl w:val="0"/>
          <w:numId w:val="0"/>
        </w:numPr>
        <w:spacing w:before="0"/>
        <w:jc w:val="center"/>
        <w:rPr>
          <w:rFonts w:hint="eastAsia" w:ascii="仿宋" w:hAnsi="仿宋" w:eastAsia="仿宋" w:cs="仿宋"/>
          <w:color w:val="auto"/>
          <w:szCs w:val="28"/>
          <w:highlight w:val="none"/>
        </w:rPr>
      </w:pPr>
      <w:bookmarkStart w:id="218" w:name="_Toc468805875"/>
      <w:bookmarkStart w:id="219" w:name="_Toc89692675"/>
      <w:bookmarkStart w:id="220" w:name="_Toc27463"/>
      <w:r>
        <w:rPr>
          <w:rFonts w:hint="eastAsia" w:ascii="仿宋" w:hAnsi="仿宋" w:eastAsia="仿宋" w:cs="仿宋"/>
          <w:color w:val="auto"/>
          <w:szCs w:val="28"/>
          <w:highlight w:val="none"/>
        </w:rPr>
        <w:t>评标办法前附表</w:t>
      </w:r>
      <w:bookmarkEnd w:id="218"/>
      <w:bookmarkEnd w:id="219"/>
      <w:bookmarkEnd w:id="220"/>
    </w:p>
    <w:tbl>
      <w:tblPr>
        <w:tblStyle w:val="36"/>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5"/>
        <w:gridCol w:w="821"/>
        <w:gridCol w:w="1719"/>
        <w:gridCol w:w="6148"/>
      </w:tblGrid>
      <w:tr w14:paraId="2B6D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632" w:type="dxa"/>
            <w:gridSpan w:val="3"/>
            <w:vAlign w:val="center"/>
          </w:tcPr>
          <w:p w14:paraId="15E93C56">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条款号</w:t>
            </w:r>
          </w:p>
        </w:tc>
        <w:tc>
          <w:tcPr>
            <w:tcW w:w="1719" w:type="dxa"/>
            <w:vAlign w:val="center"/>
          </w:tcPr>
          <w:p w14:paraId="4D1A585E">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 审 因 素</w:t>
            </w:r>
          </w:p>
        </w:tc>
        <w:tc>
          <w:tcPr>
            <w:tcW w:w="6148" w:type="dxa"/>
            <w:vAlign w:val="center"/>
          </w:tcPr>
          <w:p w14:paraId="2F41A988">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 审 标 准</w:t>
            </w:r>
          </w:p>
        </w:tc>
      </w:tr>
      <w:tr w14:paraId="20FF7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811" w:type="dxa"/>
            <w:gridSpan w:val="2"/>
            <w:vMerge w:val="restart"/>
            <w:vAlign w:val="center"/>
          </w:tcPr>
          <w:p w14:paraId="3718304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w:t>
            </w:r>
          </w:p>
        </w:tc>
        <w:tc>
          <w:tcPr>
            <w:tcW w:w="821" w:type="dxa"/>
            <w:vMerge w:val="restart"/>
            <w:vAlign w:val="center"/>
          </w:tcPr>
          <w:p w14:paraId="2B73E65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符合性审查标准</w:t>
            </w:r>
          </w:p>
        </w:tc>
        <w:tc>
          <w:tcPr>
            <w:tcW w:w="1719" w:type="dxa"/>
            <w:vAlign w:val="center"/>
          </w:tcPr>
          <w:p w14:paraId="51993AF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投标文件格式</w:t>
            </w:r>
          </w:p>
        </w:tc>
        <w:tc>
          <w:tcPr>
            <w:tcW w:w="6148" w:type="dxa"/>
            <w:vAlign w:val="center"/>
          </w:tcPr>
          <w:p w14:paraId="0BCEE034">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投标文件按第四章“投标文件格式”要求填写，内容完整且关键字迹清晰</w:t>
            </w:r>
          </w:p>
        </w:tc>
      </w:tr>
      <w:tr w14:paraId="7F6D3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11" w:type="dxa"/>
            <w:gridSpan w:val="2"/>
            <w:vMerge w:val="continue"/>
            <w:vAlign w:val="center"/>
          </w:tcPr>
          <w:p w14:paraId="292AD455">
            <w:pPr>
              <w:rPr>
                <w:rFonts w:hint="eastAsia" w:ascii="仿宋" w:hAnsi="仿宋" w:eastAsia="仿宋" w:cs="仿宋"/>
                <w:color w:val="auto"/>
                <w:highlight w:val="none"/>
              </w:rPr>
            </w:pPr>
          </w:p>
        </w:tc>
        <w:tc>
          <w:tcPr>
            <w:tcW w:w="821" w:type="dxa"/>
            <w:vMerge w:val="continue"/>
            <w:vAlign w:val="center"/>
          </w:tcPr>
          <w:p w14:paraId="055B0C70">
            <w:pPr>
              <w:rPr>
                <w:rFonts w:hint="eastAsia" w:ascii="仿宋" w:hAnsi="仿宋" w:eastAsia="仿宋" w:cs="仿宋"/>
                <w:color w:val="auto"/>
                <w:highlight w:val="none"/>
              </w:rPr>
            </w:pPr>
          </w:p>
        </w:tc>
        <w:tc>
          <w:tcPr>
            <w:tcW w:w="1719" w:type="dxa"/>
            <w:vAlign w:val="center"/>
          </w:tcPr>
          <w:p w14:paraId="1CF012E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投标文件签署、盖章</w:t>
            </w:r>
          </w:p>
        </w:tc>
        <w:tc>
          <w:tcPr>
            <w:tcW w:w="6148" w:type="dxa"/>
            <w:vAlign w:val="center"/>
          </w:tcPr>
          <w:p w14:paraId="35411209">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按第四章“投标文件格式”要求在规定位置进行电子签章</w:t>
            </w:r>
          </w:p>
        </w:tc>
      </w:tr>
      <w:tr w14:paraId="6BE94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11" w:type="dxa"/>
            <w:gridSpan w:val="2"/>
            <w:vMerge w:val="continue"/>
            <w:vAlign w:val="center"/>
          </w:tcPr>
          <w:p w14:paraId="314B7F52">
            <w:pPr>
              <w:rPr>
                <w:rFonts w:hint="eastAsia" w:ascii="仿宋" w:hAnsi="仿宋" w:eastAsia="仿宋" w:cs="仿宋"/>
                <w:color w:val="auto"/>
                <w:highlight w:val="none"/>
              </w:rPr>
            </w:pPr>
          </w:p>
        </w:tc>
        <w:tc>
          <w:tcPr>
            <w:tcW w:w="821" w:type="dxa"/>
            <w:vMerge w:val="continue"/>
            <w:vAlign w:val="center"/>
          </w:tcPr>
          <w:p w14:paraId="3FBB9960">
            <w:pPr>
              <w:rPr>
                <w:rFonts w:hint="eastAsia" w:ascii="仿宋" w:hAnsi="仿宋" w:eastAsia="仿宋" w:cs="仿宋"/>
                <w:color w:val="auto"/>
                <w:highlight w:val="none"/>
              </w:rPr>
            </w:pPr>
          </w:p>
        </w:tc>
        <w:tc>
          <w:tcPr>
            <w:tcW w:w="1719" w:type="dxa"/>
            <w:vAlign w:val="center"/>
          </w:tcPr>
          <w:p w14:paraId="22B67DF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合同履行期限</w:t>
            </w:r>
          </w:p>
        </w:tc>
        <w:tc>
          <w:tcPr>
            <w:tcW w:w="6148" w:type="dxa"/>
            <w:vAlign w:val="center"/>
          </w:tcPr>
          <w:p w14:paraId="431B042E">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符合第二章“投标人须知前附表”第 3.2款规定</w:t>
            </w:r>
          </w:p>
        </w:tc>
      </w:tr>
      <w:tr w14:paraId="7A158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11" w:type="dxa"/>
            <w:gridSpan w:val="2"/>
            <w:vMerge w:val="continue"/>
            <w:vAlign w:val="center"/>
          </w:tcPr>
          <w:p w14:paraId="118EBA67">
            <w:pPr>
              <w:rPr>
                <w:rFonts w:hint="eastAsia" w:ascii="仿宋" w:hAnsi="仿宋" w:eastAsia="仿宋" w:cs="仿宋"/>
                <w:color w:val="auto"/>
                <w:highlight w:val="none"/>
              </w:rPr>
            </w:pPr>
          </w:p>
        </w:tc>
        <w:tc>
          <w:tcPr>
            <w:tcW w:w="821" w:type="dxa"/>
            <w:vMerge w:val="continue"/>
            <w:vAlign w:val="center"/>
          </w:tcPr>
          <w:p w14:paraId="5812F596">
            <w:pPr>
              <w:rPr>
                <w:rFonts w:hint="eastAsia" w:ascii="仿宋" w:hAnsi="仿宋" w:eastAsia="仿宋" w:cs="仿宋"/>
                <w:color w:val="auto"/>
                <w:highlight w:val="none"/>
              </w:rPr>
            </w:pPr>
          </w:p>
        </w:tc>
        <w:tc>
          <w:tcPr>
            <w:tcW w:w="1719" w:type="dxa"/>
            <w:vAlign w:val="center"/>
          </w:tcPr>
          <w:p w14:paraId="7B76CC8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供货地点</w:t>
            </w:r>
          </w:p>
        </w:tc>
        <w:tc>
          <w:tcPr>
            <w:tcW w:w="6148" w:type="dxa"/>
            <w:vAlign w:val="center"/>
          </w:tcPr>
          <w:p w14:paraId="2FD6E040">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符合第二章“投标人须知前附表”第 3.3 款规定</w:t>
            </w:r>
          </w:p>
        </w:tc>
      </w:tr>
      <w:tr w14:paraId="44A30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11" w:type="dxa"/>
            <w:gridSpan w:val="2"/>
            <w:vMerge w:val="continue"/>
            <w:vAlign w:val="center"/>
          </w:tcPr>
          <w:p w14:paraId="01E2EA62">
            <w:pPr>
              <w:rPr>
                <w:rFonts w:hint="eastAsia" w:ascii="仿宋" w:hAnsi="仿宋" w:eastAsia="仿宋" w:cs="仿宋"/>
                <w:color w:val="auto"/>
                <w:highlight w:val="none"/>
              </w:rPr>
            </w:pPr>
          </w:p>
        </w:tc>
        <w:tc>
          <w:tcPr>
            <w:tcW w:w="821" w:type="dxa"/>
            <w:vMerge w:val="continue"/>
            <w:vAlign w:val="center"/>
          </w:tcPr>
          <w:p w14:paraId="69E40688">
            <w:pPr>
              <w:rPr>
                <w:rFonts w:hint="eastAsia" w:ascii="仿宋" w:hAnsi="仿宋" w:eastAsia="仿宋" w:cs="仿宋"/>
                <w:color w:val="auto"/>
                <w:highlight w:val="none"/>
              </w:rPr>
            </w:pPr>
          </w:p>
        </w:tc>
        <w:tc>
          <w:tcPr>
            <w:tcW w:w="1719" w:type="dxa"/>
            <w:vAlign w:val="center"/>
          </w:tcPr>
          <w:p w14:paraId="724C4EC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6148" w:type="dxa"/>
            <w:vAlign w:val="center"/>
          </w:tcPr>
          <w:p w14:paraId="631DCF79">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符合第二章“投标人须知前附表”第15.1款规定</w:t>
            </w:r>
          </w:p>
        </w:tc>
      </w:tr>
      <w:tr w14:paraId="0AAA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811" w:type="dxa"/>
            <w:gridSpan w:val="2"/>
            <w:vMerge w:val="continue"/>
            <w:vAlign w:val="center"/>
          </w:tcPr>
          <w:p w14:paraId="1E21103E">
            <w:pPr>
              <w:rPr>
                <w:rFonts w:hint="eastAsia" w:ascii="仿宋" w:hAnsi="仿宋" w:eastAsia="仿宋" w:cs="仿宋"/>
                <w:color w:val="auto"/>
                <w:highlight w:val="none"/>
              </w:rPr>
            </w:pPr>
          </w:p>
        </w:tc>
        <w:tc>
          <w:tcPr>
            <w:tcW w:w="821" w:type="dxa"/>
            <w:vMerge w:val="continue"/>
            <w:vAlign w:val="center"/>
          </w:tcPr>
          <w:p w14:paraId="34733A2B">
            <w:pPr>
              <w:rPr>
                <w:rFonts w:hint="eastAsia" w:ascii="仿宋" w:hAnsi="仿宋" w:eastAsia="仿宋" w:cs="仿宋"/>
                <w:color w:val="auto"/>
                <w:highlight w:val="none"/>
              </w:rPr>
            </w:pPr>
          </w:p>
        </w:tc>
        <w:tc>
          <w:tcPr>
            <w:tcW w:w="1719" w:type="dxa"/>
            <w:vAlign w:val="center"/>
          </w:tcPr>
          <w:p w14:paraId="3D4C8E5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w:t>
            </w:r>
          </w:p>
        </w:tc>
        <w:tc>
          <w:tcPr>
            <w:tcW w:w="6148" w:type="dxa"/>
            <w:vAlign w:val="center"/>
          </w:tcPr>
          <w:p w14:paraId="5C7BB7F3">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投标文件没有投标报价的；投标文件中，投标人投报两个或多个报价未声明哪个有效的；报价超过招标文件中规定的最高限价</w:t>
            </w:r>
            <w:r>
              <w:rPr>
                <w:rFonts w:hint="eastAsia" w:ascii="仿宋" w:hAnsi="仿宋" w:eastAsia="仿宋" w:cs="仿宋"/>
                <w:color w:val="auto"/>
                <w:szCs w:val="21"/>
                <w:highlight w:val="none"/>
                <w:lang w:val="en-US" w:eastAsia="zh-CN"/>
              </w:rPr>
              <w:t>/最高单价限价</w:t>
            </w:r>
            <w:r>
              <w:rPr>
                <w:rFonts w:hint="eastAsia" w:ascii="仿宋" w:hAnsi="仿宋" w:eastAsia="仿宋" w:cs="仿宋"/>
                <w:color w:val="auto"/>
                <w:szCs w:val="21"/>
                <w:highlight w:val="none"/>
              </w:rPr>
              <w:t>的。</w:t>
            </w:r>
          </w:p>
        </w:tc>
      </w:tr>
      <w:tr w14:paraId="7356C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11" w:type="dxa"/>
            <w:gridSpan w:val="2"/>
            <w:vMerge w:val="continue"/>
            <w:vAlign w:val="center"/>
          </w:tcPr>
          <w:p w14:paraId="423F27A1">
            <w:pPr>
              <w:rPr>
                <w:rFonts w:hint="eastAsia" w:ascii="仿宋" w:hAnsi="仿宋" w:eastAsia="仿宋" w:cs="仿宋"/>
                <w:color w:val="auto"/>
                <w:highlight w:val="none"/>
              </w:rPr>
            </w:pPr>
          </w:p>
        </w:tc>
        <w:tc>
          <w:tcPr>
            <w:tcW w:w="821" w:type="dxa"/>
            <w:vMerge w:val="continue"/>
            <w:vAlign w:val="center"/>
          </w:tcPr>
          <w:p w14:paraId="0B9FB13C">
            <w:pPr>
              <w:rPr>
                <w:rFonts w:hint="eastAsia" w:ascii="仿宋" w:hAnsi="仿宋" w:eastAsia="仿宋" w:cs="仿宋"/>
                <w:color w:val="auto"/>
                <w:highlight w:val="none"/>
              </w:rPr>
            </w:pPr>
          </w:p>
        </w:tc>
        <w:tc>
          <w:tcPr>
            <w:tcW w:w="1719" w:type="dxa"/>
            <w:vAlign w:val="center"/>
          </w:tcPr>
          <w:p w14:paraId="75365A8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投标内容</w:t>
            </w:r>
          </w:p>
        </w:tc>
        <w:tc>
          <w:tcPr>
            <w:tcW w:w="6148" w:type="dxa"/>
            <w:vAlign w:val="center"/>
          </w:tcPr>
          <w:p w14:paraId="73DB2F31">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投标人提供的货物无实质性遗漏</w:t>
            </w:r>
          </w:p>
        </w:tc>
      </w:tr>
      <w:tr w14:paraId="759DC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811" w:type="dxa"/>
            <w:gridSpan w:val="2"/>
            <w:vMerge w:val="continue"/>
            <w:vAlign w:val="center"/>
          </w:tcPr>
          <w:p w14:paraId="15E24914">
            <w:pPr>
              <w:rPr>
                <w:rFonts w:hint="eastAsia" w:ascii="仿宋" w:hAnsi="仿宋" w:eastAsia="仿宋" w:cs="仿宋"/>
                <w:color w:val="auto"/>
                <w:highlight w:val="none"/>
              </w:rPr>
            </w:pPr>
          </w:p>
        </w:tc>
        <w:tc>
          <w:tcPr>
            <w:tcW w:w="821" w:type="dxa"/>
            <w:vMerge w:val="continue"/>
            <w:vAlign w:val="center"/>
          </w:tcPr>
          <w:p w14:paraId="1B18ADCF">
            <w:pPr>
              <w:rPr>
                <w:rFonts w:hint="eastAsia" w:ascii="仿宋" w:hAnsi="仿宋" w:eastAsia="仿宋" w:cs="仿宋"/>
                <w:color w:val="auto"/>
                <w:highlight w:val="none"/>
              </w:rPr>
            </w:pPr>
          </w:p>
        </w:tc>
        <w:tc>
          <w:tcPr>
            <w:tcW w:w="1719" w:type="dxa"/>
            <w:vAlign w:val="center"/>
          </w:tcPr>
          <w:p w14:paraId="1CF8B07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法定代表人身份证明书</w:t>
            </w:r>
          </w:p>
        </w:tc>
        <w:tc>
          <w:tcPr>
            <w:tcW w:w="6148" w:type="dxa"/>
            <w:vAlign w:val="center"/>
          </w:tcPr>
          <w:p w14:paraId="6216E1A2">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符合“第四章”投标文件格式要求填写并在规定位置进行电子签章</w:t>
            </w:r>
          </w:p>
        </w:tc>
      </w:tr>
      <w:tr w14:paraId="662C9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811" w:type="dxa"/>
            <w:gridSpan w:val="2"/>
            <w:vMerge w:val="continue"/>
            <w:vAlign w:val="center"/>
          </w:tcPr>
          <w:p w14:paraId="4F82347C">
            <w:pPr>
              <w:rPr>
                <w:rFonts w:hint="eastAsia" w:ascii="仿宋" w:hAnsi="仿宋" w:eastAsia="仿宋" w:cs="仿宋"/>
                <w:color w:val="auto"/>
                <w:highlight w:val="none"/>
              </w:rPr>
            </w:pPr>
          </w:p>
        </w:tc>
        <w:tc>
          <w:tcPr>
            <w:tcW w:w="821" w:type="dxa"/>
            <w:vMerge w:val="continue"/>
            <w:vAlign w:val="center"/>
          </w:tcPr>
          <w:p w14:paraId="3DBE882C">
            <w:pPr>
              <w:rPr>
                <w:rFonts w:hint="eastAsia" w:ascii="仿宋" w:hAnsi="仿宋" w:eastAsia="仿宋" w:cs="仿宋"/>
                <w:color w:val="auto"/>
                <w:highlight w:val="none"/>
              </w:rPr>
            </w:pPr>
          </w:p>
        </w:tc>
        <w:tc>
          <w:tcPr>
            <w:tcW w:w="1719" w:type="dxa"/>
            <w:vAlign w:val="center"/>
          </w:tcPr>
          <w:p w14:paraId="7C3D094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法定代表人授权委托书</w:t>
            </w:r>
          </w:p>
        </w:tc>
        <w:tc>
          <w:tcPr>
            <w:tcW w:w="6148" w:type="dxa"/>
            <w:vAlign w:val="center"/>
          </w:tcPr>
          <w:p w14:paraId="014E122B">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符合“第四章”投标文件格式要求填写并在规定位置进行电子签章</w:t>
            </w:r>
          </w:p>
        </w:tc>
      </w:tr>
      <w:tr w14:paraId="6A7BA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11" w:type="dxa"/>
            <w:gridSpan w:val="2"/>
            <w:vMerge w:val="continue"/>
            <w:vAlign w:val="center"/>
          </w:tcPr>
          <w:p w14:paraId="04241478">
            <w:pPr>
              <w:rPr>
                <w:rFonts w:hint="eastAsia" w:ascii="仿宋" w:hAnsi="仿宋" w:eastAsia="仿宋" w:cs="仿宋"/>
                <w:color w:val="auto"/>
                <w:highlight w:val="none"/>
              </w:rPr>
            </w:pPr>
          </w:p>
        </w:tc>
        <w:tc>
          <w:tcPr>
            <w:tcW w:w="821" w:type="dxa"/>
            <w:vMerge w:val="continue"/>
            <w:vAlign w:val="center"/>
          </w:tcPr>
          <w:p w14:paraId="361B9459">
            <w:pPr>
              <w:rPr>
                <w:rFonts w:hint="eastAsia" w:ascii="仿宋" w:hAnsi="仿宋" w:eastAsia="仿宋" w:cs="仿宋"/>
                <w:color w:val="auto"/>
                <w:highlight w:val="none"/>
              </w:rPr>
            </w:pPr>
          </w:p>
        </w:tc>
        <w:tc>
          <w:tcPr>
            <w:tcW w:w="1719" w:type="dxa"/>
            <w:vAlign w:val="center"/>
          </w:tcPr>
          <w:p w14:paraId="63D9BEB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其他无效情形</w:t>
            </w:r>
          </w:p>
        </w:tc>
        <w:tc>
          <w:tcPr>
            <w:tcW w:w="6148" w:type="dxa"/>
            <w:vAlign w:val="center"/>
          </w:tcPr>
          <w:p w14:paraId="7D18BF0F">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法律法规</w:t>
            </w:r>
            <w:r>
              <w:rPr>
                <w:rFonts w:hint="eastAsia" w:ascii="仿宋" w:hAnsi="仿宋" w:eastAsia="仿宋" w:cs="仿宋"/>
                <w:color w:val="auto"/>
                <w:szCs w:val="21"/>
                <w:highlight w:val="none"/>
              </w:rPr>
              <w:t>和招标文件规定的其他无效情形</w:t>
            </w:r>
          </w:p>
        </w:tc>
      </w:tr>
      <w:tr w14:paraId="55D06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632" w:type="dxa"/>
            <w:gridSpan w:val="3"/>
            <w:vAlign w:val="center"/>
          </w:tcPr>
          <w:p w14:paraId="5DE93A51">
            <w:pPr>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条款号</w:t>
            </w:r>
          </w:p>
        </w:tc>
        <w:tc>
          <w:tcPr>
            <w:tcW w:w="1719" w:type="dxa"/>
            <w:vAlign w:val="center"/>
          </w:tcPr>
          <w:p w14:paraId="60C796DC">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条款内容</w:t>
            </w:r>
          </w:p>
        </w:tc>
        <w:tc>
          <w:tcPr>
            <w:tcW w:w="6148" w:type="dxa"/>
            <w:vAlign w:val="center"/>
          </w:tcPr>
          <w:p w14:paraId="5BA2C4EE">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编列内容</w:t>
            </w:r>
          </w:p>
        </w:tc>
      </w:tr>
      <w:tr w14:paraId="5660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1632" w:type="dxa"/>
            <w:gridSpan w:val="3"/>
            <w:vMerge w:val="restart"/>
            <w:vAlign w:val="center"/>
          </w:tcPr>
          <w:p w14:paraId="360C365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2.2.1</w:t>
            </w:r>
          </w:p>
        </w:tc>
        <w:tc>
          <w:tcPr>
            <w:tcW w:w="1719" w:type="dxa"/>
            <w:vMerge w:val="restart"/>
            <w:vAlign w:val="center"/>
          </w:tcPr>
          <w:p w14:paraId="15C8FDC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分值构成</w:t>
            </w:r>
          </w:p>
          <w:p w14:paraId="029943E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（满分100分）</w:t>
            </w:r>
          </w:p>
        </w:tc>
        <w:tc>
          <w:tcPr>
            <w:tcW w:w="6148" w:type="dxa"/>
            <w:vAlign w:val="center"/>
          </w:tcPr>
          <w:p w14:paraId="74251EFA">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投标人的评标总得分＝F</w:t>
            </w:r>
            <w:r>
              <w:rPr>
                <w:rFonts w:hint="eastAsia" w:ascii="仿宋" w:hAnsi="仿宋" w:eastAsia="仿宋" w:cs="仿宋"/>
                <w:color w:val="auto"/>
                <w:szCs w:val="21"/>
                <w:highlight w:val="none"/>
                <w:vertAlign w:val="subscript"/>
              </w:rPr>
              <w:t>1</w:t>
            </w:r>
            <w:r>
              <w:rPr>
                <w:rFonts w:hint="eastAsia" w:ascii="仿宋" w:hAnsi="仿宋" w:eastAsia="仿宋" w:cs="仿宋"/>
                <w:color w:val="auto"/>
                <w:szCs w:val="21"/>
                <w:highlight w:val="none"/>
              </w:rPr>
              <w:t>＋F</w:t>
            </w:r>
            <w:r>
              <w:rPr>
                <w:rFonts w:hint="eastAsia" w:ascii="仿宋" w:hAnsi="仿宋" w:eastAsia="仿宋" w:cs="仿宋"/>
                <w:color w:val="auto"/>
                <w:szCs w:val="21"/>
                <w:highlight w:val="none"/>
                <w:vertAlign w:val="subscript"/>
              </w:rPr>
              <w:t>2</w:t>
            </w:r>
            <w:r>
              <w:rPr>
                <w:rFonts w:hint="eastAsia" w:ascii="仿宋" w:hAnsi="仿宋" w:eastAsia="仿宋" w:cs="仿宋"/>
                <w:color w:val="auto"/>
                <w:szCs w:val="21"/>
                <w:highlight w:val="none"/>
              </w:rPr>
              <w:t>＋F</w:t>
            </w:r>
            <w:r>
              <w:rPr>
                <w:rFonts w:hint="eastAsia" w:ascii="仿宋" w:hAnsi="仿宋" w:eastAsia="仿宋" w:cs="仿宋"/>
                <w:color w:val="auto"/>
                <w:szCs w:val="21"/>
                <w:highlight w:val="none"/>
                <w:vertAlign w:val="subscript"/>
              </w:rPr>
              <w:t>3</w:t>
            </w:r>
          </w:p>
        </w:tc>
      </w:tr>
      <w:tr w14:paraId="24BC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632" w:type="dxa"/>
            <w:gridSpan w:val="3"/>
            <w:vMerge w:val="continue"/>
            <w:tcBorders>
              <w:bottom w:val="single" w:color="auto" w:sz="4" w:space="0"/>
            </w:tcBorders>
            <w:vAlign w:val="center"/>
          </w:tcPr>
          <w:p w14:paraId="32FA7183">
            <w:pPr>
              <w:rPr>
                <w:rFonts w:hint="eastAsia" w:ascii="仿宋" w:hAnsi="仿宋" w:eastAsia="仿宋" w:cs="仿宋"/>
                <w:color w:val="auto"/>
                <w:highlight w:val="none"/>
              </w:rPr>
            </w:pPr>
          </w:p>
        </w:tc>
        <w:tc>
          <w:tcPr>
            <w:tcW w:w="1719" w:type="dxa"/>
            <w:vMerge w:val="continue"/>
            <w:tcBorders>
              <w:bottom w:val="single" w:color="auto" w:sz="4" w:space="0"/>
            </w:tcBorders>
            <w:vAlign w:val="center"/>
          </w:tcPr>
          <w:p w14:paraId="37E6B7DE">
            <w:pPr>
              <w:rPr>
                <w:rFonts w:hint="eastAsia" w:ascii="仿宋" w:hAnsi="仿宋" w:eastAsia="仿宋" w:cs="仿宋"/>
                <w:color w:val="auto"/>
                <w:highlight w:val="none"/>
              </w:rPr>
            </w:pPr>
          </w:p>
        </w:tc>
        <w:tc>
          <w:tcPr>
            <w:tcW w:w="6148" w:type="dxa"/>
            <w:tcBorders>
              <w:bottom w:val="single" w:color="auto" w:sz="4" w:space="0"/>
            </w:tcBorders>
            <w:vAlign w:val="center"/>
          </w:tcPr>
          <w:p w14:paraId="1B626B72">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 F</w:t>
            </w:r>
            <w:r>
              <w:rPr>
                <w:rFonts w:hint="eastAsia" w:ascii="仿宋" w:hAnsi="仿宋" w:eastAsia="仿宋" w:cs="仿宋"/>
                <w:color w:val="auto"/>
                <w:szCs w:val="21"/>
                <w:highlight w:val="none"/>
                <w:vertAlign w:val="subscript"/>
              </w:rPr>
              <w:t>1</w:t>
            </w:r>
            <w:r>
              <w:rPr>
                <w:rFonts w:hint="eastAsia" w:ascii="仿宋" w:hAnsi="仿宋" w:eastAsia="仿宋" w:cs="仿宋"/>
                <w:color w:val="auto"/>
                <w:szCs w:val="21"/>
                <w:highlight w:val="none"/>
              </w:rPr>
              <w:t>：满分30分；</w:t>
            </w:r>
          </w:p>
          <w:p w14:paraId="489FA3A3">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技术部分 F</w:t>
            </w:r>
            <w:r>
              <w:rPr>
                <w:rFonts w:hint="eastAsia" w:ascii="仿宋" w:hAnsi="仿宋" w:eastAsia="仿宋" w:cs="仿宋"/>
                <w:color w:val="auto"/>
                <w:szCs w:val="21"/>
                <w:highlight w:val="none"/>
                <w:vertAlign w:val="subscript"/>
              </w:rPr>
              <w:t>2</w:t>
            </w:r>
            <w:r>
              <w:rPr>
                <w:rFonts w:hint="eastAsia" w:ascii="仿宋" w:hAnsi="仿宋" w:eastAsia="仿宋" w:cs="仿宋"/>
                <w:color w:val="auto"/>
                <w:szCs w:val="21"/>
                <w:highlight w:val="none"/>
              </w:rPr>
              <w:t>：满分</w:t>
            </w:r>
            <w:r>
              <w:rPr>
                <w:rFonts w:hint="eastAsia" w:ascii="仿宋" w:hAnsi="仿宋" w:eastAsia="仿宋" w:cs="仿宋"/>
                <w:color w:val="auto"/>
                <w:szCs w:val="21"/>
                <w:highlight w:val="none"/>
                <w:lang w:val="en-US" w:eastAsia="zh-CN"/>
              </w:rPr>
              <w:t>53</w:t>
            </w:r>
            <w:r>
              <w:rPr>
                <w:rFonts w:hint="eastAsia" w:ascii="仿宋" w:hAnsi="仿宋" w:eastAsia="仿宋" w:cs="仿宋"/>
                <w:color w:val="auto"/>
                <w:szCs w:val="21"/>
                <w:highlight w:val="none"/>
              </w:rPr>
              <w:t>分；</w:t>
            </w:r>
          </w:p>
          <w:p w14:paraId="5BC14565">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商务部分 F</w:t>
            </w:r>
            <w:r>
              <w:rPr>
                <w:rFonts w:hint="eastAsia" w:ascii="仿宋" w:hAnsi="仿宋" w:eastAsia="仿宋" w:cs="仿宋"/>
                <w:color w:val="auto"/>
                <w:szCs w:val="21"/>
                <w:highlight w:val="none"/>
                <w:vertAlign w:val="subscript"/>
              </w:rPr>
              <w:t>3</w:t>
            </w:r>
            <w:r>
              <w:rPr>
                <w:rFonts w:hint="eastAsia" w:ascii="仿宋" w:hAnsi="仿宋" w:eastAsia="仿宋" w:cs="仿宋"/>
                <w:color w:val="auto"/>
                <w:szCs w:val="21"/>
                <w:highlight w:val="none"/>
              </w:rPr>
              <w:t>：满分</w:t>
            </w:r>
            <w:r>
              <w:rPr>
                <w:rFonts w:hint="eastAsia" w:ascii="仿宋" w:hAnsi="仿宋" w:eastAsia="仿宋" w:cs="仿宋"/>
                <w:color w:val="auto"/>
                <w:szCs w:val="21"/>
                <w:highlight w:val="none"/>
                <w:lang w:val="en-US" w:eastAsia="zh-CN"/>
              </w:rPr>
              <w:t>17</w:t>
            </w:r>
            <w:r>
              <w:rPr>
                <w:rFonts w:hint="eastAsia" w:ascii="仿宋" w:hAnsi="仿宋" w:eastAsia="仿宋" w:cs="仿宋"/>
                <w:color w:val="auto"/>
                <w:szCs w:val="21"/>
                <w:highlight w:val="none"/>
              </w:rPr>
              <w:t>分。</w:t>
            </w:r>
          </w:p>
        </w:tc>
      </w:tr>
      <w:tr w14:paraId="65D24C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08" w:hRule="atLeast"/>
          <w:jc w:val="center"/>
        </w:trPr>
        <w:tc>
          <w:tcPr>
            <w:tcW w:w="1632" w:type="dxa"/>
            <w:gridSpan w:val="3"/>
            <w:tcBorders>
              <w:top w:val="single" w:color="auto" w:sz="4" w:space="0"/>
              <w:left w:val="single" w:color="auto" w:sz="4" w:space="0"/>
              <w:bottom w:val="single" w:color="auto" w:sz="4" w:space="0"/>
              <w:right w:val="single" w:color="auto" w:sz="4" w:space="0"/>
            </w:tcBorders>
            <w:vAlign w:val="center"/>
          </w:tcPr>
          <w:p w14:paraId="640BB021">
            <w:pPr>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条款号</w:t>
            </w:r>
          </w:p>
        </w:tc>
        <w:tc>
          <w:tcPr>
            <w:tcW w:w="1719" w:type="dxa"/>
            <w:tcBorders>
              <w:top w:val="single" w:color="auto" w:sz="4" w:space="0"/>
              <w:left w:val="single" w:color="auto" w:sz="4" w:space="0"/>
              <w:bottom w:val="single" w:color="auto" w:sz="4" w:space="0"/>
              <w:right w:val="single" w:color="auto" w:sz="4" w:space="0"/>
            </w:tcBorders>
            <w:vAlign w:val="center"/>
          </w:tcPr>
          <w:p w14:paraId="355F5B68">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评分因素</w:t>
            </w:r>
          </w:p>
        </w:tc>
        <w:tc>
          <w:tcPr>
            <w:tcW w:w="6148" w:type="dxa"/>
            <w:tcBorders>
              <w:top w:val="single" w:color="auto" w:sz="4" w:space="0"/>
              <w:left w:val="single" w:color="auto" w:sz="4" w:space="0"/>
              <w:bottom w:val="single" w:color="auto" w:sz="4" w:space="0"/>
              <w:right w:val="single" w:color="auto" w:sz="4" w:space="0"/>
            </w:tcBorders>
            <w:vAlign w:val="center"/>
          </w:tcPr>
          <w:p w14:paraId="3C21C856">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评分标准</w:t>
            </w:r>
          </w:p>
        </w:tc>
      </w:tr>
      <w:tr w14:paraId="576B02B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0" w:hRule="atLeast"/>
          <w:jc w:val="center"/>
        </w:trPr>
        <w:tc>
          <w:tcPr>
            <w:tcW w:w="806" w:type="dxa"/>
            <w:tcBorders>
              <w:top w:val="single" w:color="auto" w:sz="4" w:space="0"/>
              <w:left w:val="single" w:color="auto" w:sz="4" w:space="0"/>
              <w:bottom w:val="single" w:color="auto" w:sz="4" w:space="0"/>
              <w:right w:val="single" w:color="auto" w:sz="4" w:space="0"/>
            </w:tcBorders>
            <w:shd w:val="clear" w:color="auto" w:fill="auto"/>
            <w:vAlign w:val="center"/>
          </w:tcPr>
          <w:p w14:paraId="262C7343">
            <w:pPr>
              <w:jc w:val="center"/>
              <w:rPr>
                <w:rFonts w:hint="eastAsia" w:ascii="仿宋" w:hAnsi="仿宋" w:eastAsia="仿宋" w:cs="仿宋"/>
                <w:color w:val="auto"/>
                <w:highlight w:val="none"/>
              </w:rPr>
            </w:pPr>
            <w:r>
              <w:rPr>
                <w:rFonts w:hint="eastAsia" w:ascii="仿宋" w:hAnsi="仿宋" w:eastAsia="仿宋" w:cs="仿宋"/>
                <w:color w:val="auto"/>
                <w:highlight w:val="none"/>
              </w:rPr>
              <w:t>2.2.2</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p>
        </w:tc>
        <w:tc>
          <w:tcPr>
            <w:tcW w:w="8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CAFF3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投标报价F</w:t>
            </w:r>
            <w:r>
              <w:rPr>
                <w:rFonts w:hint="eastAsia" w:ascii="仿宋" w:hAnsi="仿宋" w:eastAsia="仿宋" w:cs="仿宋"/>
                <w:color w:val="auto"/>
                <w:szCs w:val="21"/>
                <w:highlight w:val="none"/>
                <w:vertAlign w:val="subscript"/>
              </w:rPr>
              <w:t>1</w:t>
            </w:r>
            <w:r>
              <w:rPr>
                <w:rFonts w:hint="eastAsia" w:ascii="仿宋" w:hAnsi="仿宋" w:eastAsia="仿宋" w:cs="仿宋"/>
                <w:color w:val="auto"/>
                <w:szCs w:val="21"/>
                <w:highlight w:val="none"/>
              </w:rPr>
              <w:t>评分标准</w:t>
            </w:r>
          </w:p>
        </w:tc>
        <w:tc>
          <w:tcPr>
            <w:tcW w:w="1719" w:type="dxa"/>
            <w:tcBorders>
              <w:top w:val="single" w:color="auto" w:sz="4" w:space="0"/>
              <w:left w:val="single" w:color="auto" w:sz="4" w:space="0"/>
              <w:bottom w:val="single" w:color="auto" w:sz="4" w:space="0"/>
              <w:right w:val="single" w:color="auto" w:sz="4" w:space="0"/>
            </w:tcBorders>
            <w:vAlign w:val="center"/>
          </w:tcPr>
          <w:p w14:paraId="3817CCA0">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投标报价评分</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满分30分</w:t>
            </w:r>
            <w:r>
              <w:rPr>
                <w:rFonts w:hint="eastAsia" w:ascii="仿宋" w:hAnsi="仿宋" w:eastAsia="仿宋" w:cs="仿宋"/>
                <w:color w:val="auto"/>
                <w:szCs w:val="21"/>
                <w:highlight w:val="none"/>
                <w:lang w:eastAsia="zh-CN"/>
              </w:rPr>
              <w:t>）</w:t>
            </w:r>
          </w:p>
        </w:tc>
        <w:tc>
          <w:tcPr>
            <w:tcW w:w="6148" w:type="dxa"/>
            <w:tcBorders>
              <w:top w:val="single" w:color="auto" w:sz="4" w:space="0"/>
              <w:left w:val="single" w:color="auto" w:sz="4" w:space="0"/>
              <w:bottom w:val="single" w:color="auto" w:sz="4" w:space="0"/>
              <w:right w:val="single" w:color="auto" w:sz="4" w:space="0"/>
            </w:tcBorders>
            <w:vAlign w:val="center"/>
          </w:tcPr>
          <w:p w14:paraId="68FBBE1F">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投标报价计算公式=（1-评标基准价）/（1-投标报价）×30</w:t>
            </w:r>
          </w:p>
          <w:p w14:paraId="7B20F81A">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评标基准价：满足招标文件要求且投标报价下浮率最高的投标报价</w:t>
            </w:r>
            <w:r>
              <w:rPr>
                <w:rFonts w:hint="eastAsia" w:ascii="仿宋" w:hAnsi="仿宋" w:eastAsia="仿宋" w:cs="仿宋"/>
                <w:color w:val="auto"/>
                <w:szCs w:val="21"/>
                <w:highlight w:val="none"/>
                <w:lang w:eastAsia="zh-CN"/>
              </w:rPr>
              <w:t>。</w:t>
            </w:r>
          </w:p>
        </w:tc>
      </w:tr>
      <w:tr w14:paraId="4C73FEA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043" w:hRule="exact"/>
          <w:jc w:val="center"/>
        </w:trPr>
        <w:tc>
          <w:tcPr>
            <w:tcW w:w="806" w:type="dxa"/>
            <w:vMerge w:val="restart"/>
            <w:tcBorders>
              <w:top w:val="single" w:color="auto" w:sz="4" w:space="0"/>
              <w:left w:val="single" w:color="auto" w:sz="4" w:space="0"/>
              <w:right w:val="single" w:color="auto" w:sz="4" w:space="0"/>
            </w:tcBorders>
            <w:shd w:val="clear" w:color="auto" w:fill="auto"/>
            <w:vAlign w:val="center"/>
          </w:tcPr>
          <w:p w14:paraId="603302BF">
            <w:pPr>
              <w:jc w:val="center"/>
              <w:rPr>
                <w:rFonts w:hint="eastAsia" w:ascii="仿宋" w:hAnsi="仿宋" w:eastAsia="仿宋" w:cs="仿宋"/>
                <w:color w:val="auto"/>
                <w:highlight w:val="none"/>
              </w:rPr>
            </w:pPr>
            <w:bookmarkStart w:id="221" w:name="OLE_LINK11" w:colFirst="1" w:colLast="3"/>
            <w:r>
              <w:rPr>
                <w:rFonts w:hint="eastAsia" w:ascii="仿宋" w:hAnsi="仿宋" w:eastAsia="仿宋" w:cs="仿宋"/>
                <w:color w:val="auto"/>
                <w:highlight w:val="none"/>
              </w:rPr>
              <w:t>2.2.2</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p>
        </w:tc>
        <w:tc>
          <w:tcPr>
            <w:tcW w:w="826" w:type="dxa"/>
            <w:gridSpan w:val="2"/>
            <w:vMerge w:val="restart"/>
            <w:tcBorders>
              <w:top w:val="single" w:color="auto" w:sz="4" w:space="0"/>
              <w:left w:val="single" w:color="auto" w:sz="4" w:space="0"/>
              <w:right w:val="single" w:color="auto" w:sz="4" w:space="0"/>
            </w:tcBorders>
            <w:shd w:val="clear" w:color="auto" w:fill="auto"/>
            <w:vAlign w:val="center"/>
          </w:tcPr>
          <w:p w14:paraId="1062DDA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技术部分F</w:t>
            </w:r>
            <w:r>
              <w:rPr>
                <w:rFonts w:hint="eastAsia" w:ascii="仿宋" w:hAnsi="仿宋" w:eastAsia="仿宋" w:cs="仿宋"/>
                <w:color w:val="auto"/>
                <w:szCs w:val="21"/>
                <w:highlight w:val="none"/>
                <w:vertAlign w:val="subscript"/>
              </w:rPr>
              <w:t>2</w:t>
            </w:r>
            <w:r>
              <w:rPr>
                <w:rFonts w:hint="eastAsia" w:ascii="仿宋" w:hAnsi="仿宋" w:eastAsia="仿宋" w:cs="仿宋"/>
                <w:color w:val="auto"/>
                <w:szCs w:val="21"/>
                <w:highlight w:val="none"/>
              </w:rPr>
              <w:t>评分标准</w:t>
            </w:r>
          </w:p>
        </w:tc>
        <w:tc>
          <w:tcPr>
            <w:tcW w:w="1719" w:type="dxa"/>
            <w:tcBorders>
              <w:top w:val="single" w:color="auto" w:sz="4" w:space="0"/>
              <w:left w:val="single" w:color="auto" w:sz="4" w:space="0"/>
              <w:bottom w:val="single" w:color="auto" w:sz="4" w:space="0"/>
              <w:right w:val="single" w:color="auto" w:sz="4" w:space="0"/>
            </w:tcBorders>
            <w:vAlign w:val="center"/>
          </w:tcPr>
          <w:p w14:paraId="59A02035">
            <w:pPr>
              <w:jc w:val="center"/>
              <w:rPr>
                <w:rFonts w:hint="eastAsia" w:ascii="仿宋" w:hAnsi="仿宋" w:eastAsia="仿宋" w:cs="仿宋"/>
                <w:color w:val="auto"/>
                <w:szCs w:val="21"/>
                <w:highlight w:val="none"/>
              </w:rPr>
            </w:pPr>
            <w:r>
              <w:rPr>
                <w:rFonts w:hint="eastAsia" w:ascii="仿宋" w:hAnsi="仿宋" w:eastAsia="仿宋" w:cs="仿宋"/>
                <w:color w:val="auto"/>
                <w:kern w:val="2"/>
                <w:sz w:val="21"/>
                <w:szCs w:val="24"/>
                <w:highlight w:val="none"/>
                <w:lang w:val="en-US" w:eastAsia="zh-CN" w:bidi="ar-SA"/>
              </w:rPr>
              <w:t>技术参数评分（满分10分）</w:t>
            </w:r>
          </w:p>
        </w:tc>
        <w:tc>
          <w:tcPr>
            <w:tcW w:w="6148" w:type="dxa"/>
            <w:tcBorders>
              <w:top w:val="single" w:color="auto" w:sz="4" w:space="0"/>
              <w:left w:val="single" w:color="auto" w:sz="4" w:space="0"/>
              <w:bottom w:val="single" w:color="auto" w:sz="4" w:space="0"/>
              <w:right w:val="single" w:color="auto" w:sz="4" w:space="0"/>
            </w:tcBorders>
            <w:vAlign w:val="center"/>
          </w:tcPr>
          <w:p w14:paraId="28C152EB">
            <w:pPr>
              <w:jc w:val="left"/>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对采购需求进行逐一响应：</w:t>
            </w:r>
          </w:p>
          <w:p w14:paraId="07E3E461">
            <w:pPr>
              <w:jc w:val="left"/>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技术参数与性能指标条款有一项负偏离扣1分，分数扣完为止。（投标人应当按招标文件规定的技术参数详细列明各参数指标，否则该项按负偏离扣分。）</w:t>
            </w:r>
          </w:p>
          <w:p w14:paraId="3B73C043">
            <w:pPr>
              <w:jc w:val="left"/>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注：1. 采购需求一览表中如出现引用品牌、型号、某一特定的专利技术、商标、名称、设计、原产地或投标人等情况，则仅起参考作用。投标人可选用实质上“相当于”或“优于”该参考技术规格要求的产品投标。</w:t>
            </w:r>
          </w:p>
          <w:p w14:paraId="65B5DDEB">
            <w:pPr>
              <w:jc w:val="left"/>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技术指标（参数/功能要求）评审将以投标人提供相关资料进行打分，内容存在无法识别的数据导致评标委员会无法评定时，等同于未提供。</w:t>
            </w:r>
          </w:p>
        </w:tc>
      </w:tr>
      <w:tr w14:paraId="1E91498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40" w:hRule="exact"/>
          <w:jc w:val="center"/>
        </w:trPr>
        <w:tc>
          <w:tcPr>
            <w:tcW w:w="806" w:type="dxa"/>
            <w:vMerge w:val="continue"/>
            <w:tcBorders>
              <w:left w:val="single" w:color="auto" w:sz="4" w:space="0"/>
              <w:right w:val="single" w:color="auto" w:sz="4" w:space="0"/>
            </w:tcBorders>
            <w:shd w:val="clear" w:color="auto" w:fill="auto"/>
            <w:vAlign w:val="center"/>
          </w:tcPr>
          <w:p w14:paraId="26FDC3ED">
            <w:pPr>
              <w:jc w:val="center"/>
              <w:rPr>
                <w:rFonts w:hint="eastAsia" w:ascii="仿宋" w:hAnsi="仿宋" w:eastAsia="仿宋" w:cs="仿宋"/>
                <w:color w:val="auto"/>
                <w:highlight w:val="none"/>
              </w:rPr>
            </w:pPr>
          </w:p>
        </w:tc>
        <w:tc>
          <w:tcPr>
            <w:tcW w:w="826" w:type="dxa"/>
            <w:gridSpan w:val="2"/>
            <w:vMerge w:val="continue"/>
            <w:tcBorders>
              <w:left w:val="single" w:color="auto" w:sz="4" w:space="0"/>
              <w:right w:val="single" w:color="auto" w:sz="4" w:space="0"/>
            </w:tcBorders>
            <w:shd w:val="clear" w:color="auto" w:fill="auto"/>
            <w:vAlign w:val="center"/>
          </w:tcPr>
          <w:p w14:paraId="2A5BEAAE">
            <w:pPr>
              <w:jc w:val="center"/>
              <w:rPr>
                <w:rFonts w:hint="eastAsia" w:ascii="仿宋" w:hAnsi="仿宋" w:eastAsia="仿宋" w:cs="仿宋"/>
                <w:color w:val="auto"/>
                <w:szCs w:val="21"/>
                <w:highlight w:val="none"/>
              </w:rPr>
            </w:pPr>
          </w:p>
        </w:tc>
        <w:tc>
          <w:tcPr>
            <w:tcW w:w="1719" w:type="dxa"/>
            <w:tcBorders>
              <w:top w:val="single" w:color="auto" w:sz="4" w:space="0"/>
              <w:left w:val="single" w:color="auto" w:sz="4" w:space="0"/>
              <w:bottom w:val="single" w:color="auto" w:sz="4" w:space="0"/>
              <w:right w:val="single" w:color="auto" w:sz="4" w:space="0"/>
            </w:tcBorders>
            <w:vAlign w:val="center"/>
          </w:tcPr>
          <w:p w14:paraId="5EBDE33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供货方案</w:t>
            </w:r>
          </w:p>
          <w:p w14:paraId="34894D9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满分15</w:t>
            </w:r>
            <w:r>
              <w:rPr>
                <w:rFonts w:hint="eastAsia" w:ascii="仿宋" w:hAnsi="仿宋" w:eastAsia="仿宋" w:cs="仿宋"/>
                <w:color w:val="auto"/>
                <w:szCs w:val="21"/>
                <w:highlight w:val="none"/>
              </w:rPr>
              <w:t>分）</w:t>
            </w:r>
          </w:p>
        </w:tc>
        <w:tc>
          <w:tcPr>
            <w:tcW w:w="6148" w:type="dxa"/>
            <w:tcBorders>
              <w:top w:val="single" w:color="auto" w:sz="4" w:space="0"/>
              <w:left w:val="single" w:color="auto" w:sz="4" w:space="0"/>
              <w:bottom w:val="single" w:color="auto" w:sz="4" w:space="0"/>
              <w:right w:val="single" w:color="auto" w:sz="4" w:space="0"/>
            </w:tcBorders>
            <w:vAlign w:val="center"/>
          </w:tcPr>
          <w:p w14:paraId="1AE7D19A">
            <w:pPr>
              <w:jc w:val="left"/>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eastAsia="zh-CN"/>
              </w:rPr>
              <w:t>评标委员会根据投标人提供的供货方案进行评审，包括但不限于：①</w:t>
            </w:r>
            <w:r>
              <w:rPr>
                <w:rFonts w:hint="eastAsia" w:ascii="仿宋" w:hAnsi="仿宋" w:eastAsia="仿宋" w:cs="仿宋"/>
                <w:b/>
                <w:bCs/>
                <w:color w:val="auto"/>
                <w:szCs w:val="21"/>
                <w:highlight w:val="none"/>
                <w:lang w:val="en-US" w:eastAsia="zh-CN"/>
              </w:rPr>
              <w:t>供货计划</w:t>
            </w:r>
            <w:r>
              <w:rPr>
                <w:rFonts w:hint="eastAsia" w:ascii="仿宋" w:hAnsi="仿宋" w:eastAsia="仿宋" w:cs="仿宋"/>
                <w:b/>
                <w:bCs/>
                <w:color w:val="auto"/>
                <w:szCs w:val="21"/>
                <w:highlight w:val="none"/>
                <w:lang w:eastAsia="zh-CN"/>
              </w:rPr>
              <w:t>；②</w:t>
            </w:r>
            <w:r>
              <w:rPr>
                <w:rFonts w:hint="eastAsia" w:ascii="仿宋" w:hAnsi="仿宋" w:eastAsia="仿宋" w:cs="仿宋"/>
                <w:b/>
                <w:bCs/>
                <w:color w:val="auto"/>
                <w:szCs w:val="21"/>
                <w:highlight w:val="none"/>
                <w:lang w:val="en-US" w:eastAsia="zh-CN"/>
              </w:rPr>
              <w:t>交付进度</w:t>
            </w:r>
            <w:r>
              <w:rPr>
                <w:rFonts w:hint="eastAsia" w:ascii="仿宋" w:hAnsi="仿宋" w:eastAsia="仿宋" w:cs="仿宋"/>
                <w:b/>
                <w:bCs/>
                <w:color w:val="auto"/>
                <w:szCs w:val="21"/>
                <w:highlight w:val="none"/>
                <w:lang w:eastAsia="zh-CN"/>
              </w:rPr>
              <w:t>；③部署方案；④应急预案的制定与响应；⑤验收方案的具体规划与实施。</w:t>
            </w:r>
          </w:p>
          <w:p w14:paraId="7C079FF7">
            <w:pPr>
              <w:jc w:val="left"/>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eastAsia="zh-CN"/>
              </w:rPr>
              <w:t>每项内容的满分设定为</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lang w:eastAsia="zh-CN"/>
              </w:rPr>
              <w:t>分，具体评分标准如下：</w:t>
            </w:r>
          </w:p>
          <w:p w14:paraId="58D3E3BF">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●方案中对应内容表述完整、详尽，显示出高度的成熟度和专业性，规范化、标准化程度高，紧密贴合项目需求，具备出色的针对性、可行性和完整性，</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3</w:t>
            </w:r>
            <w:r>
              <w:rPr>
                <w:rFonts w:hint="eastAsia" w:ascii="仿宋" w:hAnsi="仿宋" w:eastAsia="仿宋" w:cs="仿宋"/>
                <w:color w:val="auto"/>
                <w:kern w:val="2"/>
                <w:sz w:val="21"/>
              </w:rPr>
              <w:t>分</w:t>
            </w:r>
            <w:r>
              <w:rPr>
                <w:rFonts w:hint="eastAsia" w:ascii="仿宋" w:hAnsi="仿宋" w:eastAsia="仿宋" w:cs="仿宋"/>
                <w:color w:val="auto"/>
                <w:szCs w:val="21"/>
                <w:highlight w:val="none"/>
                <w:lang w:eastAsia="zh-CN"/>
              </w:rPr>
              <w:t>。</w:t>
            </w:r>
          </w:p>
          <w:p w14:paraId="221206AC">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●方案中对应维度的内容基本满足项目需求，具有一定的规范性和标准化水平，在针对性、可行性或完整性方面稍显不足，存在细微瑕疵的，</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2</w:t>
            </w:r>
            <w:r>
              <w:rPr>
                <w:rFonts w:hint="eastAsia" w:ascii="仿宋" w:hAnsi="仿宋" w:eastAsia="仿宋" w:cs="仿宋"/>
                <w:color w:val="auto"/>
                <w:kern w:val="2"/>
                <w:sz w:val="21"/>
              </w:rPr>
              <w:t>分</w:t>
            </w:r>
            <w:r>
              <w:rPr>
                <w:rFonts w:hint="eastAsia" w:ascii="仿宋" w:hAnsi="仿宋" w:eastAsia="仿宋" w:cs="仿宋"/>
                <w:color w:val="auto"/>
                <w:szCs w:val="21"/>
                <w:highlight w:val="none"/>
                <w:lang w:eastAsia="zh-CN"/>
              </w:rPr>
              <w:t>。</w:t>
            </w:r>
          </w:p>
          <w:p w14:paraId="7FA9102C">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●方案中对应维度的内容略显宽泛，缺乏针对性、可行性或完整性的</w:t>
            </w:r>
            <w:r>
              <w:rPr>
                <w:rFonts w:hint="eastAsia" w:ascii="仿宋" w:hAnsi="仿宋" w:eastAsia="仿宋" w:cs="仿宋"/>
                <w:color w:val="auto"/>
                <w:szCs w:val="21"/>
                <w:highlight w:val="none"/>
                <w:lang w:val="en-US" w:eastAsia="zh-CN"/>
              </w:rPr>
              <w:t>,</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1</w:t>
            </w:r>
            <w:r>
              <w:rPr>
                <w:rFonts w:hint="eastAsia" w:ascii="仿宋" w:hAnsi="仿宋" w:eastAsia="仿宋" w:cs="仿宋"/>
                <w:color w:val="auto"/>
                <w:kern w:val="2"/>
                <w:sz w:val="21"/>
              </w:rPr>
              <w:t>分</w:t>
            </w:r>
            <w:r>
              <w:rPr>
                <w:rFonts w:hint="eastAsia" w:ascii="仿宋" w:hAnsi="仿宋" w:eastAsia="仿宋" w:cs="仿宋"/>
                <w:color w:val="auto"/>
                <w:szCs w:val="21"/>
                <w:highlight w:val="none"/>
                <w:lang w:eastAsia="zh-CN"/>
              </w:rPr>
              <w:t>。</w:t>
            </w:r>
          </w:p>
          <w:p w14:paraId="2C010252">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●方案中对应维度的内容存在显著缺陷，明显偏离采购需求或不合理，缺乏实际可行性的</w:t>
            </w:r>
            <w:r>
              <w:rPr>
                <w:rFonts w:hint="eastAsia" w:ascii="仿宋" w:hAnsi="仿宋" w:eastAsia="仿宋" w:cs="仿宋"/>
                <w:color w:val="auto"/>
                <w:szCs w:val="21"/>
                <w:highlight w:val="none"/>
                <w:lang w:val="en-US" w:eastAsia="zh-CN"/>
              </w:rPr>
              <w:t>,</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0.5</w:t>
            </w:r>
            <w:r>
              <w:rPr>
                <w:rFonts w:hint="eastAsia" w:ascii="仿宋" w:hAnsi="仿宋" w:eastAsia="仿宋" w:cs="仿宋"/>
                <w:color w:val="auto"/>
                <w:kern w:val="2"/>
                <w:sz w:val="21"/>
              </w:rPr>
              <w:t>分</w:t>
            </w:r>
            <w:r>
              <w:rPr>
                <w:rFonts w:hint="eastAsia" w:ascii="仿宋" w:hAnsi="仿宋" w:eastAsia="仿宋" w:cs="仿宋"/>
                <w:color w:val="auto"/>
                <w:szCs w:val="21"/>
                <w:highlight w:val="none"/>
                <w:lang w:eastAsia="zh-CN"/>
              </w:rPr>
              <w:t>。</w:t>
            </w:r>
          </w:p>
          <w:p w14:paraId="538D9CEC">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●投标人在上述任何一项内容中有所缺失，则该项将得0分。</w:t>
            </w:r>
          </w:p>
        </w:tc>
      </w:tr>
      <w:tr w14:paraId="4337BDE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101" w:hRule="exact"/>
          <w:jc w:val="center"/>
        </w:trPr>
        <w:tc>
          <w:tcPr>
            <w:tcW w:w="806" w:type="dxa"/>
            <w:vMerge w:val="continue"/>
            <w:tcBorders>
              <w:left w:val="single" w:color="auto" w:sz="4" w:space="0"/>
              <w:right w:val="single" w:color="auto" w:sz="4" w:space="0"/>
            </w:tcBorders>
            <w:shd w:val="clear" w:color="auto" w:fill="auto"/>
            <w:vAlign w:val="center"/>
          </w:tcPr>
          <w:p w14:paraId="4EEF1647">
            <w:pPr>
              <w:jc w:val="center"/>
              <w:rPr>
                <w:rFonts w:hint="eastAsia" w:ascii="仿宋" w:hAnsi="仿宋" w:eastAsia="仿宋" w:cs="仿宋"/>
                <w:color w:val="auto"/>
                <w:highlight w:val="none"/>
              </w:rPr>
            </w:pPr>
            <w:bookmarkStart w:id="222" w:name="OLE_LINK12" w:colFirst="2" w:colLast="3"/>
          </w:p>
        </w:tc>
        <w:tc>
          <w:tcPr>
            <w:tcW w:w="826" w:type="dxa"/>
            <w:gridSpan w:val="2"/>
            <w:vMerge w:val="continue"/>
            <w:tcBorders>
              <w:left w:val="single" w:color="auto" w:sz="4" w:space="0"/>
              <w:right w:val="single" w:color="auto" w:sz="4" w:space="0"/>
            </w:tcBorders>
            <w:shd w:val="clear" w:color="auto" w:fill="auto"/>
            <w:vAlign w:val="center"/>
          </w:tcPr>
          <w:p w14:paraId="49DCF681">
            <w:pPr>
              <w:jc w:val="center"/>
              <w:rPr>
                <w:rFonts w:hint="eastAsia" w:ascii="仿宋" w:hAnsi="仿宋" w:eastAsia="仿宋" w:cs="仿宋"/>
                <w:color w:val="auto"/>
                <w:szCs w:val="21"/>
                <w:highlight w:val="none"/>
              </w:rPr>
            </w:pPr>
          </w:p>
        </w:tc>
        <w:tc>
          <w:tcPr>
            <w:tcW w:w="1719" w:type="dxa"/>
            <w:tcBorders>
              <w:top w:val="single" w:color="auto" w:sz="4" w:space="0"/>
              <w:left w:val="single" w:color="auto" w:sz="4" w:space="0"/>
              <w:bottom w:val="single" w:color="auto" w:sz="4" w:space="0"/>
              <w:right w:val="single" w:color="auto" w:sz="4" w:space="0"/>
            </w:tcBorders>
            <w:vAlign w:val="center"/>
          </w:tcPr>
          <w:p w14:paraId="2756A75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货物质量评审（</w:t>
            </w:r>
            <w:r>
              <w:rPr>
                <w:rFonts w:hint="eastAsia" w:ascii="仿宋" w:hAnsi="仿宋" w:eastAsia="仿宋" w:cs="仿宋"/>
                <w:color w:val="auto"/>
                <w:szCs w:val="21"/>
                <w:highlight w:val="none"/>
                <w:lang w:val="en-US" w:eastAsia="zh-CN"/>
              </w:rPr>
              <w:t>满分20</w:t>
            </w:r>
            <w:r>
              <w:rPr>
                <w:rFonts w:hint="eastAsia" w:ascii="仿宋" w:hAnsi="仿宋" w:eastAsia="仿宋" w:cs="仿宋"/>
                <w:color w:val="auto"/>
                <w:szCs w:val="21"/>
                <w:highlight w:val="none"/>
              </w:rPr>
              <w:t>分）</w:t>
            </w:r>
          </w:p>
        </w:tc>
        <w:tc>
          <w:tcPr>
            <w:tcW w:w="6148" w:type="dxa"/>
            <w:tcBorders>
              <w:top w:val="single" w:color="auto" w:sz="4" w:space="0"/>
              <w:left w:val="single" w:color="auto" w:sz="4" w:space="0"/>
              <w:bottom w:val="single" w:color="auto" w:sz="4" w:space="0"/>
              <w:right w:val="single" w:color="auto" w:sz="4" w:space="0"/>
            </w:tcBorders>
            <w:vAlign w:val="center"/>
          </w:tcPr>
          <w:p w14:paraId="0363363A">
            <w:pPr>
              <w:jc w:val="left"/>
              <w:rPr>
                <w:rFonts w:hint="eastAsia" w:ascii="仿宋" w:hAnsi="仿宋" w:eastAsia="仿宋" w:cs="仿宋"/>
                <w:color w:val="auto"/>
                <w:szCs w:val="21"/>
                <w:highlight w:val="none"/>
                <w:lang w:eastAsia="zh-CN"/>
              </w:rPr>
            </w:pPr>
            <w:r>
              <w:rPr>
                <w:rFonts w:hint="eastAsia" w:ascii="仿宋" w:hAnsi="仿宋" w:eastAsia="仿宋" w:cs="仿宋"/>
                <w:b/>
                <w:bCs/>
                <w:color w:val="auto"/>
                <w:szCs w:val="21"/>
                <w:highlight w:val="none"/>
                <w:lang w:eastAsia="zh-CN"/>
              </w:rPr>
              <w:t>评标委员会根据投标人提供的货物质量方案进行评审，</w:t>
            </w:r>
            <w:r>
              <w:rPr>
                <w:rFonts w:hint="eastAsia" w:ascii="仿宋" w:hAnsi="仿宋" w:eastAsia="仿宋" w:cs="仿宋"/>
                <w:b/>
                <w:bCs/>
                <w:color w:val="auto"/>
                <w:szCs w:val="21"/>
                <w:highlight w:val="none"/>
                <w:lang w:val="en-US" w:eastAsia="zh-CN"/>
              </w:rPr>
              <w:t>应</w:t>
            </w:r>
            <w:r>
              <w:rPr>
                <w:rFonts w:hint="eastAsia" w:ascii="仿宋" w:hAnsi="仿宋" w:eastAsia="仿宋" w:cs="仿宋"/>
                <w:b/>
                <w:bCs/>
                <w:color w:val="auto"/>
                <w:szCs w:val="21"/>
                <w:highlight w:val="none"/>
                <w:lang w:eastAsia="zh-CN"/>
              </w:rPr>
              <w:t>包括</w:t>
            </w:r>
            <w:r>
              <w:rPr>
                <w:rFonts w:hint="eastAsia" w:ascii="仿宋" w:hAnsi="仿宋" w:eastAsia="仿宋" w:cs="仿宋"/>
                <w:b/>
                <w:bCs/>
                <w:color w:val="auto"/>
                <w:szCs w:val="21"/>
                <w:highlight w:val="none"/>
                <w:lang w:val="en-US" w:eastAsia="zh-CN"/>
              </w:rPr>
              <w:t>采购需求中所有物品（实木骨灰盒、一次性环保纸棺、一次性捡灰托盘、成套寿衣裤、遗体收纳尸袋、高温防护石棉垫、殡仪专用鲜花）</w:t>
            </w:r>
            <w:r>
              <w:rPr>
                <w:rFonts w:hint="eastAsia" w:ascii="仿宋" w:hAnsi="仿宋" w:eastAsia="仿宋" w:cs="仿宋"/>
                <w:b w:val="0"/>
                <w:bCs w:val="0"/>
                <w:color w:val="auto"/>
                <w:szCs w:val="21"/>
                <w:highlight w:val="none"/>
                <w:lang w:val="en-US" w:eastAsia="zh-CN"/>
              </w:rPr>
              <w:t>的</w:t>
            </w:r>
            <w:r>
              <w:rPr>
                <w:rFonts w:hint="eastAsia" w:ascii="仿宋" w:hAnsi="仿宋" w:eastAsia="仿宋" w:cs="仿宋"/>
                <w:color w:val="auto"/>
                <w:szCs w:val="21"/>
                <w:highlight w:val="none"/>
                <w:lang w:eastAsia="zh-CN"/>
              </w:rPr>
              <w:t>：①材质与工艺；②环保与安全；③外观设计；④包装与防护。</w:t>
            </w:r>
          </w:p>
          <w:p w14:paraId="12476281">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每项内容的满分设定为</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lang w:eastAsia="zh-CN"/>
              </w:rPr>
              <w:t>分，具体评分标准如下：</w:t>
            </w:r>
          </w:p>
          <w:p w14:paraId="7BE19E0E">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●方案中对应内容表述完整、详尽，显示出高度的成熟度和专业性，规范化、标准化程度高，紧密贴合项目需求，具备出色的针对性、可行性和完整性，</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4</w:t>
            </w:r>
            <w:r>
              <w:rPr>
                <w:rFonts w:hint="eastAsia" w:ascii="仿宋" w:hAnsi="仿宋" w:eastAsia="仿宋" w:cs="仿宋"/>
                <w:color w:val="auto"/>
                <w:kern w:val="2"/>
                <w:sz w:val="21"/>
              </w:rPr>
              <w:t>分</w:t>
            </w:r>
            <w:r>
              <w:rPr>
                <w:rFonts w:hint="eastAsia" w:ascii="仿宋" w:hAnsi="仿宋" w:eastAsia="仿宋" w:cs="仿宋"/>
                <w:color w:val="auto"/>
                <w:szCs w:val="21"/>
                <w:highlight w:val="none"/>
                <w:lang w:eastAsia="zh-CN"/>
              </w:rPr>
              <w:t>。</w:t>
            </w:r>
          </w:p>
          <w:p w14:paraId="4B0936D0">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●方案中对应维度的内容基本满足项目需求，具有一定的规范性和标准化水平，在针对性、可行性或完整性方面稍显不足，存在细微瑕疵的，</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3</w:t>
            </w:r>
            <w:r>
              <w:rPr>
                <w:rFonts w:hint="eastAsia" w:ascii="仿宋" w:hAnsi="仿宋" w:eastAsia="仿宋" w:cs="仿宋"/>
                <w:color w:val="auto"/>
                <w:kern w:val="2"/>
                <w:sz w:val="21"/>
              </w:rPr>
              <w:t>分</w:t>
            </w:r>
            <w:r>
              <w:rPr>
                <w:rFonts w:hint="eastAsia" w:ascii="仿宋" w:hAnsi="仿宋" w:eastAsia="仿宋" w:cs="仿宋"/>
                <w:color w:val="auto"/>
                <w:szCs w:val="21"/>
                <w:highlight w:val="none"/>
                <w:lang w:eastAsia="zh-CN"/>
              </w:rPr>
              <w:t>。</w:t>
            </w:r>
          </w:p>
          <w:p w14:paraId="77CB83CB">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●方案中对应维度的内容略显宽泛，缺乏针对性、可行性或完整性的</w:t>
            </w:r>
            <w:r>
              <w:rPr>
                <w:rFonts w:hint="eastAsia" w:ascii="仿宋" w:hAnsi="仿宋" w:eastAsia="仿宋" w:cs="仿宋"/>
                <w:color w:val="auto"/>
                <w:szCs w:val="21"/>
                <w:highlight w:val="none"/>
                <w:lang w:val="en-US" w:eastAsia="zh-CN"/>
              </w:rPr>
              <w:t>,</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2</w:t>
            </w:r>
            <w:r>
              <w:rPr>
                <w:rFonts w:hint="eastAsia" w:ascii="仿宋" w:hAnsi="仿宋" w:eastAsia="仿宋" w:cs="仿宋"/>
                <w:color w:val="auto"/>
                <w:kern w:val="2"/>
                <w:sz w:val="21"/>
              </w:rPr>
              <w:t>分</w:t>
            </w:r>
            <w:r>
              <w:rPr>
                <w:rFonts w:hint="eastAsia" w:ascii="仿宋" w:hAnsi="仿宋" w:eastAsia="仿宋" w:cs="仿宋"/>
                <w:color w:val="auto"/>
                <w:szCs w:val="21"/>
                <w:highlight w:val="none"/>
                <w:lang w:eastAsia="zh-CN"/>
              </w:rPr>
              <w:t>。</w:t>
            </w:r>
          </w:p>
          <w:p w14:paraId="6F117F8A">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●方案中对应维度的内容存在显著缺陷，明显偏离采购需求或不合理，缺乏实际可行性的</w:t>
            </w:r>
            <w:r>
              <w:rPr>
                <w:rFonts w:hint="eastAsia" w:ascii="仿宋" w:hAnsi="仿宋" w:eastAsia="仿宋" w:cs="仿宋"/>
                <w:color w:val="auto"/>
                <w:szCs w:val="21"/>
                <w:highlight w:val="none"/>
                <w:lang w:val="en-US" w:eastAsia="zh-CN"/>
              </w:rPr>
              <w:t>,</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1</w:t>
            </w:r>
            <w:r>
              <w:rPr>
                <w:rFonts w:hint="eastAsia" w:ascii="仿宋" w:hAnsi="仿宋" w:eastAsia="仿宋" w:cs="仿宋"/>
                <w:color w:val="auto"/>
                <w:kern w:val="2"/>
                <w:sz w:val="21"/>
              </w:rPr>
              <w:t>分</w:t>
            </w:r>
            <w:r>
              <w:rPr>
                <w:rFonts w:hint="eastAsia" w:ascii="仿宋" w:hAnsi="仿宋" w:eastAsia="仿宋" w:cs="仿宋"/>
                <w:color w:val="auto"/>
                <w:szCs w:val="21"/>
                <w:highlight w:val="none"/>
                <w:lang w:eastAsia="zh-CN"/>
              </w:rPr>
              <w:t>。</w:t>
            </w:r>
          </w:p>
          <w:p w14:paraId="7768E625">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●投标人在上述任何一项内容中有所缺失，则该项将得0分。</w:t>
            </w:r>
          </w:p>
        </w:tc>
      </w:tr>
      <w:bookmarkEnd w:id="221"/>
      <w:tr w14:paraId="21CA750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07" w:hRule="atLeast"/>
          <w:jc w:val="center"/>
        </w:trPr>
        <w:tc>
          <w:tcPr>
            <w:tcW w:w="806" w:type="dxa"/>
            <w:vMerge w:val="continue"/>
            <w:tcBorders>
              <w:left w:val="single" w:color="auto" w:sz="4" w:space="0"/>
              <w:right w:val="single" w:color="auto" w:sz="4" w:space="0"/>
            </w:tcBorders>
            <w:shd w:val="clear" w:color="auto" w:fill="auto"/>
            <w:vAlign w:val="center"/>
          </w:tcPr>
          <w:p w14:paraId="32A791AC">
            <w:pPr>
              <w:jc w:val="center"/>
              <w:rPr>
                <w:rFonts w:hint="eastAsia" w:ascii="仿宋" w:hAnsi="仿宋" w:eastAsia="仿宋" w:cs="仿宋"/>
                <w:color w:val="auto"/>
                <w:highlight w:val="none"/>
              </w:rPr>
            </w:pPr>
          </w:p>
        </w:tc>
        <w:tc>
          <w:tcPr>
            <w:tcW w:w="826" w:type="dxa"/>
            <w:gridSpan w:val="2"/>
            <w:vMerge w:val="continue"/>
            <w:tcBorders>
              <w:left w:val="single" w:color="auto" w:sz="4" w:space="0"/>
              <w:right w:val="single" w:color="auto" w:sz="4" w:space="0"/>
            </w:tcBorders>
            <w:shd w:val="clear" w:color="auto" w:fill="auto"/>
            <w:vAlign w:val="center"/>
          </w:tcPr>
          <w:p w14:paraId="7FABA8F3">
            <w:pPr>
              <w:jc w:val="center"/>
              <w:rPr>
                <w:rFonts w:hint="eastAsia" w:ascii="仿宋" w:hAnsi="仿宋" w:eastAsia="仿宋" w:cs="仿宋"/>
                <w:color w:val="auto"/>
                <w:szCs w:val="21"/>
                <w:highlight w:val="none"/>
              </w:rPr>
            </w:pPr>
          </w:p>
        </w:tc>
        <w:tc>
          <w:tcPr>
            <w:tcW w:w="1719" w:type="dxa"/>
            <w:tcBorders>
              <w:top w:val="single" w:color="auto" w:sz="4" w:space="0"/>
              <w:left w:val="single" w:color="auto" w:sz="4" w:space="0"/>
              <w:bottom w:val="single" w:color="auto" w:sz="4" w:space="0"/>
              <w:right w:val="single" w:color="auto" w:sz="4" w:space="0"/>
            </w:tcBorders>
            <w:vAlign w:val="center"/>
          </w:tcPr>
          <w:p w14:paraId="00DDFD8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质量承诺及保证措施评分</w:t>
            </w:r>
          </w:p>
          <w:p w14:paraId="333EA0F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（满分</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分）</w:t>
            </w:r>
          </w:p>
        </w:tc>
        <w:tc>
          <w:tcPr>
            <w:tcW w:w="6148" w:type="dxa"/>
            <w:tcBorders>
              <w:top w:val="single" w:color="auto" w:sz="4" w:space="0"/>
              <w:left w:val="single" w:color="auto" w:sz="4" w:space="0"/>
              <w:bottom w:val="single" w:color="auto" w:sz="4" w:space="0"/>
              <w:right w:val="single" w:color="auto" w:sz="4" w:space="0"/>
            </w:tcBorders>
            <w:vAlign w:val="center"/>
          </w:tcPr>
          <w:p w14:paraId="5F36A22E">
            <w:pPr>
              <w:pStyle w:val="48"/>
              <w:rPr>
                <w:rFonts w:hint="eastAsia" w:ascii="仿宋" w:hAnsi="仿宋" w:eastAsia="仿宋" w:cs="仿宋"/>
                <w:b/>
                <w:bCs/>
                <w:color w:val="auto"/>
                <w:kern w:val="2"/>
                <w:sz w:val="21"/>
              </w:rPr>
            </w:pPr>
            <w:r>
              <w:rPr>
                <w:rFonts w:hint="eastAsia" w:ascii="仿宋" w:hAnsi="仿宋" w:eastAsia="仿宋" w:cs="仿宋"/>
                <w:b/>
                <w:bCs/>
                <w:color w:val="auto"/>
                <w:kern w:val="2"/>
                <w:sz w:val="21"/>
                <w:szCs w:val="24"/>
                <w:lang w:val="en-US" w:eastAsia="zh-CN" w:bidi="ar-SA"/>
              </w:rPr>
              <w:t>评标委员会根据投标人提供的质量承诺及保证措施进行评审，包括但不限于：</w:t>
            </w:r>
            <w:r>
              <w:rPr>
                <w:rFonts w:hint="eastAsia" w:ascii="仿宋" w:hAnsi="仿宋" w:eastAsia="仿宋" w:cs="仿宋"/>
                <w:b/>
                <w:bCs/>
                <w:color w:val="auto"/>
                <w:kern w:val="2"/>
                <w:sz w:val="21"/>
              </w:rPr>
              <w:t>①质量承诺的明确性与具体性；②质量保障措施的全面性和有效性；</w:t>
            </w:r>
          </w:p>
          <w:p w14:paraId="660B1D3E">
            <w:pPr>
              <w:pStyle w:val="48"/>
              <w:rPr>
                <w:rFonts w:hint="eastAsia" w:ascii="仿宋" w:hAnsi="仿宋" w:eastAsia="仿宋" w:cs="仿宋"/>
                <w:color w:val="auto"/>
                <w:kern w:val="2"/>
                <w:sz w:val="21"/>
              </w:rPr>
            </w:pPr>
            <w:r>
              <w:rPr>
                <w:rFonts w:hint="eastAsia" w:ascii="仿宋" w:hAnsi="仿宋" w:eastAsia="仿宋" w:cs="仿宋"/>
                <w:b/>
                <w:bCs/>
                <w:color w:val="auto"/>
                <w:kern w:val="2"/>
                <w:sz w:val="21"/>
              </w:rPr>
              <w:t>每项内容的满分设定为</w:t>
            </w:r>
            <w:r>
              <w:rPr>
                <w:rFonts w:hint="eastAsia" w:ascii="仿宋" w:hAnsi="仿宋" w:eastAsia="仿宋" w:cs="仿宋"/>
                <w:b/>
                <w:bCs/>
                <w:color w:val="auto"/>
                <w:kern w:val="2"/>
                <w:sz w:val="21"/>
                <w:lang w:val="en-US" w:eastAsia="zh-CN"/>
              </w:rPr>
              <w:t>4</w:t>
            </w:r>
            <w:r>
              <w:rPr>
                <w:rFonts w:hint="eastAsia" w:ascii="仿宋" w:hAnsi="仿宋" w:eastAsia="仿宋" w:cs="仿宋"/>
                <w:b/>
                <w:bCs/>
                <w:color w:val="auto"/>
                <w:kern w:val="2"/>
                <w:sz w:val="21"/>
              </w:rPr>
              <w:t>分，具体评分标准如下：</w:t>
            </w:r>
          </w:p>
          <w:p w14:paraId="24D799FD">
            <w:pPr>
              <w:pStyle w:val="48"/>
              <w:rPr>
                <w:rFonts w:hint="eastAsia" w:ascii="仿宋" w:hAnsi="仿宋" w:eastAsia="仿宋" w:cs="仿宋"/>
                <w:color w:val="auto"/>
                <w:kern w:val="2"/>
                <w:sz w:val="21"/>
              </w:rPr>
            </w:pPr>
            <w:r>
              <w:rPr>
                <w:rFonts w:hint="eastAsia" w:ascii="仿宋" w:hAnsi="仿宋" w:eastAsia="仿宋" w:cs="仿宋"/>
                <w:color w:val="auto"/>
                <w:kern w:val="2"/>
                <w:sz w:val="21"/>
              </w:rPr>
              <w:t>●投标人的质量承诺及保证措施内容完整、具体，能够充分展现其对质量控制的严谨态度和实际行动，且措施具有针对性和可行性，则该项可得</w:t>
            </w:r>
            <w:r>
              <w:rPr>
                <w:rFonts w:hint="eastAsia" w:ascii="仿宋" w:hAnsi="仿宋" w:eastAsia="仿宋" w:cs="仿宋"/>
                <w:color w:val="auto"/>
                <w:kern w:val="2"/>
                <w:sz w:val="21"/>
                <w:lang w:val="en-US" w:eastAsia="zh-CN"/>
              </w:rPr>
              <w:t>4</w:t>
            </w:r>
            <w:r>
              <w:rPr>
                <w:rFonts w:hint="eastAsia" w:ascii="仿宋" w:hAnsi="仿宋" w:eastAsia="仿宋" w:cs="仿宋"/>
                <w:color w:val="auto"/>
                <w:kern w:val="2"/>
                <w:sz w:val="21"/>
              </w:rPr>
              <w:t>分。</w:t>
            </w:r>
          </w:p>
          <w:p w14:paraId="08B9DEA5">
            <w:pPr>
              <w:pStyle w:val="48"/>
              <w:rPr>
                <w:rFonts w:hint="eastAsia" w:ascii="仿宋" w:hAnsi="仿宋" w:eastAsia="仿宋" w:cs="仿宋"/>
                <w:color w:val="auto"/>
                <w:kern w:val="2"/>
                <w:sz w:val="21"/>
              </w:rPr>
            </w:pPr>
            <w:r>
              <w:rPr>
                <w:rFonts w:hint="eastAsia" w:ascii="仿宋" w:hAnsi="仿宋" w:eastAsia="仿宋" w:cs="仿宋"/>
                <w:color w:val="auto"/>
                <w:kern w:val="2"/>
                <w:sz w:val="21"/>
              </w:rPr>
              <w:t>●投标人的质量承诺及保证措施内容略显不完整，或保证措施在某些方面尚待进一步完善，虽基本表达了质量控制的意愿，但缺乏足够的细节和深度，则该项可得</w:t>
            </w:r>
            <w:r>
              <w:rPr>
                <w:rFonts w:hint="eastAsia" w:ascii="仿宋" w:hAnsi="仿宋" w:eastAsia="仿宋" w:cs="仿宋"/>
                <w:color w:val="auto"/>
                <w:kern w:val="2"/>
                <w:sz w:val="21"/>
                <w:lang w:val="en-US" w:eastAsia="zh-CN"/>
              </w:rPr>
              <w:t>2</w:t>
            </w:r>
            <w:r>
              <w:rPr>
                <w:rFonts w:hint="eastAsia" w:ascii="仿宋" w:hAnsi="仿宋" w:eastAsia="仿宋" w:cs="仿宋"/>
                <w:color w:val="auto"/>
                <w:kern w:val="2"/>
                <w:sz w:val="21"/>
              </w:rPr>
              <w:t>分。</w:t>
            </w:r>
          </w:p>
          <w:p w14:paraId="202730AE">
            <w:pPr>
              <w:pStyle w:val="48"/>
              <w:rPr>
                <w:rFonts w:hint="eastAsia" w:ascii="仿宋" w:hAnsi="仿宋" w:eastAsia="仿宋" w:cs="仿宋"/>
                <w:color w:val="auto"/>
                <w:kern w:val="2"/>
                <w:sz w:val="21"/>
              </w:rPr>
            </w:pPr>
            <w:r>
              <w:rPr>
                <w:rFonts w:hint="eastAsia" w:ascii="仿宋" w:hAnsi="仿宋" w:eastAsia="仿宋" w:cs="仿宋"/>
                <w:color w:val="auto"/>
                <w:kern w:val="2"/>
                <w:sz w:val="21"/>
              </w:rPr>
              <w:t>●投标人的质量承诺及保证措施内容与项目要求不符，则该项将得</w:t>
            </w:r>
            <w:r>
              <w:rPr>
                <w:rFonts w:hint="eastAsia" w:ascii="仿宋" w:hAnsi="仿宋" w:eastAsia="仿宋" w:cs="仿宋"/>
                <w:color w:val="auto"/>
                <w:kern w:val="2"/>
                <w:sz w:val="21"/>
                <w:lang w:val="en-US" w:eastAsia="zh-CN"/>
              </w:rPr>
              <w:t>1</w:t>
            </w:r>
            <w:r>
              <w:rPr>
                <w:rFonts w:hint="eastAsia" w:ascii="仿宋" w:hAnsi="仿宋" w:eastAsia="仿宋" w:cs="仿宋"/>
                <w:color w:val="auto"/>
                <w:kern w:val="2"/>
                <w:sz w:val="21"/>
              </w:rPr>
              <w:t>分。</w:t>
            </w:r>
          </w:p>
          <w:p w14:paraId="70B9FC03">
            <w:pPr>
              <w:jc w:val="left"/>
              <w:rPr>
                <w:rFonts w:hint="eastAsia" w:ascii="仿宋" w:hAnsi="仿宋" w:eastAsia="仿宋" w:cs="仿宋"/>
                <w:color w:val="auto"/>
                <w:szCs w:val="21"/>
                <w:highlight w:val="none"/>
              </w:rPr>
            </w:pPr>
            <w:r>
              <w:rPr>
                <w:rFonts w:hint="eastAsia" w:ascii="仿宋" w:hAnsi="仿宋" w:eastAsia="仿宋" w:cs="仿宋"/>
                <w:color w:val="auto"/>
                <w:kern w:val="2"/>
                <w:sz w:val="21"/>
              </w:rPr>
              <w:t>●投标人在上述任何一项内容中有所缺失，则该项将得0分。</w:t>
            </w:r>
          </w:p>
        </w:tc>
      </w:tr>
      <w:tr w14:paraId="5C378E7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38" w:hRule="atLeast"/>
          <w:jc w:val="center"/>
        </w:trPr>
        <w:tc>
          <w:tcPr>
            <w:tcW w:w="806" w:type="dxa"/>
            <w:vMerge w:val="restart"/>
            <w:tcBorders>
              <w:top w:val="single" w:color="auto" w:sz="4" w:space="0"/>
              <w:left w:val="single" w:color="auto" w:sz="4" w:space="0"/>
              <w:right w:val="single" w:color="auto" w:sz="4" w:space="0"/>
            </w:tcBorders>
            <w:shd w:val="clear" w:color="auto" w:fill="auto"/>
            <w:vAlign w:val="center"/>
          </w:tcPr>
          <w:p w14:paraId="30D6EB3B">
            <w:pPr>
              <w:jc w:val="center"/>
              <w:rPr>
                <w:rFonts w:hint="eastAsia" w:ascii="仿宋" w:hAnsi="仿宋" w:eastAsia="仿宋" w:cs="仿宋"/>
                <w:color w:val="auto"/>
                <w:highlight w:val="none"/>
              </w:rPr>
            </w:pPr>
            <w:bookmarkStart w:id="223" w:name="OLE_LINK13" w:colFirst="2" w:colLast="3"/>
            <w:r>
              <w:rPr>
                <w:rFonts w:hint="eastAsia" w:ascii="仿宋" w:hAnsi="仿宋" w:eastAsia="仿宋" w:cs="仿宋"/>
                <w:color w:val="auto"/>
                <w:highlight w:val="none"/>
              </w:rPr>
              <w:t>2.2.2</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3</w:t>
            </w:r>
            <w:r>
              <w:rPr>
                <w:rFonts w:hint="eastAsia" w:ascii="仿宋" w:hAnsi="仿宋" w:eastAsia="仿宋" w:cs="仿宋"/>
                <w:color w:val="auto"/>
                <w:highlight w:val="none"/>
                <w:lang w:eastAsia="zh-CN"/>
              </w:rPr>
              <w:t>)</w:t>
            </w:r>
          </w:p>
        </w:tc>
        <w:tc>
          <w:tcPr>
            <w:tcW w:w="826" w:type="dxa"/>
            <w:gridSpan w:val="2"/>
            <w:vMerge w:val="restart"/>
            <w:tcBorders>
              <w:top w:val="single" w:color="auto" w:sz="4" w:space="0"/>
              <w:left w:val="single" w:color="auto" w:sz="4" w:space="0"/>
              <w:right w:val="single" w:color="auto" w:sz="4" w:space="0"/>
            </w:tcBorders>
            <w:shd w:val="clear" w:color="auto" w:fill="auto"/>
            <w:vAlign w:val="center"/>
          </w:tcPr>
          <w:p w14:paraId="12767B7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商务部分F</w:t>
            </w:r>
            <w:r>
              <w:rPr>
                <w:rFonts w:hint="eastAsia" w:ascii="仿宋" w:hAnsi="仿宋" w:eastAsia="仿宋" w:cs="仿宋"/>
                <w:color w:val="auto"/>
                <w:szCs w:val="21"/>
                <w:highlight w:val="none"/>
                <w:vertAlign w:val="subscript"/>
              </w:rPr>
              <w:t>3</w:t>
            </w:r>
            <w:r>
              <w:rPr>
                <w:rFonts w:hint="eastAsia" w:ascii="仿宋" w:hAnsi="仿宋" w:eastAsia="仿宋" w:cs="仿宋"/>
                <w:color w:val="auto"/>
                <w:szCs w:val="21"/>
                <w:highlight w:val="none"/>
              </w:rPr>
              <w:t>评分标准</w:t>
            </w:r>
          </w:p>
        </w:tc>
        <w:tc>
          <w:tcPr>
            <w:tcW w:w="1719" w:type="dxa"/>
            <w:tcBorders>
              <w:top w:val="single" w:color="auto" w:sz="4" w:space="0"/>
              <w:left w:val="single" w:color="auto" w:sz="4" w:space="0"/>
              <w:right w:val="single" w:color="auto" w:sz="4" w:space="0"/>
            </w:tcBorders>
            <w:vAlign w:val="center"/>
          </w:tcPr>
          <w:p w14:paraId="3A17FAFD">
            <w:pPr>
              <w:pStyle w:val="48"/>
              <w:jc w:val="center"/>
              <w:rPr>
                <w:rFonts w:hint="eastAsia" w:ascii="仿宋" w:hAnsi="仿宋" w:eastAsia="仿宋" w:cs="仿宋"/>
                <w:color w:val="auto"/>
                <w:kern w:val="2"/>
                <w:sz w:val="21"/>
              </w:rPr>
            </w:pPr>
            <w:r>
              <w:rPr>
                <w:rFonts w:hint="eastAsia" w:ascii="仿宋" w:hAnsi="仿宋" w:eastAsia="仿宋" w:cs="仿宋"/>
                <w:color w:val="auto"/>
                <w:kern w:val="2"/>
                <w:sz w:val="21"/>
              </w:rPr>
              <w:t>项目管理机构配置评分</w:t>
            </w:r>
          </w:p>
          <w:p w14:paraId="6D77B19E">
            <w:pPr>
              <w:pStyle w:val="48"/>
              <w:rPr>
                <w:rFonts w:hint="eastAsia" w:ascii="仿宋" w:hAnsi="仿宋" w:eastAsia="仿宋" w:cs="仿宋"/>
                <w:color w:val="auto"/>
                <w:kern w:val="2"/>
                <w:sz w:val="21"/>
              </w:rPr>
            </w:pPr>
            <w:r>
              <w:rPr>
                <w:rFonts w:hint="eastAsia" w:ascii="仿宋" w:hAnsi="仿宋" w:eastAsia="仿宋" w:cs="仿宋"/>
                <w:color w:val="auto"/>
                <w:kern w:val="2"/>
                <w:sz w:val="21"/>
              </w:rPr>
              <w:t>（满分</w:t>
            </w:r>
            <w:r>
              <w:rPr>
                <w:rFonts w:hint="eastAsia" w:ascii="仿宋" w:hAnsi="仿宋" w:eastAsia="仿宋" w:cs="仿宋"/>
                <w:color w:val="auto"/>
                <w:kern w:val="2"/>
                <w:sz w:val="21"/>
                <w:lang w:val="en-US" w:eastAsia="zh-CN"/>
              </w:rPr>
              <w:t>4</w:t>
            </w:r>
            <w:r>
              <w:rPr>
                <w:rFonts w:hint="eastAsia" w:ascii="仿宋" w:hAnsi="仿宋" w:eastAsia="仿宋" w:cs="仿宋"/>
                <w:color w:val="auto"/>
                <w:kern w:val="2"/>
                <w:sz w:val="21"/>
              </w:rPr>
              <w:t>分）</w:t>
            </w:r>
          </w:p>
        </w:tc>
        <w:tc>
          <w:tcPr>
            <w:tcW w:w="6148" w:type="dxa"/>
            <w:tcBorders>
              <w:top w:val="single" w:color="auto" w:sz="4" w:space="0"/>
              <w:left w:val="single" w:color="auto" w:sz="4" w:space="0"/>
              <w:bottom w:val="single" w:color="auto" w:sz="4" w:space="0"/>
              <w:right w:val="single" w:color="auto" w:sz="4" w:space="0"/>
            </w:tcBorders>
            <w:vAlign w:val="center"/>
          </w:tcPr>
          <w:p w14:paraId="3744CB3F">
            <w:pPr>
              <w:pStyle w:val="48"/>
              <w:rPr>
                <w:rFonts w:hint="eastAsia" w:ascii="仿宋" w:hAnsi="仿宋" w:eastAsia="仿宋" w:cs="仿宋"/>
                <w:color w:val="auto"/>
                <w:kern w:val="2"/>
                <w:sz w:val="21"/>
              </w:rPr>
            </w:pPr>
            <w:r>
              <w:rPr>
                <w:rFonts w:hint="eastAsia" w:ascii="仿宋" w:hAnsi="仿宋" w:eastAsia="仿宋" w:cs="仿宋"/>
                <w:color w:val="auto"/>
                <w:kern w:val="2"/>
                <w:sz w:val="21"/>
              </w:rPr>
              <w:t>●拟派本项目的项目团队技术力量强，团队人员专业配置及人员工作经验、资历</w:t>
            </w:r>
            <w:r>
              <w:rPr>
                <w:rFonts w:hint="eastAsia" w:ascii="仿宋" w:hAnsi="仿宋" w:eastAsia="仿宋" w:cs="仿宋"/>
                <w:color w:val="auto"/>
                <w:kern w:val="2"/>
                <w:sz w:val="21"/>
                <w:lang w:val="en-US" w:eastAsia="zh-CN"/>
              </w:rPr>
              <w:t>丰富</w:t>
            </w:r>
            <w:r>
              <w:rPr>
                <w:rFonts w:hint="eastAsia" w:ascii="仿宋" w:hAnsi="仿宋" w:eastAsia="仿宋" w:cs="仿宋"/>
                <w:color w:val="auto"/>
                <w:kern w:val="2"/>
                <w:sz w:val="21"/>
              </w:rPr>
              <w:t>，针对项目实际且合理，完全满足项目需要</w:t>
            </w:r>
            <w:r>
              <w:rPr>
                <w:rFonts w:hint="eastAsia" w:ascii="仿宋" w:hAnsi="仿宋" w:eastAsia="仿宋" w:cs="仿宋"/>
                <w:color w:val="auto"/>
                <w:kern w:val="2"/>
                <w:sz w:val="21"/>
                <w:lang w:val="en-US" w:eastAsia="zh-CN"/>
              </w:rPr>
              <w:t>的得4分</w:t>
            </w:r>
            <w:r>
              <w:rPr>
                <w:rFonts w:hint="eastAsia" w:ascii="仿宋" w:hAnsi="仿宋" w:eastAsia="仿宋" w:cs="仿宋"/>
                <w:color w:val="auto"/>
                <w:kern w:val="2"/>
                <w:sz w:val="21"/>
              </w:rPr>
              <w:t>；</w:t>
            </w:r>
          </w:p>
          <w:p w14:paraId="6886BACE">
            <w:pPr>
              <w:pStyle w:val="48"/>
              <w:rPr>
                <w:rFonts w:hint="eastAsia" w:ascii="仿宋" w:hAnsi="仿宋" w:eastAsia="仿宋" w:cs="仿宋"/>
                <w:color w:val="auto"/>
                <w:kern w:val="2"/>
                <w:sz w:val="21"/>
              </w:rPr>
            </w:pPr>
            <w:r>
              <w:rPr>
                <w:rFonts w:hint="eastAsia" w:ascii="仿宋" w:hAnsi="仿宋" w:eastAsia="仿宋" w:cs="仿宋"/>
                <w:color w:val="auto"/>
                <w:kern w:val="2"/>
                <w:sz w:val="21"/>
              </w:rPr>
              <w:t>●拟派本项目的项目团队技术力量较强，团队人员专业配置合理及人员工作经验、资历一般，能满足项目需要</w:t>
            </w:r>
            <w:r>
              <w:rPr>
                <w:rFonts w:hint="eastAsia" w:ascii="仿宋" w:hAnsi="仿宋" w:eastAsia="仿宋" w:cs="仿宋"/>
                <w:color w:val="auto"/>
                <w:kern w:val="2"/>
                <w:sz w:val="21"/>
                <w:lang w:val="en-US" w:eastAsia="zh-CN"/>
              </w:rPr>
              <w:t>的得3分</w:t>
            </w:r>
            <w:r>
              <w:rPr>
                <w:rFonts w:hint="eastAsia" w:ascii="仿宋" w:hAnsi="仿宋" w:eastAsia="仿宋" w:cs="仿宋"/>
                <w:color w:val="auto"/>
                <w:kern w:val="2"/>
                <w:sz w:val="21"/>
              </w:rPr>
              <w:t>；</w:t>
            </w:r>
          </w:p>
          <w:p w14:paraId="0E074C5B">
            <w:pPr>
              <w:pStyle w:val="48"/>
              <w:rPr>
                <w:rFonts w:hint="eastAsia" w:ascii="仿宋" w:hAnsi="仿宋" w:eastAsia="仿宋" w:cs="仿宋"/>
                <w:color w:val="auto"/>
                <w:kern w:val="2"/>
                <w:sz w:val="21"/>
                <w:lang w:eastAsia="zh-CN"/>
              </w:rPr>
            </w:pPr>
            <w:r>
              <w:rPr>
                <w:rFonts w:hint="eastAsia" w:ascii="仿宋" w:hAnsi="仿宋" w:eastAsia="仿宋" w:cs="仿宋"/>
                <w:color w:val="auto"/>
                <w:kern w:val="2"/>
                <w:sz w:val="21"/>
              </w:rPr>
              <w:t>●拟派本项目的项目团队技术力量一般，团队人员专业配置及人员工作经验一般，基本满足项目需要</w:t>
            </w:r>
            <w:r>
              <w:rPr>
                <w:rFonts w:hint="eastAsia" w:ascii="仿宋" w:hAnsi="仿宋" w:eastAsia="仿宋" w:cs="仿宋"/>
                <w:color w:val="auto"/>
                <w:kern w:val="2"/>
                <w:sz w:val="21"/>
                <w:lang w:val="en-US" w:eastAsia="zh-CN"/>
              </w:rPr>
              <w:t>的得2分</w:t>
            </w:r>
            <w:r>
              <w:rPr>
                <w:rFonts w:hint="eastAsia" w:ascii="仿宋" w:hAnsi="仿宋" w:eastAsia="仿宋" w:cs="仿宋"/>
                <w:color w:val="auto"/>
                <w:kern w:val="2"/>
                <w:sz w:val="21"/>
                <w:lang w:eastAsia="zh-CN"/>
              </w:rPr>
              <w:t>；</w:t>
            </w:r>
          </w:p>
          <w:p w14:paraId="2B30B554">
            <w:pPr>
              <w:pStyle w:val="48"/>
              <w:rPr>
                <w:rFonts w:hint="eastAsia" w:ascii="仿宋" w:hAnsi="仿宋" w:eastAsia="仿宋" w:cs="仿宋"/>
                <w:color w:val="auto"/>
                <w:kern w:val="2"/>
                <w:sz w:val="21"/>
                <w:lang w:eastAsia="zh-CN"/>
              </w:rPr>
            </w:pPr>
            <w:r>
              <w:rPr>
                <w:rFonts w:hint="eastAsia" w:ascii="仿宋" w:hAnsi="仿宋" w:eastAsia="仿宋" w:cs="仿宋"/>
                <w:color w:val="auto"/>
                <w:kern w:val="2"/>
                <w:sz w:val="21"/>
              </w:rPr>
              <w:t>●拟派本项目的项目团队技术力量</w:t>
            </w:r>
            <w:r>
              <w:rPr>
                <w:rFonts w:hint="eastAsia" w:ascii="仿宋" w:hAnsi="仿宋" w:eastAsia="仿宋" w:cs="仿宋"/>
                <w:color w:val="auto"/>
                <w:kern w:val="2"/>
                <w:sz w:val="21"/>
                <w:lang w:val="en-US" w:eastAsia="zh-CN"/>
              </w:rPr>
              <w:t>欠佳</w:t>
            </w:r>
            <w:r>
              <w:rPr>
                <w:rFonts w:hint="eastAsia" w:ascii="仿宋" w:hAnsi="仿宋" w:eastAsia="仿宋" w:cs="仿宋"/>
                <w:color w:val="auto"/>
                <w:kern w:val="2"/>
                <w:sz w:val="21"/>
              </w:rPr>
              <w:t>，不能满足</w:t>
            </w:r>
            <w:r>
              <w:rPr>
                <w:rFonts w:hint="eastAsia" w:ascii="仿宋" w:hAnsi="仿宋" w:eastAsia="仿宋" w:cs="仿宋"/>
                <w:color w:val="auto"/>
                <w:kern w:val="2"/>
                <w:sz w:val="21"/>
                <w:lang w:val="en-US" w:eastAsia="zh-CN"/>
              </w:rPr>
              <w:t>项目</w:t>
            </w:r>
            <w:r>
              <w:rPr>
                <w:rFonts w:hint="eastAsia" w:ascii="仿宋" w:hAnsi="仿宋" w:eastAsia="仿宋" w:cs="仿宋"/>
                <w:color w:val="auto"/>
                <w:kern w:val="2"/>
                <w:sz w:val="21"/>
              </w:rPr>
              <w:t>需要</w:t>
            </w:r>
            <w:r>
              <w:rPr>
                <w:rFonts w:hint="eastAsia" w:ascii="仿宋" w:hAnsi="仿宋" w:eastAsia="仿宋" w:cs="仿宋"/>
                <w:color w:val="auto"/>
                <w:kern w:val="2"/>
                <w:sz w:val="21"/>
                <w:lang w:val="en-US" w:eastAsia="zh-CN"/>
              </w:rPr>
              <w:t>的得1分</w:t>
            </w:r>
            <w:r>
              <w:rPr>
                <w:rFonts w:hint="eastAsia" w:ascii="仿宋" w:hAnsi="仿宋" w:eastAsia="仿宋" w:cs="仿宋"/>
                <w:color w:val="auto"/>
                <w:kern w:val="2"/>
                <w:sz w:val="21"/>
                <w:lang w:eastAsia="zh-CN"/>
              </w:rPr>
              <w:t>；</w:t>
            </w:r>
          </w:p>
          <w:p w14:paraId="093088D9">
            <w:pPr>
              <w:pStyle w:val="48"/>
              <w:rPr>
                <w:rFonts w:hint="eastAsia" w:ascii="仿宋" w:hAnsi="仿宋" w:eastAsia="仿宋" w:cs="仿宋"/>
                <w:color w:val="auto"/>
                <w:kern w:val="2"/>
                <w:sz w:val="21"/>
              </w:rPr>
            </w:pPr>
            <w:r>
              <w:rPr>
                <w:rFonts w:hint="eastAsia" w:ascii="仿宋" w:hAnsi="仿宋" w:eastAsia="仿宋" w:cs="仿宋"/>
                <w:color w:val="auto"/>
                <w:kern w:val="2"/>
                <w:sz w:val="21"/>
              </w:rPr>
              <w:t>●未提供人员配置</w:t>
            </w:r>
            <w:r>
              <w:rPr>
                <w:rFonts w:hint="eastAsia" w:ascii="仿宋" w:hAnsi="仿宋" w:eastAsia="仿宋" w:cs="仿宋"/>
                <w:color w:val="auto"/>
                <w:kern w:val="2"/>
                <w:sz w:val="21"/>
                <w:lang w:val="en-US" w:eastAsia="zh-CN"/>
              </w:rPr>
              <w:t>的得0分</w:t>
            </w:r>
            <w:r>
              <w:rPr>
                <w:rFonts w:hint="eastAsia" w:ascii="仿宋" w:hAnsi="仿宋" w:eastAsia="仿宋" w:cs="仿宋"/>
                <w:color w:val="auto"/>
                <w:kern w:val="2"/>
                <w:sz w:val="21"/>
              </w:rPr>
              <w:t>。</w:t>
            </w:r>
          </w:p>
        </w:tc>
      </w:tr>
      <w:bookmarkEnd w:id="222"/>
      <w:tr w14:paraId="0E297D3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38" w:hRule="atLeast"/>
          <w:jc w:val="center"/>
        </w:trPr>
        <w:tc>
          <w:tcPr>
            <w:tcW w:w="806" w:type="dxa"/>
            <w:vMerge w:val="continue"/>
            <w:tcBorders>
              <w:left w:val="single" w:color="auto" w:sz="4" w:space="0"/>
              <w:right w:val="single" w:color="auto" w:sz="4" w:space="0"/>
            </w:tcBorders>
            <w:shd w:val="clear" w:color="auto" w:fill="auto"/>
            <w:vAlign w:val="center"/>
          </w:tcPr>
          <w:p w14:paraId="21293BD3">
            <w:pPr>
              <w:jc w:val="center"/>
              <w:rPr>
                <w:rFonts w:hint="eastAsia" w:ascii="仿宋" w:hAnsi="仿宋" w:eastAsia="仿宋" w:cs="仿宋"/>
                <w:color w:val="auto"/>
                <w:highlight w:val="none"/>
              </w:rPr>
            </w:pPr>
          </w:p>
        </w:tc>
        <w:tc>
          <w:tcPr>
            <w:tcW w:w="826" w:type="dxa"/>
            <w:gridSpan w:val="2"/>
            <w:vMerge w:val="continue"/>
            <w:tcBorders>
              <w:left w:val="single" w:color="auto" w:sz="4" w:space="0"/>
              <w:right w:val="single" w:color="auto" w:sz="4" w:space="0"/>
            </w:tcBorders>
            <w:shd w:val="clear" w:color="auto" w:fill="auto"/>
            <w:vAlign w:val="center"/>
          </w:tcPr>
          <w:p w14:paraId="56DBD5FD">
            <w:pPr>
              <w:jc w:val="center"/>
              <w:rPr>
                <w:rFonts w:hint="eastAsia" w:ascii="仿宋" w:hAnsi="仿宋" w:eastAsia="仿宋" w:cs="仿宋"/>
                <w:color w:val="auto"/>
                <w:szCs w:val="21"/>
                <w:highlight w:val="none"/>
              </w:rPr>
            </w:pPr>
          </w:p>
        </w:tc>
        <w:tc>
          <w:tcPr>
            <w:tcW w:w="1719" w:type="dxa"/>
            <w:tcBorders>
              <w:top w:val="single" w:color="auto" w:sz="4" w:space="0"/>
              <w:left w:val="single" w:color="auto" w:sz="4" w:space="0"/>
              <w:right w:val="single" w:color="auto" w:sz="4" w:space="0"/>
            </w:tcBorders>
            <w:vAlign w:val="center"/>
          </w:tcPr>
          <w:p w14:paraId="10BA63A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售后服务方案（</w:t>
            </w:r>
            <w:r>
              <w:rPr>
                <w:rFonts w:hint="eastAsia" w:ascii="仿宋" w:hAnsi="仿宋" w:eastAsia="仿宋" w:cs="仿宋"/>
                <w:color w:val="auto"/>
                <w:szCs w:val="21"/>
                <w:highlight w:val="none"/>
                <w:lang w:val="en-US" w:eastAsia="zh-CN"/>
              </w:rPr>
              <w:t>满分8</w:t>
            </w:r>
            <w:r>
              <w:rPr>
                <w:rFonts w:hint="eastAsia" w:ascii="仿宋" w:hAnsi="仿宋" w:eastAsia="仿宋" w:cs="仿宋"/>
                <w:color w:val="auto"/>
                <w:szCs w:val="21"/>
                <w:highlight w:val="none"/>
              </w:rPr>
              <w:t>分）</w:t>
            </w:r>
          </w:p>
        </w:tc>
        <w:tc>
          <w:tcPr>
            <w:tcW w:w="6148" w:type="dxa"/>
            <w:tcBorders>
              <w:top w:val="single" w:color="auto" w:sz="4" w:space="0"/>
              <w:left w:val="single" w:color="auto" w:sz="4" w:space="0"/>
              <w:bottom w:val="single" w:color="auto" w:sz="4" w:space="0"/>
              <w:right w:val="single" w:color="auto" w:sz="4" w:space="0"/>
            </w:tcBorders>
            <w:vAlign w:val="center"/>
          </w:tcPr>
          <w:p w14:paraId="1A9C452C">
            <w:pPr>
              <w:jc w:val="left"/>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eastAsia="zh-CN"/>
              </w:rPr>
              <w:t>评标委员会根据投标人提供的</w:t>
            </w:r>
            <w:r>
              <w:rPr>
                <w:rFonts w:hint="eastAsia" w:ascii="仿宋" w:hAnsi="仿宋" w:eastAsia="仿宋" w:cs="仿宋"/>
                <w:b/>
                <w:bCs/>
                <w:color w:val="auto"/>
                <w:szCs w:val="21"/>
                <w:highlight w:val="none"/>
              </w:rPr>
              <w:t>售后服务方案</w:t>
            </w:r>
            <w:r>
              <w:rPr>
                <w:rFonts w:hint="eastAsia" w:ascii="仿宋" w:hAnsi="仿宋" w:eastAsia="仿宋" w:cs="仿宋"/>
                <w:b/>
                <w:bCs/>
                <w:color w:val="auto"/>
                <w:szCs w:val="21"/>
                <w:highlight w:val="none"/>
                <w:lang w:eastAsia="zh-CN"/>
              </w:rPr>
              <w:t>进行评审，包括但不限于：①售后服务团队及响应机制（含人员配置、响应时限及联系方式）；②质保期承诺及服务（含质保期限及维修退换政策）；③退换货保障（含流程、时限及费用承担）；④售后培训支持（含操作使用培训）。</w:t>
            </w:r>
          </w:p>
          <w:p w14:paraId="676B3989">
            <w:pPr>
              <w:jc w:val="left"/>
              <w:rPr>
                <w:rFonts w:hint="eastAsia" w:ascii="仿宋" w:hAnsi="仿宋" w:eastAsia="仿宋" w:cs="仿宋"/>
                <w:color w:val="auto"/>
                <w:kern w:val="2"/>
                <w:sz w:val="21"/>
                <w:lang w:eastAsia="zh-CN"/>
              </w:rPr>
            </w:pPr>
            <w:r>
              <w:rPr>
                <w:rFonts w:hint="eastAsia" w:ascii="仿宋" w:hAnsi="仿宋" w:eastAsia="仿宋" w:cs="仿宋"/>
                <w:b/>
                <w:bCs/>
                <w:color w:val="auto"/>
                <w:kern w:val="2"/>
                <w:sz w:val="21"/>
              </w:rPr>
              <w:t>每项内容的满分设定为</w:t>
            </w:r>
            <w:r>
              <w:rPr>
                <w:rFonts w:hint="eastAsia" w:ascii="仿宋" w:hAnsi="仿宋" w:eastAsia="仿宋" w:cs="仿宋"/>
                <w:b/>
                <w:bCs/>
                <w:color w:val="auto"/>
                <w:kern w:val="2"/>
                <w:sz w:val="21"/>
                <w:lang w:val="en-US" w:eastAsia="zh-CN"/>
              </w:rPr>
              <w:t>2</w:t>
            </w:r>
            <w:r>
              <w:rPr>
                <w:rFonts w:hint="eastAsia" w:ascii="仿宋" w:hAnsi="仿宋" w:eastAsia="仿宋" w:cs="仿宋"/>
                <w:b/>
                <w:bCs/>
                <w:color w:val="auto"/>
                <w:kern w:val="2"/>
                <w:sz w:val="21"/>
              </w:rPr>
              <w:t>分</w:t>
            </w:r>
            <w:r>
              <w:rPr>
                <w:rFonts w:hint="eastAsia" w:ascii="仿宋" w:hAnsi="仿宋" w:eastAsia="仿宋" w:cs="仿宋"/>
                <w:b/>
                <w:bCs/>
                <w:color w:val="auto"/>
                <w:kern w:val="2"/>
                <w:sz w:val="21"/>
                <w:lang w:eastAsia="zh-CN"/>
              </w:rPr>
              <w:t>，</w:t>
            </w:r>
            <w:r>
              <w:rPr>
                <w:rFonts w:hint="eastAsia" w:ascii="仿宋" w:hAnsi="仿宋" w:eastAsia="仿宋" w:cs="仿宋"/>
                <w:b/>
                <w:bCs/>
                <w:color w:val="auto"/>
                <w:kern w:val="2"/>
                <w:sz w:val="21"/>
              </w:rPr>
              <w:t>具体评分标准如下</w:t>
            </w:r>
            <w:r>
              <w:rPr>
                <w:rFonts w:hint="eastAsia" w:ascii="仿宋" w:hAnsi="仿宋" w:eastAsia="仿宋" w:cs="仿宋"/>
                <w:b/>
                <w:bCs/>
                <w:color w:val="auto"/>
                <w:kern w:val="2"/>
                <w:sz w:val="21"/>
                <w:lang w:eastAsia="zh-CN"/>
              </w:rPr>
              <w:t>：</w:t>
            </w:r>
          </w:p>
          <w:p w14:paraId="350406ED">
            <w:pPr>
              <w:pStyle w:val="48"/>
              <w:rPr>
                <w:rFonts w:hint="eastAsia" w:ascii="仿宋" w:hAnsi="仿宋" w:eastAsia="仿宋" w:cs="仿宋"/>
                <w:color w:val="auto"/>
                <w:kern w:val="2"/>
                <w:sz w:val="21"/>
              </w:rPr>
            </w:pPr>
            <w:r>
              <w:rPr>
                <w:rFonts w:hint="eastAsia" w:ascii="仿宋" w:hAnsi="仿宋" w:eastAsia="仿宋" w:cs="仿宋"/>
                <w:color w:val="auto"/>
                <w:kern w:val="2"/>
                <w:sz w:val="21"/>
              </w:rPr>
              <w:t>●投标人的售后服务方案内容详尽具体，且紧密贴合项目实际需求，展现出高度的针对性和实用性的</w:t>
            </w:r>
            <w:r>
              <w:rPr>
                <w:rFonts w:hint="eastAsia" w:ascii="仿宋" w:hAnsi="仿宋" w:eastAsia="仿宋" w:cs="仿宋"/>
                <w:color w:val="auto"/>
                <w:kern w:val="2"/>
                <w:sz w:val="21"/>
                <w:lang w:val="en-US" w:eastAsia="zh-CN"/>
              </w:rPr>
              <w:t>,</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2</w:t>
            </w:r>
            <w:r>
              <w:rPr>
                <w:rFonts w:hint="eastAsia" w:ascii="仿宋" w:hAnsi="仿宋" w:eastAsia="仿宋" w:cs="仿宋"/>
                <w:color w:val="auto"/>
                <w:kern w:val="2"/>
                <w:sz w:val="21"/>
              </w:rPr>
              <w:t>分。</w:t>
            </w:r>
          </w:p>
          <w:p w14:paraId="53D23C16">
            <w:pPr>
              <w:pStyle w:val="48"/>
              <w:rPr>
                <w:rFonts w:hint="eastAsia" w:ascii="仿宋" w:hAnsi="仿宋" w:eastAsia="仿宋" w:cs="仿宋"/>
                <w:color w:val="auto"/>
                <w:kern w:val="2"/>
                <w:sz w:val="21"/>
              </w:rPr>
            </w:pPr>
            <w:r>
              <w:rPr>
                <w:rFonts w:hint="eastAsia" w:ascii="仿宋" w:hAnsi="仿宋" w:eastAsia="仿宋" w:cs="仿宋"/>
                <w:color w:val="auto"/>
                <w:kern w:val="2"/>
                <w:sz w:val="21"/>
              </w:rPr>
              <w:t>●投标人的售后服务方案内容</w:t>
            </w:r>
            <w:r>
              <w:rPr>
                <w:rFonts w:hint="eastAsia" w:ascii="仿宋" w:hAnsi="仿宋" w:eastAsia="仿宋" w:cs="仿宋"/>
                <w:color w:val="auto"/>
                <w:kern w:val="2"/>
                <w:sz w:val="21"/>
                <w:lang w:val="en-US" w:eastAsia="zh-CN"/>
              </w:rPr>
              <w:t>完整</w:t>
            </w:r>
            <w:r>
              <w:rPr>
                <w:rFonts w:hint="eastAsia" w:ascii="仿宋" w:hAnsi="仿宋" w:eastAsia="仿宋" w:cs="仿宋"/>
                <w:color w:val="auto"/>
                <w:kern w:val="2"/>
                <w:sz w:val="21"/>
              </w:rPr>
              <w:t>，</w:t>
            </w:r>
            <w:r>
              <w:rPr>
                <w:rFonts w:hint="eastAsia" w:ascii="仿宋" w:hAnsi="仿宋" w:eastAsia="仿宋" w:cs="仿宋"/>
                <w:color w:val="auto"/>
                <w:kern w:val="2"/>
                <w:sz w:val="21"/>
                <w:lang w:val="en-US" w:eastAsia="zh-CN"/>
              </w:rPr>
              <w:t>存在细微瑕疵的,</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1.5</w:t>
            </w:r>
            <w:r>
              <w:rPr>
                <w:rFonts w:hint="eastAsia" w:ascii="仿宋" w:hAnsi="仿宋" w:eastAsia="仿宋" w:cs="仿宋"/>
                <w:color w:val="auto"/>
                <w:kern w:val="2"/>
                <w:sz w:val="21"/>
              </w:rPr>
              <w:t>分。</w:t>
            </w:r>
          </w:p>
          <w:p w14:paraId="2E1329D2">
            <w:pPr>
              <w:pStyle w:val="48"/>
              <w:rPr>
                <w:rFonts w:hint="eastAsia" w:ascii="仿宋" w:hAnsi="仿宋" w:eastAsia="仿宋" w:cs="仿宋"/>
                <w:color w:val="auto"/>
                <w:kern w:val="2"/>
                <w:sz w:val="21"/>
              </w:rPr>
            </w:pPr>
            <w:r>
              <w:rPr>
                <w:rFonts w:hint="eastAsia" w:ascii="仿宋" w:hAnsi="仿宋" w:eastAsia="仿宋" w:cs="仿宋"/>
                <w:color w:val="auto"/>
                <w:kern w:val="2"/>
                <w:sz w:val="21"/>
              </w:rPr>
              <w:t>●投标人的售后服务方案内容笼统，缺乏具体细节，或未能充分展现针对项目需求的定制化服务的</w:t>
            </w:r>
            <w:r>
              <w:rPr>
                <w:rFonts w:hint="eastAsia" w:ascii="仿宋" w:hAnsi="仿宋" w:eastAsia="仿宋" w:cs="仿宋"/>
                <w:color w:val="auto"/>
                <w:kern w:val="2"/>
                <w:sz w:val="21"/>
                <w:lang w:val="en-US" w:eastAsia="zh-CN"/>
              </w:rPr>
              <w:t>,</w:t>
            </w:r>
            <w:r>
              <w:rPr>
                <w:rFonts w:hint="eastAsia" w:ascii="仿宋" w:hAnsi="仿宋" w:eastAsia="仿宋" w:cs="仿宋"/>
                <w:color w:val="auto"/>
                <w:kern w:val="2"/>
                <w:sz w:val="21"/>
              </w:rPr>
              <w:t>则该项可得</w:t>
            </w:r>
            <w:r>
              <w:rPr>
                <w:rFonts w:hint="eastAsia" w:ascii="仿宋" w:hAnsi="仿宋" w:eastAsia="仿宋" w:cs="仿宋"/>
                <w:color w:val="auto"/>
                <w:kern w:val="2"/>
                <w:sz w:val="21"/>
                <w:lang w:val="en-US" w:eastAsia="zh-CN"/>
              </w:rPr>
              <w:t>1</w:t>
            </w:r>
            <w:r>
              <w:rPr>
                <w:rFonts w:hint="eastAsia" w:ascii="仿宋" w:hAnsi="仿宋" w:eastAsia="仿宋" w:cs="仿宋"/>
                <w:color w:val="auto"/>
                <w:kern w:val="2"/>
                <w:sz w:val="21"/>
              </w:rPr>
              <w:t>分。</w:t>
            </w:r>
          </w:p>
          <w:p w14:paraId="3BF7DECE">
            <w:pPr>
              <w:jc w:val="left"/>
              <w:rPr>
                <w:rFonts w:hint="eastAsia" w:ascii="仿宋" w:hAnsi="仿宋" w:eastAsia="仿宋" w:cs="仿宋"/>
                <w:color w:val="auto"/>
                <w:szCs w:val="21"/>
                <w:highlight w:val="none"/>
                <w:lang w:eastAsia="zh-CN"/>
              </w:rPr>
            </w:pPr>
            <w:r>
              <w:rPr>
                <w:rFonts w:hint="eastAsia" w:ascii="仿宋" w:hAnsi="仿宋" w:eastAsia="仿宋" w:cs="仿宋"/>
                <w:color w:val="auto"/>
                <w:kern w:val="2"/>
                <w:sz w:val="21"/>
              </w:rPr>
              <w:t>●投标人在上述任何一项内容中有所缺失，则该项将得0分。</w:t>
            </w:r>
          </w:p>
        </w:tc>
      </w:tr>
      <w:bookmarkEnd w:id="223"/>
      <w:tr w14:paraId="41B69C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61" w:hRule="atLeast"/>
          <w:jc w:val="center"/>
        </w:trPr>
        <w:tc>
          <w:tcPr>
            <w:tcW w:w="806" w:type="dxa"/>
            <w:vMerge w:val="continue"/>
            <w:tcBorders>
              <w:left w:val="single" w:color="auto" w:sz="4" w:space="0"/>
              <w:bottom w:val="single" w:color="auto" w:sz="4" w:space="0"/>
              <w:right w:val="single" w:color="auto" w:sz="4" w:space="0"/>
            </w:tcBorders>
            <w:shd w:val="clear" w:color="auto" w:fill="auto"/>
            <w:vAlign w:val="center"/>
          </w:tcPr>
          <w:p w14:paraId="23FE8C0B">
            <w:pPr>
              <w:jc w:val="center"/>
              <w:rPr>
                <w:rFonts w:hint="eastAsia" w:ascii="仿宋" w:hAnsi="仿宋" w:eastAsia="仿宋" w:cs="仿宋"/>
                <w:color w:val="auto"/>
                <w:highlight w:val="none"/>
              </w:rPr>
            </w:pPr>
            <w:bookmarkStart w:id="224" w:name="OLE_LINK14" w:colFirst="2" w:colLast="3"/>
          </w:p>
        </w:tc>
        <w:tc>
          <w:tcPr>
            <w:tcW w:w="826" w:type="dxa"/>
            <w:gridSpan w:val="2"/>
            <w:vMerge w:val="continue"/>
            <w:tcBorders>
              <w:left w:val="single" w:color="auto" w:sz="4" w:space="0"/>
              <w:bottom w:val="single" w:color="auto" w:sz="4" w:space="0"/>
              <w:right w:val="single" w:color="auto" w:sz="4" w:space="0"/>
            </w:tcBorders>
            <w:shd w:val="clear" w:color="auto" w:fill="auto"/>
            <w:vAlign w:val="center"/>
          </w:tcPr>
          <w:p w14:paraId="6895ECD2">
            <w:pPr>
              <w:jc w:val="center"/>
              <w:rPr>
                <w:rFonts w:hint="eastAsia" w:ascii="仿宋" w:hAnsi="仿宋" w:eastAsia="仿宋" w:cs="仿宋"/>
                <w:color w:val="auto"/>
                <w:szCs w:val="21"/>
                <w:highlight w:val="none"/>
              </w:rPr>
            </w:pPr>
          </w:p>
        </w:tc>
        <w:tc>
          <w:tcPr>
            <w:tcW w:w="1719" w:type="dxa"/>
            <w:tcBorders>
              <w:top w:val="single" w:color="auto" w:sz="4" w:space="0"/>
              <w:left w:val="single" w:color="auto" w:sz="4" w:space="0"/>
              <w:bottom w:val="single" w:color="auto" w:sz="4" w:space="0"/>
              <w:right w:val="single" w:color="auto" w:sz="4" w:space="0"/>
            </w:tcBorders>
            <w:vAlign w:val="center"/>
          </w:tcPr>
          <w:p w14:paraId="2AB70F9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类似项目业绩（满分</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w:t>
            </w:r>
          </w:p>
        </w:tc>
        <w:tc>
          <w:tcPr>
            <w:tcW w:w="6148" w:type="dxa"/>
            <w:tcBorders>
              <w:top w:val="single" w:color="auto" w:sz="4" w:space="0"/>
              <w:left w:val="single" w:color="auto" w:sz="4" w:space="0"/>
              <w:bottom w:val="single" w:color="auto" w:sz="4" w:space="0"/>
              <w:right w:val="single" w:color="auto" w:sz="4" w:space="0"/>
            </w:tcBorders>
            <w:vAlign w:val="center"/>
          </w:tcPr>
          <w:p w14:paraId="68C1E2D5">
            <w:pPr>
              <w:pStyle w:val="48"/>
              <w:rPr>
                <w:rFonts w:hint="eastAsia" w:ascii="仿宋" w:hAnsi="仿宋" w:eastAsia="仿宋" w:cs="仿宋"/>
                <w:color w:val="auto"/>
                <w:kern w:val="2"/>
                <w:sz w:val="21"/>
                <w:highlight w:val="none"/>
              </w:rPr>
            </w:pPr>
            <w:r>
              <w:rPr>
                <w:rFonts w:hint="eastAsia" w:ascii="仿宋" w:hAnsi="仿宋" w:eastAsia="仿宋" w:cs="仿宋"/>
                <w:color w:val="auto"/>
                <w:kern w:val="2"/>
                <w:sz w:val="21"/>
                <w:highlight w:val="none"/>
              </w:rPr>
              <w:t>投标人每提供一个类似项目业绩的得</w:t>
            </w:r>
            <w:r>
              <w:rPr>
                <w:rFonts w:hint="eastAsia" w:ascii="仿宋" w:hAnsi="仿宋" w:eastAsia="仿宋" w:cs="仿宋"/>
                <w:color w:val="auto"/>
                <w:kern w:val="2"/>
                <w:sz w:val="21"/>
                <w:highlight w:val="none"/>
                <w:lang w:val="en-US" w:eastAsia="zh-CN"/>
              </w:rPr>
              <w:t>1</w:t>
            </w:r>
            <w:r>
              <w:rPr>
                <w:rFonts w:hint="eastAsia" w:ascii="仿宋" w:hAnsi="仿宋" w:eastAsia="仿宋" w:cs="仿宋"/>
                <w:color w:val="auto"/>
                <w:kern w:val="2"/>
                <w:sz w:val="21"/>
                <w:highlight w:val="none"/>
              </w:rPr>
              <w:t>分，分数加满为止。</w:t>
            </w:r>
          </w:p>
          <w:p w14:paraId="59416CA2">
            <w:pPr>
              <w:pStyle w:val="48"/>
              <w:rPr>
                <w:rFonts w:hint="eastAsia" w:ascii="仿宋" w:hAnsi="仿宋" w:eastAsia="仿宋" w:cs="仿宋"/>
                <w:color w:val="auto"/>
                <w:kern w:val="2"/>
                <w:sz w:val="21"/>
                <w:highlight w:val="none"/>
              </w:rPr>
            </w:pPr>
            <w:r>
              <w:rPr>
                <w:rFonts w:hint="eastAsia" w:ascii="仿宋" w:hAnsi="仿宋" w:eastAsia="仿宋" w:cs="仿宋"/>
                <w:color w:val="auto"/>
                <w:kern w:val="2"/>
                <w:sz w:val="21"/>
                <w:highlight w:val="none"/>
              </w:rPr>
              <w:t>注：类似业绩需提供中标（成交）通知书或合同证明材料。</w:t>
            </w:r>
          </w:p>
        </w:tc>
      </w:tr>
      <w:bookmarkEnd w:id="224"/>
    </w:tbl>
    <w:p w14:paraId="3E77ECD1">
      <w:pPr>
        <w:rPr>
          <w:rFonts w:hint="eastAsia" w:ascii="仿宋" w:hAnsi="仿宋" w:eastAsia="仿宋" w:cs="仿宋"/>
          <w:color w:val="auto"/>
          <w:highlight w:val="none"/>
        </w:rPr>
      </w:pPr>
      <w:bookmarkStart w:id="225" w:name="_Toc468805876"/>
    </w:p>
    <w:p w14:paraId="2CC6184A">
      <w:pPr>
        <w:pStyle w:val="3"/>
        <w:numPr>
          <w:ilvl w:val="0"/>
          <w:numId w:val="0"/>
        </w:numPr>
        <w:spacing w:before="0"/>
        <w:rPr>
          <w:rFonts w:hint="eastAsia" w:ascii="仿宋" w:hAnsi="仿宋" w:eastAsia="仿宋" w:cs="仿宋"/>
          <w:color w:val="auto"/>
          <w:highlight w:val="none"/>
        </w:rPr>
      </w:pPr>
      <w:bookmarkStart w:id="226" w:name="_Toc28542"/>
      <w:bookmarkStart w:id="227" w:name="_Toc89692676"/>
      <w:r>
        <w:rPr>
          <w:rFonts w:hint="eastAsia" w:ascii="仿宋" w:hAnsi="仿宋" w:eastAsia="仿宋" w:cs="仿宋"/>
          <w:color w:val="auto"/>
          <w:szCs w:val="28"/>
          <w:highlight w:val="none"/>
        </w:rPr>
        <w:t>1. 评标方法：</w:t>
      </w:r>
      <w:bookmarkEnd w:id="225"/>
      <w:bookmarkEnd w:id="226"/>
      <w:bookmarkEnd w:id="227"/>
    </w:p>
    <w:p w14:paraId="2C695A1C">
      <w:pPr>
        <w:adjustRightIn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w:t>
      </w:r>
    </w:p>
    <w:p w14:paraId="6587142C">
      <w:pPr>
        <w:pStyle w:val="3"/>
        <w:numPr>
          <w:ilvl w:val="0"/>
          <w:numId w:val="0"/>
        </w:numPr>
        <w:spacing w:before="0"/>
        <w:rPr>
          <w:rFonts w:hint="eastAsia" w:ascii="仿宋" w:hAnsi="仿宋" w:eastAsia="仿宋" w:cs="仿宋"/>
          <w:color w:val="auto"/>
          <w:szCs w:val="28"/>
          <w:highlight w:val="none"/>
        </w:rPr>
      </w:pPr>
      <w:bookmarkStart w:id="228" w:name="_Toc18483"/>
      <w:bookmarkStart w:id="229" w:name="_Toc89692677"/>
      <w:bookmarkStart w:id="230" w:name="_Toc468805877"/>
      <w:r>
        <w:rPr>
          <w:rFonts w:hint="eastAsia" w:ascii="仿宋" w:hAnsi="仿宋" w:eastAsia="仿宋" w:cs="仿宋"/>
          <w:color w:val="auto"/>
          <w:szCs w:val="28"/>
          <w:highlight w:val="none"/>
        </w:rPr>
        <w:t>2. 评审标准</w:t>
      </w:r>
      <w:bookmarkEnd w:id="228"/>
      <w:bookmarkEnd w:id="229"/>
      <w:bookmarkEnd w:id="230"/>
    </w:p>
    <w:p w14:paraId="36FF4B59">
      <w:pPr>
        <w:pStyle w:val="8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2.1 符合性审查标准</w:t>
      </w:r>
    </w:p>
    <w:p w14:paraId="73D00354">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符合性审查标准：依据招标文件的规定，从投标文件的有效性、完整性和对招标文件的响应程度进行审查，以确定是否对招标文件的实质性要求作出响应；见评标办法前附表。</w:t>
      </w:r>
    </w:p>
    <w:p w14:paraId="1E518BF8">
      <w:pPr>
        <w:pStyle w:val="80"/>
        <w:spacing w:line="360" w:lineRule="auto"/>
        <w:rPr>
          <w:rFonts w:hint="eastAsia" w:ascii="仿宋" w:hAnsi="仿宋" w:eastAsia="仿宋" w:cs="仿宋"/>
          <w:b/>
          <w:color w:val="auto"/>
          <w:sz w:val="24"/>
          <w:highlight w:val="none"/>
        </w:rPr>
      </w:pPr>
      <w:bookmarkStart w:id="231" w:name="_Toc468805879"/>
      <w:r>
        <w:rPr>
          <w:rFonts w:hint="eastAsia" w:ascii="仿宋" w:hAnsi="仿宋" w:eastAsia="仿宋" w:cs="仿宋"/>
          <w:b/>
          <w:color w:val="auto"/>
          <w:sz w:val="24"/>
          <w:highlight w:val="none"/>
        </w:rPr>
        <w:t>2.2 分值构成与评分标准</w:t>
      </w:r>
      <w:bookmarkEnd w:id="231"/>
    </w:p>
    <w:p w14:paraId="048DD9D4">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2.2.1分值构成</w:t>
      </w:r>
    </w:p>
    <w:p w14:paraId="5A1F8EE4">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（1）投标报价：见评标办法前附表；</w:t>
      </w:r>
    </w:p>
    <w:p w14:paraId="677CC953">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（2）技术部分：见评标办法前附表；</w:t>
      </w:r>
    </w:p>
    <w:p w14:paraId="1F59A1E5">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（3）商务部分：见评标办法前附表。</w:t>
      </w:r>
    </w:p>
    <w:p w14:paraId="23B9D66D">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2.2.2评分标准</w:t>
      </w:r>
    </w:p>
    <w:p w14:paraId="204CB385">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按招标文件中规定的评标方法和标准，对资格审查和符合性审查合格的投标文件进行商务和技术评估，综合比较与评价。</w:t>
      </w:r>
    </w:p>
    <w:p w14:paraId="42905014">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（1）投标报价：见评标办法前附表；</w:t>
      </w:r>
    </w:p>
    <w:p w14:paraId="2F87203B">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（2）技术部分：见评标办法前附表；</w:t>
      </w:r>
    </w:p>
    <w:p w14:paraId="153CEC28">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（3）商务部分：见评标办法前附表。</w:t>
      </w:r>
    </w:p>
    <w:p w14:paraId="4F77C4E4">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2.2.3评标基准价计算方法：见评标办法前附表。</w:t>
      </w:r>
    </w:p>
    <w:p w14:paraId="32F188FB">
      <w:pPr>
        <w:pStyle w:val="3"/>
        <w:numPr>
          <w:ilvl w:val="0"/>
          <w:numId w:val="0"/>
        </w:numPr>
        <w:spacing w:before="0"/>
        <w:rPr>
          <w:rFonts w:hint="eastAsia" w:ascii="仿宋" w:hAnsi="仿宋" w:eastAsia="仿宋" w:cs="仿宋"/>
          <w:color w:val="auto"/>
          <w:szCs w:val="28"/>
          <w:highlight w:val="none"/>
        </w:rPr>
      </w:pPr>
      <w:bookmarkStart w:id="232" w:name="_Toc89692678"/>
      <w:bookmarkStart w:id="233" w:name="_Toc18867"/>
      <w:bookmarkStart w:id="234" w:name="_Toc468805880"/>
      <w:r>
        <w:rPr>
          <w:rFonts w:hint="eastAsia" w:ascii="仿宋" w:hAnsi="仿宋" w:eastAsia="仿宋" w:cs="仿宋"/>
          <w:color w:val="auto"/>
          <w:szCs w:val="28"/>
          <w:highlight w:val="none"/>
        </w:rPr>
        <w:t>3. 评标程序</w:t>
      </w:r>
      <w:bookmarkEnd w:id="232"/>
      <w:bookmarkEnd w:id="233"/>
      <w:bookmarkEnd w:id="234"/>
    </w:p>
    <w:p w14:paraId="74F59332">
      <w:pPr>
        <w:pStyle w:val="8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3.1 符合性审查</w:t>
      </w:r>
    </w:p>
    <w:p w14:paraId="3525E50F">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评标委员会依据本章第2.1项规定的标准对投标文件进行符合性审查。有一项不符合评审标准的，投标无效。</w:t>
      </w:r>
    </w:p>
    <w:p w14:paraId="518A1974">
      <w:pPr>
        <w:pStyle w:val="80"/>
        <w:spacing w:line="360" w:lineRule="auto"/>
        <w:rPr>
          <w:rFonts w:hint="eastAsia" w:ascii="仿宋" w:hAnsi="仿宋" w:eastAsia="仿宋" w:cs="仿宋"/>
          <w:b/>
          <w:color w:val="auto"/>
          <w:sz w:val="24"/>
          <w:highlight w:val="none"/>
        </w:rPr>
      </w:pPr>
      <w:bookmarkStart w:id="235" w:name="_Toc468805882"/>
      <w:r>
        <w:rPr>
          <w:rFonts w:hint="eastAsia" w:ascii="仿宋" w:hAnsi="仿宋" w:eastAsia="仿宋" w:cs="仿宋"/>
          <w:b/>
          <w:color w:val="auto"/>
          <w:sz w:val="24"/>
          <w:highlight w:val="none"/>
        </w:rPr>
        <w:t>3.2</w:t>
      </w:r>
      <w:bookmarkEnd w:id="235"/>
      <w:r>
        <w:rPr>
          <w:rFonts w:hint="eastAsia" w:ascii="仿宋" w:hAnsi="仿宋" w:eastAsia="仿宋" w:cs="仿宋"/>
          <w:b/>
          <w:color w:val="auto"/>
          <w:sz w:val="24"/>
          <w:highlight w:val="none"/>
        </w:rPr>
        <w:t xml:space="preserve"> 商务和技术评估，综合比较与评价</w:t>
      </w:r>
    </w:p>
    <w:p w14:paraId="1D1D25CB">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3.2.1 评标委员会按本章第2.2款规定的量化因素和分值进行打分，并计算出投标人的评标总得分。</w:t>
      </w:r>
    </w:p>
    <w:p w14:paraId="054FED8A">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（1）按本章第2.2.2（1）</w:t>
      </w:r>
      <w:r>
        <w:rPr>
          <w:rFonts w:hint="eastAsia" w:ascii="仿宋" w:hAnsi="仿宋" w:eastAsia="仿宋" w:cs="仿宋"/>
          <w:color w:val="auto"/>
          <w:szCs w:val="21"/>
          <w:highlight w:val="none"/>
          <w:lang w:val="en-US" w:eastAsia="zh-CN"/>
        </w:rPr>
        <w:t>项</w:t>
      </w:r>
      <w:r>
        <w:rPr>
          <w:rFonts w:hint="eastAsia" w:ascii="仿宋" w:hAnsi="仿宋" w:eastAsia="仿宋" w:cs="仿宋"/>
          <w:color w:val="auto"/>
          <w:szCs w:val="21"/>
          <w:highlight w:val="none"/>
        </w:rPr>
        <w:t>规定的评审因素和分值对投标报价计算出得分F</w:t>
      </w:r>
      <w:r>
        <w:rPr>
          <w:rFonts w:hint="eastAsia" w:ascii="仿宋" w:hAnsi="仿宋" w:eastAsia="仿宋" w:cs="仿宋"/>
          <w:color w:val="auto"/>
          <w:szCs w:val="21"/>
          <w:highlight w:val="none"/>
          <w:vertAlign w:val="subscript"/>
        </w:rPr>
        <w:t>1</w:t>
      </w:r>
      <w:r>
        <w:rPr>
          <w:rFonts w:hint="eastAsia" w:ascii="仿宋" w:hAnsi="仿宋" w:eastAsia="仿宋" w:cs="仿宋"/>
          <w:color w:val="auto"/>
          <w:szCs w:val="21"/>
          <w:highlight w:val="none"/>
        </w:rPr>
        <w:t xml:space="preserve">，并计算投标报价评分分值； </w:t>
      </w:r>
    </w:p>
    <w:p w14:paraId="6BD606D2">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（2）按本章第2.2.2（2）</w:t>
      </w:r>
      <w:r>
        <w:rPr>
          <w:rFonts w:hint="eastAsia" w:ascii="仿宋" w:hAnsi="仿宋" w:eastAsia="仿宋" w:cs="仿宋"/>
          <w:color w:val="auto"/>
          <w:szCs w:val="21"/>
          <w:highlight w:val="none"/>
          <w:lang w:val="en-US" w:eastAsia="zh-CN"/>
        </w:rPr>
        <w:t>项</w:t>
      </w:r>
      <w:r>
        <w:rPr>
          <w:rFonts w:hint="eastAsia" w:ascii="仿宋" w:hAnsi="仿宋" w:eastAsia="仿宋" w:cs="仿宋"/>
          <w:color w:val="auto"/>
          <w:szCs w:val="21"/>
          <w:highlight w:val="none"/>
        </w:rPr>
        <w:t>规定的评审因素和分值对技术部分计算出得分F</w:t>
      </w:r>
      <w:r>
        <w:rPr>
          <w:rFonts w:hint="eastAsia" w:ascii="仿宋" w:hAnsi="仿宋" w:eastAsia="仿宋" w:cs="仿宋"/>
          <w:color w:val="auto"/>
          <w:szCs w:val="21"/>
          <w:highlight w:val="none"/>
          <w:vertAlign w:val="subscript"/>
        </w:rPr>
        <w:t>2</w:t>
      </w:r>
      <w:r>
        <w:rPr>
          <w:rFonts w:hint="eastAsia" w:ascii="仿宋" w:hAnsi="仿宋" w:eastAsia="仿宋" w:cs="仿宋"/>
          <w:color w:val="auto"/>
          <w:szCs w:val="21"/>
          <w:highlight w:val="none"/>
        </w:rPr>
        <w:t>；</w:t>
      </w:r>
    </w:p>
    <w:p w14:paraId="0433CEFD">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（3）按本章第2.2.2（3）</w:t>
      </w:r>
      <w:r>
        <w:rPr>
          <w:rFonts w:hint="eastAsia" w:ascii="仿宋" w:hAnsi="仿宋" w:eastAsia="仿宋" w:cs="仿宋"/>
          <w:color w:val="auto"/>
          <w:szCs w:val="21"/>
          <w:highlight w:val="none"/>
          <w:lang w:val="en-US" w:eastAsia="zh-CN"/>
        </w:rPr>
        <w:t>项</w:t>
      </w:r>
      <w:r>
        <w:rPr>
          <w:rFonts w:hint="eastAsia" w:ascii="仿宋" w:hAnsi="仿宋" w:eastAsia="仿宋" w:cs="仿宋"/>
          <w:color w:val="auto"/>
          <w:szCs w:val="21"/>
          <w:highlight w:val="none"/>
        </w:rPr>
        <w:t>规定的评审因素和分值对商务部分计算出得分F</w:t>
      </w:r>
      <w:r>
        <w:rPr>
          <w:rFonts w:hint="eastAsia" w:ascii="仿宋" w:hAnsi="仿宋" w:eastAsia="仿宋" w:cs="仿宋"/>
          <w:color w:val="auto"/>
          <w:szCs w:val="21"/>
          <w:highlight w:val="none"/>
          <w:vertAlign w:val="subscript"/>
        </w:rPr>
        <w:t>3</w:t>
      </w:r>
      <w:r>
        <w:rPr>
          <w:rFonts w:hint="eastAsia" w:ascii="仿宋" w:hAnsi="仿宋" w:eastAsia="仿宋" w:cs="仿宋"/>
          <w:color w:val="auto"/>
          <w:szCs w:val="21"/>
          <w:highlight w:val="none"/>
        </w:rPr>
        <w:t>；</w:t>
      </w:r>
    </w:p>
    <w:p w14:paraId="294999AD">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（4）按本章第2.2.1项所列公式计算评标总得分。</w:t>
      </w:r>
    </w:p>
    <w:p w14:paraId="77BB1575">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3.2.2技术部分（F</w:t>
      </w:r>
      <w:r>
        <w:rPr>
          <w:rFonts w:hint="eastAsia" w:ascii="仿宋" w:hAnsi="仿宋" w:eastAsia="仿宋" w:cs="仿宋"/>
          <w:color w:val="auto"/>
          <w:szCs w:val="21"/>
          <w:highlight w:val="none"/>
          <w:vertAlign w:val="subscript"/>
        </w:rPr>
        <w:t>2</w:t>
      </w:r>
      <w:r>
        <w:rPr>
          <w:rFonts w:hint="eastAsia" w:ascii="仿宋" w:hAnsi="仿宋" w:eastAsia="仿宋" w:cs="仿宋"/>
          <w:color w:val="auto"/>
          <w:szCs w:val="21"/>
          <w:highlight w:val="none"/>
        </w:rPr>
        <w:t>）及商务部分（F</w:t>
      </w:r>
      <w:r>
        <w:rPr>
          <w:rFonts w:hint="eastAsia" w:ascii="仿宋" w:hAnsi="仿宋" w:eastAsia="仿宋" w:cs="仿宋"/>
          <w:color w:val="auto"/>
          <w:szCs w:val="21"/>
          <w:highlight w:val="none"/>
          <w:vertAlign w:val="subscript"/>
        </w:rPr>
        <w:t>3</w:t>
      </w:r>
      <w:r>
        <w:rPr>
          <w:rFonts w:hint="eastAsia" w:ascii="仿宋" w:hAnsi="仿宋" w:eastAsia="仿宋" w:cs="仿宋"/>
          <w:color w:val="auto"/>
          <w:szCs w:val="21"/>
          <w:highlight w:val="none"/>
        </w:rPr>
        <w:t>）得分由评标委员会成员独立评分，计算各投标人得分的算术平均值计入各投标人总分。</w:t>
      </w:r>
    </w:p>
    <w:p w14:paraId="4C78479F">
      <w:pPr>
        <w:spacing w:line="360" w:lineRule="auto"/>
        <w:ind w:firstLine="420" w:firstLineChars="200"/>
        <w:jc w:val="left"/>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rPr>
        <w:t>3.2.3强化政府采购异常低价审查</w:t>
      </w:r>
      <w:r>
        <w:rPr>
          <w:rFonts w:hint="eastAsia" w:ascii="仿宋" w:hAnsi="仿宋" w:eastAsia="仿宋" w:cs="仿宋"/>
          <w:b/>
          <w:bCs/>
          <w:color w:val="auto"/>
          <w:szCs w:val="21"/>
          <w:highlight w:val="none"/>
          <w:lang w:eastAsia="zh-CN"/>
        </w:rPr>
        <w:t>（财库〔2026〕2号）</w:t>
      </w:r>
    </w:p>
    <w:p w14:paraId="3E6983CD">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（一）采购人应当在采购文件中明确</w:t>
      </w:r>
      <w:r>
        <w:rPr>
          <w:rFonts w:hint="eastAsia" w:ascii="仿宋" w:hAnsi="仿宋" w:eastAsia="仿宋" w:cs="仿宋"/>
          <w:b/>
          <w:bCs/>
          <w:color w:val="auto"/>
          <w:szCs w:val="21"/>
          <w:highlight w:val="none"/>
          <w:lang w:eastAsia="zh-CN"/>
        </w:rPr>
        <w:t>，在</w:t>
      </w:r>
      <w:r>
        <w:rPr>
          <w:rFonts w:hint="eastAsia" w:ascii="仿宋" w:hAnsi="仿宋" w:eastAsia="仿宋" w:cs="仿宋"/>
          <w:b/>
          <w:bCs/>
          <w:color w:val="auto"/>
          <w:szCs w:val="21"/>
          <w:highlight w:val="none"/>
        </w:rPr>
        <w:t>政府采购评审中出现下列情形之一的，评审委员会应当启动异常低价投标（响应）审查程序：</w:t>
      </w:r>
    </w:p>
    <w:p w14:paraId="2C965566">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auto"/>
          <w:szCs w:val="21"/>
          <w:highlight w:val="none"/>
          <w:lang w:val="en-US" w:eastAsia="zh-CN"/>
        </w:rPr>
        <w:t>&gt;</w:t>
      </w:r>
      <w:r>
        <w:rPr>
          <w:rFonts w:hint="eastAsia" w:ascii="仿宋" w:hAnsi="仿宋" w:eastAsia="仿宋" w:cs="仿宋"/>
          <w:b/>
          <w:bCs/>
          <w:color w:val="auto"/>
          <w:szCs w:val="21"/>
          <w:highlight w:val="none"/>
        </w:rPr>
        <w:t>；</w:t>
      </w:r>
    </w:p>
    <w:p w14:paraId="5E67007D">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2.投标（响应）报价低于通过符合性审查的次低报价供应商投标（响应）报价50%的，即投标（响应）报价&lt;通过符合性审查的次低报价供应商投标（响应）报价×50%</w:t>
      </w:r>
      <w:r>
        <w:rPr>
          <w:rFonts w:hint="eastAsia" w:ascii="仿宋" w:hAnsi="仿宋" w:eastAsia="仿宋" w:cs="仿宋"/>
          <w:b/>
          <w:bCs/>
          <w:color w:val="auto"/>
          <w:szCs w:val="21"/>
          <w:highlight w:val="none"/>
          <w:lang w:val="en-US" w:eastAsia="zh-CN"/>
        </w:rPr>
        <w:t>&gt;</w:t>
      </w:r>
      <w:r>
        <w:rPr>
          <w:rFonts w:hint="eastAsia" w:ascii="仿宋" w:hAnsi="仿宋" w:eastAsia="仿宋" w:cs="仿宋"/>
          <w:b/>
          <w:bCs/>
          <w:color w:val="auto"/>
          <w:szCs w:val="21"/>
          <w:highlight w:val="none"/>
        </w:rPr>
        <w:t>；</w:t>
      </w:r>
    </w:p>
    <w:p w14:paraId="47C92E9B">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3.投标（响应）报价低于采购项目最高限价45%的，即投标（响应）报价&lt;采购项目最高限价×45%</w:t>
      </w:r>
      <w:r>
        <w:rPr>
          <w:rFonts w:hint="eastAsia" w:ascii="仿宋" w:hAnsi="仿宋" w:eastAsia="仿宋" w:cs="仿宋"/>
          <w:b/>
          <w:bCs/>
          <w:color w:val="auto"/>
          <w:szCs w:val="21"/>
          <w:highlight w:val="none"/>
          <w:lang w:val="en-US" w:eastAsia="zh-CN"/>
        </w:rPr>
        <w:t>&gt;</w:t>
      </w:r>
      <w:r>
        <w:rPr>
          <w:rFonts w:hint="eastAsia" w:ascii="仿宋" w:hAnsi="仿宋" w:eastAsia="仿宋" w:cs="仿宋"/>
          <w:b/>
          <w:bCs/>
          <w:color w:val="auto"/>
          <w:szCs w:val="21"/>
          <w:highlight w:val="none"/>
        </w:rPr>
        <w:t>；</w:t>
      </w:r>
    </w:p>
    <w:p w14:paraId="48ED418D">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4.评审委员会基于专业判断，认为供应商报价过低，有可能影响产品质量或者不能诚信履约的其他情形。</w:t>
      </w:r>
    </w:p>
    <w:p w14:paraId="6F424F50">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采购人可以结合具体项目实际情况，提高上述第1项至第3项中启动异常低价投标（响应）审查的数值标准，但是最高不得超过65%。</w:t>
      </w:r>
    </w:p>
    <w:p w14:paraId="6DD0788B">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相关法律法规对供应商报价有规定的，从其规定。</w:t>
      </w:r>
    </w:p>
    <w:p w14:paraId="51933FF3">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38CB22">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EC2D01B">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07CE73D">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6469E546">
      <w:pPr>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4F4DDDD1">
      <w:pPr>
        <w:pStyle w:val="80"/>
        <w:spacing w:line="360" w:lineRule="auto"/>
        <w:rPr>
          <w:rFonts w:hint="eastAsia" w:ascii="仿宋" w:hAnsi="仿宋" w:eastAsia="仿宋" w:cs="仿宋"/>
          <w:b/>
          <w:color w:val="auto"/>
          <w:sz w:val="24"/>
          <w:highlight w:val="none"/>
        </w:rPr>
      </w:pPr>
      <w:bookmarkStart w:id="236" w:name="_Toc468805883"/>
      <w:r>
        <w:rPr>
          <w:rFonts w:hint="eastAsia" w:ascii="仿宋" w:hAnsi="仿宋" w:eastAsia="仿宋" w:cs="仿宋"/>
          <w:b/>
          <w:color w:val="auto"/>
          <w:sz w:val="24"/>
          <w:highlight w:val="none"/>
        </w:rPr>
        <w:t>3.3 投标文件的澄清原则：</w:t>
      </w:r>
      <w:bookmarkEnd w:id="236"/>
    </w:p>
    <w:p w14:paraId="31F59035">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3.3.1 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14:paraId="52663C92">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3.3.2 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14:paraId="669FE41D">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3.3.3 评标委员会对投标人提交的澄清、说明或补正有疑问的，可以要求投标人进一步澄清、说明或补正，直至满足评标委员会的要求。</w:t>
      </w:r>
    </w:p>
    <w:p w14:paraId="15CF8B38">
      <w:pPr>
        <w:pStyle w:val="8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3.4 投标人有以下情形之一的，其投标无效：</w:t>
      </w:r>
    </w:p>
    <w:p w14:paraId="1D74EF3B">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（1）串通投标或弄虚作假或有其他违法行为的；</w:t>
      </w:r>
    </w:p>
    <w:p w14:paraId="7BFF3B7B">
      <w:pPr>
        <w:pStyle w:val="17"/>
        <w:tabs>
          <w:tab w:val="left" w:pos="2472"/>
        </w:tabs>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（2）不按评标委员会要求澄清、说明或补正的。</w:t>
      </w:r>
    </w:p>
    <w:p w14:paraId="31DA8360">
      <w:pPr>
        <w:pStyle w:val="80"/>
        <w:spacing w:line="360" w:lineRule="auto"/>
        <w:rPr>
          <w:rFonts w:hint="eastAsia" w:ascii="仿宋" w:hAnsi="仿宋" w:eastAsia="仿宋" w:cs="仿宋"/>
          <w:b/>
          <w:color w:val="auto"/>
          <w:sz w:val="24"/>
          <w:highlight w:val="none"/>
        </w:rPr>
      </w:pPr>
      <w:bookmarkStart w:id="237" w:name="_Toc468805884"/>
      <w:r>
        <w:rPr>
          <w:rFonts w:hint="eastAsia" w:ascii="仿宋" w:hAnsi="仿宋" w:eastAsia="仿宋" w:cs="仿宋"/>
          <w:b/>
          <w:color w:val="auto"/>
          <w:sz w:val="24"/>
          <w:highlight w:val="none"/>
        </w:rPr>
        <w:t>3.5 评标结果</w:t>
      </w:r>
      <w:bookmarkEnd w:id="237"/>
    </w:p>
    <w:p w14:paraId="715942BA">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3.5.1 评标委员会按得分由高到低顺序推荐三名中标候选人，并提出书面评标报告。</w:t>
      </w:r>
    </w:p>
    <w:p w14:paraId="7BD2127D">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3.5.2 采购人根据评标委员会提出的书面评标报告和推荐的中标候选人名单，确定中标人。</w:t>
      </w:r>
    </w:p>
    <w:p w14:paraId="66D9BE88">
      <w:pPr>
        <w:pStyle w:val="8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3.6 核心产品</w:t>
      </w:r>
    </w:p>
    <w:p w14:paraId="0AEE2DC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提供相同品牌产品且通过资格审查、符合性审查的不同投标人参加同一合同项下投标的，按一家投标人计算，评审后得分最高的同品牌投标人获得中标人推荐资格；评审得分相同的，报价低的获得中标人推荐资格，评审得分及报价相同的采取随机抽取方式确定，其他同品牌投标人不作为中标候选人。</w:t>
      </w:r>
    </w:p>
    <w:p w14:paraId="6DCB9A98">
      <w:pPr>
        <w:pStyle w:val="3"/>
        <w:numPr>
          <w:ilvl w:val="0"/>
          <w:numId w:val="0"/>
        </w:numPr>
        <w:spacing w:before="0"/>
        <w:rPr>
          <w:rFonts w:hint="eastAsia" w:ascii="仿宋" w:hAnsi="仿宋" w:eastAsia="仿宋" w:cs="仿宋"/>
          <w:color w:val="auto"/>
          <w:szCs w:val="28"/>
          <w:highlight w:val="none"/>
        </w:rPr>
      </w:pPr>
      <w:bookmarkStart w:id="238" w:name="_Toc9582688"/>
      <w:bookmarkStart w:id="239" w:name="_Toc89692679"/>
      <w:bookmarkStart w:id="240" w:name="_Toc8168240"/>
      <w:bookmarkStart w:id="241" w:name="_Toc12105"/>
      <w:bookmarkStart w:id="242" w:name="_Toc5780266"/>
      <w:bookmarkStart w:id="243" w:name="_Hlk56374483"/>
      <w:r>
        <w:rPr>
          <w:rFonts w:hint="eastAsia" w:ascii="仿宋" w:hAnsi="仿宋" w:eastAsia="仿宋" w:cs="仿宋"/>
          <w:color w:val="auto"/>
          <w:szCs w:val="28"/>
          <w:highlight w:val="none"/>
        </w:rPr>
        <w:t>4. 政府采购政策</w:t>
      </w:r>
      <w:bookmarkEnd w:id="238"/>
      <w:bookmarkEnd w:id="239"/>
      <w:bookmarkEnd w:id="240"/>
      <w:bookmarkEnd w:id="241"/>
      <w:bookmarkEnd w:id="242"/>
    </w:p>
    <w:p w14:paraId="6858FF28">
      <w:pPr>
        <w:pStyle w:val="80"/>
        <w:spacing w:line="360" w:lineRule="auto"/>
        <w:rPr>
          <w:rFonts w:hint="eastAsia" w:ascii="仿宋" w:hAnsi="仿宋" w:eastAsia="仿宋" w:cs="仿宋"/>
          <w:b/>
          <w:color w:val="auto"/>
          <w:sz w:val="24"/>
          <w:highlight w:val="none"/>
        </w:rPr>
      </w:pPr>
      <w:bookmarkStart w:id="244" w:name="_Toc8168241"/>
      <w:bookmarkStart w:id="245" w:name="_Toc55305299"/>
      <w:r>
        <w:rPr>
          <w:rFonts w:hint="eastAsia" w:ascii="仿宋" w:hAnsi="仿宋" w:eastAsia="仿宋" w:cs="仿宋"/>
          <w:b/>
          <w:color w:val="auto"/>
          <w:sz w:val="24"/>
          <w:highlight w:val="none"/>
        </w:rPr>
        <w:t>4.1中小企业</w:t>
      </w:r>
      <w:bookmarkEnd w:id="244"/>
      <w:bookmarkEnd w:id="245"/>
    </w:p>
    <w:p w14:paraId="22F8405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4.1.1根据“国家统计局关于印发《统计上大中小微型企业划分办法（2017）》的通知”，《政府采购促进中小企业发展管理办法》（财库〔2020〕46号）的规定。</w:t>
      </w:r>
    </w:p>
    <w:p w14:paraId="595E3DAE">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（1）符合中小企业划分标准；</w:t>
      </w:r>
    </w:p>
    <w:p w14:paraId="5BBE509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（2）提供本企业制造的货物、承担的工程或者服务，或者提供其他中小企业制造的货物。本项所称货物不包括使用大型企业注册商标的货物。</w:t>
      </w:r>
    </w:p>
    <w:p w14:paraId="3F43E71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4.1.2请投标人根据“国家统计局关于印发《统计上大中小微型企业划分办法（2017）》的通知”《</w:t>
      </w:r>
      <w:r>
        <w:rPr>
          <w:rFonts w:hint="eastAsia" w:ascii="仿宋" w:hAnsi="仿宋" w:eastAsia="仿宋" w:cs="仿宋"/>
          <w:color w:val="auto"/>
          <w:spacing w:val="6"/>
          <w:szCs w:val="21"/>
          <w:highlight w:val="none"/>
        </w:rPr>
        <w:t>政府采购促进中小企业发展管理办法》（财库〔2020〕46号）</w:t>
      </w:r>
      <w:r>
        <w:rPr>
          <w:rFonts w:hint="eastAsia" w:ascii="仿宋" w:hAnsi="仿宋" w:eastAsia="仿宋" w:cs="仿宋"/>
          <w:color w:val="auto"/>
          <w:szCs w:val="21"/>
          <w:highlight w:val="none"/>
        </w:rPr>
        <w:t>的规定，提供《中小企业声明函》，未提供的在价格评分时不对投标报价进行扣除。投标人对《中小企业声明函》的真实性负责。</w:t>
      </w:r>
    </w:p>
    <w:tbl>
      <w:tblPr>
        <w:tblStyle w:val="36"/>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32" w:type="dxa"/>
          <w:left w:w="64" w:type="dxa"/>
          <w:bottom w:w="32" w:type="dxa"/>
          <w:right w:w="64" w:type="dxa"/>
        </w:tblCellMar>
      </w:tblPr>
      <w:tblGrid>
        <w:gridCol w:w="2334"/>
        <w:gridCol w:w="1630"/>
        <w:gridCol w:w="1130"/>
        <w:gridCol w:w="1731"/>
        <w:gridCol w:w="1530"/>
        <w:gridCol w:w="926"/>
      </w:tblGrid>
      <w:tr w14:paraId="075C1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tblHeader/>
          <w:jc w:val="center"/>
        </w:trPr>
        <w:tc>
          <w:tcPr>
            <w:tcW w:w="2334" w:type="dxa"/>
            <w:shd w:val="clear" w:color="auto" w:fill="FFFFFF"/>
            <w:tcMar>
              <w:top w:w="30" w:type="dxa"/>
              <w:left w:w="150" w:type="dxa"/>
              <w:bottom w:w="30" w:type="dxa"/>
              <w:right w:w="150" w:type="dxa"/>
            </w:tcMar>
            <w:vAlign w:val="center"/>
          </w:tcPr>
          <w:p w14:paraId="0CFD53DA">
            <w:pPr>
              <w:widowControl/>
              <w:snapToGrid w:val="0"/>
              <w:spacing w:line="360" w:lineRule="atLeast"/>
              <w:jc w:val="center"/>
              <w:rPr>
                <w:rFonts w:hint="eastAsia" w:ascii="仿宋" w:hAnsi="仿宋" w:eastAsia="仿宋" w:cs="仿宋"/>
                <w:b/>
                <w:color w:val="auto"/>
                <w:kern w:val="0"/>
                <w:sz w:val="18"/>
                <w:szCs w:val="18"/>
                <w:highlight w:val="none"/>
                <w:lang w:eastAsia="zh-CN"/>
              </w:rPr>
            </w:pPr>
            <w:r>
              <w:rPr>
                <w:rFonts w:hint="eastAsia" w:ascii="仿宋" w:hAnsi="仿宋" w:eastAsia="仿宋" w:cs="仿宋"/>
                <w:b/>
                <w:bCs/>
                <w:color w:val="auto"/>
                <w:kern w:val="0"/>
                <w:sz w:val="18"/>
                <w:szCs w:val="18"/>
                <w:highlight w:val="none"/>
                <w:lang w:eastAsia="zh-CN"/>
              </w:rPr>
              <w:t>行业名称</w:t>
            </w:r>
          </w:p>
        </w:tc>
        <w:tc>
          <w:tcPr>
            <w:tcW w:w="1630" w:type="dxa"/>
            <w:shd w:val="clear" w:color="auto" w:fill="FFFFFF"/>
            <w:tcMar>
              <w:top w:w="30" w:type="dxa"/>
              <w:left w:w="150" w:type="dxa"/>
              <w:bottom w:w="30" w:type="dxa"/>
              <w:right w:w="150" w:type="dxa"/>
            </w:tcMar>
            <w:vAlign w:val="center"/>
          </w:tcPr>
          <w:p w14:paraId="71086294">
            <w:pPr>
              <w:widowControl/>
              <w:wordWrap w:val="0"/>
              <w:snapToGrid w:val="0"/>
              <w:spacing w:line="360" w:lineRule="atLeast"/>
              <w:jc w:val="center"/>
              <w:rPr>
                <w:rFonts w:hint="eastAsia" w:ascii="仿宋" w:hAnsi="仿宋" w:eastAsia="仿宋" w:cs="仿宋"/>
                <w:b/>
                <w:color w:val="auto"/>
                <w:kern w:val="0"/>
                <w:sz w:val="18"/>
                <w:szCs w:val="18"/>
                <w:highlight w:val="none"/>
                <w:lang w:eastAsia="zh-CN"/>
              </w:rPr>
            </w:pPr>
            <w:r>
              <w:rPr>
                <w:rFonts w:hint="eastAsia" w:ascii="仿宋" w:hAnsi="仿宋" w:eastAsia="仿宋" w:cs="仿宋"/>
                <w:b/>
                <w:bCs/>
                <w:color w:val="auto"/>
                <w:kern w:val="0"/>
                <w:sz w:val="18"/>
                <w:szCs w:val="18"/>
                <w:highlight w:val="none"/>
                <w:lang w:eastAsia="zh-CN"/>
              </w:rPr>
              <w:t>指标名称</w:t>
            </w:r>
          </w:p>
        </w:tc>
        <w:tc>
          <w:tcPr>
            <w:tcW w:w="1130" w:type="dxa"/>
            <w:shd w:val="clear" w:color="auto" w:fill="FFFFFF"/>
            <w:tcMar>
              <w:top w:w="30" w:type="dxa"/>
              <w:left w:w="150" w:type="dxa"/>
              <w:bottom w:w="30" w:type="dxa"/>
              <w:right w:w="150" w:type="dxa"/>
            </w:tcMar>
            <w:vAlign w:val="center"/>
          </w:tcPr>
          <w:p w14:paraId="5FFB0B8C">
            <w:pPr>
              <w:widowControl/>
              <w:wordWrap w:val="0"/>
              <w:snapToGrid w:val="0"/>
              <w:spacing w:line="360" w:lineRule="atLeast"/>
              <w:jc w:val="center"/>
              <w:rPr>
                <w:rFonts w:hint="eastAsia" w:ascii="仿宋" w:hAnsi="仿宋" w:eastAsia="仿宋" w:cs="仿宋"/>
                <w:b/>
                <w:color w:val="auto"/>
                <w:kern w:val="0"/>
                <w:sz w:val="18"/>
                <w:szCs w:val="18"/>
                <w:highlight w:val="none"/>
                <w:lang w:eastAsia="zh-CN"/>
              </w:rPr>
            </w:pPr>
            <w:r>
              <w:rPr>
                <w:rFonts w:hint="eastAsia" w:ascii="仿宋" w:hAnsi="仿宋" w:eastAsia="仿宋" w:cs="仿宋"/>
                <w:b/>
                <w:bCs/>
                <w:color w:val="auto"/>
                <w:kern w:val="0"/>
                <w:sz w:val="18"/>
                <w:szCs w:val="18"/>
                <w:highlight w:val="none"/>
                <w:lang w:eastAsia="zh-CN"/>
              </w:rPr>
              <w:t>计量单位</w:t>
            </w:r>
          </w:p>
        </w:tc>
        <w:tc>
          <w:tcPr>
            <w:tcW w:w="1731" w:type="dxa"/>
            <w:shd w:val="clear" w:color="auto" w:fill="FFFFFF"/>
            <w:tcMar>
              <w:top w:w="30" w:type="dxa"/>
              <w:left w:w="150" w:type="dxa"/>
              <w:bottom w:w="30" w:type="dxa"/>
              <w:right w:w="150" w:type="dxa"/>
            </w:tcMar>
            <w:vAlign w:val="center"/>
          </w:tcPr>
          <w:p w14:paraId="45B6313B">
            <w:pPr>
              <w:widowControl/>
              <w:wordWrap w:val="0"/>
              <w:snapToGrid w:val="0"/>
              <w:spacing w:line="360" w:lineRule="atLeast"/>
              <w:jc w:val="center"/>
              <w:rPr>
                <w:rFonts w:hint="eastAsia" w:ascii="仿宋" w:hAnsi="仿宋" w:eastAsia="仿宋" w:cs="仿宋"/>
                <w:b/>
                <w:color w:val="auto"/>
                <w:kern w:val="0"/>
                <w:sz w:val="18"/>
                <w:szCs w:val="18"/>
                <w:highlight w:val="none"/>
                <w:lang w:eastAsia="zh-CN"/>
              </w:rPr>
            </w:pPr>
            <w:r>
              <w:rPr>
                <w:rFonts w:hint="eastAsia" w:ascii="仿宋" w:hAnsi="仿宋" w:eastAsia="仿宋" w:cs="仿宋"/>
                <w:b/>
                <w:bCs/>
                <w:color w:val="auto"/>
                <w:kern w:val="0"/>
                <w:sz w:val="18"/>
                <w:szCs w:val="18"/>
                <w:highlight w:val="none"/>
                <w:lang w:eastAsia="zh-CN"/>
              </w:rPr>
              <w:t>中型</w:t>
            </w:r>
          </w:p>
        </w:tc>
        <w:tc>
          <w:tcPr>
            <w:tcW w:w="1530" w:type="dxa"/>
            <w:shd w:val="clear" w:color="auto" w:fill="FFFFFF"/>
            <w:tcMar>
              <w:top w:w="30" w:type="dxa"/>
              <w:left w:w="150" w:type="dxa"/>
              <w:bottom w:w="30" w:type="dxa"/>
              <w:right w:w="150" w:type="dxa"/>
            </w:tcMar>
            <w:vAlign w:val="center"/>
          </w:tcPr>
          <w:p w14:paraId="54C19844">
            <w:pPr>
              <w:widowControl/>
              <w:wordWrap w:val="0"/>
              <w:snapToGrid w:val="0"/>
              <w:spacing w:line="360" w:lineRule="atLeast"/>
              <w:jc w:val="center"/>
              <w:rPr>
                <w:rFonts w:hint="eastAsia" w:ascii="仿宋" w:hAnsi="仿宋" w:eastAsia="仿宋" w:cs="仿宋"/>
                <w:b/>
                <w:color w:val="auto"/>
                <w:kern w:val="0"/>
                <w:sz w:val="18"/>
                <w:szCs w:val="18"/>
                <w:highlight w:val="none"/>
                <w:lang w:eastAsia="zh-CN"/>
              </w:rPr>
            </w:pPr>
            <w:r>
              <w:rPr>
                <w:rFonts w:hint="eastAsia" w:ascii="仿宋" w:hAnsi="仿宋" w:eastAsia="仿宋" w:cs="仿宋"/>
                <w:b/>
                <w:bCs/>
                <w:color w:val="auto"/>
                <w:kern w:val="0"/>
                <w:sz w:val="18"/>
                <w:szCs w:val="18"/>
                <w:highlight w:val="none"/>
                <w:lang w:eastAsia="zh-CN"/>
              </w:rPr>
              <w:t>小型</w:t>
            </w:r>
          </w:p>
        </w:tc>
        <w:tc>
          <w:tcPr>
            <w:tcW w:w="926" w:type="dxa"/>
            <w:shd w:val="clear" w:color="auto" w:fill="FFFFFF"/>
            <w:tcMar>
              <w:top w:w="30" w:type="dxa"/>
              <w:left w:w="150" w:type="dxa"/>
              <w:bottom w:w="30" w:type="dxa"/>
              <w:right w:w="150" w:type="dxa"/>
            </w:tcMar>
            <w:vAlign w:val="center"/>
          </w:tcPr>
          <w:p w14:paraId="2E78175D">
            <w:pPr>
              <w:widowControl/>
              <w:wordWrap w:val="0"/>
              <w:snapToGrid w:val="0"/>
              <w:spacing w:line="360" w:lineRule="atLeast"/>
              <w:jc w:val="center"/>
              <w:rPr>
                <w:rFonts w:hint="eastAsia" w:ascii="仿宋" w:hAnsi="仿宋" w:eastAsia="仿宋" w:cs="仿宋"/>
                <w:b/>
                <w:color w:val="auto"/>
                <w:kern w:val="0"/>
                <w:sz w:val="18"/>
                <w:szCs w:val="18"/>
                <w:highlight w:val="none"/>
                <w:lang w:eastAsia="zh-CN"/>
              </w:rPr>
            </w:pPr>
            <w:r>
              <w:rPr>
                <w:rFonts w:hint="eastAsia" w:ascii="仿宋" w:hAnsi="仿宋" w:eastAsia="仿宋" w:cs="仿宋"/>
                <w:b/>
                <w:bCs/>
                <w:color w:val="auto"/>
                <w:kern w:val="0"/>
                <w:sz w:val="18"/>
                <w:szCs w:val="18"/>
                <w:highlight w:val="none"/>
                <w:lang w:eastAsia="zh-CN"/>
              </w:rPr>
              <w:t>微型</w:t>
            </w:r>
          </w:p>
        </w:tc>
      </w:tr>
      <w:tr w14:paraId="4E1BD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shd w:val="clear" w:color="auto" w:fill="FFFFFF"/>
            <w:tcMar>
              <w:top w:w="30" w:type="dxa"/>
              <w:left w:w="150" w:type="dxa"/>
              <w:bottom w:w="30" w:type="dxa"/>
              <w:right w:w="150" w:type="dxa"/>
            </w:tcMar>
            <w:vAlign w:val="center"/>
          </w:tcPr>
          <w:p w14:paraId="6F0A38D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农、林、牧、渔业</w:t>
            </w:r>
          </w:p>
        </w:tc>
        <w:tc>
          <w:tcPr>
            <w:tcW w:w="1630" w:type="dxa"/>
            <w:shd w:val="clear" w:color="auto" w:fill="FFFFFF"/>
            <w:tcMar>
              <w:top w:w="30" w:type="dxa"/>
              <w:left w:w="150" w:type="dxa"/>
              <w:bottom w:w="30" w:type="dxa"/>
              <w:right w:w="150" w:type="dxa"/>
            </w:tcMar>
            <w:vAlign w:val="center"/>
          </w:tcPr>
          <w:p w14:paraId="772F792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0E25F67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31E6455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500≤Y&lt;20000</w:t>
            </w:r>
          </w:p>
        </w:tc>
        <w:tc>
          <w:tcPr>
            <w:tcW w:w="1530" w:type="dxa"/>
            <w:shd w:val="clear" w:color="auto" w:fill="FFFFFF"/>
            <w:tcMar>
              <w:top w:w="30" w:type="dxa"/>
              <w:left w:w="150" w:type="dxa"/>
              <w:bottom w:w="30" w:type="dxa"/>
              <w:right w:w="150" w:type="dxa"/>
            </w:tcMar>
            <w:vAlign w:val="center"/>
          </w:tcPr>
          <w:p w14:paraId="2CEF0EE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50≤Y&lt;500</w:t>
            </w:r>
          </w:p>
        </w:tc>
        <w:tc>
          <w:tcPr>
            <w:tcW w:w="926" w:type="dxa"/>
            <w:shd w:val="clear" w:color="auto" w:fill="FFFFFF"/>
            <w:tcMar>
              <w:top w:w="30" w:type="dxa"/>
              <w:left w:w="150" w:type="dxa"/>
              <w:bottom w:w="30" w:type="dxa"/>
              <w:right w:w="150" w:type="dxa"/>
            </w:tcMar>
            <w:vAlign w:val="center"/>
          </w:tcPr>
          <w:p w14:paraId="7E166FD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Y&lt;50</w:t>
            </w:r>
          </w:p>
        </w:tc>
      </w:tr>
      <w:tr w14:paraId="1C08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08B9F71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工业*</w:t>
            </w:r>
          </w:p>
        </w:tc>
        <w:tc>
          <w:tcPr>
            <w:tcW w:w="1630" w:type="dxa"/>
            <w:shd w:val="clear" w:color="auto" w:fill="FFFFFF"/>
            <w:tcMar>
              <w:top w:w="30" w:type="dxa"/>
              <w:left w:w="150" w:type="dxa"/>
              <w:bottom w:w="30" w:type="dxa"/>
              <w:right w:w="150" w:type="dxa"/>
            </w:tcMar>
            <w:vAlign w:val="center"/>
          </w:tcPr>
          <w:p w14:paraId="30183C2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7F335BF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680DB73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300≤X&lt;1000</w:t>
            </w:r>
          </w:p>
        </w:tc>
        <w:tc>
          <w:tcPr>
            <w:tcW w:w="1530" w:type="dxa"/>
            <w:shd w:val="clear" w:color="auto" w:fill="FFFFFF"/>
            <w:tcMar>
              <w:top w:w="30" w:type="dxa"/>
              <w:left w:w="150" w:type="dxa"/>
              <w:bottom w:w="30" w:type="dxa"/>
              <w:right w:w="150" w:type="dxa"/>
            </w:tcMar>
            <w:vAlign w:val="center"/>
          </w:tcPr>
          <w:p w14:paraId="1BDAFAE9">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20≤X&lt;300</w:t>
            </w:r>
          </w:p>
        </w:tc>
        <w:tc>
          <w:tcPr>
            <w:tcW w:w="926" w:type="dxa"/>
            <w:shd w:val="clear" w:color="auto" w:fill="FFFFFF"/>
            <w:tcMar>
              <w:top w:w="30" w:type="dxa"/>
              <w:left w:w="150" w:type="dxa"/>
              <w:bottom w:w="30" w:type="dxa"/>
              <w:right w:w="150" w:type="dxa"/>
            </w:tcMar>
            <w:vAlign w:val="center"/>
          </w:tcPr>
          <w:p w14:paraId="38FE3BB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X&lt;20</w:t>
            </w:r>
          </w:p>
        </w:tc>
      </w:tr>
      <w:tr w14:paraId="06929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07DA42DD">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4DC63C0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23A6548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6E0014F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2000≤Y&lt;40000</w:t>
            </w:r>
          </w:p>
        </w:tc>
        <w:tc>
          <w:tcPr>
            <w:tcW w:w="1530" w:type="dxa"/>
            <w:shd w:val="clear" w:color="auto" w:fill="FFFFFF"/>
            <w:tcMar>
              <w:top w:w="30" w:type="dxa"/>
              <w:left w:w="150" w:type="dxa"/>
              <w:bottom w:w="30" w:type="dxa"/>
              <w:right w:w="150" w:type="dxa"/>
            </w:tcMar>
            <w:vAlign w:val="center"/>
          </w:tcPr>
          <w:p w14:paraId="12349EB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300≤Y&lt;2000</w:t>
            </w:r>
          </w:p>
        </w:tc>
        <w:tc>
          <w:tcPr>
            <w:tcW w:w="926" w:type="dxa"/>
            <w:shd w:val="clear" w:color="auto" w:fill="FFFFFF"/>
            <w:tcMar>
              <w:top w:w="30" w:type="dxa"/>
              <w:left w:w="150" w:type="dxa"/>
              <w:bottom w:w="30" w:type="dxa"/>
              <w:right w:w="150" w:type="dxa"/>
            </w:tcMar>
            <w:vAlign w:val="center"/>
          </w:tcPr>
          <w:p w14:paraId="4305046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Y&lt;300</w:t>
            </w:r>
          </w:p>
        </w:tc>
      </w:tr>
      <w:tr w14:paraId="1B28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7628AB9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建筑业</w:t>
            </w:r>
          </w:p>
        </w:tc>
        <w:tc>
          <w:tcPr>
            <w:tcW w:w="1630" w:type="dxa"/>
            <w:shd w:val="clear" w:color="auto" w:fill="FFFFFF"/>
            <w:tcMar>
              <w:top w:w="30" w:type="dxa"/>
              <w:left w:w="150" w:type="dxa"/>
              <w:bottom w:w="30" w:type="dxa"/>
              <w:right w:w="150" w:type="dxa"/>
            </w:tcMar>
            <w:vAlign w:val="center"/>
          </w:tcPr>
          <w:p w14:paraId="7EB9658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1EAB4A7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4835E70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6000≤Y&lt;80000</w:t>
            </w:r>
          </w:p>
        </w:tc>
        <w:tc>
          <w:tcPr>
            <w:tcW w:w="1530" w:type="dxa"/>
            <w:shd w:val="clear" w:color="auto" w:fill="FFFFFF"/>
            <w:tcMar>
              <w:top w:w="30" w:type="dxa"/>
              <w:left w:w="150" w:type="dxa"/>
              <w:bottom w:w="30" w:type="dxa"/>
              <w:right w:w="150" w:type="dxa"/>
            </w:tcMar>
            <w:vAlign w:val="center"/>
          </w:tcPr>
          <w:p w14:paraId="46960B89">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300≤Y&lt;6000</w:t>
            </w:r>
          </w:p>
        </w:tc>
        <w:tc>
          <w:tcPr>
            <w:tcW w:w="926" w:type="dxa"/>
            <w:shd w:val="clear" w:color="auto" w:fill="FFFFFF"/>
            <w:tcMar>
              <w:top w:w="30" w:type="dxa"/>
              <w:left w:w="150" w:type="dxa"/>
              <w:bottom w:w="30" w:type="dxa"/>
              <w:right w:w="150" w:type="dxa"/>
            </w:tcMar>
            <w:vAlign w:val="center"/>
          </w:tcPr>
          <w:p w14:paraId="15928203">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Y&lt;300</w:t>
            </w:r>
          </w:p>
        </w:tc>
      </w:tr>
      <w:tr w14:paraId="086E2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2A4913D6">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0C590DCB">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1130" w:type="dxa"/>
            <w:shd w:val="clear" w:color="auto" w:fill="FFFFFF"/>
            <w:tcMar>
              <w:top w:w="30" w:type="dxa"/>
              <w:left w:w="150" w:type="dxa"/>
              <w:bottom w:w="30" w:type="dxa"/>
              <w:right w:w="150" w:type="dxa"/>
            </w:tcMar>
            <w:vAlign w:val="center"/>
          </w:tcPr>
          <w:p w14:paraId="0731FEB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1B1834D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5000≤Z&lt;80000</w:t>
            </w:r>
          </w:p>
        </w:tc>
        <w:tc>
          <w:tcPr>
            <w:tcW w:w="1530" w:type="dxa"/>
            <w:shd w:val="clear" w:color="auto" w:fill="FFFFFF"/>
            <w:tcMar>
              <w:top w:w="30" w:type="dxa"/>
              <w:left w:w="150" w:type="dxa"/>
              <w:bottom w:w="30" w:type="dxa"/>
              <w:right w:w="150" w:type="dxa"/>
            </w:tcMar>
            <w:vAlign w:val="center"/>
          </w:tcPr>
          <w:p w14:paraId="07A563F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300≤Z&lt;5000</w:t>
            </w:r>
          </w:p>
        </w:tc>
        <w:tc>
          <w:tcPr>
            <w:tcW w:w="926" w:type="dxa"/>
            <w:shd w:val="clear" w:color="auto" w:fill="FFFFFF"/>
            <w:tcMar>
              <w:top w:w="30" w:type="dxa"/>
              <w:left w:w="150" w:type="dxa"/>
              <w:bottom w:w="30" w:type="dxa"/>
              <w:right w:w="150" w:type="dxa"/>
            </w:tcMar>
            <w:vAlign w:val="center"/>
          </w:tcPr>
          <w:p w14:paraId="5832238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Z&lt;300</w:t>
            </w:r>
          </w:p>
        </w:tc>
      </w:tr>
      <w:tr w14:paraId="001E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63499C5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批发业</w:t>
            </w:r>
          </w:p>
        </w:tc>
        <w:tc>
          <w:tcPr>
            <w:tcW w:w="1630" w:type="dxa"/>
            <w:shd w:val="clear" w:color="auto" w:fill="FFFFFF"/>
            <w:tcMar>
              <w:top w:w="30" w:type="dxa"/>
              <w:left w:w="150" w:type="dxa"/>
              <w:bottom w:w="30" w:type="dxa"/>
              <w:right w:w="150" w:type="dxa"/>
            </w:tcMar>
            <w:vAlign w:val="center"/>
          </w:tcPr>
          <w:p w14:paraId="0497EFC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1992B56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1794F75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20≤X&lt;200</w:t>
            </w:r>
          </w:p>
        </w:tc>
        <w:tc>
          <w:tcPr>
            <w:tcW w:w="1530" w:type="dxa"/>
            <w:shd w:val="clear" w:color="auto" w:fill="FFFFFF"/>
            <w:tcMar>
              <w:top w:w="30" w:type="dxa"/>
              <w:left w:w="150" w:type="dxa"/>
              <w:bottom w:w="30" w:type="dxa"/>
              <w:right w:w="150" w:type="dxa"/>
            </w:tcMar>
            <w:vAlign w:val="center"/>
          </w:tcPr>
          <w:p w14:paraId="60ECB93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5≤X&lt;20</w:t>
            </w:r>
          </w:p>
        </w:tc>
        <w:tc>
          <w:tcPr>
            <w:tcW w:w="926" w:type="dxa"/>
            <w:shd w:val="clear" w:color="auto" w:fill="FFFFFF"/>
            <w:tcMar>
              <w:top w:w="30" w:type="dxa"/>
              <w:left w:w="150" w:type="dxa"/>
              <w:bottom w:w="30" w:type="dxa"/>
              <w:right w:w="150" w:type="dxa"/>
            </w:tcMar>
            <w:vAlign w:val="center"/>
          </w:tcPr>
          <w:p w14:paraId="7232C93B">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X&lt;5</w:t>
            </w:r>
          </w:p>
        </w:tc>
      </w:tr>
      <w:tr w14:paraId="6B0C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75D70119">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35676CE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26EFF2D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4FF94CD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5000≤Y&lt;40000</w:t>
            </w:r>
          </w:p>
        </w:tc>
        <w:tc>
          <w:tcPr>
            <w:tcW w:w="1530" w:type="dxa"/>
            <w:shd w:val="clear" w:color="auto" w:fill="FFFFFF"/>
            <w:tcMar>
              <w:top w:w="30" w:type="dxa"/>
              <w:left w:w="150" w:type="dxa"/>
              <w:bottom w:w="30" w:type="dxa"/>
              <w:right w:w="150" w:type="dxa"/>
            </w:tcMar>
            <w:vAlign w:val="center"/>
          </w:tcPr>
          <w:p w14:paraId="16F5C7F7">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1000≤Y&lt;5000</w:t>
            </w:r>
          </w:p>
        </w:tc>
        <w:tc>
          <w:tcPr>
            <w:tcW w:w="926" w:type="dxa"/>
            <w:shd w:val="clear" w:color="auto" w:fill="FFFFFF"/>
            <w:tcMar>
              <w:top w:w="30" w:type="dxa"/>
              <w:left w:w="150" w:type="dxa"/>
              <w:bottom w:w="30" w:type="dxa"/>
              <w:right w:w="150" w:type="dxa"/>
            </w:tcMar>
            <w:vAlign w:val="center"/>
          </w:tcPr>
          <w:p w14:paraId="7AA28C8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Y&lt;1000</w:t>
            </w:r>
          </w:p>
        </w:tc>
      </w:tr>
      <w:tr w14:paraId="638CD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5B22534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零售业</w:t>
            </w:r>
          </w:p>
        </w:tc>
        <w:tc>
          <w:tcPr>
            <w:tcW w:w="1630" w:type="dxa"/>
            <w:shd w:val="clear" w:color="auto" w:fill="FFFFFF"/>
            <w:tcMar>
              <w:top w:w="30" w:type="dxa"/>
              <w:left w:w="150" w:type="dxa"/>
              <w:bottom w:w="30" w:type="dxa"/>
              <w:right w:w="150" w:type="dxa"/>
            </w:tcMar>
            <w:vAlign w:val="center"/>
          </w:tcPr>
          <w:p w14:paraId="6EBCC21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34895AC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61F8DF0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50≤X&lt;300</w:t>
            </w:r>
          </w:p>
        </w:tc>
        <w:tc>
          <w:tcPr>
            <w:tcW w:w="1530" w:type="dxa"/>
            <w:shd w:val="clear" w:color="auto" w:fill="FFFFFF"/>
            <w:tcMar>
              <w:top w:w="30" w:type="dxa"/>
              <w:left w:w="150" w:type="dxa"/>
              <w:bottom w:w="30" w:type="dxa"/>
              <w:right w:w="150" w:type="dxa"/>
            </w:tcMar>
            <w:vAlign w:val="center"/>
          </w:tcPr>
          <w:p w14:paraId="5D1AF47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10≤X&lt;50</w:t>
            </w:r>
          </w:p>
        </w:tc>
        <w:tc>
          <w:tcPr>
            <w:tcW w:w="926" w:type="dxa"/>
            <w:shd w:val="clear" w:color="auto" w:fill="FFFFFF"/>
            <w:tcMar>
              <w:top w:w="30" w:type="dxa"/>
              <w:left w:w="150" w:type="dxa"/>
              <w:bottom w:w="30" w:type="dxa"/>
              <w:right w:w="150" w:type="dxa"/>
            </w:tcMar>
            <w:vAlign w:val="center"/>
          </w:tcPr>
          <w:p w14:paraId="05BBAD3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X&lt;10</w:t>
            </w:r>
          </w:p>
        </w:tc>
      </w:tr>
      <w:tr w14:paraId="48A96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7CDCC846">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60B1F40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4F2A739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02B26C9C">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500≤Y&lt;20000</w:t>
            </w:r>
          </w:p>
        </w:tc>
        <w:tc>
          <w:tcPr>
            <w:tcW w:w="1530" w:type="dxa"/>
            <w:shd w:val="clear" w:color="auto" w:fill="FFFFFF"/>
            <w:tcMar>
              <w:top w:w="30" w:type="dxa"/>
              <w:left w:w="150" w:type="dxa"/>
              <w:bottom w:w="30" w:type="dxa"/>
              <w:right w:w="150" w:type="dxa"/>
            </w:tcMar>
            <w:vAlign w:val="center"/>
          </w:tcPr>
          <w:p w14:paraId="3FF927C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100≤Y&lt;500</w:t>
            </w:r>
          </w:p>
        </w:tc>
        <w:tc>
          <w:tcPr>
            <w:tcW w:w="926" w:type="dxa"/>
            <w:shd w:val="clear" w:color="auto" w:fill="FFFFFF"/>
            <w:tcMar>
              <w:top w:w="30" w:type="dxa"/>
              <w:left w:w="150" w:type="dxa"/>
              <w:bottom w:w="30" w:type="dxa"/>
              <w:right w:w="150" w:type="dxa"/>
            </w:tcMar>
            <w:vAlign w:val="center"/>
          </w:tcPr>
          <w:p w14:paraId="55FF1B0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Y&lt;100</w:t>
            </w:r>
          </w:p>
        </w:tc>
      </w:tr>
      <w:tr w14:paraId="6D4A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34B1BDF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交通运输业*</w:t>
            </w:r>
          </w:p>
        </w:tc>
        <w:tc>
          <w:tcPr>
            <w:tcW w:w="1630" w:type="dxa"/>
            <w:shd w:val="clear" w:color="auto" w:fill="FFFFFF"/>
            <w:tcMar>
              <w:top w:w="30" w:type="dxa"/>
              <w:left w:w="150" w:type="dxa"/>
              <w:bottom w:w="30" w:type="dxa"/>
              <w:right w:w="150" w:type="dxa"/>
            </w:tcMar>
            <w:vAlign w:val="center"/>
          </w:tcPr>
          <w:p w14:paraId="77B4A6C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6A597979">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5F2E90C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300≤X&lt;1000</w:t>
            </w:r>
          </w:p>
        </w:tc>
        <w:tc>
          <w:tcPr>
            <w:tcW w:w="1530" w:type="dxa"/>
            <w:shd w:val="clear" w:color="auto" w:fill="FFFFFF"/>
            <w:tcMar>
              <w:top w:w="30" w:type="dxa"/>
              <w:left w:w="150" w:type="dxa"/>
              <w:bottom w:w="30" w:type="dxa"/>
              <w:right w:w="150" w:type="dxa"/>
            </w:tcMar>
            <w:vAlign w:val="center"/>
          </w:tcPr>
          <w:p w14:paraId="430F85F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20≤X&lt;300</w:t>
            </w:r>
          </w:p>
        </w:tc>
        <w:tc>
          <w:tcPr>
            <w:tcW w:w="926" w:type="dxa"/>
            <w:shd w:val="clear" w:color="auto" w:fill="FFFFFF"/>
            <w:tcMar>
              <w:top w:w="30" w:type="dxa"/>
              <w:left w:w="150" w:type="dxa"/>
              <w:bottom w:w="30" w:type="dxa"/>
              <w:right w:w="150" w:type="dxa"/>
            </w:tcMar>
            <w:vAlign w:val="center"/>
          </w:tcPr>
          <w:p w14:paraId="7E974CF7">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X&lt;20</w:t>
            </w:r>
          </w:p>
        </w:tc>
      </w:tr>
      <w:tr w14:paraId="2969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412CC410">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2CD88C2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326B3EC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3A17BE4C">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3000≤Y&lt;30000</w:t>
            </w:r>
          </w:p>
        </w:tc>
        <w:tc>
          <w:tcPr>
            <w:tcW w:w="1530" w:type="dxa"/>
            <w:shd w:val="clear" w:color="auto" w:fill="FFFFFF"/>
            <w:tcMar>
              <w:top w:w="30" w:type="dxa"/>
              <w:left w:w="150" w:type="dxa"/>
              <w:bottom w:w="30" w:type="dxa"/>
              <w:right w:w="150" w:type="dxa"/>
            </w:tcMar>
            <w:vAlign w:val="center"/>
          </w:tcPr>
          <w:p w14:paraId="09537C8C">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200≤Y&lt;3000</w:t>
            </w:r>
          </w:p>
        </w:tc>
        <w:tc>
          <w:tcPr>
            <w:tcW w:w="926" w:type="dxa"/>
            <w:shd w:val="clear" w:color="auto" w:fill="FFFFFF"/>
            <w:tcMar>
              <w:top w:w="30" w:type="dxa"/>
              <w:left w:w="150" w:type="dxa"/>
              <w:bottom w:w="30" w:type="dxa"/>
              <w:right w:w="150" w:type="dxa"/>
            </w:tcMar>
            <w:vAlign w:val="center"/>
          </w:tcPr>
          <w:p w14:paraId="45F5D5A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Y&lt;200</w:t>
            </w:r>
          </w:p>
        </w:tc>
      </w:tr>
      <w:tr w14:paraId="4191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2BE52F5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仓储业</w:t>
            </w:r>
          </w:p>
        </w:tc>
        <w:tc>
          <w:tcPr>
            <w:tcW w:w="1630" w:type="dxa"/>
            <w:shd w:val="clear" w:color="auto" w:fill="FFFFFF"/>
            <w:tcMar>
              <w:top w:w="30" w:type="dxa"/>
              <w:left w:w="150" w:type="dxa"/>
              <w:bottom w:w="30" w:type="dxa"/>
              <w:right w:w="150" w:type="dxa"/>
            </w:tcMar>
            <w:vAlign w:val="center"/>
          </w:tcPr>
          <w:p w14:paraId="3D70151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67FD8DB3">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237186E3">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100≤X&lt;200</w:t>
            </w:r>
          </w:p>
        </w:tc>
        <w:tc>
          <w:tcPr>
            <w:tcW w:w="1530" w:type="dxa"/>
            <w:shd w:val="clear" w:color="auto" w:fill="FFFFFF"/>
            <w:tcMar>
              <w:top w:w="30" w:type="dxa"/>
              <w:left w:w="150" w:type="dxa"/>
              <w:bottom w:w="30" w:type="dxa"/>
              <w:right w:w="150" w:type="dxa"/>
            </w:tcMar>
            <w:vAlign w:val="center"/>
          </w:tcPr>
          <w:p w14:paraId="26E4BBC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20≤X&lt;100</w:t>
            </w:r>
          </w:p>
        </w:tc>
        <w:tc>
          <w:tcPr>
            <w:tcW w:w="926" w:type="dxa"/>
            <w:shd w:val="clear" w:color="auto" w:fill="FFFFFF"/>
            <w:tcMar>
              <w:top w:w="30" w:type="dxa"/>
              <w:left w:w="150" w:type="dxa"/>
              <w:bottom w:w="30" w:type="dxa"/>
              <w:right w:w="150" w:type="dxa"/>
            </w:tcMar>
            <w:vAlign w:val="center"/>
          </w:tcPr>
          <w:p w14:paraId="56A7305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X&lt;20</w:t>
            </w:r>
          </w:p>
        </w:tc>
      </w:tr>
      <w:tr w14:paraId="4A15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0CEC058C">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564EDD8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6447C78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1602C70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1000≤Y&lt;30000</w:t>
            </w:r>
          </w:p>
        </w:tc>
        <w:tc>
          <w:tcPr>
            <w:tcW w:w="1530" w:type="dxa"/>
            <w:shd w:val="clear" w:color="auto" w:fill="FFFFFF"/>
            <w:tcMar>
              <w:top w:w="30" w:type="dxa"/>
              <w:left w:w="150" w:type="dxa"/>
              <w:bottom w:w="30" w:type="dxa"/>
              <w:right w:w="150" w:type="dxa"/>
            </w:tcMar>
            <w:vAlign w:val="center"/>
          </w:tcPr>
          <w:p w14:paraId="05CD951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100≤Y&lt;1000</w:t>
            </w:r>
          </w:p>
        </w:tc>
        <w:tc>
          <w:tcPr>
            <w:tcW w:w="926" w:type="dxa"/>
            <w:shd w:val="clear" w:color="auto" w:fill="FFFFFF"/>
            <w:tcMar>
              <w:top w:w="30" w:type="dxa"/>
              <w:left w:w="150" w:type="dxa"/>
              <w:bottom w:w="30" w:type="dxa"/>
              <w:right w:w="150" w:type="dxa"/>
            </w:tcMar>
            <w:vAlign w:val="center"/>
          </w:tcPr>
          <w:p w14:paraId="2FF8D57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Y&lt;100</w:t>
            </w:r>
          </w:p>
        </w:tc>
      </w:tr>
      <w:tr w14:paraId="60823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069BCE1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邮政业</w:t>
            </w:r>
          </w:p>
        </w:tc>
        <w:tc>
          <w:tcPr>
            <w:tcW w:w="1630" w:type="dxa"/>
            <w:shd w:val="clear" w:color="auto" w:fill="FFFFFF"/>
            <w:tcMar>
              <w:top w:w="30" w:type="dxa"/>
              <w:left w:w="150" w:type="dxa"/>
              <w:bottom w:w="30" w:type="dxa"/>
              <w:right w:w="150" w:type="dxa"/>
            </w:tcMar>
            <w:vAlign w:val="center"/>
          </w:tcPr>
          <w:p w14:paraId="790B102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0389D68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78A7377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300≤X&lt;1000</w:t>
            </w:r>
          </w:p>
        </w:tc>
        <w:tc>
          <w:tcPr>
            <w:tcW w:w="1530" w:type="dxa"/>
            <w:shd w:val="clear" w:color="auto" w:fill="FFFFFF"/>
            <w:tcMar>
              <w:top w:w="30" w:type="dxa"/>
              <w:left w:w="150" w:type="dxa"/>
              <w:bottom w:w="30" w:type="dxa"/>
              <w:right w:w="150" w:type="dxa"/>
            </w:tcMar>
            <w:vAlign w:val="center"/>
          </w:tcPr>
          <w:p w14:paraId="3A7720F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20≤X&lt;300</w:t>
            </w:r>
          </w:p>
        </w:tc>
        <w:tc>
          <w:tcPr>
            <w:tcW w:w="926" w:type="dxa"/>
            <w:shd w:val="clear" w:color="auto" w:fill="FFFFFF"/>
            <w:tcMar>
              <w:top w:w="30" w:type="dxa"/>
              <w:left w:w="150" w:type="dxa"/>
              <w:bottom w:w="30" w:type="dxa"/>
              <w:right w:w="150" w:type="dxa"/>
            </w:tcMar>
            <w:vAlign w:val="center"/>
          </w:tcPr>
          <w:p w14:paraId="540D4E6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X&lt;20</w:t>
            </w:r>
          </w:p>
        </w:tc>
      </w:tr>
      <w:tr w14:paraId="558C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7D1DCBFE">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6A23915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7C85086B">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2CF5989B">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2000≤Y&lt;30000</w:t>
            </w:r>
          </w:p>
        </w:tc>
        <w:tc>
          <w:tcPr>
            <w:tcW w:w="1530" w:type="dxa"/>
            <w:shd w:val="clear" w:color="auto" w:fill="FFFFFF"/>
            <w:tcMar>
              <w:top w:w="30" w:type="dxa"/>
              <w:left w:w="150" w:type="dxa"/>
              <w:bottom w:w="30" w:type="dxa"/>
              <w:right w:w="150" w:type="dxa"/>
            </w:tcMar>
            <w:vAlign w:val="center"/>
          </w:tcPr>
          <w:p w14:paraId="21E31CA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100≤Y&lt;2000</w:t>
            </w:r>
          </w:p>
        </w:tc>
        <w:tc>
          <w:tcPr>
            <w:tcW w:w="926" w:type="dxa"/>
            <w:shd w:val="clear" w:color="auto" w:fill="FFFFFF"/>
            <w:tcMar>
              <w:top w:w="30" w:type="dxa"/>
              <w:left w:w="150" w:type="dxa"/>
              <w:bottom w:w="30" w:type="dxa"/>
              <w:right w:w="150" w:type="dxa"/>
            </w:tcMar>
            <w:vAlign w:val="center"/>
          </w:tcPr>
          <w:p w14:paraId="41FEA0A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Y&lt;100</w:t>
            </w:r>
          </w:p>
        </w:tc>
      </w:tr>
      <w:tr w14:paraId="1B323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7E60AD4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住宿业</w:t>
            </w:r>
          </w:p>
        </w:tc>
        <w:tc>
          <w:tcPr>
            <w:tcW w:w="1630" w:type="dxa"/>
            <w:shd w:val="clear" w:color="auto" w:fill="FFFFFF"/>
            <w:tcMar>
              <w:top w:w="30" w:type="dxa"/>
              <w:left w:w="150" w:type="dxa"/>
              <w:bottom w:w="30" w:type="dxa"/>
              <w:right w:w="150" w:type="dxa"/>
            </w:tcMar>
            <w:vAlign w:val="center"/>
          </w:tcPr>
          <w:p w14:paraId="4BDA0CC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1ADBFF19">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3698077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100≤X&lt;300</w:t>
            </w:r>
          </w:p>
        </w:tc>
        <w:tc>
          <w:tcPr>
            <w:tcW w:w="1530" w:type="dxa"/>
            <w:shd w:val="clear" w:color="auto" w:fill="FFFFFF"/>
            <w:tcMar>
              <w:top w:w="30" w:type="dxa"/>
              <w:left w:w="150" w:type="dxa"/>
              <w:bottom w:w="30" w:type="dxa"/>
              <w:right w:w="150" w:type="dxa"/>
            </w:tcMar>
            <w:vAlign w:val="center"/>
          </w:tcPr>
          <w:p w14:paraId="42BC2057">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10≤X&lt;100</w:t>
            </w:r>
          </w:p>
        </w:tc>
        <w:tc>
          <w:tcPr>
            <w:tcW w:w="926" w:type="dxa"/>
            <w:shd w:val="clear" w:color="auto" w:fill="FFFFFF"/>
            <w:tcMar>
              <w:top w:w="30" w:type="dxa"/>
              <w:left w:w="150" w:type="dxa"/>
              <w:bottom w:w="30" w:type="dxa"/>
              <w:right w:w="150" w:type="dxa"/>
            </w:tcMar>
            <w:vAlign w:val="center"/>
          </w:tcPr>
          <w:p w14:paraId="540171E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X&lt;10</w:t>
            </w:r>
          </w:p>
        </w:tc>
      </w:tr>
      <w:tr w14:paraId="212E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4F55D6AA">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1E3B855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739520E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4F49906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2000≤Y&lt;10000</w:t>
            </w:r>
          </w:p>
        </w:tc>
        <w:tc>
          <w:tcPr>
            <w:tcW w:w="1530" w:type="dxa"/>
            <w:shd w:val="clear" w:color="auto" w:fill="FFFFFF"/>
            <w:tcMar>
              <w:top w:w="30" w:type="dxa"/>
              <w:left w:w="150" w:type="dxa"/>
              <w:bottom w:w="30" w:type="dxa"/>
              <w:right w:w="150" w:type="dxa"/>
            </w:tcMar>
            <w:vAlign w:val="center"/>
          </w:tcPr>
          <w:p w14:paraId="761D7A0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100≤Y&lt;2000</w:t>
            </w:r>
          </w:p>
        </w:tc>
        <w:tc>
          <w:tcPr>
            <w:tcW w:w="926" w:type="dxa"/>
            <w:shd w:val="clear" w:color="auto" w:fill="FFFFFF"/>
            <w:tcMar>
              <w:top w:w="30" w:type="dxa"/>
              <w:left w:w="150" w:type="dxa"/>
              <w:bottom w:w="30" w:type="dxa"/>
              <w:right w:w="150" w:type="dxa"/>
            </w:tcMar>
            <w:vAlign w:val="center"/>
          </w:tcPr>
          <w:p w14:paraId="13D4D8D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Y&lt;100</w:t>
            </w:r>
          </w:p>
        </w:tc>
      </w:tr>
      <w:tr w14:paraId="50CE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35F0834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餐饮业</w:t>
            </w:r>
          </w:p>
        </w:tc>
        <w:tc>
          <w:tcPr>
            <w:tcW w:w="1630" w:type="dxa"/>
            <w:shd w:val="clear" w:color="auto" w:fill="FFFFFF"/>
            <w:tcMar>
              <w:top w:w="30" w:type="dxa"/>
              <w:left w:w="150" w:type="dxa"/>
              <w:bottom w:w="30" w:type="dxa"/>
              <w:right w:w="150" w:type="dxa"/>
            </w:tcMar>
            <w:vAlign w:val="center"/>
          </w:tcPr>
          <w:p w14:paraId="42375E23">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277AD93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574EAF1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100≤X&lt;300</w:t>
            </w:r>
          </w:p>
        </w:tc>
        <w:tc>
          <w:tcPr>
            <w:tcW w:w="1530" w:type="dxa"/>
            <w:shd w:val="clear" w:color="auto" w:fill="FFFFFF"/>
            <w:tcMar>
              <w:top w:w="30" w:type="dxa"/>
              <w:left w:w="150" w:type="dxa"/>
              <w:bottom w:w="30" w:type="dxa"/>
              <w:right w:w="150" w:type="dxa"/>
            </w:tcMar>
            <w:vAlign w:val="center"/>
          </w:tcPr>
          <w:p w14:paraId="1F0BCBC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10≤X&lt;100</w:t>
            </w:r>
          </w:p>
        </w:tc>
        <w:tc>
          <w:tcPr>
            <w:tcW w:w="926" w:type="dxa"/>
            <w:shd w:val="clear" w:color="auto" w:fill="FFFFFF"/>
            <w:tcMar>
              <w:top w:w="30" w:type="dxa"/>
              <w:left w:w="150" w:type="dxa"/>
              <w:bottom w:w="30" w:type="dxa"/>
              <w:right w:w="150" w:type="dxa"/>
            </w:tcMar>
            <w:vAlign w:val="center"/>
          </w:tcPr>
          <w:p w14:paraId="705729A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X&lt;10</w:t>
            </w:r>
          </w:p>
        </w:tc>
      </w:tr>
      <w:tr w14:paraId="636F2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35D9D70B">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145D2E77">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6B184DB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390F618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2000≤Y&lt;10000</w:t>
            </w:r>
          </w:p>
        </w:tc>
        <w:tc>
          <w:tcPr>
            <w:tcW w:w="1530" w:type="dxa"/>
            <w:shd w:val="clear" w:color="auto" w:fill="FFFFFF"/>
            <w:tcMar>
              <w:top w:w="30" w:type="dxa"/>
              <w:left w:w="150" w:type="dxa"/>
              <w:bottom w:w="30" w:type="dxa"/>
              <w:right w:w="150" w:type="dxa"/>
            </w:tcMar>
            <w:vAlign w:val="center"/>
          </w:tcPr>
          <w:p w14:paraId="4297AA1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100≤Y&lt;2000</w:t>
            </w:r>
          </w:p>
        </w:tc>
        <w:tc>
          <w:tcPr>
            <w:tcW w:w="926" w:type="dxa"/>
            <w:shd w:val="clear" w:color="auto" w:fill="FFFFFF"/>
            <w:tcMar>
              <w:top w:w="30" w:type="dxa"/>
              <w:left w:w="150" w:type="dxa"/>
              <w:bottom w:w="30" w:type="dxa"/>
              <w:right w:w="150" w:type="dxa"/>
            </w:tcMar>
            <w:vAlign w:val="center"/>
          </w:tcPr>
          <w:p w14:paraId="1AC2B78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Y&lt;100</w:t>
            </w:r>
          </w:p>
        </w:tc>
      </w:tr>
      <w:tr w14:paraId="4A249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1CE227E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信息传输业*</w:t>
            </w:r>
          </w:p>
        </w:tc>
        <w:tc>
          <w:tcPr>
            <w:tcW w:w="1630" w:type="dxa"/>
            <w:shd w:val="clear" w:color="auto" w:fill="FFFFFF"/>
            <w:tcMar>
              <w:top w:w="30" w:type="dxa"/>
              <w:left w:w="150" w:type="dxa"/>
              <w:bottom w:w="30" w:type="dxa"/>
              <w:right w:w="150" w:type="dxa"/>
            </w:tcMar>
            <w:vAlign w:val="center"/>
          </w:tcPr>
          <w:p w14:paraId="5811E7E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06D4725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177BE8B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100≤X&lt;2000</w:t>
            </w:r>
          </w:p>
        </w:tc>
        <w:tc>
          <w:tcPr>
            <w:tcW w:w="1530" w:type="dxa"/>
            <w:shd w:val="clear" w:color="auto" w:fill="FFFFFF"/>
            <w:tcMar>
              <w:top w:w="30" w:type="dxa"/>
              <w:left w:w="150" w:type="dxa"/>
              <w:bottom w:w="30" w:type="dxa"/>
              <w:right w:w="150" w:type="dxa"/>
            </w:tcMar>
            <w:vAlign w:val="center"/>
          </w:tcPr>
          <w:p w14:paraId="3BE974E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10≤X&lt;100</w:t>
            </w:r>
          </w:p>
        </w:tc>
        <w:tc>
          <w:tcPr>
            <w:tcW w:w="926" w:type="dxa"/>
            <w:shd w:val="clear" w:color="auto" w:fill="FFFFFF"/>
            <w:tcMar>
              <w:top w:w="30" w:type="dxa"/>
              <w:left w:w="150" w:type="dxa"/>
              <w:bottom w:w="30" w:type="dxa"/>
              <w:right w:w="150" w:type="dxa"/>
            </w:tcMar>
            <w:vAlign w:val="center"/>
          </w:tcPr>
          <w:p w14:paraId="6695BAA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X&lt;10</w:t>
            </w:r>
          </w:p>
        </w:tc>
      </w:tr>
      <w:tr w14:paraId="412B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19BDD4BC">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0CCFC7B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77706F5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3A109E8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1000≤Y&lt;100000</w:t>
            </w:r>
          </w:p>
        </w:tc>
        <w:tc>
          <w:tcPr>
            <w:tcW w:w="1530" w:type="dxa"/>
            <w:shd w:val="clear" w:color="auto" w:fill="FFFFFF"/>
            <w:tcMar>
              <w:top w:w="30" w:type="dxa"/>
              <w:left w:w="150" w:type="dxa"/>
              <w:bottom w:w="30" w:type="dxa"/>
              <w:right w:w="150" w:type="dxa"/>
            </w:tcMar>
            <w:vAlign w:val="center"/>
          </w:tcPr>
          <w:p w14:paraId="508F973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100≤Y&lt;1000</w:t>
            </w:r>
          </w:p>
        </w:tc>
        <w:tc>
          <w:tcPr>
            <w:tcW w:w="926" w:type="dxa"/>
            <w:shd w:val="clear" w:color="auto" w:fill="FFFFFF"/>
            <w:tcMar>
              <w:top w:w="30" w:type="dxa"/>
              <w:left w:w="150" w:type="dxa"/>
              <w:bottom w:w="30" w:type="dxa"/>
              <w:right w:w="150" w:type="dxa"/>
            </w:tcMar>
            <w:vAlign w:val="center"/>
          </w:tcPr>
          <w:p w14:paraId="75B6C0E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Y&lt;100</w:t>
            </w:r>
          </w:p>
        </w:tc>
      </w:tr>
      <w:tr w14:paraId="19C98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5B18149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软件和信息技术服务业</w:t>
            </w:r>
          </w:p>
        </w:tc>
        <w:tc>
          <w:tcPr>
            <w:tcW w:w="1630" w:type="dxa"/>
            <w:shd w:val="clear" w:color="auto" w:fill="FFFFFF"/>
            <w:tcMar>
              <w:top w:w="30" w:type="dxa"/>
              <w:left w:w="150" w:type="dxa"/>
              <w:bottom w:w="30" w:type="dxa"/>
              <w:right w:w="150" w:type="dxa"/>
            </w:tcMar>
            <w:vAlign w:val="center"/>
          </w:tcPr>
          <w:p w14:paraId="2021B85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210D268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6F558A09">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100≤X&lt;300</w:t>
            </w:r>
          </w:p>
        </w:tc>
        <w:tc>
          <w:tcPr>
            <w:tcW w:w="1530" w:type="dxa"/>
            <w:shd w:val="clear" w:color="auto" w:fill="FFFFFF"/>
            <w:tcMar>
              <w:top w:w="30" w:type="dxa"/>
              <w:left w:w="150" w:type="dxa"/>
              <w:bottom w:w="30" w:type="dxa"/>
              <w:right w:w="150" w:type="dxa"/>
            </w:tcMar>
            <w:vAlign w:val="center"/>
          </w:tcPr>
          <w:p w14:paraId="2DF57439">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10≤X&lt;100</w:t>
            </w:r>
          </w:p>
        </w:tc>
        <w:tc>
          <w:tcPr>
            <w:tcW w:w="926" w:type="dxa"/>
            <w:shd w:val="clear" w:color="auto" w:fill="FFFFFF"/>
            <w:tcMar>
              <w:top w:w="30" w:type="dxa"/>
              <w:left w:w="150" w:type="dxa"/>
              <w:bottom w:w="30" w:type="dxa"/>
              <w:right w:w="150" w:type="dxa"/>
            </w:tcMar>
            <w:vAlign w:val="center"/>
          </w:tcPr>
          <w:p w14:paraId="424CA74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X&lt;10</w:t>
            </w:r>
          </w:p>
        </w:tc>
      </w:tr>
      <w:tr w14:paraId="1448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18E0CDAE">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2E828D5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45804E9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0A4EBD2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1000≤Y&lt;10000</w:t>
            </w:r>
          </w:p>
        </w:tc>
        <w:tc>
          <w:tcPr>
            <w:tcW w:w="1530" w:type="dxa"/>
            <w:shd w:val="clear" w:color="auto" w:fill="FFFFFF"/>
            <w:tcMar>
              <w:top w:w="30" w:type="dxa"/>
              <w:left w:w="150" w:type="dxa"/>
              <w:bottom w:w="30" w:type="dxa"/>
              <w:right w:w="150" w:type="dxa"/>
            </w:tcMar>
            <w:vAlign w:val="center"/>
          </w:tcPr>
          <w:p w14:paraId="170B40D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50≤Y&lt;1000</w:t>
            </w:r>
          </w:p>
        </w:tc>
        <w:tc>
          <w:tcPr>
            <w:tcW w:w="926" w:type="dxa"/>
            <w:shd w:val="clear" w:color="auto" w:fill="FFFFFF"/>
            <w:tcMar>
              <w:top w:w="30" w:type="dxa"/>
              <w:left w:w="150" w:type="dxa"/>
              <w:bottom w:w="30" w:type="dxa"/>
              <w:right w:w="150" w:type="dxa"/>
            </w:tcMar>
            <w:vAlign w:val="center"/>
          </w:tcPr>
          <w:p w14:paraId="443D97C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Y&lt;50</w:t>
            </w:r>
          </w:p>
        </w:tc>
      </w:tr>
      <w:tr w14:paraId="4778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469CF11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房地产开发经营</w:t>
            </w:r>
          </w:p>
        </w:tc>
        <w:tc>
          <w:tcPr>
            <w:tcW w:w="1630" w:type="dxa"/>
            <w:shd w:val="clear" w:color="auto" w:fill="FFFFFF"/>
            <w:tcMar>
              <w:top w:w="30" w:type="dxa"/>
              <w:left w:w="150" w:type="dxa"/>
              <w:bottom w:w="30" w:type="dxa"/>
              <w:right w:w="150" w:type="dxa"/>
            </w:tcMar>
            <w:vAlign w:val="center"/>
          </w:tcPr>
          <w:p w14:paraId="1A166DB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552A360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6CF56EA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1000≤Y&lt;200000</w:t>
            </w:r>
          </w:p>
        </w:tc>
        <w:tc>
          <w:tcPr>
            <w:tcW w:w="1530" w:type="dxa"/>
            <w:shd w:val="clear" w:color="auto" w:fill="FFFFFF"/>
            <w:tcMar>
              <w:top w:w="30" w:type="dxa"/>
              <w:left w:w="150" w:type="dxa"/>
              <w:bottom w:w="30" w:type="dxa"/>
              <w:right w:w="150" w:type="dxa"/>
            </w:tcMar>
            <w:vAlign w:val="center"/>
          </w:tcPr>
          <w:p w14:paraId="6080C761">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100≤Y&lt;1000</w:t>
            </w:r>
          </w:p>
        </w:tc>
        <w:tc>
          <w:tcPr>
            <w:tcW w:w="926" w:type="dxa"/>
            <w:shd w:val="clear" w:color="auto" w:fill="FFFFFF"/>
            <w:tcMar>
              <w:top w:w="30" w:type="dxa"/>
              <w:left w:w="150" w:type="dxa"/>
              <w:bottom w:w="30" w:type="dxa"/>
              <w:right w:w="150" w:type="dxa"/>
            </w:tcMar>
            <w:vAlign w:val="center"/>
          </w:tcPr>
          <w:p w14:paraId="18174F8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Y&lt;100</w:t>
            </w:r>
          </w:p>
        </w:tc>
      </w:tr>
      <w:tr w14:paraId="17F6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74DF65C0">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2FD99365">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1130" w:type="dxa"/>
            <w:shd w:val="clear" w:color="auto" w:fill="FFFFFF"/>
            <w:tcMar>
              <w:top w:w="30" w:type="dxa"/>
              <w:left w:w="150" w:type="dxa"/>
              <w:bottom w:w="30" w:type="dxa"/>
              <w:right w:w="150" w:type="dxa"/>
            </w:tcMar>
            <w:vAlign w:val="center"/>
          </w:tcPr>
          <w:p w14:paraId="23BA625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4C18AD29">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5000≤Z&lt;10000</w:t>
            </w:r>
          </w:p>
        </w:tc>
        <w:tc>
          <w:tcPr>
            <w:tcW w:w="1530" w:type="dxa"/>
            <w:shd w:val="clear" w:color="auto" w:fill="FFFFFF"/>
            <w:tcMar>
              <w:top w:w="30" w:type="dxa"/>
              <w:left w:w="150" w:type="dxa"/>
              <w:bottom w:w="30" w:type="dxa"/>
              <w:right w:w="150" w:type="dxa"/>
            </w:tcMar>
            <w:vAlign w:val="center"/>
          </w:tcPr>
          <w:p w14:paraId="287D30E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2000≤Z&lt;5000</w:t>
            </w:r>
          </w:p>
        </w:tc>
        <w:tc>
          <w:tcPr>
            <w:tcW w:w="926" w:type="dxa"/>
            <w:shd w:val="clear" w:color="auto" w:fill="FFFFFF"/>
            <w:tcMar>
              <w:top w:w="30" w:type="dxa"/>
              <w:left w:w="150" w:type="dxa"/>
              <w:bottom w:w="30" w:type="dxa"/>
              <w:right w:w="150" w:type="dxa"/>
            </w:tcMar>
            <w:vAlign w:val="center"/>
          </w:tcPr>
          <w:p w14:paraId="64CE4F2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Z&lt;2000</w:t>
            </w:r>
          </w:p>
        </w:tc>
      </w:tr>
      <w:tr w14:paraId="542E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52D128A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物业管理</w:t>
            </w:r>
          </w:p>
        </w:tc>
        <w:tc>
          <w:tcPr>
            <w:tcW w:w="1630" w:type="dxa"/>
            <w:shd w:val="clear" w:color="auto" w:fill="FFFFFF"/>
            <w:tcMar>
              <w:top w:w="30" w:type="dxa"/>
              <w:left w:w="150" w:type="dxa"/>
              <w:bottom w:w="30" w:type="dxa"/>
              <w:right w:w="150" w:type="dxa"/>
            </w:tcMar>
            <w:vAlign w:val="center"/>
          </w:tcPr>
          <w:p w14:paraId="0A2AF1E7">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57400B8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75D3FA0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300≤X&lt;1000</w:t>
            </w:r>
          </w:p>
        </w:tc>
        <w:tc>
          <w:tcPr>
            <w:tcW w:w="1530" w:type="dxa"/>
            <w:shd w:val="clear" w:color="auto" w:fill="FFFFFF"/>
            <w:tcMar>
              <w:top w:w="30" w:type="dxa"/>
              <w:left w:w="150" w:type="dxa"/>
              <w:bottom w:w="30" w:type="dxa"/>
              <w:right w:w="150" w:type="dxa"/>
            </w:tcMar>
            <w:vAlign w:val="center"/>
          </w:tcPr>
          <w:p w14:paraId="0511DF5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100≤X&lt;300</w:t>
            </w:r>
          </w:p>
        </w:tc>
        <w:tc>
          <w:tcPr>
            <w:tcW w:w="926" w:type="dxa"/>
            <w:shd w:val="clear" w:color="auto" w:fill="FFFFFF"/>
            <w:tcMar>
              <w:top w:w="30" w:type="dxa"/>
              <w:left w:w="150" w:type="dxa"/>
              <w:bottom w:w="30" w:type="dxa"/>
              <w:right w:w="150" w:type="dxa"/>
            </w:tcMar>
            <w:vAlign w:val="center"/>
          </w:tcPr>
          <w:p w14:paraId="62405C0F">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X&lt;100</w:t>
            </w:r>
          </w:p>
        </w:tc>
      </w:tr>
      <w:tr w14:paraId="2A3F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705071D4">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678B2100">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1130" w:type="dxa"/>
            <w:shd w:val="clear" w:color="auto" w:fill="FFFFFF"/>
            <w:tcMar>
              <w:top w:w="30" w:type="dxa"/>
              <w:left w:w="150" w:type="dxa"/>
              <w:bottom w:w="30" w:type="dxa"/>
              <w:right w:w="150" w:type="dxa"/>
            </w:tcMar>
            <w:vAlign w:val="center"/>
          </w:tcPr>
          <w:p w14:paraId="3AB7354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2B58E307">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1000≤Y&lt;5000</w:t>
            </w:r>
          </w:p>
        </w:tc>
        <w:tc>
          <w:tcPr>
            <w:tcW w:w="1530" w:type="dxa"/>
            <w:shd w:val="clear" w:color="auto" w:fill="FFFFFF"/>
            <w:tcMar>
              <w:top w:w="30" w:type="dxa"/>
              <w:left w:w="150" w:type="dxa"/>
              <w:bottom w:w="30" w:type="dxa"/>
              <w:right w:w="150" w:type="dxa"/>
            </w:tcMar>
            <w:vAlign w:val="center"/>
          </w:tcPr>
          <w:p w14:paraId="14158B66">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500≤Y&lt;1000</w:t>
            </w:r>
          </w:p>
        </w:tc>
        <w:tc>
          <w:tcPr>
            <w:tcW w:w="926" w:type="dxa"/>
            <w:shd w:val="clear" w:color="auto" w:fill="FFFFFF"/>
            <w:tcMar>
              <w:top w:w="30" w:type="dxa"/>
              <w:left w:w="150" w:type="dxa"/>
              <w:bottom w:w="30" w:type="dxa"/>
              <w:right w:w="150" w:type="dxa"/>
            </w:tcMar>
            <w:vAlign w:val="center"/>
          </w:tcPr>
          <w:p w14:paraId="182847A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Y&lt;500</w:t>
            </w:r>
          </w:p>
        </w:tc>
      </w:tr>
      <w:tr w14:paraId="03D62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restart"/>
            <w:shd w:val="clear" w:color="auto" w:fill="FFFFFF"/>
            <w:tcMar>
              <w:top w:w="30" w:type="dxa"/>
              <w:left w:w="150" w:type="dxa"/>
              <w:bottom w:w="30" w:type="dxa"/>
              <w:right w:w="150" w:type="dxa"/>
            </w:tcMar>
            <w:vAlign w:val="center"/>
          </w:tcPr>
          <w:p w14:paraId="6268C05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租赁和商务服务业</w:t>
            </w:r>
          </w:p>
        </w:tc>
        <w:tc>
          <w:tcPr>
            <w:tcW w:w="1630" w:type="dxa"/>
            <w:shd w:val="clear" w:color="auto" w:fill="FFFFFF"/>
            <w:tcMar>
              <w:top w:w="30" w:type="dxa"/>
              <w:left w:w="150" w:type="dxa"/>
              <w:bottom w:w="30" w:type="dxa"/>
              <w:right w:w="150" w:type="dxa"/>
            </w:tcMar>
            <w:vAlign w:val="center"/>
          </w:tcPr>
          <w:p w14:paraId="15F3973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79CC9817">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695E9B27">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100≤X&lt;300</w:t>
            </w:r>
          </w:p>
        </w:tc>
        <w:tc>
          <w:tcPr>
            <w:tcW w:w="1530" w:type="dxa"/>
            <w:shd w:val="clear" w:color="auto" w:fill="FFFFFF"/>
            <w:tcMar>
              <w:top w:w="30" w:type="dxa"/>
              <w:left w:w="150" w:type="dxa"/>
              <w:bottom w:w="30" w:type="dxa"/>
              <w:right w:w="150" w:type="dxa"/>
            </w:tcMar>
            <w:vAlign w:val="center"/>
          </w:tcPr>
          <w:p w14:paraId="57EB7BB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10≤X&lt;100</w:t>
            </w:r>
          </w:p>
        </w:tc>
        <w:tc>
          <w:tcPr>
            <w:tcW w:w="926" w:type="dxa"/>
            <w:shd w:val="clear" w:color="auto" w:fill="FFFFFF"/>
            <w:tcMar>
              <w:top w:w="30" w:type="dxa"/>
              <w:left w:w="150" w:type="dxa"/>
              <w:bottom w:w="30" w:type="dxa"/>
              <w:right w:w="150" w:type="dxa"/>
            </w:tcMar>
            <w:vAlign w:val="center"/>
          </w:tcPr>
          <w:p w14:paraId="79BECCB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X&lt;10</w:t>
            </w:r>
          </w:p>
        </w:tc>
      </w:tr>
      <w:tr w14:paraId="4EA3A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vMerge w:val="continue"/>
            <w:shd w:val="clear" w:color="auto" w:fill="FFFFFF"/>
            <w:vAlign w:val="center"/>
          </w:tcPr>
          <w:p w14:paraId="78ABAF67">
            <w:pPr>
              <w:widowControl/>
              <w:snapToGrid w:val="0"/>
              <w:jc w:val="center"/>
              <w:rPr>
                <w:rFonts w:hint="eastAsia" w:ascii="仿宋" w:hAnsi="仿宋" w:eastAsia="仿宋" w:cs="仿宋"/>
                <w:color w:val="auto"/>
                <w:kern w:val="0"/>
                <w:sz w:val="18"/>
                <w:szCs w:val="18"/>
                <w:highlight w:val="none"/>
              </w:rPr>
            </w:pPr>
          </w:p>
        </w:tc>
        <w:tc>
          <w:tcPr>
            <w:tcW w:w="1630" w:type="dxa"/>
            <w:shd w:val="clear" w:color="auto" w:fill="FFFFFF"/>
            <w:tcMar>
              <w:top w:w="30" w:type="dxa"/>
              <w:left w:w="150" w:type="dxa"/>
              <w:bottom w:w="30" w:type="dxa"/>
              <w:right w:w="150" w:type="dxa"/>
            </w:tcMar>
            <w:vAlign w:val="center"/>
          </w:tcPr>
          <w:p w14:paraId="022DB6B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1130" w:type="dxa"/>
            <w:shd w:val="clear" w:color="auto" w:fill="FFFFFF"/>
            <w:tcMar>
              <w:top w:w="30" w:type="dxa"/>
              <w:left w:w="150" w:type="dxa"/>
              <w:bottom w:w="30" w:type="dxa"/>
              <w:right w:w="150" w:type="dxa"/>
            </w:tcMar>
            <w:vAlign w:val="center"/>
          </w:tcPr>
          <w:p w14:paraId="1EC3F73C">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731" w:type="dxa"/>
            <w:shd w:val="clear" w:color="auto" w:fill="FFFFFF"/>
            <w:tcMar>
              <w:top w:w="30" w:type="dxa"/>
              <w:left w:w="150" w:type="dxa"/>
              <w:bottom w:w="30" w:type="dxa"/>
              <w:right w:w="150" w:type="dxa"/>
            </w:tcMar>
            <w:vAlign w:val="center"/>
          </w:tcPr>
          <w:p w14:paraId="5C525688">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8000≤Z&lt;120000</w:t>
            </w:r>
          </w:p>
        </w:tc>
        <w:tc>
          <w:tcPr>
            <w:tcW w:w="1530" w:type="dxa"/>
            <w:shd w:val="clear" w:color="auto" w:fill="FFFFFF"/>
            <w:tcMar>
              <w:top w:w="30" w:type="dxa"/>
              <w:left w:w="150" w:type="dxa"/>
              <w:bottom w:w="30" w:type="dxa"/>
              <w:right w:w="150" w:type="dxa"/>
            </w:tcMar>
            <w:vAlign w:val="center"/>
          </w:tcPr>
          <w:p w14:paraId="7A93F4E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100≤Z&lt;8000</w:t>
            </w:r>
          </w:p>
        </w:tc>
        <w:tc>
          <w:tcPr>
            <w:tcW w:w="926" w:type="dxa"/>
            <w:shd w:val="clear" w:color="auto" w:fill="FFFFFF"/>
            <w:tcMar>
              <w:top w:w="30" w:type="dxa"/>
              <w:left w:w="150" w:type="dxa"/>
              <w:bottom w:w="30" w:type="dxa"/>
              <w:right w:w="150" w:type="dxa"/>
            </w:tcMar>
            <w:vAlign w:val="center"/>
          </w:tcPr>
          <w:p w14:paraId="5B848E5D">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Z&lt;100</w:t>
            </w:r>
          </w:p>
        </w:tc>
      </w:tr>
      <w:tr w14:paraId="3B332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2" w:type="dxa"/>
            <w:left w:w="64" w:type="dxa"/>
            <w:bottom w:w="32" w:type="dxa"/>
            <w:right w:w="64" w:type="dxa"/>
          </w:tblCellMar>
        </w:tblPrEx>
        <w:trPr>
          <w:trHeight w:val="0" w:hRule="atLeast"/>
          <w:jc w:val="center"/>
        </w:trPr>
        <w:tc>
          <w:tcPr>
            <w:tcW w:w="2334" w:type="dxa"/>
            <w:shd w:val="clear" w:color="auto" w:fill="FFFFFF"/>
            <w:tcMar>
              <w:top w:w="30" w:type="dxa"/>
              <w:left w:w="150" w:type="dxa"/>
              <w:bottom w:w="30" w:type="dxa"/>
              <w:right w:w="150" w:type="dxa"/>
            </w:tcMar>
            <w:vAlign w:val="center"/>
          </w:tcPr>
          <w:p w14:paraId="6E23E3E3">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其他未列明行业*</w:t>
            </w:r>
          </w:p>
        </w:tc>
        <w:tc>
          <w:tcPr>
            <w:tcW w:w="1630" w:type="dxa"/>
            <w:shd w:val="clear" w:color="auto" w:fill="FFFFFF"/>
            <w:tcMar>
              <w:top w:w="30" w:type="dxa"/>
              <w:left w:w="150" w:type="dxa"/>
              <w:bottom w:w="30" w:type="dxa"/>
              <w:right w:w="150" w:type="dxa"/>
            </w:tcMar>
            <w:vAlign w:val="center"/>
          </w:tcPr>
          <w:p w14:paraId="752EDF5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1130" w:type="dxa"/>
            <w:shd w:val="clear" w:color="auto" w:fill="FFFFFF"/>
            <w:tcMar>
              <w:top w:w="30" w:type="dxa"/>
              <w:left w:w="150" w:type="dxa"/>
              <w:bottom w:w="30" w:type="dxa"/>
              <w:right w:w="150" w:type="dxa"/>
            </w:tcMar>
            <w:vAlign w:val="center"/>
          </w:tcPr>
          <w:p w14:paraId="7066DCA4">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731" w:type="dxa"/>
            <w:shd w:val="clear" w:color="auto" w:fill="FFFFFF"/>
            <w:tcMar>
              <w:top w:w="30" w:type="dxa"/>
              <w:left w:w="150" w:type="dxa"/>
              <w:bottom w:w="30" w:type="dxa"/>
              <w:right w:w="150" w:type="dxa"/>
            </w:tcMar>
            <w:vAlign w:val="center"/>
          </w:tcPr>
          <w:p w14:paraId="2CCA78BE">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100≤X&lt;300</w:t>
            </w:r>
          </w:p>
        </w:tc>
        <w:tc>
          <w:tcPr>
            <w:tcW w:w="1530" w:type="dxa"/>
            <w:shd w:val="clear" w:color="auto" w:fill="FFFFFF"/>
            <w:tcMar>
              <w:top w:w="30" w:type="dxa"/>
              <w:left w:w="150" w:type="dxa"/>
              <w:bottom w:w="30" w:type="dxa"/>
              <w:right w:w="150" w:type="dxa"/>
            </w:tcMar>
            <w:vAlign w:val="center"/>
          </w:tcPr>
          <w:p w14:paraId="7C47DA8A">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10≤X&lt;100</w:t>
            </w:r>
          </w:p>
        </w:tc>
        <w:tc>
          <w:tcPr>
            <w:tcW w:w="926" w:type="dxa"/>
            <w:shd w:val="clear" w:color="auto" w:fill="FFFFFF"/>
            <w:tcMar>
              <w:top w:w="30" w:type="dxa"/>
              <w:left w:w="150" w:type="dxa"/>
              <w:bottom w:w="30" w:type="dxa"/>
              <w:right w:w="150" w:type="dxa"/>
            </w:tcMar>
            <w:vAlign w:val="center"/>
          </w:tcPr>
          <w:p w14:paraId="59C45BD2">
            <w:pPr>
              <w:widowControl/>
              <w:wordWrap w:val="0"/>
              <w:snapToGrid w:val="0"/>
              <w:spacing w:line="360" w:lineRule="atLeast"/>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X&lt;10</w:t>
            </w:r>
          </w:p>
        </w:tc>
      </w:tr>
    </w:tbl>
    <w:p w14:paraId="43DCFABC">
      <w:pPr>
        <w:pStyle w:val="80"/>
        <w:spacing w:line="360" w:lineRule="auto"/>
        <w:rPr>
          <w:rFonts w:hint="eastAsia" w:ascii="仿宋" w:hAnsi="仿宋" w:eastAsia="仿宋" w:cs="仿宋"/>
          <w:b/>
          <w:color w:val="auto"/>
          <w:sz w:val="24"/>
          <w:highlight w:val="none"/>
        </w:rPr>
      </w:pPr>
      <w:bookmarkStart w:id="246" w:name="_Toc8168242"/>
      <w:bookmarkStart w:id="247" w:name="_Toc9582690"/>
      <w:r>
        <w:rPr>
          <w:rFonts w:hint="eastAsia" w:ascii="仿宋" w:hAnsi="仿宋" w:eastAsia="仿宋" w:cs="仿宋"/>
          <w:b/>
          <w:color w:val="auto"/>
          <w:sz w:val="24"/>
          <w:highlight w:val="none"/>
        </w:rPr>
        <w:t>4.2监狱企业</w:t>
      </w:r>
      <w:bookmarkEnd w:id="246"/>
      <w:bookmarkEnd w:id="247"/>
    </w:p>
    <w:p w14:paraId="14771A46">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BC4F0C4">
      <w:pPr>
        <w:pStyle w:val="80"/>
        <w:spacing w:line="360" w:lineRule="auto"/>
        <w:rPr>
          <w:rFonts w:hint="eastAsia" w:ascii="仿宋" w:hAnsi="仿宋" w:eastAsia="仿宋" w:cs="仿宋"/>
          <w:b/>
          <w:color w:val="auto"/>
          <w:sz w:val="24"/>
          <w:highlight w:val="none"/>
        </w:rPr>
      </w:pPr>
      <w:bookmarkStart w:id="248" w:name="_Toc8168243"/>
      <w:bookmarkStart w:id="249" w:name="_Toc9582691"/>
      <w:r>
        <w:rPr>
          <w:rFonts w:hint="eastAsia" w:ascii="仿宋" w:hAnsi="仿宋" w:eastAsia="仿宋" w:cs="仿宋"/>
          <w:b/>
          <w:color w:val="auto"/>
          <w:sz w:val="24"/>
          <w:highlight w:val="none"/>
        </w:rPr>
        <w:t>4.3残疾人福利性单位</w:t>
      </w:r>
      <w:bookmarkEnd w:id="248"/>
      <w:bookmarkEnd w:id="249"/>
    </w:p>
    <w:p w14:paraId="6D762D72">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4.3.1根据《财政部 民政部 中国残疾人联合会关于促进残疾人就业政府采购政策的通知》，享受政府采购支持政策的残疾人福利性单位应当同时满足以下条件：</w:t>
      </w:r>
    </w:p>
    <w:p w14:paraId="4A610C1E">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（1）安置的残疾人占本单位在职职工人数的比例不低于25%（含25%），并且安置的残疾人人数不少于10人（含10人）；</w:t>
      </w:r>
    </w:p>
    <w:p w14:paraId="13FB5FB3">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（2）依法与安置的每位残疾人签订了一年以上（含一年）的劳动合同或服务协议；</w:t>
      </w:r>
    </w:p>
    <w:p w14:paraId="2B0EE68B">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（3）为安置的每位残疾人按月足额缴纳了基本养老保险、基本医疗保险、失业保险、工伤保险和生育保险等社会保险费；</w:t>
      </w:r>
    </w:p>
    <w:p w14:paraId="65625ECB">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（4）通过银行等金融机构向安置的每位残疾人，按月支付了不低于单位所在区县适用的经省级人民政府批准的月最低工资标准的工资；</w:t>
      </w:r>
    </w:p>
    <w:p w14:paraId="1F4E6780">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（5）提供本单位制造的货物、承担的工程或者服务（以下简称产品），或者提供其他残疾人福利性单位制造的货物（不包括使用非残疾人福利性单位注册商标的货物）。</w:t>
      </w:r>
    </w:p>
    <w:p w14:paraId="60E1061D">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4A7528B">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4.3.2符合条件的残疾人福利性单位在参加政府采购活动时，应当提供《残疾人福利性单位声明函》，并对声明的真实性负责。</w:t>
      </w:r>
    </w:p>
    <w:p w14:paraId="332B00F3">
      <w:pPr>
        <w:pStyle w:val="8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4.4节能、环境标志产品</w:t>
      </w:r>
    </w:p>
    <w:p w14:paraId="204D8E21">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按照“财政部 发展改革委 生态环境部 市场监管总局 关于调整优化节能产品、环境标志产品政府采购执行机制的通知”财库〔2019〕9号的规定执行。</w:t>
      </w:r>
    </w:p>
    <w:bookmarkEnd w:id="243"/>
    <w:p w14:paraId="6BAFD719">
      <w:pPr>
        <w:pStyle w:val="80"/>
        <w:spacing w:line="360" w:lineRule="auto"/>
        <w:rPr>
          <w:rFonts w:hint="eastAsia" w:ascii="仿宋" w:hAnsi="仿宋" w:eastAsia="仿宋" w:cs="仿宋"/>
          <w:b/>
          <w:color w:val="auto"/>
          <w:sz w:val="24"/>
          <w:highlight w:val="none"/>
        </w:rPr>
      </w:pPr>
      <w:bookmarkStart w:id="250" w:name="_Toc115076530"/>
      <w:r>
        <w:rPr>
          <w:rFonts w:hint="eastAsia" w:ascii="仿宋" w:hAnsi="仿宋" w:eastAsia="仿宋" w:cs="仿宋"/>
          <w:b/>
          <w:color w:val="auto"/>
          <w:sz w:val="24"/>
          <w:highlight w:val="none"/>
        </w:rPr>
        <w:t>4.5国家强制认证产品</w:t>
      </w:r>
      <w:bookmarkEnd w:id="250"/>
    </w:p>
    <w:p w14:paraId="0F902CC9">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采购产品属于《强制性产品认证目录描述与界定表（2020年修订版）》内，根据《中华人民共和国认证认可条例》及《强制性产品认证管理规定》（国家质量监督检验检疫总局第117号）规定，提供相关证明材料。</w:t>
      </w:r>
    </w:p>
    <w:p w14:paraId="192C6A56">
      <w:pPr>
        <w:pStyle w:val="80"/>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4.6政府采购中实施本国产品</w:t>
      </w:r>
    </w:p>
    <w:p w14:paraId="20C06A6E">
      <w:pPr>
        <w:spacing w:line="360" w:lineRule="auto"/>
        <w:ind w:firstLine="420" w:firstLineChars="200"/>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根据国办发〔2025〕34号执行。</w:t>
      </w:r>
    </w:p>
    <w:p w14:paraId="00257DA6">
      <w:pPr>
        <w:spacing w:line="360" w:lineRule="auto"/>
        <w:ind w:firstLine="420" w:firstLineChars="200"/>
        <w:jc w:val="left"/>
        <w:rPr>
          <w:rFonts w:hint="eastAsia" w:ascii="仿宋" w:hAnsi="仿宋" w:eastAsia="仿宋" w:cs="仿宋"/>
          <w:color w:val="auto"/>
          <w:szCs w:val="21"/>
          <w:highlight w:val="none"/>
          <w:lang w:val="en-US" w:eastAsia="zh-CN"/>
        </w:rPr>
      </w:pPr>
    </w:p>
    <w:sectPr>
      <w:footerReference r:id="rId7" w:type="default"/>
      <w:pgSz w:w="11906" w:h="16838"/>
      <w:pgMar w:top="1418" w:right="1134" w:bottom="1134" w:left="1418" w:header="935" w:footer="720" w:gutter="0"/>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AF954A3-940B-4D8A-8CCA-726128FCA69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16" w:usb3="00000000" w:csb0="6006009F" w:csb1="DFD70000"/>
  </w:font>
  <w:font w:name="华文中宋">
    <w:altName w:val="宋体"/>
    <w:panose1 w:val="02010600040101010101"/>
    <w:charset w:val="86"/>
    <w:family w:val="auto"/>
    <w:pitch w:val="default"/>
    <w:sig w:usb0="00000000" w:usb1="00000000" w:usb2="00000000" w:usb3="00000000" w:csb0="0004009F" w:csb1="DFD7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angSong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embedRegular r:id="rId2" w:fontKey="{B9A593CF-7884-47B8-B3A3-D370065AB1EE}"/>
  </w:font>
  <w:font w:name="全真簡粗明">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Nimbus Roman No9 L">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B0D86">
    <w:pPr>
      <w:pStyle w:val="22"/>
      <w:jc w:val="both"/>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Square wrapText="bothSides"/>
              <wp:docPr id="3" name="文本框 1025"/>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w="9525">
                        <a:noFill/>
                      </a:ln>
                      <a:effectLst/>
                    </wps:spPr>
                    <wps:txbx>
                      <w:txbxContent>
                        <w:p w14:paraId="7C15DDD3">
                          <w:pPr>
                            <w:pStyle w:val="22"/>
                            <w:rPr>
                              <w:rStyle w:val="40"/>
                            </w:rPr>
                          </w:pPr>
                          <w:r>
                            <w:rPr>
                              <w:rStyle w:val="40"/>
                            </w:rPr>
                            <w:fldChar w:fldCharType="begin"/>
                          </w:r>
                          <w:r>
                            <w:rPr>
                              <w:rStyle w:val="40"/>
                            </w:rPr>
                            <w:instrText xml:space="preserve">PAGE  </w:instrText>
                          </w:r>
                          <w:r>
                            <w:rPr>
                              <w:rStyle w:val="40"/>
                            </w:rPr>
                            <w:fldChar w:fldCharType="separate"/>
                          </w:r>
                          <w:r>
                            <w:rPr>
                              <w:rStyle w:val="40"/>
                            </w:rPr>
                            <w:t>3</w:t>
                          </w:r>
                          <w:r>
                            <w:rPr>
                              <w:rStyle w:val="40"/>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1.65pt;width:4.5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yxwC0QAAAAIBAAAPAAAAAAAAAAEA&#10;IAAAACIAAABkcnMvZG93bnJldi54bWxQSwECFAAUAAAACACHTuJA1t/pXt0BAACwAwAADgAAAAAA&#10;AAABACAAAAAgAQAAZHJzL2Uyb0RvYy54bWxQSwUGAAAAAAYABgBZAQAAbwUAAAAA&#10;">
              <v:fill on="f" focussize="0,0"/>
              <v:stroke on="f"/>
              <v:imagedata o:title=""/>
              <o:lock v:ext="edit" aspectratio="f"/>
              <v:textbox inset="0mm,0mm,0mm,0mm" style="mso-fit-shape-to-text:t;">
                <w:txbxContent>
                  <w:p w14:paraId="7C15DDD3">
                    <w:pPr>
                      <w:pStyle w:val="22"/>
                      <w:rPr>
                        <w:rStyle w:val="40"/>
                      </w:rPr>
                    </w:pPr>
                    <w:r>
                      <w:rPr>
                        <w:rStyle w:val="40"/>
                      </w:rPr>
                      <w:fldChar w:fldCharType="begin"/>
                    </w:r>
                    <w:r>
                      <w:rPr>
                        <w:rStyle w:val="40"/>
                      </w:rPr>
                      <w:instrText xml:space="preserve">PAGE  </w:instrText>
                    </w:r>
                    <w:r>
                      <w:rPr>
                        <w:rStyle w:val="40"/>
                      </w:rPr>
                      <w:fldChar w:fldCharType="separate"/>
                    </w:r>
                    <w:r>
                      <w:rPr>
                        <w:rStyle w:val="40"/>
                      </w:rPr>
                      <w:t>3</w:t>
                    </w:r>
                    <w:r>
                      <w:rPr>
                        <w:rStyle w:val="40"/>
                      </w:rP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1C91">
    <w:pPr>
      <w:pStyle w:val="22"/>
      <w:framePr w:wrap="around" w:vAnchor="text" w:hAnchor="margin" w:xAlign="center" w:y="1"/>
      <w:rPr>
        <w:rStyle w:val="40"/>
      </w:rPr>
    </w:pPr>
    <w:r>
      <w:rPr>
        <w:rStyle w:val="40"/>
      </w:rPr>
      <w:fldChar w:fldCharType="begin"/>
    </w:r>
    <w:r>
      <w:rPr>
        <w:rStyle w:val="40"/>
      </w:rPr>
      <w:instrText xml:space="preserve">PAGE  </w:instrText>
    </w:r>
    <w:r>
      <w:rPr>
        <w:rStyle w:val="40"/>
      </w:rPr>
      <w:fldChar w:fldCharType="separate"/>
    </w:r>
    <w:r>
      <w:rPr>
        <w:rStyle w:val="40"/>
      </w:rPr>
      <w:t>70</w:t>
    </w:r>
    <w:r>
      <w:rPr>
        <w:rStyle w:val="40"/>
      </w:rPr>
      <w:fldChar w:fldCharType="end"/>
    </w:r>
  </w:p>
  <w:p w14:paraId="1FAEC6C4">
    <w:pPr>
      <w:pStyle w:val="22"/>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4" name="文本框 1026"/>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14:paraId="1B0C335B">
                          <w:pPr>
                            <w:pStyle w:val="22"/>
                            <w:rPr>
                              <w:rStyle w:val="40"/>
                            </w:rPr>
                          </w:pPr>
                          <w:r>
                            <w:rPr>
                              <w:rStyle w:val="40"/>
                            </w:rPr>
                            <w:fldChar w:fldCharType="begin"/>
                          </w:r>
                          <w:r>
                            <w:rPr>
                              <w:rStyle w:val="40"/>
                            </w:rPr>
                            <w:instrText xml:space="preserve">PAGE  </w:instrText>
                          </w:r>
                          <w:r>
                            <w:rPr>
                              <w:rStyle w:val="40"/>
                            </w:rPr>
                            <w:fldChar w:fldCharType="separate"/>
                          </w:r>
                          <w:r>
                            <w:rPr>
                              <w:rStyle w:val="40"/>
                            </w:rPr>
                            <w:t>70</w:t>
                          </w:r>
                          <w:r>
                            <w:rPr>
                              <w:rStyle w:val="40"/>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m0JBs0AAAAAIBAAAPAAAAAAAAAAEA&#10;IAAAACIAAABkcnMvZG93bnJldi54bWxQSwECFAAUAAAACACHTuJA3XMrzt4BAACwAwAADgAAAAAA&#10;AAABACAAAAAfAQAAZHJzL2Uyb0RvYy54bWxQSwUGAAAAAAYABgBZAQAAbwUAAAAA&#10;">
              <v:fill on="f" focussize="0,0"/>
              <v:stroke on="f"/>
              <v:imagedata o:title=""/>
              <o:lock v:ext="edit" aspectratio="f"/>
              <v:textbox inset="0mm,0mm,0mm,0mm" style="mso-fit-shape-to-text:t;">
                <w:txbxContent>
                  <w:p w14:paraId="1B0C335B">
                    <w:pPr>
                      <w:pStyle w:val="22"/>
                      <w:rPr>
                        <w:rStyle w:val="40"/>
                      </w:rPr>
                    </w:pPr>
                    <w:r>
                      <w:rPr>
                        <w:rStyle w:val="40"/>
                      </w:rPr>
                      <w:fldChar w:fldCharType="begin"/>
                    </w:r>
                    <w:r>
                      <w:rPr>
                        <w:rStyle w:val="40"/>
                      </w:rPr>
                      <w:instrText xml:space="preserve">PAGE  </w:instrText>
                    </w:r>
                    <w:r>
                      <w:rPr>
                        <w:rStyle w:val="40"/>
                      </w:rPr>
                      <w:fldChar w:fldCharType="separate"/>
                    </w:r>
                    <w:r>
                      <w:rPr>
                        <w:rStyle w:val="40"/>
                      </w:rPr>
                      <w:t>70</w:t>
                    </w:r>
                    <w:r>
                      <w:rPr>
                        <w:rStyle w:val="40"/>
                      </w:rP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2" name="文本框 1027"/>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14:paraId="0FEBD982">
                          <w:pPr>
                            <w:pStyle w:val="22"/>
                            <w:rPr>
                              <w:rStyle w:val="40"/>
                              <w:sz w:val="21"/>
                            </w:rPr>
                          </w:pPr>
                          <w:r>
                            <w:rPr>
                              <w:rStyle w:val="40"/>
                              <w:sz w:val="21"/>
                            </w:rPr>
                            <w:fldChar w:fldCharType="begin"/>
                          </w:r>
                          <w:r>
                            <w:rPr>
                              <w:rStyle w:val="40"/>
                              <w:sz w:val="21"/>
                            </w:rPr>
                            <w:instrText xml:space="preserve">PAGE  </w:instrText>
                          </w:r>
                          <w:r>
                            <w:rPr>
                              <w:rStyle w:val="40"/>
                              <w:sz w:val="21"/>
                            </w:rPr>
                            <w:fldChar w:fldCharType="separate"/>
                          </w:r>
                          <w:r>
                            <w:rPr>
                              <w:rStyle w:val="40"/>
                              <w:sz w:val="21"/>
                            </w:rPr>
                            <w:t>70</w:t>
                          </w:r>
                          <w:r>
                            <w:rPr>
                              <w:rStyle w:val="40"/>
                              <w:sz w:val="21"/>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KrLlHPAAAAAwEAAA8AAAAAAAAAAQAg&#10;AAAAIgAAAGRycy9kb3ducmV2LnhtbFBLAQIUABQAAAAIAIdO4kA5OShi3gEAALEDAAAOAAAAAAAA&#10;AAEAIAAAAB4BAABkcnMvZTJvRG9jLnhtbFBLBQYAAAAABgAGAFkBAABuBQAAAAA=&#10;">
              <v:fill on="f" focussize="0,0"/>
              <v:stroke on="f"/>
              <v:imagedata o:title=""/>
              <o:lock v:ext="edit" aspectratio="f"/>
              <v:textbox inset="0mm,0mm,0mm,0mm" style="mso-fit-shape-to-text:t;">
                <w:txbxContent>
                  <w:p w14:paraId="0FEBD982">
                    <w:pPr>
                      <w:pStyle w:val="22"/>
                      <w:rPr>
                        <w:rStyle w:val="40"/>
                        <w:sz w:val="21"/>
                      </w:rPr>
                    </w:pPr>
                    <w:r>
                      <w:rPr>
                        <w:rStyle w:val="40"/>
                        <w:sz w:val="21"/>
                      </w:rPr>
                      <w:fldChar w:fldCharType="begin"/>
                    </w:r>
                    <w:r>
                      <w:rPr>
                        <w:rStyle w:val="40"/>
                        <w:sz w:val="21"/>
                      </w:rPr>
                      <w:instrText xml:space="preserve">PAGE  </w:instrText>
                    </w:r>
                    <w:r>
                      <w:rPr>
                        <w:rStyle w:val="40"/>
                        <w:sz w:val="21"/>
                      </w:rPr>
                      <w:fldChar w:fldCharType="separate"/>
                    </w:r>
                    <w:r>
                      <w:rPr>
                        <w:rStyle w:val="40"/>
                        <w:sz w:val="21"/>
                      </w:rPr>
                      <w:t>70</w:t>
                    </w:r>
                    <w:r>
                      <w:rPr>
                        <w:rStyle w:val="40"/>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CD3CC">
    <w:pPr>
      <w:pStyle w:val="22"/>
      <w:framePr w:wrap="around" w:vAnchor="text" w:hAnchor="margin" w:xAlign="center" w:y="1"/>
      <w:rPr>
        <w:rStyle w:val="40"/>
      </w:rPr>
    </w:pPr>
    <w:r>
      <w:rPr>
        <w:rStyle w:val="40"/>
      </w:rPr>
      <w:fldChar w:fldCharType="begin"/>
    </w:r>
    <w:r>
      <w:rPr>
        <w:rStyle w:val="40"/>
      </w:rPr>
      <w:instrText xml:space="preserve">PAGE  </w:instrText>
    </w:r>
    <w:r>
      <w:rPr>
        <w:rStyle w:val="40"/>
      </w:rPr>
      <w:fldChar w:fldCharType="separate"/>
    </w:r>
    <w:r>
      <w:rPr>
        <w:rStyle w:val="40"/>
      </w:rPr>
      <w:t>55</w:t>
    </w:r>
    <w:r>
      <w:rPr>
        <w:rStyle w:val="40"/>
      </w:rPr>
      <w:fldChar w:fldCharType="end"/>
    </w:r>
  </w:p>
  <w:p w14:paraId="6DAE8AF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81EBB">
    <w:pPr>
      <w:pStyle w:val="22"/>
      <w:framePr w:wrap="around" w:vAnchor="text" w:hAnchor="margin" w:xAlign="center" w:y="1"/>
      <w:rPr>
        <w:rStyle w:val="40"/>
      </w:rPr>
    </w:pPr>
    <w:r>
      <w:rPr>
        <w:rStyle w:val="40"/>
      </w:rPr>
      <w:fldChar w:fldCharType="begin"/>
    </w:r>
    <w:r>
      <w:rPr>
        <w:rStyle w:val="40"/>
      </w:rPr>
      <w:instrText xml:space="preserve">PAGE  </w:instrText>
    </w:r>
    <w:r>
      <w:rPr>
        <w:rStyle w:val="40"/>
      </w:rPr>
      <w:fldChar w:fldCharType="separate"/>
    </w:r>
    <w:r>
      <w:rPr>
        <w:rStyle w:val="40"/>
      </w:rPr>
      <w:t>61</w:t>
    </w:r>
    <w:r>
      <w:rPr>
        <w:rStyle w:val="40"/>
      </w:rPr>
      <w:fldChar w:fldCharType="end"/>
    </w:r>
  </w:p>
  <w:p w14:paraId="04CA8792"/>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D472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E3DA1"/>
    <w:multiLevelType w:val="singleLevel"/>
    <w:tmpl w:val="A8AE3DA1"/>
    <w:lvl w:ilvl="0" w:tentative="0">
      <w:start w:val="2"/>
      <w:numFmt w:val="chineseCounting"/>
      <w:suff w:val="nothing"/>
      <w:lvlText w:val="%1、"/>
      <w:lvlJc w:val="left"/>
      <w:rPr>
        <w:rFonts w:hint="eastAsia"/>
      </w:rPr>
    </w:lvl>
  </w:abstractNum>
  <w:abstractNum w:abstractNumId="1">
    <w:nsid w:val="B2AB25D4"/>
    <w:multiLevelType w:val="singleLevel"/>
    <w:tmpl w:val="B2AB25D4"/>
    <w:lvl w:ilvl="0" w:tentative="0">
      <w:start w:val="4"/>
      <w:numFmt w:val="decimal"/>
      <w:suff w:val="nothing"/>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24E774FF"/>
    <w:multiLevelType w:val="multilevel"/>
    <w:tmpl w:val="24E774FF"/>
    <w:lvl w:ilvl="0" w:tentative="0">
      <w:start w:val="1"/>
      <w:numFmt w:val="japaneseCounting"/>
      <w:lvlText w:val="第%1章"/>
      <w:lvlJc w:val="left"/>
      <w:pPr>
        <w:ind w:left="1305" w:hanging="130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7A0F6431"/>
    <w:multiLevelType w:val="singleLevel"/>
    <w:tmpl w:val="7A0F6431"/>
    <w:lvl w:ilvl="0" w:tentative="0">
      <w:start w:val="1"/>
      <w:numFmt w:val="decimal"/>
      <w:suff w:val="space"/>
      <w:lvlText w:val="%1."/>
      <w:lvlJc w:val="left"/>
    </w:lvl>
  </w:abstractNum>
  <w:num w:numId="1">
    <w:abstractNumId w:val="3"/>
  </w:num>
  <w:num w:numId="2">
    <w:abstractNumId w:val="4"/>
  </w:num>
  <w:num w:numId="3">
    <w:abstractNumId w:val="5"/>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1ODg0MWU5MTk4N2E4NzJjNzQ1MzhiZGFmMDBhZjEifQ=="/>
  </w:docVars>
  <w:rsids>
    <w:rsidRoot w:val="00A21078"/>
    <w:rsid w:val="00001446"/>
    <w:rsid w:val="00001D0E"/>
    <w:rsid w:val="00001D6F"/>
    <w:rsid w:val="000026A9"/>
    <w:rsid w:val="00003C6A"/>
    <w:rsid w:val="00006970"/>
    <w:rsid w:val="000079FD"/>
    <w:rsid w:val="00007DAC"/>
    <w:rsid w:val="0001197D"/>
    <w:rsid w:val="00011D87"/>
    <w:rsid w:val="00011EAE"/>
    <w:rsid w:val="0001294D"/>
    <w:rsid w:val="00012BF0"/>
    <w:rsid w:val="000132E8"/>
    <w:rsid w:val="000134BF"/>
    <w:rsid w:val="0001374E"/>
    <w:rsid w:val="000155F2"/>
    <w:rsid w:val="00015F9F"/>
    <w:rsid w:val="00016257"/>
    <w:rsid w:val="000209BE"/>
    <w:rsid w:val="00020E39"/>
    <w:rsid w:val="00020E3E"/>
    <w:rsid w:val="000221CE"/>
    <w:rsid w:val="000223B7"/>
    <w:rsid w:val="00022619"/>
    <w:rsid w:val="00022835"/>
    <w:rsid w:val="00022B2B"/>
    <w:rsid w:val="0002310E"/>
    <w:rsid w:val="00023315"/>
    <w:rsid w:val="000246B1"/>
    <w:rsid w:val="00024C98"/>
    <w:rsid w:val="00024E77"/>
    <w:rsid w:val="000250F8"/>
    <w:rsid w:val="000258EA"/>
    <w:rsid w:val="00025A53"/>
    <w:rsid w:val="00025CA2"/>
    <w:rsid w:val="00026185"/>
    <w:rsid w:val="000265E6"/>
    <w:rsid w:val="00026EFC"/>
    <w:rsid w:val="00027AFD"/>
    <w:rsid w:val="00027BB9"/>
    <w:rsid w:val="0003100E"/>
    <w:rsid w:val="00031272"/>
    <w:rsid w:val="00031CE7"/>
    <w:rsid w:val="00032963"/>
    <w:rsid w:val="00032C99"/>
    <w:rsid w:val="00033460"/>
    <w:rsid w:val="000336DE"/>
    <w:rsid w:val="000337E5"/>
    <w:rsid w:val="00033963"/>
    <w:rsid w:val="00033AF5"/>
    <w:rsid w:val="00033EA3"/>
    <w:rsid w:val="00034D47"/>
    <w:rsid w:val="00035344"/>
    <w:rsid w:val="000358B3"/>
    <w:rsid w:val="00035A5E"/>
    <w:rsid w:val="00035A83"/>
    <w:rsid w:val="00037CCD"/>
    <w:rsid w:val="000403B3"/>
    <w:rsid w:val="000419D3"/>
    <w:rsid w:val="00041C4C"/>
    <w:rsid w:val="00041E27"/>
    <w:rsid w:val="00043217"/>
    <w:rsid w:val="0004376D"/>
    <w:rsid w:val="000457FF"/>
    <w:rsid w:val="00046565"/>
    <w:rsid w:val="00046678"/>
    <w:rsid w:val="00046D94"/>
    <w:rsid w:val="00050FC2"/>
    <w:rsid w:val="0005277B"/>
    <w:rsid w:val="00052EFD"/>
    <w:rsid w:val="000538FB"/>
    <w:rsid w:val="00054243"/>
    <w:rsid w:val="0005486C"/>
    <w:rsid w:val="00054CDC"/>
    <w:rsid w:val="0005507C"/>
    <w:rsid w:val="00055350"/>
    <w:rsid w:val="00055435"/>
    <w:rsid w:val="00055BBE"/>
    <w:rsid w:val="0005722C"/>
    <w:rsid w:val="000575ED"/>
    <w:rsid w:val="00057CFB"/>
    <w:rsid w:val="000601B7"/>
    <w:rsid w:val="000612E4"/>
    <w:rsid w:val="0006168C"/>
    <w:rsid w:val="0006202D"/>
    <w:rsid w:val="000623DA"/>
    <w:rsid w:val="00062628"/>
    <w:rsid w:val="00064D24"/>
    <w:rsid w:val="000651BD"/>
    <w:rsid w:val="00065E27"/>
    <w:rsid w:val="00066173"/>
    <w:rsid w:val="0006632E"/>
    <w:rsid w:val="00066854"/>
    <w:rsid w:val="00067256"/>
    <w:rsid w:val="000677D7"/>
    <w:rsid w:val="00071E93"/>
    <w:rsid w:val="000729AE"/>
    <w:rsid w:val="00072C6A"/>
    <w:rsid w:val="00072D65"/>
    <w:rsid w:val="00073814"/>
    <w:rsid w:val="00073A10"/>
    <w:rsid w:val="00075D89"/>
    <w:rsid w:val="00076F83"/>
    <w:rsid w:val="00076F91"/>
    <w:rsid w:val="00077702"/>
    <w:rsid w:val="0007779E"/>
    <w:rsid w:val="00077AC3"/>
    <w:rsid w:val="00077ADD"/>
    <w:rsid w:val="00080A1B"/>
    <w:rsid w:val="0008118D"/>
    <w:rsid w:val="000811C1"/>
    <w:rsid w:val="00081D56"/>
    <w:rsid w:val="00082116"/>
    <w:rsid w:val="000829E6"/>
    <w:rsid w:val="00083B30"/>
    <w:rsid w:val="000841A7"/>
    <w:rsid w:val="000849A9"/>
    <w:rsid w:val="00084B01"/>
    <w:rsid w:val="00085215"/>
    <w:rsid w:val="000853C9"/>
    <w:rsid w:val="00085B88"/>
    <w:rsid w:val="00085E40"/>
    <w:rsid w:val="00086310"/>
    <w:rsid w:val="0008673E"/>
    <w:rsid w:val="00086B5B"/>
    <w:rsid w:val="0008714E"/>
    <w:rsid w:val="000872B4"/>
    <w:rsid w:val="0008735B"/>
    <w:rsid w:val="00087D3B"/>
    <w:rsid w:val="00090FB3"/>
    <w:rsid w:val="0009112E"/>
    <w:rsid w:val="00092DA2"/>
    <w:rsid w:val="000931CC"/>
    <w:rsid w:val="00095144"/>
    <w:rsid w:val="00095612"/>
    <w:rsid w:val="00095D91"/>
    <w:rsid w:val="0009693A"/>
    <w:rsid w:val="00097B18"/>
    <w:rsid w:val="000A0317"/>
    <w:rsid w:val="000A0323"/>
    <w:rsid w:val="000A05C2"/>
    <w:rsid w:val="000A0E3E"/>
    <w:rsid w:val="000A1337"/>
    <w:rsid w:val="000A1EC9"/>
    <w:rsid w:val="000A208B"/>
    <w:rsid w:val="000A23D7"/>
    <w:rsid w:val="000A27D9"/>
    <w:rsid w:val="000A362B"/>
    <w:rsid w:val="000A3742"/>
    <w:rsid w:val="000A4DD1"/>
    <w:rsid w:val="000A4FB9"/>
    <w:rsid w:val="000A59D0"/>
    <w:rsid w:val="000A5E0D"/>
    <w:rsid w:val="000A7080"/>
    <w:rsid w:val="000A7203"/>
    <w:rsid w:val="000A7560"/>
    <w:rsid w:val="000A7740"/>
    <w:rsid w:val="000A7EA8"/>
    <w:rsid w:val="000B0046"/>
    <w:rsid w:val="000B0501"/>
    <w:rsid w:val="000B0ED3"/>
    <w:rsid w:val="000B1789"/>
    <w:rsid w:val="000B30D0"/>
    <w:rsid w:val="000B3435"/>
    <w:rsid w:val="000B35EC"/>
    <w:rsid w:val="000B4D58"/>
    <w:rsid w:val="000B5462"/>
    <w:rsid w:val="000B6255"/>
    <w:rsid w:val="000B6445"/>
    <w:rsid w:val="000B7503"/>
    <w:rsid w:val="000C07B2"/>
    <w:rsid w:val="000C161D"/>
    <w:rsid w:val="000C1939"/>
    <w:rsid w:val="000C1A22"/>
    <w:rsid w:val="000C1AAE"/>
    <w:rsid w:val="000C2006"/>
    <w:rsid w:val="000C20E8"/>
    <w:rsid w:val="000C321A"/>
    <w:rsid w:val="000C3BBB"/>
    <w:rsid w:val="000C3BBF"/>
    <w:rsid w:val="000C3CF3"/>
    <w:rsid w:val="000C3E7C"/>
    <w:rsid w:val="000C4415"/>
    <w:rsid w:val="000C44A1"/>
    <w:rsid w:val="000C51BC"/>
    <w:rsid w:val="000C51E2"/>
    <w:rsid w:val="000C5564"/>
    <w:rsid w:val="000C5969"/>
    <w:rsid w:val="000C5A62"/>
    <w:rsid w:val="000C708A"/>
    <w:rsid w:val="000C7350"/>
    <w:rsid w:val="000D0296"/>
    <w:rsid w:val="000D22E1"/>
    <w:rsid w:val="000D2BB5"/>
    <w:rsid w:val="000D31D6"/>
    <w:rsid w:val="000D337B"/>
    <w:rsid w:val="000D3C3F"/>
    <w:rsid w:val="000D423F"/>
    <w:rsid w:val="000D426D"/>
    <w:rsid w:val="000D43FD"/>
    <w:rsid w:val="000D4411"/>
    <w:rsid w:val="000D5651"/>
    <w:rsid w:val="000D5B73"/>
    <w:rsid w:val="000D5BAF"/>
    <w:rsid w:val="000D6297"/>
    <w:rsid w:val="000D6B16"/>
    <w:rsid w:val="000D6F07"/>
    <w:rsid w:val="000D79ED"/>
    <w:rsid w:val="000E05C1"/>
    <w:rsid w:val="000E078B"/>
    <w:rsid w:val="000E08AC"/>
    <w:rsid w:val="000E0C51"/>
    <w:rsid w:val="000E15E3"/>
    <w:rsid w:val="000E290E"/>
    <w:rsid w:val="000E2EDA"/>
    <w:rsid w:val="000E3C98"/>
    <w:rsid w:val="000E3D15"/>
    <w:rsid w:val="000E5530"/>
    <w:rsid w:val="000E78D0"/>
    <w:rsid w:val="000F0DC5"/>
    <w:rsid w:val="000F150F"/>
    <w:rsid w:val="000F1920"/>
    <w:rsid w:val="000F1D62"/>
    <w:rsid w:val="000F1DF5"/>
    <w:rsid w:val="000F23ED"/>
    <w:rsid w:val="000F2705"/>
    <w:rsid w:val="000F2A32"/>
    <w:rsid w:val="000F52A2"/>
    <w:rsid w:val="000F52B3"/>
    <w:rsid w:val="000F547C"/>
    <w:rsid w:val="000F5867"/>
    <w:rsid w:val="000F6A09"/>
    <w:rsid w:val="000F7198"/>
    <w:rsid w:val="000F79EC"/>
    <w:rsid w:val="000F7E46"/>
    <w:rsid w:val="00101C03"/>
    <w:rsid w:val="00103224"/>
    <w:rsid w:val="001042D2"/>
    <w:rsid w:val="00104588"/>
    <w:rsid w:val="00104826"/>
    <w:rsid w:val="00105395"/>
    <w:rsid w:val="001054A2"/>
    <w:rsid w:val="001067D5"/>
    <w:rsid w:val="00107558"/>
    <w:rsid w:val="00110158"/>
    <w:rsid w:val="001105E0"/>
    <w:rsid w:val="001108C3"/>
    <w:rsid w:val="00110E8D"/>
    <w:rsid w:val="001115FC"/>
    <w:rsid w:val="0011172D"/>
    <w:rsid w:val="001134FB"/>
    <w:rsid w:val="00113888"/>
    <w:rsid w:val="00113A01"/>
    <w:rsid w:val="001144B1"/>
    <w:rsid w:val="00115F3B"/>
    <w:rsid w:val="001160A3"/>
    <w:rsid w:val="0011633C"/>
    <w:rsid w:val="00116460"/>
    <w:rsid w:val="001167CD"/>
    <w:rsid w:val="00121F62"/>
    <w:rsid w:val="00121FC3"/>
    <w:rsid w:val="001231F7"/>
    <w:rsid w:val="00123F2A"/>
    <w:rsid w:val="001243A5"/>
    <w:rsid w:val="001246FF"/>
    <w:rsid w:val="001258AF"/>
    <w:rsid w:val="0012606E"/>
    <w:rsid w:val="001260ED"/>
    <w:rsid w:val="001261E8"/>
    <w:rsid w:val="001263AB"/>
    <w:rsid w:val="00126405"/>
    <w:rsid w:val="00126520"/>
    <w:rsid w:val="00127094"/>
    <w:rsid w:val="00127B4C"/>
    <w:rsid w:val="00130AC9"/>
    <w:rsid w:val="00130EE0"/>
    <w:rsid w:val="00131866"/>
    <w:rsid w:val="0013202C"/>
    <w:rsid w:val="001321C7"/>
    <w:rsid w:val="0013238F"/>
    <w:rsid w:val="001338EA"/>
    <w:rsid w:val="0013436C"/>
    <w:rsid w:val="00134906"/>
    <w:rsid w:val="00135031"/>
    <w:rsid w:val="001350E7"/>
    <w:rsid w:val="0013599E"/>
    <w:rsid w:val="00136307"/>
    <w:rsid w:val="001374DB"/>
    <w:rsid w:val="00137ADA"/>
    <w:rsid w:val="00137F13"/>
    <w:rsid w:val="00140FE9"/>
    <w:rsid w:val="00141A2E"/>
    <w:rsid w:val="00141CE8"/>
    <w:rsid w:val="001421FB"/>
    <w:rsid w:val="00142CFE"/>
    <w:rsid w:val="00142DAD"/>
    <w:rsid w:val="0014376B"/>
    <w:rsid w:val="00143B6E"/>
    <w:rsid w:val="00143FBF"/>
    <w:rsid w:val="00145252"/>
    <w:rsid w:val="00145322"/>
    <w:rsid w:val="00145A44"/>
    <w:rsid w:val="00146080"/>
    <w:rsid w:val="00146582"/>
    <w:rsid w:val="00146AD1"/>
    <w:rsid w:val="001475CE"/>
    <w:rsid w:val="00147658"/>
    <w:rsid w:val="00147797"/>
    <w:rsid w:val="00151F23"/>
    <w:rsid w:val="00152A68"/>
    <w:rsid w:val="00153096"/>
    <w:rsid w:val="00153336"/>
    <w:rsid w:val="0015353E"/>
    <w:rsid w:val="00153B3C"/>
    <w:rsid w:val="00153D1F"/>
    <w:rsid w:val="00153F47"/>
    <w:rsid w:val="00153FA7"/>
    <w:rsid w:val="00156D1D"/>
    <w:rsid w:val="00156EE9"/>
    <w:rsid w:val="001573F6"/>
    <w:rsid w:val="00157A81"/>
    <w:rsid w:val="001603F4"/>
    <w:rsid w:val="00162EC2"/>
    <w:rsid w:val="00162FD2"/>
    <w:rsid w:val="0016327E"/>
    <w:rsid w:val="00163919"/>
    <w:rsid w:val="00163C40"/>
    <w:rsid w:val="00163DE6"/>
    <w:rsid w:val="001654DF"/>
    <w:rsid w:val="00165C13"/>
    <w:rsid w:val="001664C4"/>
    <w:rsid w:val="001664F6"/>
    <w:rsid w:val="001667CA"/>
    <w:rsid w:val="00170657"/>
    <w:rsid w:val="00170E3F"/>
    <w:rsid w:val="001731F8"/>
    <w:rsid w:val="001733A1"/>
    <w:rsid w:val="0017360D"/>
    <w:rsid w:val="00173649"/>
    <w:rsid w:val="00173A5D"/>
    <w:rsid w:val="00173CF6"/>
    <w:rsid w:val="001750C3"/>
    <w:rsid w:val="001756EE"/>
    <w:rsid w:val="001758B0"/>
    <w:rsid w:val="00177AE7"/>
    <w:rsid w:val="00177DB1"/>
    <w:rsid w:val="00180000"/>
    <w:rsid w:val="001803EF"/>
    <w:rsid w:val="001809F6"/>
    <w:rsid w:val="00181143"/>
    <w:rsid w:val="0018187A"/>
    <w:rsid w:val="00181E81"/>
    <w:rsid w:val="001823CB"/>
    <w:rsid w:val="0018303B"/>
    <w:rsid w:val="001838B8"/>
    <w:rsid w:val="00183C2B"/>
    <w:rsid w:val="001840A2"/>
    <w:rsid w:val="001847DE"/>
    <w:rsid w:val="001848F9"/>
    <w:rsid w:val="001862EA"/>
    <w:rsid w:val="00186C38"/>
    <w:rsid w:val="001876E8"/>
    <w:rsid w:val="00191979"/>
    <w:rsid w:val="00191AA6"/>
    <w:rsid w:val="00191C33"/>
    <w:rsid w:val="00191C6A"/>
    <w:rsid w:val="0019249A"/>
    <w:rsid w:val="00192BD4"/>
    <w:rsid w:val="00193114"/>
    <w:rsid w:val="0019410F"/>
    <w:rsid w:val="001948B4"/>
    <w:rsid w:val="0019499A"/>
    <w:rsid w:val="00195024"/>
    <w:rsid w:val="0019507D"/>
    <w:rsid w:val="001950CF"/>
    <w:rsid w:val="0019584B"/>
    <w:rsid w:val="00196105"/>
    <w:rsid w:val="00196A91"/>
    <w:rsid w:val="00196FA9"/>
    <w:rsid w:val="001A054A"/>
    <w:rsid w:val="001A1CAC"/>
    <w:rsid w:val="001A1D73"/>
    <w:rsid w:val="001A1F37"/>
    <w:rsid w:val="001A23ED"/>
    <w:rsid w:val="001A3512"/>
    <w:rsid w:val="001A3B0A"/>
    <w:rsid w:val="001A4262"/>
    <w:rsid w:val="001A42C3"/>
    <w:rsid w:val="001A42D3"/>
    <w:rsid w:val="001A46B4"/>
    <w:rsid w:val="001A5369"/>
    <w:rsid w:val="001A5832"/>
    <w:rsid w:val="001A5A84"/>
    <w:rsid w:val="001A62E2"/>
    <w:rsid w:val="001A6B31"/>
    <w:rsid w:val="001A6FF6"/>
    <w:rsid w:val="001A7479"/>
    <w:rsid w:val="001A7CF2"/>
    <w:rsid w:val="001B060B"/>
    <w:rsid w:val="001B0D5C"/>
    <w:rsid w:val="001B111C"/>
    <w:rsid w:val="001B1579"/>
    <w:rsid w:val="001B1D60"/>
    <w:rsid w:val="001B26C7"/>
    <w:rsid w:val="001B272C"/>
    <w:rsid w:val="001B2FB2"/>
    <w:rsid w:val="001B3125"/>
    <w:rsid w:val="001B3168"/>
    <w:rsid w:val="001B3852"/>
    <w:rsid w:val="001B38EC"/>
    <w:rsid w:val="001B44B5"/>
    <w:rsid w:val="001B5214"/>
    <w:rsid w:val="001B5E3F"/>
    <w:rsid w:val="001B669C"/>
    <w:rsid w:val="001B67E5"/>
    <w:rsid w:val="001B6C14"/>
    <w:rsid w:val="001B740E"/>
    <w:rsid w:val="001B7A87"/>
    <w:rsid w:val="001C031F"/>
    <w:rsid w:val="001C2271"/>
    <w:rsid w:val="001C2674"/>
    <w:rsid w:val="001C29B7"/>
    <w:rsid w:val="001C29C4"/>
    <w:rsid w:val="001C2B37"/>
    <w:rsid w:val="001C3049"/>
    <w:rsid w:val="001C33D8"/>
    <w:rsid w:val="001C544B"/>
    <w:rsid w:val="001C56F9"/>
    <w:rsid w:val="001C58D6"/>
    <w:rsid w:val="001C5BA6"/>
    <w:rsid w:val="001D0957"/>
    <w:rsid w:val="001D141C"/>
    <w:rsid w:val="001D1AE3"/>
    <w:rsid w:val="001D29A6"/>
    <w:rsid w:val="001D3B8F"/>
    <w:rsid w:val="001D41A8"/>
    <w:rsid w:val="001D4448"/>
    <w:rsid w:val="001D4623"/>
    <w:rsid w:val="001D46E2"/>
    <w:rsid w:val="001D4CF9"/>
    <w:rsid w:val="001D61C7"/>
    <w:rsid w:val="001D681C"/>
    <w:rsid w:val="001D6983"/>
    <w:rsid w:val="001D6BFE"/>
    <w:rsid w:val="001D6C24"/>
    <w:rsid w:val="001D70A4"/>
    <w:rsid w:val="001E0057"/>
    <w:rsid w:val="001E036C"/>
    <w:rsid w:val="001E0736"/>
    <w:rsid w:val="001E0DC1"/>
    <w:rsid w:val="001E0E28"/>
    <w:rsid w:val="001E0F7C"/>
    <w:rsid w:val="001E1A28"/>
    <w:rsid w:val="001E1D16"/>
    <w:rsid w:val="001E1D6E"/>
    <w:rsid w:val="001E1EBD"/>
    <w:rsid w:val="001E29E3"/>
    <w:rsid w:val="001E3A06"/>
    <w:rsid w:val="001E4875"/>
    <w:rsid w:val="001E48D2"/>
    <w:rsid w:val="001E512F"/>
    <w:rsid w:val="001E5606"/>
    <w:rsid w:val="001E5657"/>
    <w:rsid w:val="001E63BE"/>
    <w:rsid w:val="001E64E2"/>
    <w:rsid w:val="001E6692"/>
    <w:rsid w:val="001E7229"/>
    <w:rsid w:val="001F01E7"/>
    <w:rsid w:val="001F1BA4"/>
    <w:rsid w:val="001F2363"/>
    <w:rsid w:val="001F27BB"/>
    <w:rsid w:val="001F3114"/>
    <w:rsid w:val="001F316C"/>
    <w:rsid w:val="001F341F"/>
    <w:rsid w:val="001F35E0"/>
    <w:rsid w:val="001F387B"/>
    <w:rsid w:val="001F421C"/>
    <w:rsid w:val="001F507D"/>
    <w:rsid w:val="001F7686"/>
    <w:rsid w:val="002007E4"/>
    <w:rsid w:val="002009F7"/>
    <w:rsid w:val="0020105C"/>
    <w:rsid w:val="00201342"/>
    <w:rsid w:val="00201F13"/>
    <w:rsid w:val="002024EF"/>
    <w:rsid w:val="0020514A"/>
    <w:rsid w:val="00205174"/>
    <w:rsid w:val="002062C4"/>
    <w:rsid w:val="002073CA"/>
    <w:rsid w:val="002077E2"/>
    <w:rsid w:val="0021099C"/>
    <w:rsid w:val="00210DF1"/>
    <w:rsid w:val="002118FE"/>
    <w:rsid w:val="00211932"/>
    <w:rsid w:val="002119CD"/>
    <w:rsid w:val="002119D8"/>
    <w:rsid w:val="00211E1F"/>
    <w:rsid w:val="00212194"/>
    <w:rsid w:val="00212D1A"/>
    <w:rsid w:val="002135E9"/>
    <w:rsid w:val="00213C12"/>
    <w:rsid w:val="002142AC"/>
    <w:rsid w:val="002146A1"/>
    <w:rsid w:val="00214D73"/>
    <w:rsid w:val="002152A5"/>
    <w:rsid w:val="00215A14"/>
    <w:rsid w:val="002161B3"/>
    <w:rsid w:val="0021661A"/>
    <w:rsid w:val="00217362"/>
    <w:rsid w:val="00217D21"/>
    <w:rsid w:val="002205E2"/>
    <w:rsid w:val="00221043"/>
    <w:rsid w:val="00221ECB"/>
    <w:rsid w:val="00222347"/>
    <w:rsid w:val="002229E9"/>
    <w:rsid w:val="0022312C"/>
    <w:rsid w:val="00224337"/>
    <w:rsid w:val="002250CC"/>
    <w:rsid w:val="002255D9"/>
    <w:rsid w:val="002260C7"/>
    <w:rsid w:val="00226161"/>
    <w:rsid w:val="00226C57"/>
    <w:rsid w:val="00227870"/>
    <w:rsid w:val="0022794A"/>
    <w:rsid w:val="00227CE9"/>
    <w:rsid w:val="0023054D"/>
    <w:rsid w:val="00230BA4"/>
    <w:rsid w:val="00230E81"/>
    <w:rsid w:val="0023125F"/>
    <w:rsid w:val="0023257B"/>
    <w:rsid w:val="00233A18"/>
    <w:rsid w:val="00233D0A"/>
    <w:rsid w:val="002348E8"/>
    <w:rsid w:val="00235E38"/>
    <w:rsid w:val="002400F7"/>
    <w:rsid w:val="002417A7"/>
    <w:rsid w:val="002430F5"/>
    <w:rsid w:val="00243702"/>
    <w:rsid w:val="0024398A"/>
    <w:rsid w:val="00243A1E"/>
    <w:rsid w:val="00243BBE"/>
    <w:rsid w:val="00243D55"/>
    <w:rsid w:val="002446AD"/>
    <w:rsid w:val="00245544"/>
    <w:rsid w:val="00246307"/>
    <w:rsid w:val="002465C0"/>
    <w:rsid w:val="002468A3"/>
    <w:rsid w:val="00246E36"/>
    <w:rsid w:val="00250746"/>
    <w:rsid w:val="00250986"/>
    <w:rsid w:val="00250E06"/>
    <w:rsid w:val="0025127C"/>
    <w:rsid w:val="00251341"/>
    <w:rsid w:val="0025139A"/>
    <w:rsid w:val="002513B4"/>
    <w:rsid w:val="00251648"/>
    <w:rsid w:val="002516DB"/>
    <w:rsid w:val="002516EF"/>
    <w:rsid w:val="0025276B"/>
    <w:rsid w:val="00252810"/>
    <w:rsid w:val="002529A2"/>
    <w:rsid w:val="00253476"/>
    <w:rsid w:val="002540AE"/>
    <w:rsid w:val="00254E78"/>
    <w:rsid w:val="0025547B"/>
    <w:rsid w:val="00255502"/>
    <w:rsid w:val="00255863"/>
    <w:rsid w:val="002558A1"/>
    <w:rsid w:val="00255D83"/>
    <w:rsid w:val="00256E3E"/>
    <w:rsid w:val="00257075"/>
    <w:rsid w:val="00257087"/>
    <w:rsid w:val="00257223"/>
    <w:rsid w:val="002579D5"/>
    <w:rsid w:val="00260CA1"/>
    <w:rsid w:val="0026159E"/>
    <w:rsid w:val="00262279"/>
    <w:rsid w:val="00262360"/>
    <w:rsid w:val="002623BF"/>
    <w:rsid w:val="00264241"/>
    <w:rsid w:val="0026608E"/>
    <w:rsid w:val="00266100"/>
    <w:rsid w:val="00266B09"/>
    <w:rsid w:val="00267921"/>
    <w:rsid w:val="00267AA2"/>
    <w:rsid w:val="00267E8B"/>
    <w:rsid w:val="0027004C"/>
    <w:rsid w:val="00270598"/>
    <w:rsid w:val="00270D30"/>
    <w:rsid w:val="002712CD"/>
    <w:rsid w:val="00271374"/>
    <w:rsid w:val="00271536"/>
    <w:rsid w:val="0027194A"/>
    <w:rsid w:val="00273D09"/>
    <w:rsid w:val="00275831"/>
    <w:rsid w:val="0027731D"/>
    <w:rsid w:val="00277417"/>
    <w:rsid w:val="00277518"/>
    <w:rsid w:val="00277A19"/>
    <w:rsid w:val="00280BEE"/>
    <w:rsid w:val="002817D0"/>
    <w:rsid w:val="00281E28"/>
    <w:rsid w:val="002821F7"/>
    <w:rsid w:val="00282AE4"/>
    <w:rsid w:val="00282EEF"/>
    <w:rsid w:val="00282FE2"/>
    <w:rsid w:val="00284A52"/>
    <w:rsid w:val="00284B1A"/>
    <w:rsid w:val="00285EED"/>
    <w:rsid w:val="00286107"/>
    <w:rsid w:val="002868FB"/>
    <w:rsid w:val="00286C31"/>
    <w:rsid w:val="00286C78"/>
    <w:rsid w:val="00286D32"/>
    <w:rsid w:val="002873EA"/>
    <w:rsid w:val="0029063E"/>
    <w:rsid w:val="00290F0D"/>
    <w:rsid w:val="0029118B"/>
    <w:rsid w:val="002920F2"/>
    <w:rsid w:val="00292690"/>
    <w:rsid w:val="00292A6E"/>
    <w:rsid w:val="00292C4D"/>
    <w:rsid w:val="002936CC"/>
    <w:rsid w:val="00293784"/>
    <w:rsid w:val="002938A1"/>
    <w:rsid w:val="00295A0A"/>
    <w:rsid w:val="002961FA"/>
    <w:rsid w:val="00296A5A"/>
    <w:rsid w:val="00297C6A"/>
    <w:rsid w:val="002A099A"/>
    <w:rsid w:val="002A2489"/>
    <w:rsid w:val="002A24FD"/>
    <w:rsid w:val="002A274C"/>
    <w:rsid w:val="002A3E21"/>
    <w:rsid w:val="002A47BA"/>
    <w:rsid w:val="002A5737"/>
    <w:rsid w:val="002A61A4"/>
    <w:rsid w:val="002A6966"/>
    <w:rsid w:val="002A7703"/>
    <w:rsid w:val="002A796E"/>
    <w:rsid w:val="002B1F34"/>
    <w:rsid w:val="002B28E0"/>
    <w:rsid w:val="002B4108"/>
    <w:rsid w:val="002B46E0"/>
    <w:rsid w:val="002B5149"/>
    <w:rsid w:val="002B5AE9"/>
    <w:rsid w:val="002B6644"/>
    <w:rsid w:val="002B6CD0"/>
    <w:rsid w:val="002B6EA6"/>
    <w:rsid w:val="002B761E"/>
    <w:rsid w:val="002B7754"/>
    <w:rsid w:val="002B79E4"/>
    <w:rsid w:val="002B7E1C"/>
    <w:rsid w:val="002B7FE5"/>
    <w:rsid w:val="002C25C6"/>
    <w:rsid w:val="002C27A5"/>
    <w:rsid w:val="002C28AC"/>
    <w:rsid w:val="002C2A53"/>
    <w:rsid w:val="002C3244"/>
    <w:rsid w:val="002C40D5"/>
    <w:rsid w:val="002C45FA"/>
    <w:rsid w:val="002C4D49"/>
    <w:rsid w:val="002C5DC3"/>
    <w:rsid w:val="002C5EBE"/>
    <w:rsid w:val="002C6BF9"/>
    <w:rsid w:val="002C6DCE"/>
    <w:rsid w:val="002C7EA9"/>
    <w:rsid w:val="002D0315"/>
    <w:rsid w:val="002D095E"/>
    <w:rsid w:val="002D0BCF"/>
    <w:rsid w:val="002D14AF"/>
    <w:rsid w:val="002D188A"/>
    <w:rsid w:val="002D1D94"/>
    <w:rsid w:val="002D230E"/>
    <w:rsid w:val="002D32E3"/>
    <w:rsid w:val="002D3744"/>
    <w:rsid w:val="002D3DA3"/>
    <w:rsid w:val="002D43A9"/>
    <w:rsid w:val="002D4B0B"/>
    <w:rsid w:val="002D5319"/>
    <w:rsid w:val="002D5B9C"/>
    <w:rsid w:val="002D72F8"/>
    <w:rsid w:val="002D734C"/>
    <w:rsid w:val="002D7E30"/>
    <w:rsid w:val="002E0426"/>
    <w:rsid w:val="002E0CC8"/>
    <w:rsid w:val="002E0FB5"/>
    <w:rsid w:val="002E113D"/>
    <w:rsid w:val="002E11DD"/>
    <w:rsid w:val="002E21E7"/>
    <w:rsid w:val="002E2B4D"/>
    <w:rsid w:val="002E2CD8"/>
    <w:rsid w:val="002E386F"/>
    <w:rsid w:val="002E472E"/>
    <w:rsid w:val="002E51C6"/>
    <w:rsid w:val="002E5AE8"/>
    <w:rsid w:val="002E714D"/>
    <w:rsid w:val="002E7F7A"/>
    <w:rsid w:val="002F06E5"/>
    <w:rsid w:val="002F0B1A"/>
    <w:rsid w:val="002F13E5"/>
    <w:rsid w:val="002F2665"/>
    <w:rsid w:val="002F2A82"/>
    <w:rsid w:val="002F2C81"/>
    <w:rsid w:val="002F444A"/>
    <w:rsid w:val="002F47FA"/>
    <w:rsid w:val="002F4919"/>
    <w:rsid w:val="002F4BED"/>
    <w:rsid w:val="002F5B16"/>
    <w:rsid w:val="002F604A"/>
    <w:rsid w:val="002F6E80"/>
    <w:rsid w:val="002F7659"/>
    <w:rsid w:val="002F7D69"/>
    <w:rsid w:val="00300280"/>
    <w:rsid w:val="003002A0"/>
    <w:rsid w:val="00301420"/>
    <w:rsid w:val="00301DCA"/>
    <w:rsid w:val="003036E7"/>
    <w:rsid w:val="00303A3C"/>
    <w:rsid w:val="00303D8A"/>
    <w:rsid w:val="00305863"/>
    <w:rsid w:val="003058AF"/>
    <w:rsid w:val="00305AEF"/>
    <w:rsid w:val="00305B3F"/>
    <w:rsid w:val="00305BF4"/>
    <w:rsid w:val="00305C52"/>
    <w:rsid w:val="00306182"/>
    <w:rsid w:val="003070B2"/>
    <w:rsid w:val="00307EB1"/>
    <w:rsid w:val="00310525"/>
    <w:rsid w:val="003107C1"/>
    <w:rsid w:val="00310986"/>
    <w:rsid w:val="00311958"/>
    <w:rsid w:val="00311A77"/>
    <w:rsid w:val="00312849"/>
    <w:rsid w:val="00312C4B"/>
    <w:rsid w:val="00312F56"/>
    <w:rsid w:val="00313AE2"/>
    <w:rsid w:val="003142CF"/>
    <w:rsid w:val="00314C9E"/>
    <w:rsid w:val="003156CE"/>
    <w:rsid w:val="003158F2"/>
    <w:rsid w:val="0031611F"/>
    <w:rsid w:val="00316242"/>
    <w:rsid w:val="00320B59"/>
    <w:rsid w:val="00320F96"/>
    <w:rsid w:val="00323342"/>
    <w:rsid w:val="0032402D"/>
    <w:rsid w:val="0032408C"/>
    <w:rsid w:val="0032463E"/>
    <w:rsid w:val="0032472C"/>
    <w:rsid w:val="00324CF0"/>
    <w:rsid w:val="00324EF2"/>
    <w:rsid w:val="00325E43"/>
    <w:rsid w:val="00327166"/>
    <w:rsid w:val="00327E81"/>
    <w:rsid w:val="003304DB"/>
    <w:rsid w:val="00331774"/>
    <w:rsid w:val="00331A62"/>
    <w:rsid w:val="00331D7E"/>
    <w:rsid w:val="003321D1"/>
    <w:rsid w:val="00332D2F"/>
    <w:rsid w:val="00334400"/>
    <w:rsid w:val="003349D9"/>
    <w:rsid w:val="00334C61"/>
    <w:rsid w:val="00334C9D"/>
    <w:rsid w:val="003352A5"/>
    <w:rsid w:val="0033567D"/>
    <w:rsid w:val="00335FC2"/>
    <w:rsid w:val="00336B58"/>
    <w:rsid w:val="0033715E"/>
    <w:rsid w:val="003378BD"/>
    <w:rsid w:val="003405A5"/>
    <w:rsid w:val="00341169"/>
    <w:rsid w:val="00341B40"/>
    <w:rsid w:val="00341EAF"/>
    <w:rsid w:val="003423C4"/>
    <w:rsid w:val="003434E8"/>
    <w:rsid w:val="00343908"/>
    <w:rsid w:val="00344CF2"/>
    <w:rsid w:val="00344FE6"/>
    <w:rsid w:val="00345CF5"/>
    <w:rsid w:val="00347377"/>
    <w:rsid w:val="0035080B"/>
    <w:rsid w:val="00350F52"/>
    <w:rsid w:val="003512B5"/>
    <w:rsid w:val="00352EC9"/>
    <w:rsid w:val="00353ADB"/>
    <w:rsid w:val="00354932"/>
    <w:rsid w:val="00354E37"/>
    <w:rsid w:val="0035559D"/>
    <w:rsid w:val="00355E42"/>
    <w:rsid w:val="003563D1"/>
    <w:rsid w:val="00356AC4"/>
    <w:rsid w:val="00357454"/>
    <w:rsid w:val="00357839"/>
    <w:rsid w:val="00357C8A"/>
    <w:rsid w:val="0036007B"/>
    <w:rsid w:val="003609AA"/>
    <w:rsid w:val="003609AB"/>
    <w:rsid w:val="003609F8"/>
    <w:rsid w:val="00360DB8"/>
    <w:rsid w:val="00362052"/>
    <w:rsid w:val="0036266C"/>
    <w:rsid w:val="003630C3"/>
    <w:rsid w:val="00363277"/>
    <w:rsid w:val="003632AD"/>
    <w:rsid w:val="00363A81"/>
    <w:rsid w:val="0036429D"/>
    <w:rsid w:val="00364D4B"/>
    <w:rsid w:val="00364E9C"/>
    <w:rsid w:val="0036631B"/>
    <w:rsid w:val="00367982"/>
    <w:rsid w:val="00367B36"/>
    <w:rsid w:val="00367DDA"/>
    <w:rsid w:val="00367F6D"/>
    <w:rsid w:val="003709CB"/>
    <w:rsid w:val="00370E3F"/>
    <w:rsid w:val="0037100C"/>
    <w:rsid w:val="00371886"/>
    <w:rsid w:val="00372B72"/>
    <w:rsid w:val="00373483"/>
    <w:rsid w:val="003740B7"/>
    <w:rsid w:val="00374583"/>
    <w:rsid w:val="00375829"/>
    <w:rsid w:val="00375D8D"/>
    <w:rsid w:val="00377BA0"/>
    <w:rsid w:val="00377D3E"/>
    <w:rsid w:val="00380DFA"/>
    <w:rsid w:val="00381CD5"/>
    <w:rsid w:val="00382072"/>
    <w:rsid w:val="003822E9"/>
    <w:rsid w:val="00382C13"/>
    <w:rsid w:val="003836AA"/>
    <w:rsid w:val="0038422C"/>
    <w:rsid w:val="0038534C"/>
    <w:rsid w:val="00385F7D"/>
    <w:rsid w:val="0038607B"/>
    <w:rsid w:val="00387338"/>
    <w:rsid w:val="003875E8"/>
    <w:rsid w:val="003909B5"/>
    <w:rsid w:val="00392045"/>
    <w:rsid w:val="00392A8B"/>
    <w:rsid w:val="00392FA3"/>
    <w:rsid w:val="003936FA"/>
    <w:rsid w:val="00393AD4"/>
    <w:rsid w:val="003945ED"/>
    <w:rsid w:val="00394C0C"/>
    <w:rsid w:val="0039543D"/>
    <w:rsid w:val="00395528"/>
    <w:rsid w:val="00395642"/>
    <w:rsid w:val="00395E86"/>
    <w:rsid w:val="003A0889"/>
    <w:rsid w:val="003A0E92"/>
    <w:rsid w:val="003A155F"/>
    <w:rsid w:val="003A1921"/>
    <w:rsid w:val="003A2242"/>
    <w:rsid w:val="003A2476"/>
    <w:rsid w:val="003A471A"/>
    <w:rsid w:val="003A4A65"/>
    <w:rsid w:val="003A5E5D"/>
    <w:rsid w:val="003A63E2"/>
    <w:rsid w:val="003A67CA"/>
    <w:rsid w:val="003A6C0C"/>
    <w:rsid w:val="003A7C60"/>
    <w:rsid w:val="003B0D29"/>
    <w:rsid w:val="003B1D2F"/>
    <w:rsid w:val="003B2551"/>
    <w:rsid w:val="003B3FB3"/>
    <w:rsid w:val="003B404F"/>
    <w:rsid w:val="003B4230"/>
    <w:rsid w:val="003B43ED"/>
    <w:rsid w:val="003B4430"/>
    <w:rsid w:val="003B4496"/>
    <w:rsid w:val="003B4760"/>
    <w:rsid w:val="003B504F"/>
    <w:rsid w:val="003B5FB2"/>
    <w:rsid w:val="003B6287"/>
    <w:rsid w:val="003B71E3"/>
    <w:rsid w:val="003B7346"/>
    <w:rsid w:val="003B7ACE"/>
    <w:rsid w:val="003B7B49"/>
    <w:rsid w:val="003C0070"/>
    <w:rsid w:val="003C010A"/>
    <w:rsid w:val="003C0926"/>
    <w:rsid w:val="003C0F4C"/>
    <w:rsid w:val="003C166F"/>
    <w:rsid w:val="003C178E"/>
    <w:rsid w:val="003C20DA"/>
    <w:rsid w:val="003C2BA7"/>
    <w:rsid w:val="003C33DA"/>
    <w:rsid w:val="003C5188"/>
    <w:rsid w:val="003C5776"/>
    <w:rsid w:val="003C5F6F"/>
    <w:rsid w:val="003C7906"/>
    <w:rsid w:val="003C7EDA"/>
    <w:rsid w:val="003D02F6"/>
    <w:rsid w:val="003D04F7"/>
    <w:rsid w:val="003D06B6"/>
    <w:rsid w:val="003D1EC6"/>
    <w:rsid w:val="003D2109"/>
    <w:rsid w:val="003D2325"/>
    <w:rsid w:val="003D4F51"/>
    <w:rsid w:val="003D5A26"/>
    <w:rsid w:val="003D6B8D"/>
    <w:rsid w:val="003D76D3"/>
    <w:rsid w:val="003E02AA"/>
    <w:rsid w:val="003E108A"/>
    <w:rsid w:val="003E1842"/>
    <w:rsid w:val="003E1AE5"/>
    <w:rsid w:val="003E22DA"/>
    <w:rsid w:val="003E35DA"/>
    <w:rsid w:val="003E3B86"/>
    <w:rsid w:val="003E3C8E"/>
    <w:rsid w:val="003E3CD5"/>
    <w:rsid w:val="003E4CE1"/>
    <w:rsid w:val="003E500D"/>
    <w:rsid w:val="003E59E8"/>
    <w:rsid w:val="003E600D"/>
    <w:rsid w:val="003E6814"/>
    <w:rsid w:val="003E783A"/>
    <w:rsid w:val="003E7D66"/>
    <w:rsid w:val="003E7FBE"/>
    <w:rsid w:val="003F02B1"/>
    <w:rsid w:val="003F02E2"/>
    <w:rsid w:val="003F38A1"/>
    <w:rsid w:val="003F3A54"/>
    <w:rsid w:val="003F480E"/>
    <w:rsid w:val="003F6D21"/>
    <w:rsid w:val="003F6DF6"/>
    <w:rsid w:val="00400075"/>
    <w:rsid w:val="004017C2"/>
    <w:rsid w:val="00401B28"/>
    <w:rsid w:val="004028F2"/>
    <w:rsid w:val="00403422"/>
    <w:rsid w:val="00403929"/>
    <w:rsid w:val="00404180"/>
    <w:rsid w:val="00405888"/>
    <w:rsid w:val="00406396"/>
    <w:rsid w:val="0040645F"/>
    <w:rsid w:val="00406675"/>
    <w:rsid w:val="00406C5F"/>
    <w:rsid w:val="00406E57"/>
    <w:rsid w:val="004070EE"/>
    <w:rsid w:val="0041098C"/>
    <w:rsid w:val="0041161E"/>
    <w:rsid w:val="00411625"/>
    <w:rsid w:val="0041269F"/>
    <w:rsid w:val="004130AF"/>
    <w:rsid w:val="00413AD8"/>
    <w:rsid w:val="00413C05"/>
    <w:rsid w:val="00413DBF"/>
    <w:rsid w:val="004146E4"/>
    <w:rsid w:val="00414BC5"/>
    <w:rsid w:val="00415FD5"/>
    <w:rsid w:val="0041706F"/>
    <w:rsid w:val="00417802"/>
    <w:rsid w:val="00421232"/>
    <w:rsid w:val="004212ED"/>
    <w:rsid w:val="004218E7"/>
    <w:rsid w:val="00421A1F"/>
    <w:rsid w:val="004223AC"/>
    <w:rsid w:val="004224FF"/>
    <w:rsid w:val="00423405"/>
    <w:rsid w:val="00424369"/>
    <w:rsid w:val="004247B1"/>
    <w:rsid w:val="00424ACA"/>
    <w:rsid w:val="00425592"/>
    <w:rsid w:val="00425747"/>
    <w:rsid w:val="00425CD7"/>
    <w:rsid w:val="00425F42"/>
    <w:rsid w:val="00426284"/>
    <w:rsid w:val="0042636E"/>
    <w:rsid w:val="004271F8"/>
    <w:rsid w:val="00427540"/>
    <w:rsid w:val="00430033"/>
    <w:rsid w:val="004306DE"/>
    <w:rsid w:val="00430A95"/>
    <w:rsid w:val="00430DCA"/>
    <w:rsid w:val="00430EEE"/>
    <w:rsid w:val="004310D0"/>
    <w:rsid w:val="004310D1"/>
    <w:rsid w:val="00432537"/>
    <w:rsid w:val="00432554"/>
    <w:rsid w:val="00432EC8"/>
    <w:rsid w:val="004330AB"/>
    <w:rsid w:val="0043345B"/>
    <w:rsid w:val="004338C6"/>
    <w:rsid w:val="00434175"/>
    <w:rsid w:val="00434369"/>
    <w:rsid w:val="004359DF"/>
    <w:rsid w:val="00436427"/>
    <w:rsid w:val="0043737F"/>
    <w:rsid w:val="004379F3"/>
    <w:rsid w:val="00437E68"/>
    <w:rsid w:val="00440010"/>
    <w:rsid w:val="00441686"/>
    <w:rsid w:val="00441AE9"/>
    <w:rsid w:val="00441EB2"/>
    <w:rsid w:val="00442257"/>
    <w:rsid w:val="00443B2D"/>
    <w:rsid w:val="00443BBF"/>
    <w:rsid w:val="00444A27"/>
    <w:rsid w:val="00444A2E"/>
    <w:rsid w:val="00444D8A"/>
    <w:rsid w:val="00445509"/>
    <w:rsid w:val="00447BDA"/>
    <w:rsid w:val="00450D9D"/>
    <w:rsid w:val="0045123D"/>
    <w:rsid w:val="00451E33"/>
    <w:rsid w:val="004526BE"/>
    <w:rsid w:val="004539B1"/>
    <w:rsid w:val="00453D1E"/>
    <w:rsid w:val="00454BD6"/>
    <w:rsid w:val="00454C01"/>
    <w:rsid w:val="004554CD"/>
    <w:rsid w:val="00455884"/>
    <w:rsid w:val="00455B28"/>
    <w:rsid w:val="00456DDD"/>
    <w:rsid w:val="0045767C"/>
    <w:rsid w:val="004579CE"/>
    <w:rsid w:val="004605F0"/>
    <w:rsid w:val="00460F3B"/>
    <w:rsid w:val="00461964"/>
    <w:rsid w:val="004650CE"/>
    <w:rsid w:val="00466006"/>
    <w:rsid w:val="00466B0D"/>
    <w:rsid w:val="00467DBF"/>
    <w:rsid w:val="0047007F"/>
    <w:rsid w:val="00470A33"/>
    <w:rsid w:val="00470FC8"/>
    <w:rsid w:val="00471458"/>
    <w:rsid w:val="004716D8"/>
    <w:rsid w:val="00471C50"/>
    <w:rsid w:val="00472AC4"/>
    <w:rsid w:val="00473427"/>
    <w:rsid w:val="004739B1"/>
    <w:rsid w:val="00473A8E"/>
    <w:rsid w:val="00473DF2"/>
    <w:rsid w:val="004747F1"/>
    <w:rsid w:val="00474803"/>
    <w:rsid w:val="00474ACC"/>
    <w:rsid w:val="004751C3"/>
    <w:rsid w:val="00475E76"/>
    <w:rsid w:val="00476064"/>
    <w:rsid w:val="00476299"/>
    <w:rsid w:val="004801A8"/>
    <w:rsid w:val="00481139"/>
    <w:rsid w:val="004818EC"/>
    <w:rsid w:val="00481B2C"/>
    <w:rsid w:val="00482AF2"/>
    <w:rsid w:val="00485AA2"/>
    <w:rsid w:val="00485AA4"/>
    <w:rsid w:val="00485CBE"/>
    <w:rsid w:val="004860BE"/>
    <w:rsid w:val="004867BB"/>
    <w:rsid w:val="004867F7"/>
    <w:rsid w:val="00486C93"/>
    <w:rsid w:val="004871E6"/>
    <w:rsid w:val="00490B4E"/>
    <w:rsid w:val="004914D7"/>
    <w:rsid w:val="0049190A"/>
    <w:rsid w:val="00492841"/>
    <w:rsid w:val="0049295E"/>
    <w:rsid w:val="004938FC"/>
    <w:rsid w:val="004939F0"/>
    <w:rsid w:val="00493DB7"/>
    <w:rsid w:val="00493EB1"/>
    <w:rsid w:val="00494439"/>
    <w:rsid w:val="00494CC3"/>
    <w:rsid w:val="00495381"/>
    <w:rsid w:val="00495C86"/>
    <w:rsid w:val="00495EC8"/>
    <w:rsid w:val="0049688C"/>
    <w:rsid w:val="00497E05"/>
    <w:rsid w:val="004A022B"/>
    <w:rsid w:val="004A0D3C"/>
    <w:rsid w:val="004A157C"/>
    <w:rsid w:val="004A19B9"/>
    <w:rsid w:val="004A2B32"/>
    <w:rsid w:val="004A2FF4"/>
    <w:rsid w:val="004A3C71"/>
    <w:rsid w:val="004A4766"/>
    <w:rsid w:val="004A47BD"/>
    <w:rsid w:val="004A52FC"/>
    <w:rsid w:val="004A5765"/>
    <w:rsid w:val="004A64FC"/>
    <w:rsid w:val="004A6E18"/>
    <w:rsid w:val="004A706F"/>
    <w:rsid w:val="004A74E4"/>
    <w:rsid w:val="004B0BA7"/>
    <w:rsid w:val="004B0FDA"/>
    <w:rsid w:val="004B1405"/>
    <w:rsid w:val="004B149F"/>
    <w:rsid w:val="004B15CD"/>
    <w:rsid w:val="004B1C28"/>
    <w:rsid w:val="004B2118"/>
    <w:rsid w:val="004B2A0A"/>
    <w:rsid w:val="004B2B21"/>
    <w:rsid w:val="004B3E6F"/>
    <w:rsid w:val="004B3F48"/>
    <w:rsid w:val="004B4017"/>
    <w:rsid w:val="004B4042"/>
    <w:rsid w:val="004B4266"/>
    <w:rsid w:val="004B4DAE"/>
    <w:rsid w:val="004B5CBA"/>
    <w:rsid w:val="004B684D"/>
    <w:rsid w:val="004B6EA1"/>
    <w:rsid w:val="004B739E"/>
    <w:rsid w:val="004B782A"/>
    <w:rsid w:val="004B7DB6"/>
    <w:rsid w:val="004B7DFC"/>
    <w:rsid w:val="004C0F88"/>
    <w:rsid w:val="004C0F8A"/>
    <w:rsid w:val="004C1464"/>
    <w:rsid w:val="004C2432"/>
    <w:rsid w:val="004C4680"/>
    <w:rsid w:val="004C55CB"/>
    <w:rsid w:val="004C66E0"/>
    <w:rsid w:val="004C73CC"/>
    <w:rsid w:val="004C7698"/>
    <w:rsid w:val="004C7785"/>
    <w:rsid w:val="004C7B67"/>
    <w:rsid w:val="004C7C47"/>
    <w:rsid w:val="004C7FEE"/>
    <w:rsid w:val="004D02CD"/>
    <w:rsid w:val="004D072E"/>
    <w:rsid w:val="004D08E4"/>
    <w:rsid w:val="004D0A63"/>
    <w:rsid w:val="004D0AEB"/>
    <w:rsid w:val="004D0E31"/>
    <w:rsid w:val="004D0F2D"/>
    <w:rsid w:val="004D116E"/>
    <w:rsid w:val="004D169B"/>
    <w:rsid w:val="004D264E"/>
    <w:rsid w:val="004D33B0"/>
    <w:rsid w:val="004D3620"/>
    <w:rsid w:val="004D485E"/>
    <w:rsid w:val="004D4E20"/>
    <w:rsid w:val="004D7671"/>
    <w:rsid w:val="004E048D"/>
    <w:rsid w:val="004E04AC"/>
    <w:rsid w:val="004E0B7D"/>
    <w:rsid w:val="004E0BE5"/>
    <w:rsid w:val="004E1489"/>
    <w:rsid w:val="004E1533"/>
    <w:rsid w:val="004E1C36"/>
    <w:rsid w:val="004E276C"/>
    <w:rsid w:val="004E30C7"/>
    <w:rsid w:val="004E333F"/>
    <w:rsid w:val="004E349D"/>
    <w:rsid w:val="004E36D7"/>
    <w:rsid w:val="004E3797"/>
    <w:rsid w:val="004E5864"/>
    <w:rsid w:val="004E5E9D"/>
    <w:rsid w:val="004E60F5"/>
    <w:rsid w:val="004E6A28"/>
    <w:rsid w:val="004E6F35"/>
    <w:rsid w:val="004E704B"/>
    <w:rsid w:val="004E7D25"/>
    <w:rsid w:val="004F0F22"/>
    <w:rsid w:val="004F127D"/>
    <w:rsid w:val="004F1C64"/>
    <w:rsid w:val="004F1F9A"/>
    <w:rsid w:val="004F3422"/>
    <w:rsid w:val="004F383A"/>
    <w:rsid w:val="004F384D"/>
    <w:rsid w:val="004F386F"/>
    <w:rsid w:val="004F5907"/>
    <w:rsid w:val="004F5E45"/>
    <w:rsid w:val="004F618D"/>
    <w:rsid w:val="00500609"/>
    <w:rsid w:val="00500ED6"/>
    <w:rsid w:val="00500F13"/>
    <w:rsid w:val="0050156A"/>
    <w:rsid w:val="0050185A"/>
    <w:rsid w:val="00502197"/>
    <w:rsid w:val="00502CF6"/>
    <w:rsid w:val="00502F86"/>
    <w:rsid w:val="005030D9"/>
    <w:rsid w:val="00503B8D"/>
    <w:rsid w:val="00504330"/>
    <w:rsid w:val="00504ACD"/>
    <w:rsid w:val="00504D39"/>
    <w:rsid w:val="00505843"/>
    <w:rsid w:val="00505D5D"/>
    <w:rsid w:val="00505F1C"/>
    <w:rsid w:val="00506299"/>
    <w:rsid w:val="00507B91"/>
    <w:rsid w:val="00510464"/>
    <w:rsid w:val="00510B42"/>
    <w:rsid w:val="005113BF"/>
    <w:rsid w:val="00511F4E"/>
    <w:rsid w:val="005124C8"/>
    <w:rsid w:val="00512522"/>
    <w:rsid w:val="00512D14"/>
    <w:rsid w:val="005130CC"/>
    <w:rsid w:val="005137DB"/>
    <w:rsid w:val="00513F29"/>
    <w:rsid w:val="00515656"/>
    <w:rsid w:val="0051570B"/>
    <w:rsid w:val="00516590"/>
    <w:rsid w:val="00516958"/>
    <w:rsid w:val="0051714F"/>
    <w:rsid w:val="005172D6"/>
    <w:rsid w:val="00520403"/>
    <w:rsid w:val="00520778"/>
    <w:rsid w:val="0052106E"/>
    <w:rsid w:val="005219C4"/>
    <w:rsid w:val="00522CC4"/>
    <w:rsid w:val="00522E96"/>
    <w:rsid w:val="005233A2"/>
    <w:rsid w:val="005235FC"/>
    <w:rsid w:val="00523E5F"/>
    <w:rsid w:val="00524807"/>
    <w:rsid w:val="00524D87"/>
    <w:rsid w:val="00524F61"/>
    <w:rsid w:val="00525114"/>
    <w:rsid w:val="0052536F"/>
    <w:rsid w:val="005258C9"/>
    <w:rsid w:val="00525DA2"/>
    <w:rsid w:val="00526A15"/>
    <w:rsid w:val="00527634"/>
    <w:rsid w:val="0052783F"/>
    <w:rsid w:val="005304D1"/>
    <w:rsid w:val="00532A7D"/>
    <w:rsid w:val="00533816"/>
    <w:rsid w:val="00533B42"/>
    <w:rsid w:val="00533BDE"/>
    <w:rsid w:val="00533C99"/>
    <w:rsid w:val="00534A75"/>
    <w:rsid w:val="00534ABD"/>
    <w:rsid w:val="00534CBE"/>
    <w:rsid w:val="00535028"/>
    <w:rsid w:val="00535319"/>
    <w:rsid w:val="00535A4C"/>
    <w:rsid w:val="00535E56"/>
    <w:rsid w:val="005368B6"/>
    <w:rsid w:val="00536AC2"/>
    <w:rsid w:val="00536AC7"/>
    <w:rsid w:val="00536CDC"/>
    <w:rsid w:val="00537E56"/>
    <w:rsid w:val="0054129C"/>
    <w:rsid w:val="00541DD0"/>
    <w:rsid w:val="005422B7"/>
    <w:rsid w:val="00542568"/>
    <w:rsid w:val="00543256"/>
    <w:rsid w:val="005435EA"/>
    <w:rsid w:val="00543E2E"/>
    <w:rsid w:val="00544F73"/>
    <w:rsid w:val="0054518D"/>
    <w:rsid w:val="00545279"/>
    <w:rsid w:val="00545D63"/>
    <w:rsid w:val="005464B0"/>
    <w:rsid w:val="00546936"/>
    <w:rsid w:val="00546CD1"/>
    <w:rsid w:val="0054747E"/>
    <w:rsid w:val="00550430"/>
    <w:rsid w:val="005515AB"/>
    <w:rsid w:val="00551E7F"/>
    <w:rsid w:val="00552531"/>
    <w:rsid w:val="005529EB"/>
    <w:rsid w:val="00552A60"/>
    <w:rsid w:val="005539DE"/>
    <w:rsid w:val="00553ABB"/>
    <w:rsid w:val="00553C0C"/>
    <w:rsid w:val="00553E65"/>
    <w:rsid w:val="0055479D"/>
    <w:rsid w:val="00554891"/>
    <w:rsid w:val="005554C0"/>
    <w:rsid w:val="00555D15"/>
    <w:rsid w:val="005572AB"/>
    <w:rsid w:val="00557D9B"/>
    <w:rsid w:val="00560C0A"/>
    <w:rsid w:val="00560D7A"/>
    <w:rsid w:val="00562426"/>
    <w:rsid w:val="0056259B"/>
    <w:rsid w:val="00563390"/>
    <w:rsid w:val="00563799"/>
    <w:rsid w:val="005643C8"/>
    <w:rsid w:val="00565813"/>
    <w:rsid w:val="005661C6"/>
    <w:rsid w:val="0056764B"/>
    <w:rsid w:val="00567E8D"/>
    <w:rsid w:val="00570929"/>
    <w:rsid w:val="00571921"/>
    <w:rsid w:val="005722E9"/>
    <w:rsid w:val="0057233F"/>
    <w:rsid w:val="00572C41"/>
    <w:rsid w:val="00572D3B"/>
    <w:rsid w:val="00572DE5"/>
    <w:rsid w:val="00573836"/>
    <w:rsid w:val="0057398A"/>
    <w:rsid w:val="00574D1E"/>
    <w:rsid w:val="0057648F"/>
    <w:rsid w:val="00576899"/>
    <w:rsid w:val="00576DBE"/>
    <w:rsid w:val="00577264"/>
    <w:rsid w:val="00577932"/>
    <w:rsid w:val="0058055B"/>
    <w:rsid w:val="00580906"/>
    <w:rsid w:val="00581F00"/>
    <w:rsid w:val="0058209C"/>
    <w:rsid w:val="0058218A"/>
    <w:rsid w:val="00582A50"/>
    <w:rsid w:val="00582D20"/>
    <w:rsid w:val="0058303C"/>
    <w:rsid w:val="00583188"/>
    <w:rsid w:val="00583426"/>
    <w:rsid w:val="0058373B"/>
    <w:rsid w:val="005838F1"/>
    <w:rsid w:val="00583E4E"/>
    <w:rsid w:val="005840CF"/>
    <w:rsid w:val="00584A0E"/>
    <w:rsid w:val="00584EE3"/>
    <w:rsid w:val="0058544C"/>
    <w:rsid w:val="00585A0E"/>
    <w:rsid w:val="00586925"/>
    <w:rsid w:val="00586A29"/>
    <w:rsid w:val="00587379"/>
    <w:rsid w:val="005900C2"/>
    <w:rsid w:val="005908AC"/>
    <w:rsid w:val="00591585"/>
    <w:rsid w:val="0059241A"/>
    <w:rsid w:val="00593150"/>
    <w:rsid w:val="005936C4"/>
    <w:rsid w:val="00593E6B"/>
    <w:rsid w:val="00594059"/>
    <w:rsid w:val="0059425D"/>
    <w:rsid w:val="00595361"/>
    <w:rsid w:val="005953CA"/>
    <w:rsid w:val="005954CA"/>
    <w:rsid w:val="005956BE"/>
    <w:rsid w:val="00595BA1"/>
    <w:rsid w:val="00595DC6"/>
    <w:rsid w:val="005962D6"/>
    <w:rsid w:val="005972BA"/>
    <w:rsid w:val="0059779E"/>
    <w:rsid w:val="005A0434"/>
    <w:rsid w:val="005A1A17"/>
    <w:rsid w:val="005A1B48"/>
    <w:rsid w:val="005A285A"/>
    <w:rsid w:val="005A2F8B"/>
    <w:rsid w:val="005A3296"/>
    <w:rsid w:val="005A391C"/>
    <w:rsid w:val="005A3FC6"/>
    <w:rsid w:val="005A40CC"/>
    <w:rsid w:val="005A4777"/>
    <w:rsid w:val="005A566F"/>
    <w:rsid w:val="005A5E3D"/>
    <w:rsid w:val="005A6355"/>
    <w:rsid w:val="005A6D52"/>
    <w:rsid w:val="005A6DD7"/>
    <w:rsid w:val="005A7173"/>
    <w:rsid w:val="005A71CD"/>
    <w:rsid w:val="005A77BB"/>
    <w:rsid w:val="005A7812"/>
    <w:rsid w:val="005A7E3E"/>
    <w:rsid w:val="005B015E"/>
    <w:rsid w:val="005B177E"/>
    <w:rsid w:val="005B185C"/>
    <w:rsid w:val="005B1BBD"/>
    <w:rsid w:val="005B3499"/>
    <w:rsid w:val="005B3831"/>
    <w:rsid w:val="005B4470"/>
    <w:rsid w:val="005B4BD8"/>
    <w:rsid w:val="005B4CCB"/>
    <w:rsid w:val="005B4D2A"/>
    <w:rsid w:val="005B521E"/>
    <w:rsid w:val="005B5285"/>
    <w:rsid w:val="005B71DB"/>
    <w:rsid w:val="005B7B2E"/>
    <w:rsid w:val="005C0518"/>
    <w:rsid w:val="005C18FD"/>
    <w:rsid w:val="005C1E0E"/>
    <w:rsid w:val="005C2EED"/>
    <w:rsid w:val="005C2FDF"/>
    <w:rsid w:val="005C3463"/>
    <w:rsid w:val="005C36FD"/>
    <w:rsid w:val="005C3D02"/>
    <w:rsid w:val="005C4A58"/>
    <w:rsid w:val="005C4DC9"/>
    <w:rsid w:val="005C4F06"/>
    <w:rsid w:val="005C512E"/>
    <w:rsid w:val="005C5837"/>
    <w:rsid w:val="005C5E69"/>
    <w:rsid w:val="005C68D5"/>
    <w:rsid w:val="005C70C8"/>
    <w:rsid w:val="005C7309"/>
    <w:rsid w:val="005C7500"/>
    <w:rsid w:val="005C7A9E"/>
    <w:rsid w:val="005D1023"/>
    <w:rsid w:val="005D1C31"/>
    <w:rsid w:val="005D1C37"/>
    <w:rsid w:val="005D1F06"/>
    <w:rsid w:val="005D28A2"/>
    <w:rsid w:val="005D2DAC"/>
    <w:rsid w:val="005D30F5"/>
    <w:rsid w:val="005D32CA"/>
    <w:rsid w:val="005D39F9"/>
    <w:rsid w:val="005D4980"/>
    <w:rsid w:val="005D651D"/>
    <w:rsid w:val="005E1063"/>
    <w:rsid w:val="005E14D1"/>
    <w:rsid w:val="005E1BB5"/>
    <w:rsid w:val="005E1E49"/>
    <w:rsid w:val="005E211F"/>
    <w:rsid w:val="005E2EF3"/>
    <w:rsid w:val="005E30D8"/>
    <w:rsid w:val="005E4644"/>
    <w:rsid w:val="005E5B81"/>
    <w:rsid w:val="005E67A2"/>
    <w:rsid w:val="005E6A1E"/>
    <w:rsid w:val="005F08EF"/>
    <w:rsid w:val="005F1537"/>
    <w:rsid w:val="005F1548"/>
    <w:rsid w:val="005F1884"/>
    <w:rsid w:val="005F1DA6"/>
    <w:rsid w:val="005F206F"/>
    <w:rsid w:val="005F25BA"/>
    <w:rsid w:val="005F2603"/>
    <w:rsid w:val="005F3B56"/>
    <w:rsid w:val="005F3DE7"/>
    <w:rsid w:val="005F3F61"/>
    <w:rsid w:val="005F5527"/>
    <w:rsid w:val="005F5854"/>
    <w:rsid w:val="005F662F"/>
    <w:rsid w:val="005F72FB"/>
    <w:rsid w:val="005F779C"/>
    <w:rsid w:val="006004D0"/>
    <w:rsid w:val="00600684"/>
    <w:rsid w:val="006015BF"/>
    <w:rsid w:val="006019FF"/>
    <w:rsid w:val="00602CC2"/>
    <w:rsid w:val="006032D9"/>
    <w:rsid w:val="00603811"/>
    <w:rsid w:val="006038E6"/>
    <w:rsid w:val="00604689"/>
    <w:rsid w:val="0060468E"/>
    <w:rsid w:val="00605CA9"/>
    <w:rsid w:val="00606032"/>
    <w:rsid w:val="0060787D"/>
    <w:rsid w:val="00607905"/>
    <w:rsid w:val="00611686"/>
    <w:rsid w:val="00612DB2"/>
    <w:rsid w:val="00613353"/>
    <w:rsid w:val="00613507"/>
    <w:rsid w:val="00613A37"/>
    <w:rsid w:val="00614714"/>
    <w:rsid w:val="006147DE"/>
    <w:rsid w:val="006151FA"/>
    <w:rsid w:val="00615B8F"/>
    <w:rsid w:val="006208E7"/>
    <w:rsid w:val="006210BA"/>
    <w:rsid w:val="006216D2"/>
    <w:rsid w:val="00621DCD"/>
    <w:rsid w:val="006234E5"/>
    <w:rsid w:val="00623A73"/>
    <w:rsid w:val="00623EAE"/>
    <w:rsid w:val="006242F6"/>
    <w:rsid w:val="0062658A"/>
    <w:rsid w:val="006267E8"/>
    <w:rsid w:val="006274AB"/>
    <w:rsid w:val="00630CF4"/>
    <w:rsid w:val="00630DE6"/>
    <w:rsid w:val="00631599"/>
    <w:rsid w:val="006319CB"/>
    <w:rsid w:val="00632161"/>
    <w:rsid w:val="0063218C"/>
    <w:rsid w:val="006324D4"/>
    <w:rsid w:val="006324E7"/>
    <w:rsid w:val="00632AB7"/>
    <w:rsid w:val="00632AFD"/>
    <w:rsid w:val="00633F49"/>
    <w:rsid w:val="0063406B"/>
    <w:rsid w:val="006347EE"/>
    <w:rsid w:val="006350AC"/>
    <w:rsid w:val="00635376"/>
    <w:rsid w:val="00635C8A"/>
    <w:rsid w:val="00636857"/>
    <w:rsid w:val="00637738"/>
    <w:rsid w:val="00637AA4"/>
    <w:rsid w:val="00640369"/>
    <w:rsid w:val="006409C3"/>
    <w:rsid w:val="00640D4E"/>
    <w:rsid w:val="00640F17"/>
    <w:rsid w:val="00641716"/>
    <w:rsid w:val="00641F27"/>
    <w:rsid w:val="006422CE"/>
    <w:rsid w:val="00642B07"/>
    <w:rsid w:val="00643E9B"/>
    <w:rsid w:val="0064438B"/>
    <w:rsid w:val="0064441C"/>
    <w:rsid w:val="00644EB9"/>
    <w:rsid w:val="00645093"/>
    <w:rsid w:val="00647524"/>
    <w:rsid w:val="00647E18"/>
    <w:rsid w:val="00647E87"/>
    <w:rsid w:val="00651655"/>
    <w:rsid w:val="006516C5"/>
    <w:rsid w:val="00652A40"/>
    <w:rsid w:val="00655836"/>
    <w:rsid w:val="00655CE2"/>
    <w:rsid w:val="006566D6"/>
    <w:rsid w:val="0065712A"/>
    <w:rsid w:val="00657D0F"/>
    <w:rsid w:val="006606BF"/>
    <w:rsid w:val="0066152A"/>
    <w:rsid w:val="006622DF"/>
    <w:rsid w:val="00663694"/>
    <w:rsid w:val="006651E4"/>
    <w:rsid w:val="00665D5E"/>
    <w:rsid w:val="00667CF8"/>
    <w:rsid w:val="00667FA9"/>
    <w:rsid w:val="00671D21"/>
    <w:rsid w:val="006724FA"/>
    <w:rsid w:val="006726BA"/>
    <w:rsid w:val="00672903"/>
    <w:rsid w:val="0067357A"/>
    <w:rsid w:val="00673A72"/>
    <w:rsid w:val="006745C1"/>
    <w:rsid w:val="00674C1B"/>
    <w:rsid w:val="00675427"/>
    <w:rsid w:val="00675950"/>
    <w:rsid w:val="006759E4"/>
    <w:rsid w:val="00675D2A"/>
    <w:rsid w:val="00675F0F"/>
    <w:rsid w:val="00676746"/>
    <w:rsid w:val="00677CFA"/>
    <w:rsid w:val="00680FE6"/>
    <w:rsid w:val="00681456"/>
    <w:rsid w:val="006814F9"/>
    <w:rsid w:val="0068169E"/>
    <w:rsid w:val="0068353D"/>
    <w:rsid w:val="00684234"/>
    <w:rsid w:val="0068443E"/>
    <w:rsid w:val="0068535C"/>
    <w:rsid w:val="00685CF5"/>
    <w:rsid w:val="00685D16"/>
    <w:rsid w:val="006868AB"/>
    <w:rsid w:val="00686A88"/>
    <w:rsid w:val="00687BC0"/>
    <w:rsid w:val="006902B7"/>
    <w:rsid w:val="00690A8D"/>
    <w:rsid w:val="00690B31"/>
    <w:rsid w:val="00691206"/>
    <w:rsid w:val="00691BAC"/>
    <w:rsid w:val="0069201B"/>
    <w:rsid w:val="00692116"/>
    <w:rsid w:val="006926A3"/>
    <w:rsid w:val="00692DD1"/>
    <w:rsid w:val="00693626"/>
    <w:rsid w:val="0069480F"/>
    <w:rsid w:val="00694B0C"/>
    <w:rsid w:val="00695EEF"/>
    <w:rsid w:val="00696F45"/>
    <w:rsid w:val="00697004"/>
    <w:rsid w:val="006978DF"/>
    <w:rsid w:val="006A13E2"/>
    <w:rsid w:val="006A1481"/>
    <w:rsid w:val="006A182F"/>
    <w:rsid w:val="006A2E56"/>
    <w:rsid w:val="006A30AD"/>
    <w:rsid w:val="006A3375"/>
    <w:rsid w:val="006A5192"/>
    <w:rsid w:val="006A5544"/>
    <w:rsid w:val="006A56A2"/>
    <w:rsid w:val="006A56C3"/>
    <w:rsid w:val="006A5962"/>
    <w:rsid w:val="006A5C30"/>
    <w:rsid w:val="006A64AF"/>
    <w:rsid w:val="006A665F"/>
    <w:rsid w:val="006A6B42"/>
    <w:rsid w:val="006A6D2E"/>
    <w:rsid w:val="006A70E9"/>
    <w:rsid w:val="006A7249"/>
    <w:rsid w:val="006A748A"/>
    <w:rsid w:val="006A74A3"/>
    <w:rsid w:val="006B1AF3"/>
    <w:rsid w:val="006B1C8C"/>
    <w:rsid w:val="006B2320"/>
    <w:rsid w:val="006B2445"/>
    <w:rsid w:val="006B254A"/>
    <w:rsid w:val="006B2D60"/>
    <w:rsid w:val="006B332E"/>
    <w:rsid w:val="006B39A3"/>
    <w:rsid w:val="006B428E"/>
    <w:rsid w:val="006B5AEE"/>
    <w:rsid w:val="006B7C2E"/>
    <w:rsid w:val="006C03A8"/>
    <w:rsid w:val="006C147A"/>
    <w:rsid w:val="006C1F0D"/>
    <w:rsid w:val="006C204A"/>
    <w:rsid w:val="006C205D"/>
    <w:rsid w:val="006C20B6"/>
    <w:rsid w:val="006C233D"/>
    <w:rsid w:val="006C2D02"/>
    <w:rsid w:val="006C335E"/>
    <w:rsid w:val="006C3FEF"/>
    <w:rsid w:val="006C478E"/>
    <w:rsid w:val="006C4CAE"/>
    <w:rsid w:val="006C637A"/>
    <w:rsid w:val="006C672E"/>
    <w:rsid w:val="006C69BC"/>
    <w:rsid w:val="006C6C09"/>
    <w:rsid w:val="006C6D5F"/>
    <w:rsid w:val="006D0195"/>
    <w:rsid w:val="006D0513"/>
    <w:rsid w:val="006D1242"/>
    <w:rsid w:val="006D127F"/>
    <w:rsid w:val="006D1943"/>
    <w:rsid w:val="006D23C6"/>
    <w:rsid w:val="006D249A"/>
    <w:rsid w:val="006D28E1"/>
    <w:rsid w:val="006D29CE"/>
    <w:rsid w:val="006D2DF3"/>
    <w:rsid w:val="006D2FC4"/>
    <w:rsid w:val="006D31E1"/>
    <w:rsid w:val="006D341E"/>
    <w:rsid w:val="006D36AB"/>
    <w:rsid w:val="006D5592"/>
    <w:rsid w:val="006D57DC"/>
    <w:rsid w:val="006D583C"/>
    <w:rsid w:val="006D5CC3"/>
    <w:rsid w:val="006D5E9A"/>
    <w:rsid w:val="006D659F"/>
    <w:rsid w:val="006D6F1E"/>
    <w:rsid w:val="006D767D"/>
    <w:rsid w:val="006E1E9B"/>
    <w:rsid w:val="006E252A"/>
    <w:rsid w:val="006E33FA"/>
    <w:rsid w:val="006E41D1"/>
    <w:rsid w:val="006E46F6"/>
    <w:rsid w:val="006E4F0B"/>
    <w:rsid w:val="006E50ED"/>
    <w:rsid w:val="006E5600"/>
    <w:rsid w:val="006E5885"/>
    <w:rsid w:val="006E7C06"/>
    <w:rsid w:val="006F05C6"/>
    <w:rsid w:val="006F0645"/>
    <w:rsid w:val="006F4374"/>
    <w:rsid w:val="006F5F39"/>
    <w:rsid w:val="006F6CCF"/>
    <w:rsid w:val="006F70C0"/>
    <w:rsid w:val="00700855"/>
    <w:rsid w:val="007010B8"/>
    <w:rsid w:val="00701314"/>
    <w:rsid w:val="007045FB"/>
    <w:rsid w:val="0070490B"/>
    <w:rsid w:val="00704FBD"/>
    <w:rsid w:val="00704FD5"/>
    <w:rsid w:val="00705A46"/>
    <w:rsid w:val="00705AAA"/>
    <w:rsid w:val="00705E0B"/>
    <w:rsid w:val="00705E2D"/>
    <w:rsid w:val="0070602C"/>
    <w:rsid w:val="0070677D"/>
    <w:rsid w:val="00706F1D"/>
    <w:rsid w:val="007077D5"/>
    <w:rsid w:val="00710D63"/>
    <w:rsid w:val="00711445"/>
    <w:rsid w:val="00712BA0"/>
    <w:rsid w:val="00712F45"/>
    <w:rsid w:val="00714270"/>
    <w:rsid w:val="00714F42"/>
    <w:rsid w:val="00715FD2"/>
    <w:rsid w:val="0071664A"/>
    <w:rsid w:val="00717447"/>
    <w:rsid w:val="00717725"/>
    <w:rsid w:val="00717B30"/>
    <w:rsid w:val="0072097A"/>
    <w:rsid w:val="00720A95"/>
    <w:rsid w:val="00721565"/>
    <w:rsid w:val="00721958"/>
    <w:rsid w:val="007222A3"/>
    <w:rsid w:val="0072306B"/>
    <w:rsid w:val="00723BE3"/>
    <w:rsid w:val="00723D90"/>
    <w:rsid w:val="007243AC"/>
    <w:rsid w:val="007259C3"/>
    <w:rsid w:val="00725E51"/>
    <w:rsid w:val="007262E4"/>
    <w:rsid w:val="00726456"/>
    <w:rsid w:val="007273D5"/>
    <w:rsid w:val="0072779E"/>
    <w:rsid w:val="007303FA"/>
    <w:rsid w:val="007305D0"/>
    <w:rsid w:val="00730E8E"/>
    <w:rsid w:val="0073138F"/>
    <w:rsid w:val="007334C3"/>
    <w:rsid w:val="0073393F"/>
    <w:rsid w:val="00735469"/>
    <w:rsid w:val="0073596F"/>
    <w:rsid w:val="007372D4"/>
    <w:rsid w:val="007376A0"/>
    <w:rsid w:val="0074049F"/>
    <w:rsid w:val="007404B5"/>
    <w:rsid w:val="007404DF"/>
    <w:rsid w:val="00740DD2"/>
    <w:rsid w:val="0074156C"/>
    <w:rsid w:val="00741D19"/>
    <w:rsid w:val="00743879"/>
    <w:rsid w:val="00743A92"/>
    <w:rsid w:val="00744E8F"/>
    <w:rsid w:val="0074510E"/>
    <w:rsid w:val="00745636"/>
    <w:rsid w:val="00745CF3"/>
    <w:rsid w:val="00746666"/>
    <w:rsid w:val="00746B1A"/>
    <w:rsid w:val="00747E1C"/>
    <w:rsid w:val="00751277"/>
    <w:rsid w:val="0075161E"/>
    <w:rsid w:val="00751707"/>
    <w:rsid w:val="00752069"/>
    <w:rsid w:val="007530D6"/>
    <w:rsid w:val="00753C43"/>
    <w:rsid w:val="00753C97"/>
    <w:rsid w:val="0075440C"/>
    <w:rsid w:val="00754DC3"/>
    <w:rsid w:val="00755E3C"/>
    <w:rsid w:val="00755F33"/>
    <w:rsid w:val="00756D88"/>
    <w:rsid w:val="007572B4"/>
    <w:rsid w:val="00757A03"/>
    <w:rsid w:val="00757D93"/>
    <w:rsid w:val="007603D8"/>
    <w:rsid w:val="00760C3F"/>
    <w:rsid w:val="007617B0"/>
    <w:rsid w:val="00761D26"/>
    <w:rsid w:val="007626F9"/>
    <w:rsid w:val="00762D25"/>
    <w:rsid w:val="00762FD3"/>
    <w:rsid w:val="00763E98"/>
    <w:rsid w:val="00763EEC"/>
    <w:rsid w:val="007646E0"/>
    <w:rsid w:val="0076541F"/>
    <w:rsid w:val="00765531"/>
    <w:rsid w:val="00765790"/>
    <w:rsid w:val="00765875"/>
    <w:rsid w:val="00765C8B"/>
    <w:rsid w:val="00765D5C"/>
    <w:rsid w:val="00766DDC"/>
    <w:rsid w:val="00766E84"/>
    <w:rsid w:val="00770768"/>
    <w:rsid w:val="00770A30"/>
    <w:rsid w:val="00770BF0"/>
    <w:rsid w:val="00770CD8"/>
    <w:rsid w:val="00770EF4"/>
    <w:rsid w:val="0077280A"/>
    <w:rsid w:val="00772CEF"/>
    <w:rsid w:val="00773539"/>
    <w:rsid w:val="00773D58"/>
    <w:rsid w:val="0077418E"/>
    <w:rsid w:val="00774A56"/>
    <w:rsid w:val="00774B3F"/>
    <w:rsid w:val="007752FF"/>
    <w:rsid w:val="00775727"/>
    <w:rsid w:val="00776002"/>
    <w:rsid w:val="00776B09"/>
    <w:rsid w:val="00776EC1"/>
    <w:rsid w:val="00777E73"/>
    <w:rsid w:val="00780473"/>
    <w:rsid w:val="007805AF"/>
    <w:rsid w:val="0078095B"/>
    <w:rsid w:val="00781B97"/>
    <w:rsid w:val="007827AF"/>
    <w:rsid w:val="00784B03"/>
    <w:rsid w:val="00784F0E"/>
    <w:rsid w:val="0078648B"/>
    <w:rsid w:val="00790543"/>
    <w:rsid w:val="00790E95"/>
    <w:rsid w:val="007925E2"/>
    <w:rsid w:val="007926C1"/>
    <w:rsid w:val="0079281F"/>
    <w:rsid w:val="00792DAF"/>
    <w:rsid w:val="00792E97"/>
    <w:rsid w:val="00793F24"/>
    <w:rsid w:val="00794055"/>
    <w:rsid w:val="0079482A"/>
    <w:rsid w:val="00794FCB"/>
    <w:rsid w:val="00796388"/>
    <w:rsid w:val="007968CC"/>
    <w:rsid w:val="00797894"/>
    <w:rsid w:val="007A00AD"/>
    <w:rsid w:val="007A0B38"/>
    <w:rsid w:val="007A2092"/>
    <w:rsid w:val="007A2513"/>
    <w:rsid w:val="007A2726"/>
    <w:rsid w:val="007A2F47"/>
    <w:rsid w:val="007A3CF1"/>
    <w:rsid w:val="007A40FC"/>
    <w:rsid w:val="007A502A"/>
    <w:rsid w:val="007A574D"/>
    <w:rsid w:val="007A64C1"/>
    <w:rsid w:val="007A6954"/>
    <w:rsid w:val="007A6AD5"/>
    <w:rsid w:val="007A6DBD"/>
    <w:rsid w:val="007A7B1C"/>
    <w:rsid w:val="007B0D19"/>
    <w:rsid w:val="007B1FDF"/>
    <w:rsid w:val="007B3E47"/>
    <w:rsid w:val="007B4124"/>
    <w:rsid w:val="007B4DEB"/>
    <w:rsid w:val="007B69F6"/>
    <w:rsid w:val="007B739E"/>
    <w:rsid w:val="007C1042"/>
    <w:rsid w:val="007C19AF"/>
    <w:rsid w:val="007C2B61"/>
    <w:rsid w:val="007C364F"/>
    <w:rsid w:val="007C3A4A"/>
    <w:rsid w:val="007C6C0F"/>
    <w:rsid w:val="007D0338"/>
    <w:rsid w:val="007D03C6"/>
    <w:rsid w:val="007D0994"/>
    <w:rsid w:val="007D0CCE"/>
    <w:rsid w:val="007D0F74"/>
    <w:rsid w:val="007D2AB4"/>
    <w:rsid w:val="007D4C65"/>
    <w:rsid w:val="007D5525"/>
    <w:rsid w:val="007D5FBF"/>
    <w:rsid w:val="007D6C55"/>
    <w:rsid w:val="007D6DD7"/>
    <w:rsid w:val="007D705E"/>
    <w:rsid w:val="007D7748"/>
    <w:rsid w:val="007E0475"/>
    <w:rsid w:val="007E04A9"/>
    <w:rsid w:val="007E0BFD"/>
    <w:rsid w:val="007E156E"/>
    <w:rsid w:val="007E2199"/>
    <w:rsid w:val="007E2D9A"/>
    <w:rsid w:val="007E458F"/>
    <w:rsid w:val="007E46A9"/>
    <w:rsid w:val="007E4D9D"/>
    <w:rsid w:val="007E5037"/>
    <w:rsid w:val="007E510D"/>
    <w:rsid w:val="007E6674"/>
    <w:rsid w:val="007E6712"/>
    <w:rsid w:val="007E6ED5"/>
    <w:rsid w:val="007E7271"/>
    <w:rsid w:val="007E7520"/>
    <w:rsid w:val="007E775B"/>
    <w:rsid w:val="007E78C3"/>
    <w:rsid w:val="007F0305"/>
    <w:rsid w:val="007F060C"/>
    <w:rsid w:val="007F0DCF"/>
    <w:rsid w:val="007F0F0F"/>
    <w:rsid w:val="007F2F96"/>
    <w:rsid w:val="007F31E4"/>
    <w:rsid w:val="007F3BD7"/>
    <w:rsid w:val="007F5A99"/>
    <w:rsid w:val="007F6093"/>
    <w:rsid w:val="007F6270"/>
    <w:rsid w:val="007F7A0F"/>
    <w:rsid w:val="00800680"/>
    <w:rsid w:val="008011FC"/>
    <w:rsid w:val="00801BBC"/>
    <w:rsid w:val="00801D99"/>
    <w:rsid w:val="008020C0"/>
    <w:rsid w:val="00802380"/>
    <w:rsid w:val="00802773"/>
    <w:rsid w:val="008033AD"/>
    <w:rsid w:val="00804954"/>
    <w:rsid w:val="00805164"/>
    <w:rsid w:val="008052C6"/>
    <w:rsid w:val="008058B0"/>
    <w:rsid w:val="0080737C"/>
    <w:rsid w:val="00811865"/>
    <w:rsid w:val="008120C4"/>
    <w:rsid w:val="008122EA"/>
    <w:rsid w:val="00812750"/>
    <w:rsid w:val="0081326D"/>
    <w:rsid w:val="00814700"/>
    <w:rsid w:val="00814B64"/>
    <w:rsid w:val="0081536E"/>
    <w:rsid w:val="00815629"/>
    <w:rsid w:val="00815957"/>
    <w:rsid w:val="00816952"/>
    <w:rsid w:val="00817797"/>
    <w:rsid w:val="00817CAD"/>
    <w:rsid w:val="00821265"/>
    <w:rsid w:val="008212CA"/>
    <w:rsid w:val="00822E38"/>
    <w:rsid w:val="008233FF"/>
    <w:rsid w:val="008237BD"/>
    <w:rsid w:val="0082470C"/>
    <w:rsid w:val="0082550B"/>
    <w:rsid w:val="0082585C"/>
    <w:rsid w:val="00825B8C"/>
    <w:rsid w:val="00826864"/>
    <w:rsid w:val="00826911"/>
    <w:rsid w:val="00826B76"/>
    <w:rsid w:val="00826B82"/>
    <w:rsid w:val="00826D46"/>
    <w:rsid w:val="00826FDA"/>
    <w:rsid w:val="00827ACE"/>
    <w:rsid w:val="00827B7D"/>
    <w:rsid w:val="00827DDC"/>
    <w:rsid w:val="00830261"/>
    <w:rsid w:val="00830A2D"/>
    <w:rsid w:val="0083165F"/>
    <w:rsid w:val="008329A9"/>
    <w:rsid w:val="00832FA9"/>
    <w:rsid w:val="008332D8"/>
    <w:rsid w:val="0083455C"/>
    <w:rsid w:val="00835605"/>
    <w:rsid w:val="008359E7"/>
    <w:rsid w:val="008368A4"/>
    <w:rsid w:val="008371C7"/>
    <w:rsid w:val="00840BCA"/>
    <w:rsid w:val="00841624"/>
    <w:rsid w:val="008423B8"/>
    <w:rsid w:val="00844223"/>
    <w:rsid w:val="0084467D"/>
    <w:rsid w:val="00846110"/>
    <w:rsid w:val="00847BBB"/>
    <w:rsid w:val="00847E9B"/>
    <w:rsid w:val="0085011F"/>
    <w:rsid w:val="008501A0"/>
    <w:rsid w:val="00851959"/>
    <w:rsid w:val="0085200B"/>
    <w:rsid w:val="0085203E"/>
    <w:rsid w:val="00853881"/>
    <w:rsid w:val="008557E6"/>
    <w:rsid w:val="0085651B"/>
    <w:rsid w:val="008566EA"/>
    <w:rsid w:val="008567AE"/>
    <w:rsid w:val="00856AC8"/>
    <w:rsid w:val="00856C6C"/>
    <w:rsid w:val="00857045"/>
    <w:rsid w:val="00857BB2"/>
    <w:rsid w:val="00860359"/>
    <w:rsid w:val="008610C3"/>
    <w:rsid w:val="008617F7"/>
    <w:rsid w:val="00862179"/>
    <w:rsid w:val="00863342"/>
    <w:rsid w:val="0086405C"/>
    <w:rsid w:val="0086713C"/>
    <w:rsid w:val="0087045F"/>
    <w:rsid w:val="00872947"/>
    <w:rsid w:val="008730B0"/>
    <w:rsid w:val="00873248"/>
    <w:rsid w:val="008742FF"/>
    <w:rsid w:val="008746CE"/>
    <w:rsid w:val="00874A76"/>
    <w:rsid w:val="00874DA2"/>
    <w:rsid w:val="00875031"/>
    <w:rsid w:val="00875C7A"/>
    <w:rsid w:val="00875DD4"/>
    <w:rsid w:val="008762A9"/>
    <w:rsid w:val="008763D1"/>
    <w:rsid w:val="00876798"/>
    <w:rsid w:val="00877815"/>
    <w:rsid w:val="00877B1E"/>
    <w:rsid w:val="00880245"/>
    <w:rsid w:val="00881057"/>
    <w:rsid w:val="00882247"/>
    <w:rsid w:val="0088255D"/>
    <w:rsid w:val="00882576"/>
    <w:rsid w:val="008843FF"/>
    <w:rsid w:val="008862D9"/>
    <w:rsid w:val="00886678"/>
    <w:rsid w:val="0088742B"/>
    <w:rsid w:val="00890CF3"/>
    <w:rsid w:val="00891992"/>
    <w:rsid w:val="00891D3D"/>
    <w:rsid w:val="00892D34"/>
    <w:rsid w:val="00892F03"/>
    <w:rsid w:val="008935B1"/>
    <w:rsid w:val="008938D8"/>
    <w:rsid w:val="00893BA4"/>
    <w:rsid w:val="0089406B"/>
    <w:rsid w:val="008949C7"/>
    <w:rsid w:val="00894A8B"/>
    <w:rsid w:val="008951C8"/>
    <w:rsid w:val="008A03E8"/>
    <w:rsid w:val="008A04F5"/>
    <w:rsid w:val="008A0512"/>
    <w:rsid w:val="008A1405"/>
    <w:rsid w:val="008A1D71"/>
    <w:rsid w:val="008A2C08"/>
    <w:rsid w:val="008A2C14"/>
    <w:rsid w:val="008A304C"/>
    <w:rsid w:val="008A46EF"/>
    <w:rsid w:val="008A4E24"/>
    <w:rsid w:val="008A4E4D"/>
    <w:rsid w:val="008A74EC"/>
    <w:rsid w:val="008B1A98"/>
    <w:rsid w:val="008B1CC6"/>
    <w:rsid w:val="008B1E78"/>
    <w:rsid w:val="008B2231"/>
    <w:rsid w:val="008B28F5"/>
    <w:rsid w:val="008B30B8"/>
    <w:rsid w:val="008B3C3F"/>
    <w:rsid w:val="008B50EE"/>
    <w:rsid w:val="008B693D"/>
    <w:rsid w:val="008C0948"/>
    <w:rsid w:val="008C0983"/>
    <w:rsid w:val="008C1099"/>
    <w:rsid w:val="008C21E6"/>
    <w:rsid w:val="008C22DD"/>
    <w:rsid w:val="008C461F"/>
    <w:rsid w:val="008C469E"/>
    <w:rsid w:val="008C4854"/>
    <w:rsid w:val="008C6026"/>
    <w:rsid w:val="008C7301"/>
    <w:rsid w:val="008C736E"/>
    <w:rsid w:val="008C7615"/>
    <w:rsid w:val="008D099A"/>
    <w:rsid w:val="008D1EEE"/>
    <w:rsid w:val="008D288A"/>
    <w:rsid w:val="008D2C22"/>
    <w:rsid w:val="008D38A0"/>
    <w:rsid w:val="008D4F01"/>
    <w:rsid w:val="008D615D"/>
    <w:rsid w:val="008D6C9B"/>
    <w:rsid w:val="008D7926"/>
    <w:rsid w:val="008D7DD4"/>
    <w:rsid w:val="008E00D1"/>
    <w:rsid w:val="008E02AB"/>
    <w:rsid w:val="008E092C"/>
    <w:rsid w:val="008E15CF"/>
    <w:rsid w:val="008E191A"/>
    <w:rsid w:val="008E2910"/>
    <w:rsid w:val="008E2EB6"/>
    <w:rsid w:val="008E32D2"/>
    <w:rsid w:val="008E411E"/>
    <w:rsid w:val="008E4330"/>
    <w:rsid w:val="008E44D6"/>
    <w:rsid w:val="008E4576"/>
    <w:rsid w:val="008E47FB"/>
    <w:rsid w:val="008E4C9E"/>
    <w:rsid w:val="008E5DDE"/>
    <w:rsid w:val="008E7AEE"/>
    <w:rsid w:val="008F0C0B"/>
    <w:rsid w:val="008F0CF5"/>
    <w:rsid w:val="008F0E19"/>
    <w:rsid w:val="008F1578"/>
    <w:rsid w:val="008F2882"/>
    <w:rsid w:val="008F28D1"/>
    <w:rsid w:val="008F2A61"/>
    <w:rsid w:val="008F3634"/>
    <w:rsid w:val="008F48FA"/>
    <w:rsid w:val="008F4997"/>
    <w:rsid w:val="008F50DD"/>
    <w:rsid w:val="008F5248"/>
    <w:rsid w:val="008F5515"/>
    <w:rsid w:val="008F5783"/>
    <w:rsid w:val="008F59A8"/>
    <w:rsid w:val="008F5EC8"/>
    <w:rsid w:val="008F5F89"/>
    <w:rsid w:val="008F61F2"/>
    <w:rsid w:val="008F672B"/>
    <w:rsid w:val="008F7302"/>
    <w:rsid w:val="008F7347"/>
    <w:rsid w:val="00900530"/>
    <w:rsid w:val="0090195F"/>
    <w:rsid w:val="00901C32"/>
    <w:rsid w:val="009020B2"/>
    <w:rsid w:val="00902853"/>
    <w:rsid w:val="0090342F"/>
    <w:rsid w:val="00903A48"/>
    <w:rsid w:val="00903DDF"/>
    <w:rsid w:val="0090478B"/>
    <w:rsid w:val="009055C3"/>
    <w:rsid w:val="00905CA8"/>
    <w:rsid w:val="00906B32"/>
    <w:rsid w:val="009072FD"/>
    <w:rsid w:val="009073BF"/>
    <w:rsid w:val="00907B50"/>
    <w:rsid w:val="00907D7A"/>
    <w:rsid w:val="009104B2"/>
    <w:rsid w:val="0091133D"/>
    <w:rsid w:val="00911484"/>
    <w:rsid w:val="00912E8D"/>
    <w:rsid w:val="00914258"/>
    <w:rsid w:val="00914DD8"/>
    <w:rsid w:val="00914FA3"/>
    <w:rsid w:val="00915752"/>
    <w:rsid w:val="00915CFF"/>
    <w:rsid w:val="00917B03"/>
    <w:rsid w:val="00920E4A"/>
    <w:rsid w:val="0092131F"/>
    <w:rsid w:val="0092220B"/>
    <w:rsid w:val="00922241"/>
    <w:rsid w:val="00922286"/>
    <w:rsid w:val="00922DF0"/>
    <w:rsid w:val="00922EFE"/>
    <w:rsid w:val="009232D7"/>
    <w:rsid w:val="009236CB"/>
    <w:rsid w:val="00923960"/>
    <w:rsid w:val="00924A14"/>
    <w:rsid w:val="00924AF1"/>
    <w:rsid w:val="00924F16"/>
    <w:rsid w:val="00925501"/>
    <w:rsid w:val="00925F5F"/>
    <w:rsid w:val="00926348"/>
    <w:rsid w:val="00926673"/>
    <w:rsid w:val="00926D43"/>
    <w:rsid w:val="00927F27"/>
    <w:rsid w:val="00927FCF"/>
    <w:rsid w:val="0093261F"/>
    <w:rsid w:val="00932653"/>
    <w:rsid w:val="009326D4"/>
    <w:rsid w:val="009329F1"/>
    <w:rsid w:val="00933F8D"/>
    <w:rsid w:val="0093499F"/>
    <w:rsid w:val="00934E87"/>
    <w:rsid w:val="00937074"/>
    <w:rsid w:val="00937485"/>
    <w:rsid w:val="0093753A"/>
    <w:rsid w:val="00937D71"/>
    <w:rsid w:val="009403E4"/>
    <w:rsid w:val="00941212"/>
    <w:rsid w:val="00941846"/>
    <w:rsid w:val="00941851"/>
    <w:rsid w:val="00942A4F"/>
    <w:rsid w:val="009442EC"/>
    <w:rsid w:val="009461F3"/>
    <w:rsid w:val="00946EE5"/>
    <w:rsid w:val="00947316"/>
    <w:rsid w:val="0094761E"/>
    <w:rsid w:val="0094766B"/>
    <w:rsid w:val="009478F1"/>
    <w:rsid w:val="00950781"/>
    <w:rsid w:val="0095274E"/>
    <w:rsid w:val="00952B0D"/>
    <w:rsid w:val="00953A13"/>
    <w:rsid w:val="00953A3B"/>
    <w:rsid w:val="00953CC5"/>
    <w:rsid w:val="00954D69"/>
    <w:rsid w:val="00955B44"/>
    <w:rsid w:val="009564D4"/>
    <w:rsid w:val="00956544"/>
    <w:rsid w:val="0096069A"/>
    <w:rsid w:val="00960A8B"/>
    <w:rsid w:val="00960DDC"/>
    <w:rsid w:val="009618A4"/>
    <w:rsid w:val="00961975"/>
    <w:rsid w:val="00961AB5"/>
    <w:rsid w:val="00961B9C"/>
    <w:rsid w:val="0096309F"/>
    <w:rsid w:val="00963BF7"/>
    <w:rsid w:val="009640C4"/>
    <w:rsid w:val="009644DC"/>
    <w:rsid w:val="0096474B"/>
    <w:rsid w:val="0096617F"/>
    <w:rsid w:val="00966E78"/>
    <w:rsid w:val="009675E3"/>
    <w:rsid w:val="0096775D"/>
    <w:rsid w:val="00967BD9"/>
    <w:rsid w:val="0097008E"/>
    <w:rsid w:val="00970321"/>
    <w:rsid w:val="00970594"/>
    <w:rsid w:val="00970FE1"/>
    <w:rsid w:val="009716D9"/>
    <w:rsid w:val="0097181D"/>
    <w:rsid w:val="00971A72"/>
    <w:rsid w:val="00973F9F"/>
    <w:rsid w:val="0097401A"/>
    <w:rsid w:val="00974F85"/>
    <w:rsid w:val="00975728"/>
    <w:rsid w:val="00975A05"/>
    <w:rsid w:val="0097616C"/>
    <w:rsid w:val="0097654D"/>
    <w:rsid w:val="00976D6B"/>
    <w:rsid w:val="00980768"/>
    <w:rsid w:val="00980A34"/>
    <w:rsid w:val="00980C04"/>
    <w:rsid w:val="0098151D"/>
    <w:rsid w:val="00981524"/>
    <w:rsid w:val="009818B0"/>
    <w:rsid w:val="00981989"/>
    <w:rsid w:val="00981CA8"/>
    <w:rsid w:val="00982CF3"/>
    <w:rsid w:val="009832C1"/>
    <w:rsid w:val="009839A7"/>
    <w:rsid w:val="00983FE3"/>
    <w:rsid w:val="0098470A"/>
    <w:rsid w:val="00984AA2"/>
    <w:rsid w:val="00985021"/>
    <w:rsid w:val="009851B2"/>
    <w:rsid w:val="00985538"/>
    <w:rsid w:val="0098670B"/>
    <w:rsid w:val="0098795C"/>
    <w:rsid w:val="0099078C"/>
    <w:rsid w:val="00991512"/>
    <w:rsid w:val="00991C0A"/>
    <w:rsid w:val="00991CC0"/>
    <w:rsid w:val="00992771"/>
    <w:rsid w:val="00992A9A"/>
    <w:rsid w:val="009931A3"/>
    <w:rsid w:val="00993AF8"/>
    <w:rsid w:val="00993D96"/>
    <w:rsid w:val="00994014"/>
    <w:rsid w:val="0099612B"/>
    <w:rsid w:val="009A05E4"/>
    <w:rsid w:val="009A063E"/>
    <w:rsid w:val="009A08CB"/>
    <w:rsid w:val="009A121E"/>
    <w:rsid w:val="009A1221"/>
    <w:rsid w:val="009A12D3"/>
    <w:rsid w:val="009A169D"/>
    <w:rsid w:val="009A23FE"/>
    <w:rsid w:val="009A2D15"/>
    <w:rsid w:val="009A35C8"/>
    <w:rsid w:val="009A3900"/>
    <w:rsid w:val="009A3C80"/>
    <w:rsid w:val="009A3D97"/>
    <w:rsid w:val="009A410F"/>
    <w:rsid w:val="009A5790"/>
    <w:rsid w:val="009A5B4F"/>
    <w:rsid w:val="009A6B6C"/>
    <w:rsid w:val="009A6BA3"/>
    <w:rsid w:val="009A7272"/>
    <w:rsid w:val="009A7620"/>
    <w:rsid w:val="009A7892"/>
    <w:rsid w:val="009A7ADB"/>
    <w:rsid w:val="009A7E03"/>
    <w:rsid w:val="009B0904"/>
    <w:rsid w:val="009B0D59"/>
    <w:rsid w:val="009B1FE5"/>
    <w:rsid w:val="009B2B56"/>
    <w:rsid w:val="009B4147"/>
    <w:rsid w:val="009B41BE"/>
    <w:rsid w:val="009B4C1D"/>
    <w:rsid w:val="009B5EA5"/>
    <w:rsid w:val="009B5F8F"/>
    <w:rsid w:val="009B6227"/>
    <w:rsid w:val="009B6790"/>
    <w:rsid w:val="009B704F"/>
    <w:rsid w:val="009C0819"/>
    <w:rsid w:val="009C09C5"/>
    <w:rsid w:val="009C1067"/>
    <w:rsid w:val="009C1369"/>
    <w:rsid w:val="009C1578"/>
    <w:rsid w:val="009C19EF"/>
    <w:rsid w:val="009C22D0"/>
    <w:rsid w:val="009C2A57"/>
    <w:rsid w:val="009C2C55"/>
    <w:rsid w:val="009C325E"/>
    <w:rsid w:val="009C3613"/>
    <w:rsid w:val="009C389E"/>
    <w:rsid w:val="009C3F20"/>
    <w:rsid w:val="009C5195"/>
    <w:rsid w:val="009C5A81"/>
    <w:rsid w:val="009C6648"/>
    <w:rsid w:val="009C6776"/>
    <w:rsid w:val="009C737A"/>
    <w:rsid w:val="009C782E"/>
    <w:rsid w:val="009D031D"/>
    <w:rsid w:val="009D1160"/>
    <w:rsid w:val="009D1F75"/>
    <w:rsid w:val="009D22A9"/>
    <w:rsid w:val="009D2B18"/>
    <w:rsid w:val="009D4798"/>
    <w:rsid w:val="009D5197"/>
    <w:rsid w:val="009D51D7"/>
    <w:rsid w:val="009D6C3F"/>
    <w:rsid w:val="009D7ADF"/>
    <w:rsid w:val="009D7EA1"/>
    <w:rsid w:val="009E0A3A"/>
    <w:rsid w:val="009E157F"/>
    <w:rsid w:val="009E1E05"/>
    <w:rsid w:val="009E1E27"/>
    <w:rsid w:val="009E2579"/>
    <w:rsid w:val="009E2982"/>
    <w:rsid w:val="009E31B1"/>
    <w:rsid w:val="009E31D4"/>
    <w:rsid w:val="009E48C7"/>
    <w:rsid w:val="009E4D97"/>
    <w:rsid w:val="009E4E66"/>
    <w:rsid w:val="009E5A22"/>
    <w:rsid w:val="009E60DC"/>
    <w:rsid w:val="009E6EA8"/>
    <w:rsid w:val="009E7AE7"/>
    <w:rsid w:val="009E7CD9"/>
    <w:rsid w:val="009F00A4"/>
    <w:rsid w:val="009F02B2"/>
    <w:rsid w:val="009F1560"/>
    <w:rsid w:val="009F1A37"/>
    <w:rsid w:val="009F1CC6"/>
    <w:rsid w:val="009F1F67"/>
    <w:rsid w:val="009F1FF4"/>
    <w:rsid w:val="009F3974"/>
    <w:rsid w:val="009F5310"/>
    <w:rsid w:val="009F5D4A"/>
    <w:rsid w:val="009F6612"/>
    <w:rsid w:val="009F697C"/>
    <w:rsid w:val="009F77B4"/>
    <w:rsid w:val="009F7B98"/>
    <w:rsid w:val="00A002FA"/>
    <w:rsid w:val="00A0114D"/>
    <w:rsid w:val="00A01B1A"/>
    <w:rsid w:val="00A02ABF"/>
    <w:rsid w:val="00A02C14"/>
    <w:rsid w:val="00A04224"/>
    <w:rsid w:val="00A04465"/>
    <w:rsid w:val="00A045F2"/>
    <w:rsid w:val="00A04BA1"/>
    <w:rsid w:val="00A054D6"/>
    <w:rsid w:val="00A05819"/>
    <w:rsid w:val="00A05CA0"/>
    <w:rsid w:val="00A05CD1"/>
    <w:rsid w:val="00A0609D"/>
    <w:rsid w:val="00A07275"/>
    <w:rsid w:val="00A07463"/>
    <w:rsid w:val="00A10970"/>
    <w:rsid w:val="00A10ABE"/>
    <w:rsid w:val="00A1142C"/>
    <w:rsid w:val="00A116EE"/>
    <w:rsid w:val="00A11E6B"/>
    <w:rsid w:val="00A12171"/>
    <w:rsid w:val="00A12312"/>
    <w:rsid w:val="00A12E85"/>
    <w:rsid w:val="00A13CDF"/>
    <w:rsid w:val="00A14C05"/>
    <w:rsid w:val="00A16F8B"/>
    <w:rsid w:val="00A200F6"/>
    <w:rsid w:val="00A21078"/>
    <w:rsid w:val="00A22518"/>
    <w:rsid w:val="00A22CDD"/>
    <w:rsid w:val="00A241ED"/>
    <w:rsid w:val="00A242BE"/>
    <w:rsid w:val="00A24381"/>
    <w:rsid w:val="00A24FA5"/>
    <w:rsid w:val="00A25EE7"/>
    <w:rsid w:val="00A275DD"/>
    <w:rsid w:val="00A27BCE"/>
    <w:rsid w:val="00A30204"/>
    <w:rsid w:val="00A3021B"/>
    <w:rsid w:val="00A302F3"/>
    <w:rsid w:val="00A304CE"/>
    <w:rsid w:val="00A31010"/>
    <w:rsid w:val="00A3125F"/>
    <w:rsid w:val="00A31C49"/>
    <w:rsid w:val="00A32419"/>
    <w:rsid w:val="00A327BF"/>
    <w:rsid w:val="00A32C87"/>
    <w:rsid w:val="00A3633D"/>
    <w:rsid w:val="00A36BDA"/>
    <w:rsid w:val="00A36C81"/>
    <w:rsid w:val="00A44AF3"/>
    <w:rsid w:val="00A46594"/>
    <w:rsid w:val="00A46C8B"/>
    <w:rsid w:val="00A46D38"/>
    <w:rsid w:val="00A473B8"/>
    <w:rsid w:val="00A477AF"/>
    <w:rsid w:val="00A47E11"/>
    <w:rsid w:val="00A51D05"/>
    <w:rsid w:val="00A52D6C"/>
    <w:rsid w:val="00A539A7"/>
    <w:rsid w:val="00A53C16"/>
    <w:rsid w:val="00A53DC1"/>
    <w:rsid w:val="00A54771"/>
    <w:rsid w:val="00A5562D"/>
    <w:rsid w:val="00A57EB9"/>
    <w:rsid w:val="00A60739"/>
    <w:rsid w:val="00A60FC9"/>
    <w:rsid w:val="00A618B7"/>
    <w:rsid w:val="00A61BE7"/>
    <w:rsid w:val="00A62269"/>
    <w:rsid w:val="00A62E2A"/>
    <w:rsid w:val="00A632FF"/>
    <w:rsid w:val="00A63C7F"/>
    <w:rsid w:val="00A64D79"/>
    <w:rsid w:val="00A6503D"/>
    <w:rsid w:val="00A65567"/>
    <w:rsid w:val="00A661E6"/>
    <w:rsid w:val="00A66C90"/>
    <w:rsid w:val="00A67DF5"/>
    <w:rsid w:val="00A70289"/>
    <w:rsid w:val="00A70D39"/>
    <w:rsid w:val="00A70EC3"/>
    <w:rsid w:val="00A71098"/>
    <w:rsid w:val="00A718F6"/>
    <w:rsid w:val="00A72F06"/>
    <w:rsid w:val="00A74D72"/>
    <w:rsid w:val="00A754D3"/>
    <w:rsid w:val="00A75B3D"/>
    <w:rsid w:val="00A76476"/>
    <w:rsid w:val="00A764BC"/>
    <w:rsid w:val="00A774A6"/>
    <w:rsid w:val="00A8044A"/>
    <w:rsid w:val="00A81B90"/>
    <w:rsid w:val="00A81E83"/>
    <w:rsid w:val="00A820AC"/>
    <w:rsid w:val="00A8352A"/>
    <w:rsid w:val="00A83EE1"/>
    <w:rsid w:val="00A84769"/>
    <w:rsid w:val="00A84776"/>
    <w:rsid w:val="00A863A3"/>
    <w:rsid w:val="00A86DA1"/>
    <w:rsid w:val="00A87C3C"/>
    <w:rsid w:val="00A90226"/>
    <w:rsid w:val="00A90295"/>
    <w:rsid w:val="00A90951"/>
    <w:rsid w:val="00A90991"/>
    <w:rsid w:val="00A90E1E"/>
    <w:rsid w:val="00A912AC"/>
    <w:rsid w:val="00A918EF"/>
    <w:rsid w:val="00A91C59"/>
    <w:rsid w:val="00A924DD"/>
    <w:rsid w:val="00A92CF6"/>
    <w:rsid w:val="00A92F78"/>
    <w:rsid w:val="00A93166"/>
    <w:rsid w:val="00A93DFE"/>
    <w:rsid w:val="00A942ED"/>
    <w:rsid w:val="00A959EE"/>
    <w:rsid w:val="00A96288"/>
    <w:rsid w:val="00A963F9"/>
    <w:rsid w:val="00A96ABD"/>
    <w:rsid w:val="00A97092"/>
    <w:rsid w:val="00A9737E"/>
    <w:rsid w:val="00AA02A2"/>
    <w:rsid w:val="00AA217C"/>
    <w:rsid w:val="00AA2DC6"/>
    <w:rsid w:val="00AA3F6A"/>
    <w:rsid w:val="00AA40F5"/>
    <w:rsid w:val="00AA50D7"/>
    <w:rsid w:val="00AA69E2"/>
    <w:rsid w:val="00AA6B66"/>
    <w:rsid w:val="00AA7A63"/>
    <w:rsid w:val="00AA7B87"/>
    <w:rsid w:val="00AB00F5"/>
    <w:rsid w:val="00AB027F"/>
    <w:rsid w:val="00AB0754"/>
    <w:rsid w:val="00AB1CD5"/>
    <w:rsid w:val="00AB250A"/>
    <w:rsid w:val="00AB27C3"/>
    <w:rsid w:val="00AB293E"/>
    <w:rsid w:val="00AB48EF"/>
    <w:rsid w:val="00AB49CE"/>
    <w:rsid w:val="00AB4C7B"/>
    <w:rsid w:val="00AB4D39"/>
    <w:rsid w:val="00AB4D57"/>
    <w:rsid w:val="00AB5290"/>
    <w:rsid w:val="00AB56C5"/>
    <w:rsid w:val="00AB6978"/>
    <w:rsid w:val="00AB71ED"/>
    <w:rsid w:val="00AC007B"/>
    <w:rsid w:val="00AC0CFE"/>
    <w:rsid w:val="00AC1570"/>
    <w:rsid w:val="00AC2757"/>
    <w:rsid w:val="00AC336E"/>
    <w:rsid w:val="00AC368F"/>
    <w:rsid w:val="00AC3721"/>
    <w:rsid w:val="00AC4710"/>
    <w:rsid w:val="00AC5096"/>
    <w:rsid w:val="00AC547D"/>
    <w:rsid w:val="00AC5D93"/>
    <w:rsid w:val="00AC7C87"/>
    <w:rsid w:val="00AD020D"/>
    <w:rsid w:val="00AD11D7"/>
    <w:rsid w:val="00AD1590"/>
    <w:rsid w:val="00AD252E"/>
    <w:rsid w:val="00AD2CF8"/>
    <w:rsid w:val="00AD364E"/>
    <w:rsid w:val="00AD3F33"/>
    <w:rsid w:val="00AD4EFF"/>
    <w:rsid w:val="00AD4F6E"/>
    <w:rsid w:val="00AD6A3F"/>
    <w:rsid w:val="00AD6E3C"/>
    <w:rsid w:val="00AD6F2C"/>
    <w:rsid w:val="00AE009B"/>
    <w:rsid w:val="00AE1F27"/>
    <w:rsid w:val="00AE3A0E"/>
    <w:rsid w:val="00AE3D33"/>
    <w:rsid w:val="00AE402C"/>
    <w:rsid w:val="00AE41A3"/>
    <w:rsid w:val="00AE426A"/>
    <w:rsid w:val="00AE4305"/>
    <w:rsid w:val="00AE495C"/>
    <w:rsid w:val="00AE4A60"/>
    <w:rsid w:val="00AE4DF7"/>
    <w:rsid w:val="00AE521D"/>
    <w:rsid w:val="00AE5B14"/>
    <w:rsid w:val="00AE6138"/>
    <w:rsid w:val="00AE73E2"/>
    <w:rsid w:val="00AF0E03"/>
    <w:rsid w:val="00AF1AFD"/>
    <w:rsid w:val="00AF2DE5"/>
    <w:rsid w:val="00AF3C05"/>
    <w:rsid w:val="00AF42E4"/>
    <w:rsid w:val="00AF42FC"/>
    <w:rsid w:val="00AF436F"/>
    <w:rsid w:val="00AF43D2"/>
    <w:rsid w:val="00AF4966"/>
    <w:rsid w:val="00AF5277"/>
    <w:rsid w:val="00AF5478"/>
    <w:rsid w:val="00AF682E"/>
    <w:rsid w:val="00AF699B"/>
    <w:rsid w:val="00AF77A9"/>
    <w:rsid w:val="00B0002F"/>
    <w:rsid w:val="00B012B1"/>
    <w:rsid w:val="00B01A35"/>
    <w:rsid w:val="00B04972"/>
    <w:rsid w:val="00B04E09"/>
    <w:rsid w:val="00B04ECE"/>
    <w:rsid w:val="00B058EA"/>
    <w:rsid w:val="00B0598B"/>
    <w:rsid w:val="00B05B45"/>
    <w:rsid w:val="00B06538"/>
    <w:rsid w:val="00B06561"/>
    <w:rsid w:val="00B07A51"/>
    <w:rsid w:val="00B07C7B"/>
    <w:rsid w:val="00B07DA5"/>
    <w:rsid w:val="00B1009A"/>
    <w:rsid w:val="00B10A00"/>
    <w:rsid w:val="00B122DC"/>
    <w:rsid w:val="00B12830"/>
    <w:rsid w:val="00B141D9"/>
    <w:rsid w:val="00B15BBA"/>
    <w:rsid w:val="00B1655A"/>
    <w:rsid w:val="00B16974"/>
    <w:rsid w:val="00B20B7A"/>
    <w:rsid w:val="00B20E4F"/>
    <w:rsid w:val="00B21F70"/>
    <w:rsid w:val="00B227C6"/>
    <w:rsid w:val="00B23619"/>
    <w:rsid w:val="00B23748"/>
    <w:rsid w:val="00B25333"/>
    <w:rsid w:val="00B26740"/>
    <w:rsid w:val="00B2718C"/>
    <w:rsid w:val="00B274DE"/>
    <w:rsid w:val="00B277DF"/>
    <w:rsid w:val="00B27873"/>
    <w:rsid w:val="00B3047D"/>
    <w:rsid w:val="00B31DE9"/>
    <w:rsid w:val="00B31E0B"/>
    <w:rsid w:val="00B31E8A"/>
    <w:rsid w:val="00B3215A"/>
    <w:rsid w:val="00B3349D"/>
    <w:rsid w:val="00B347AA"/>
    <w:rsid w:val="00B366AF"/>
    <w:rsid w:val="00B36938"/>
    <w:rsid w:val="00B37002"/>
    <w:rsid w:val="00B4115F"/>
    <w:rsid w:val="00B412CD"/>
    <w:rsid w:val="00B4133F"/>
    <w:rsid w:val="00B42FBD"/>
    <w:rsid w:val="00B43324"/>
    <w:rsid w:val="00B4361E"/>
    <w:rsid w:val="00B4418A"/>
    <w:rsid w:val="00B44786"/>
    <w:rsid w:val="00B448A6"/>
    <w:rsid w:val="00B44BBF"/>
    <w:rsid w:val="00B45CCB"/>
    <w:rsid w:val="00B46FBF"/>
    <w:rsid w:val="00B47577"/>
    <w:rsid w:val="00B47C78"/>
    <w:rsid w:val="00B50564"/>
    <w:rsid w:val="00B50915"/>
    <w:rsid w:val="00B50CFA"/>
    <w:rsid w:val="00B51AD4"/>
    <w:rsid w:val="00B52303"/>
    <w:rsid w:val="00B523CB"/>
    <w:rsid w:val="00B52452"/>
    <w:rsid w:val="00B533A4"/>
    <w:rsid w:val="00B535E9"/>
    <w:rsid w:val="00B545A2"/>
    <w:rsid w:val="00B54864"/>
    <w:rsid w:val="00B54A9A"/>
    <w:rsid w:val="00B54E0B"/>
    <w:rsid w:val="00B550DE"/>
    <w:rsid w:val="00B552FB"/>
    <w:rsid w:val="00B55DED"/>
    <w:rsid w:val="00B576A3"/>
    <w:rsid w:val="00B60933"/>
    <w:rsid w:val="00B61084"/>
    <w:rsid w:val="00B61267"/>
    <w:rsid w:val="00B623B1"/>
    <w:rsid w:val="00B63505"/>
    <w:rsid w:val="00B6359C"/>
    <w:rsid w:val="00B63691"/>
    <w:rsid w:val="00B640CC"/>
    <w:rsid w:val="00B65712"/>
    <w:rsid w:val="00B661C8"/>
    <w:rsid w:val="00B66A92"/>
    <w:rsid w:val="00B6719C"/>
    <w:rsid w:val="00B67D24"/>
    <w:rsid w:val="00B70005"/>
    <w:rsid w:val="00B716C7"/>
    <w:rsid w:val="00B7192B"/>
    <w:rsid w:val="00B71D88"/>
    <w:rsid w:val="00B71E96"/>
    <w:rsid w:val="00B71FAA"/>
    <w:rsid w:val="00B725C4"/>
    <w:rsid w:val="00B72979"/>
    <w:rsid w:val="00B73717"/>
    <w:rsid w:val="00B76478"/>
    <w:rsid w:val="00B76A0E"/>
    <w:rsid w:val="00B77062"/>
    <w:rsid w:val="00B77B01"/>
    <w:rsid w:val="00B77B11"/>
    <w:rsid w:val="00B77B49"/>
    <w:rsid w:val="00B77CCF"/>
    <w:rsid w:val="00B77D5E"/>
    <w:rsid w:val="00B80549"/>
    <w:rsid w:val="00B80F72"/>
    <w:rsid w:val="00B8111F"/>
    <w:rsid w:val="00B814AF"/>
    <w:rsid w:val="00B817B4"/>
    <w:rsid w:val="00B81E04"/>
    <w:rsid w:val="00B821A0"/>
    <w:rsid w:val="00B82423"/>
    <w:rsid w:val="00B8401A"/>
    <w:rsid w:val="00B84886"/>
    <w:rsid w:val="00B857DE"/>
    <w:rsid w:val="00B85E23"/>
    <w:rsid w:val="00B86388"/>
    <w:rsid w:val="00B86410"/>
    <w:rsid w:val="00B8657D"/>
    <w:rsid w:val="00B86877"/>
    <w:rsid w:val="00B901C0"/>
    <w:rsid w:val="00B901DA"/>
    <w:rsid w:val="00B90938"/>
    <w:rsid w:val="00B91C3C"/>
    <w:rsid w:val="00B92CC1"/>
    <w:rsid w:val="00B92DB5"/>
    <w:rsid w:val="00B94B17"/>
    <w:rsid w:val="00B96FBB"/>
    <w:rsid w:val="00B977A7"/>
    <w:rsid w:val="00B97864"/>
    <w:rsid w:val="00BA043F"/>
    <w:rsid w:val="00BA04D5"/>
    <w:rsid w:val="00BA2186"/>
    <w:rsid w:val="00BA245A"/>
    <w:rsid w:val="00BA2508"/>
    <w:rsid w:val="00BA2A55"/>
    <w:rsid w:val="00BA2D55"/>
    <w:rsid w:val="00BA353B"/>
    <w:rsid w:val="00BA3E6B"/>
    <w:rsid w:val="00BA5660"/>
    <w:rsid w:val="00BA64A4"/>
    <w:rsid w:val="00BA69E0"/>
    <w:rsid w:val="00BA742D"/>
    <w:rsid w:val="00BA7536"/>
    <w:rsid w:val="00BA772A"/>
    <w:rsid w:val="00BA7C90"/>
    <w:rsid w:val="00BA7E6F"/>
    <w:rsid w:val="00BB2092"/>
    <w:rsid w:val="00BB223D"/>
    <w:rsid w:val="00BB3066"/>
    <w:rsid w:val="00BB39C2"/>
    <w:rsid w:val="00BB3AEC"/>
    <w:rsid w:val="00BB3F77"/>
    <w:rsid w:val="00BB4739"/>
    <w:rsid w:val="00BB5AE0"/>
    <w:rsid w:val="00BB67F6"/>
    <w:rsid w:val="00BB6A92"/>
    <w:rsid w:val="00BB6F5A"/>
    <w:rsid w:val="00BB72A0"/>
    <w:rsid w:val="00BB7D01"/>
    <w:rsid w:val="00BB7F49"/>
    <w:rsid w:val="00BC174C"/>
    <w:rsid w:val="00BC1C45"/>
    <w:rsid w:val="00BC1C95"/>
    <w:rsid w:val="00BC2545"/>
    <w:rsid w:val="00BC4D55"/>
    <w:rsid w:val="00BC64AD"/>
    <w:rsid w:val="00BD06A4"/>
    <w:rsid w:val="00BD089E"/>
    <w:rsid w:val="00BD0F00"/>
    <w:rsid w:val="00BD12D8"/>
    <w:rsid w:val="00BD162F"/>
    <w:rsid w:val="00BD1FBE"/>
    <w:rsid w:val="00BD2014"/>
    <w:rsid w:val="00BD2CF7"/>
    <w:rsid w:val="00BD32EF"/>
    <w:rsid w:val="00BD3433"/>
    <w:rsid w:val="00BD579E"/>
    <w:rsid w:val="00BD5961"/>
    <w:rsid w:val="00BD5E23"/>
    <w:rsid w:val="00BD76E5"/>
    <w:rsid w:val="00BE09B3"/>
    <w:rsid w:val="00BE0B8D"/>
    <w:rsid w:val="00BE0BA0"/>
    <w:rsid w:val="00BE1343"/>
    <w:rsid w:val="00BE146E"/>
    <w:rsid w:val="00BE1B0B"/>
    <w:rsid w:val="00BE1D38"/>
    <w:rsid w:val="00BE31EF"/>
    <w:rsid w:val="00BE3747"/>
    <w:rsid w:val="00BE38A5"/>
    <w:rsid w:val="00BE3E9F"/>
    <w:rsid w:val="00BE4B69"/>
    <w:rsid w:val="00BE4E3E"/>
    <w:rsid w:val="00BE5599"/>
    <w:rsid w:val="00BE5D28"/>
    <w:rsid w:val="00BE695F"/>
    <w:rsid w:val="00BE6F8B"/>
    <w:rsid w:val="00BE702F"/>
    <w:rsid w:val="00BE7390"/>
    <w:rsid w:val="00BE7B25"/>
    <w:rsid w:val="00BF14A3"/>
    <w:rsid w:val="00BF1DB6"/>
    <w:rsid w:val="00BF2450"/>
    <w:rsid w:val="00BF256F"/>
    <w:rsid w:val="00BF2D47"/>
    <w:rsid w:val="00BF31EB"/>
    <w:rsid w:val="00BF35D2"/>
    <w:rsid w:val="00BF41E4"/>
    <w:rsid w:val="00BF4D37"/>
    <w:rsid w:val="00BF6738"/>
    <w:rsid w:val="00BF70F7"/>
    <w:rsid w:val="00BF779B"/>
    <w:rsid w:val="00BF7B80"/>
    <w:rsid w:val="00BF7EB6"/>
    <w:rsid w:val="00C001D1"/>
    <w:rsid w:val="00C00698"/>
    <w:rsid w:val="00C00722"/>
    <w:rsid w:val="00C02913"/>
    <w:rsid w:val="00C050DE"/>
    <w:rsid w:val="00C05CD9"/>
    <w:rsid w:val="00C05E9A"/>
    <w:rsid w:val="00C069BF"/>
    <w:rsid w:val="00C079BE"/>
    <w:rsid w:val="00C1062A"/>
    <w:rsid w:val="00C10F77"/>
    <w:rsid w:val="00C11726"/>
    <w:rsid w:val="00C119A1"/>
    <w:rsid w:val="00C11A6D"/>
    <w:rsid w:val="00C12067"/>
    <w:rsid w:val="00C125A2"/>
    <w:rsid w:val="00C12825"/>
    <w:rsid w:val="00C12FBD"/>
    <w:rsid w:val="00C1362A"/>
    <w:rsid w:val="00C14980"/>
    <w:rsid w:val="00C15BC0"/>
    <w:rsid w:val="00C173A7"/>
    <w:rsid w:val="00C17497"/>
    <w:rsid w:val="00C1774F"/>
    <w:rsid w:val="00C17EFB"/>
    <w:rsid w:val="00C21255"/>
    <w:rsid w:val="00C22E67"/>
    <w:rsid w:val="00C22F53"/>
    <w:rsid w:val="00C2311C"/>
    <w:rsid w:val="00C24729"/>
    <w:rsid w:val="00C2532B"/>
    <w:rsid w:val="00C26115"/>
    <w:rsid w:val="00C262AF"/>
    <w:rsid w:val="00C269DB"/>
    <w:rsid w:val="00C27A02"/>
    <w:rsid w:val="00C27CBC"/>
    <w:rsid w:val="00C3013B"/>
    <w:rsid w:val="00C3092C"/>
    <w:rsid w:val="00C3220D"/>
    <w:rsid w:val="00C33FD3"/>
    <w:rsid w:val="00C3444B"/>
    <w:rsid w:val="00C34829"/>
    <w:rsid w:val="00C34D42"/>
    <w:rsid w:val="00C35654"/>
    <w:rsid w:val="00C35C8A"/>
    <w:rsid w:val="00C35CC9"/>
    <w:rsid w:val="00C36697"/>
    <w:rsid w:val="00C36AFE"/>
    <w:rsid w:val="00C36C4A"/>
    <w:rsid w:val="00C3723A"/>
    <w:rsid w:val="00C37C3B"/>
    <w:rsid w:val="00C40703"/>
    <w:rsid w:val="00C4095D"/>
    <w:rsid w:val="00C40AFC"/>
    <w:rsid w:val="00C40DF1"/>
    <w:rsid w:val="00C41F96"/>
    <w:rsid w:val="00C422E4"/>
    <w:rsid w:val="00C4394F"/>
    <w:rsid w:val="00C43D53"/>
    <w:rsid w:val="00C446DC"/>
    <w:rsid w:val="00C4498C"/>
    <w:rsid w:val="00C4519D"/>
    <w:rsid w:val="00C45524"/>
    <w:rsid w:val="00C45B47"/>
    <w:rsid w:val="00C464CE"/>
    <w:rsid w:val="00C4699F"/>
    <w:rsid w:val="00C46ECC"/>
    <w:rsid w:val="00C47420"/>
    <w:rsid w:val="00C47B40"/>
    <w:rsid w:val="00C50516"/>
    <w:rsid w:val="00C506A6"/>
    <w:rsid w:val="00C52C8E"/>
    <w:rsid w:val="00C52ECD"/>
    <w:rsid w:val="00C54EC7"/>
    <w:rsid w:val="00C54EF1"/>
    <w:rsid w:val="00C54FE6"/>
    <w:rsid w:val="00C5547B"/>
    <w:rsid w:val="00C56F3C"/>
    <w:rsid w:val="00C57CCD"/>
    <w:rsid w:val="00C60558"/>
    <w:rsid w:val="00C60C70"/>
    <w:rsid w:val="00C619FE"/>
    <w:rsid w:val="00C61CF6"/>
    <w:rsid w:val="00C63116"/>
    <w:rsid w:val="00C63C98"/>
    <w:rsid w:val="00C641B8"/>
    <w:rsid w:val="00C64A23"/>
    <w:rsid w:val="00C654E6"/>
    <w:rsid w:val="00C65613"/>
    <w:rsid w:val="00C67F7F"/>
    <w:rsid w:val="00C67FD5"/>
    <w:rsid w:val="00C70AB2"/>
    <w:rsid w:val="00C711D0"/>
    <w:rsid w:val="00C72BAB"/>
    <w:rsid w:val="00C748BA"/>
    <w:rsid w:val="00C749B2"/>
    <w:rsid w:val="00C74A68"/>
    <w:rsid w:val="00C74DE9"/>
    <w:rsid w:val="00C74EE8"/>
    <w:rsid w:val="00C7534C"/>
    <w:rsid w:val="00C754CA"/>
    <w:rsid w:val="00C75DE3"/>
    <w:rsid w:val="00C7609A"/>
    <w:rsid w:val="00C76317"/>
    <w:rsid w:val="00C76440"/>
    <w:rsid w:val="00C77207"/>
    <w:rsid w:val="00C775D7"/>
    <w:rsid w:val="00C805C2"/>
    <w:rsid w:val="00C81E33"/>
    <w:rsid w:val="00C82157"/>
    <w:rsid w:val="00C83B82"/>
    <w:rsid w:val="00C84212"/>
    <w:rsid w:val="00C84346"/>
    <w:rsid w:val="00C845D8"/>
    <w:rsid w:val="00C8496A"/>
    <w:rsid w:val="00C8538B"/>
    <w:rsid w:val="00C8599A"/>
    <w:rsid w:val="00C865AB"/>
    <w:rsid w:val="00C871AC"/>
    <w:rsid w:val="00C9071C"/>
    <w:rsid w:val="00C9117A"/>
    <w:rsid w:val="00C920D1"/>
    <w:rsid w:val="00C939B9"/>
    <w:rsid w:val="00C949EB"/>
    <w:rsid w:val="00C94FA4"/>
    <w:rsid w:val="00C95178"/>
    <w:rsid w:val="00C95380"/>
    <w:rsid w:val="00C95C03"/>
    <w:rsid w:val="00C968AC"/>
    <w:rsid w:val="00C96FA8"/>
    <w:rsid w:val="00C971A6"/>
    <w:rsid w:val="00C97789"/>
    <w:rsid w:val="00C977AA"/>
    <w:rsid w:val="00CA06AA"/>
    <w:rsid w:val="00CA0C9A"/>
    <w:rsid w:val="00CA17B3"/>
    <w:rsid w:val="00CA195B"/>
    <w:rsid w:val="00CA1FBD"/>
    <w:rsid w:val="00CA2624"/>
    <w:rsid w:val="00CA2B7F"/>
    <w:rsid w:val="00CA3C40"/>
    <w:rsid w:val="00CA4ABB"/>
    <w:rsid w:val="00CA4AC3"/>
    <w:rsid w:val="00CA59EE"/>
    <w:rsid w:val="00CA5C87"/>
    <w:rsid w:val="00CA6767"/>
    <w:rsid w:val="00CA6C78"/>
    <w:rsid w:val="00CA743D"/>
    <w:rsid w:val="00CB0677"/>
    <w:rsid w:val="00CB07D3"/>
    <w:rsid w:val="00CB0D60"/>
    <w:rsid w:val="00CB1411"/>
    <w:rsid w:val="00CB1E0A"/>
    <w:rsid w:val="00CB1EB7"/>
    <w:rsid w:val="00CB2F0E"/>
    <w:rsid w:val="00CB30BA"/>
    <w:rsid w:val="00CB3298"/>
    <w:rsid w:val="00CB3520"/>
    <w:rsid w:val="00CB3674"/>
    <w:rsid w:val="00CB42D6"/>
    <w:rsid w:val="00CB439A"/>
    <w:rsid w:val="00CB4585"/>
    <w:rsid w:val="00CB461C"/>
    <w:rsid w:val="00CB4955"/>
    <w:rsid w:val="00CB65DF"/>
    <w:rsid w:val="00CB6952"/>
    <w:rsid w:val="00CB7797"/>
    <w:rsid w:val="00CB7B65"/>
    <w:rsid w:val="00CB7F50"/>
    <w:rsid w:val="00CC1893"/>
    <w:rsid w:val="00CC1FDF"/>
    <w:rsid w:val="00CC3736"/>
    <w:rsid w:val="00CC3B7A"/>
    <w:rsid w:val="00CC3D51"/>
    <w:rsid w:val="00CC593D"/>
    <w:rsid w:val="00CC5F24"/>
    <w:rsid w:val="00CC69C0"/>
    <w:rsid w:val="00CC69E5"/>
    <w:rsid w:val="00CC7F97"/>
    <w:rsid w:val="00CD019D"/>
    <w:rsid w:val="00CD064E"/>
    <w:rsid w:val="00CD0BDA"/>
    <w:rsid w:val="00CD1593"/>
    <w:rsid w:val="00CD1E01"/>
    <w:rsid w:val="00CD1E7B"/>
    <w:rsid w:val="00CD1FFC"/>
    <w:rsid w:val="00CD461D"/>
    <w:rsid w:val="00CD4ABC"/>
    <w:rsid w:val="00CD4EFC"/>
    <w:rsid w:val="00CD755D"/>
    <w:rsid w:val="00CD77A7"/>
    <w:rsid w:val="00CD7B22"/>
    <w:rsid w:val="00CD7CDA"/>
    <w:rsid w:val="00CE217F"/>
    <w:rsid w:val="00CE2783"/>
    <w:rsid w:val="00CE2A5F"/>
    <w:rsid w:val="00CE46BB"/>
    <w:rsid w:val="00CE4CED"/>
    <w:rsid w:val="00CE4FCF"/>
    <w:rsid w:val="00CE61D0"/>
    <w:rsid w:val="00CE6D5F"/>
    <w:rsid w:val="00CF196E"/>
    <w:rsid w:val="00CF208B"/>
    <w:rsid w:val="00CF3DD6"/>
    <w:rsid w:val="00CF5082"/>
    <w:rsid w:val="00CF5DBC"/>
    <w:rsid w:val="00CF647F"/>
    <w:rsid w:val="00CF7F81"/>
    <w:rsid w:val="00D00B9D"/>
    <w:rsid w:val="00D0153C"/>
    <w:rsid w:val="00D018DE"/>
    <w:rsid w:val="00D019A4"/>
    <w:rsid w:val="00D01C3E"/>
    <w:rsid w:val="00D01E0C"/>
    <w:rsid w:val="00D01E2E"/>
    <w:rsid w:val="00D027A8"/>
    <w:rsid w:val="00D034E1"/>
    <w:rsid w:val="00D034E5"/>
    <w:rsid w:val="00D0376A"/>
    <w:rsid w:val="00D03B8A"/>
    <w:rsid w:val="00D03DC9"/>
    <w:rsid w:val="00D03DD0"/>
    <w:rsid w:val="00D03EC1"/>
    <w:rsid w:val="00D04CB6"/>
    <w:rsid w:val="00D05246"/>
    <w:rsid w:val="00D05DFF"/>
    <w:rsid w:val="00D06221"/>
    <w:rsid w:val="00D062AD"/>
    <w:rsid w:val="00D078B8"/>
    <w:rsid w:val="00D10583"/>
    <w:rsid w:val="00D111EC"/>
    <w:rsid w:val="00D111FC"/>
    <w:rsid w:val="00D11976"/>
    <w:rsid w:val="00D119E8"/>
    <w:rsid w:val="00D12095"/>
    <w:rsid w:val="00D122A4"/>
    <w:rsid w:val="00D1266A"/>
    <w:rsid w:val="00D1288A"/>
    <w:rsid w:val="00D12D76"/>
    <w:rsid w:val="00D13F34"/>
    <w:rsid w:val="00D14FDF"/>
    <w:rsid w:val="00D1559E"/>
    <w:rsid w:val="00D158FC"/>
    <w:rsid w:val="00D168F0"/>
    <w:rsid w:val="00D16AD3"/>
    <w:rsid w:val="00D16DE6"/>
    <w:rsid w:val="00D203FB"/>
    <w:rsid w:val="00D214E6"/>
    <w:rsid w:val="00D2207D"/>
    <w:rsid w:val="00D22468"/>
    <w:rsid w:val="00D22C21"/>
    <w:rsid w:val="00D22FE9"/>
    <w:rsid w:val="00D2343E"/>
    <w:rsid w:val="00D238F2"/>
    <w:rsid w:val="00D23FCC"/>
    <w:rsid w:val="00D247C5"/>
    <w:rsid w:val="00D24C1D"/>
    <w:rsid w:val="00D25DC3"/>
    <w:rsid w:val="00D26175"/>
    <w:rsid w:val="00D2730B"/>
    <w:rsid w:val="00D273DF"/>
    <w:rsid w:val="00D27DCC"/>
    <w:rsid w:val="00D30974"/>
    <w:rsid w:val="00D30FB5"/>
    <w:rsid w:val="00D30FEE"/>
    <w:rsid w:val="00D31BDB"/>
    <w:rsid w:val="00D31E62"/>
    <w:rsid w:val="00D32ADC"/>
    <w:rsid w:val="00D340B8"/>
    <w:rsid w:val="00D3438F"/>
    <w:rsid w:val="00D3472C"/>
    <w:rsid w:val="00D34B04"/>
    <w:rsid w:val="00D34C13"/>
    <w:rsid w:val="00D350D5"/>
    <w:rsid w:val="00D35715"/>
    <w:rsid w:val="00D36650"/>
    <w:rsid w:val="00D37C96"/>
    <w:rsid w:val="00D41229"/>
    <w:rsid w:val="00D41A55"/>
    <w:rsid w:val="00D4217B"/>
    <w:rsid w:val="00D4743F"/>
    <w:rsid w:val="00D47967"/>
    <w:rsid w:val="00D50190"/>
    <w:rsid w:val="00D501C9"/>
    <w:rsid w:val="00D51A3C"/>
    <w:rsid w:val="00D51DE7"/>
    <w:rsid w:val="00D52260"/>
    <w:rsid w:val="00D532B0"/>
    <w:rsid w:val="00D5359A"/>
    <w:rsid w:val="00D5468C"/>
    <w:rsid w:val="00D54DF7"/>
    <w:rsid w:val="00D5589F"/>
    <w:rsid w:val="00D5598F"/>
    <w:rsid w:val="00D55A61"/>
    <w:rsid w:val="00D55B19"/>
    <w:rsid w:val="00D5680F"/>
    <w:rsid w:val="00D56906"/>
    <w:rsid w:val="00D56B9E"/>
    <w:rsid w:val="00D56E70"/>
    <w:rsid w:val="00D574C3"/>
    <w:rsid w:val="00D57C34"/>
    <w:rsid w:val="00D604BF"/>
    <w:rsid w:val="00D60A31"/>
    <w:rsid w:val="00D61071"/>
    <w:rsid w:val="00D6114C"/>
    <w:rsid w:val="00D626AF"/>
    <w:rsid w:val="00D62889"/>
    <w:rsid w:val="00D6299E"/>
    <w:rsid w:val="00D63ACB"/>
    <w:rsid w:val="00D63C31"/>
    <w:rsid w:val="00D63C6B"/>
    <w:rsid w:val="00D63FD9"/>
    <w:rsid w:val="00D64744"/>
    <w:rsid w:val="00D64AD1"/>
    <w:rsid w:val="00D65322"/>
    <w:rsid w:val="00D65475"/>
    <w:rsid w:val="00D65701"/>
    <w:rsid w:val="00D65838"/>
    <w:rsid w:val="00D65C2C"/>
    <w:rsid w:val="00D65CC8"/>
    <w:rsid w:val="00D65FC2"/>
    <w:rsid w:val="00D66BA3"/>
    <w:rsid w:val="00D670BD"/>
    <w:rsid w:val="00D67242"/>
    <w:rsid w:val="00D67330"/>
    <w:rsid w:val="00D676E3"/>
    <w:rsid w:val="00D67807"/>
    <w:rsid w:val="00D67F82"/>
    <w:rsid w:val="00D704A9"/>
    <w:rsid w:val="00D72438"/>
    <w:rsid w:val="00D724EB"/>
    <w:rsid w:val="00D7277E"/>
    <w:rsid w:val="00D73035"/>
    <w:rsid w:val="00D73160"/>
    <w:rsid w:val="00D77984"/>
    <w:rsid w:val="00D80A78"/>
    <w:rsid w:val="00D80DEE"/>
    <w:rsid w:val="00D8150E"/>
    <w:rsid w:val="00D82101"/>
    <w:rsid w:val="00D823F8"/>
    <w:rsid w:val="00D83459"/>
    <w:rsid w:val="00D83711"/>
    <w:rsid w:val="00D844EF"/>
    <w:rsid w:val="00D8478B"/>
    <w:rsid w:val="00D84AD8"/>
    <w:rsid w:val="00D85B7D"/>
    <w:rsid w:val="00D870AE"/>
    <w:rsid w:val="00D87207"/>
    <w:rsid w:val="00D875F1"/>
    <w:rsid w:val="00D87888"/>
    <w:rsid w:val="00D87964"/>
    <w:rsid w:val="00D879DF"/>
    <w:rsid w:val="00D87D10"/>
    <w:rsid w:val="00D901A9"/>
    <w:rsid w:val="00D90B31"/>
    <w:rsid w:val="00D91CA6"/>
    <w:rsid w:val="00D92B36"/>
    <w:rsid w:val="00D935FB"/>
    <w:rsid w:val="00D93EE0"/>
    <w:rsid w:val="00D94D73"/>
    <w:rsid w:val="00D95F32"/>
    <w:rsid w:val="00D9703C"/>
    <w:rsid w:val="00D9716F"/>
    <w:rsid w:val="00D975DA"/>
    <w:rsid w:val="00D97EF7"/>
    <w:rsid w:val="00DA0814"/>
    <w:rsid w:val="00DA0F58"/>
    <w:rsid w:val="00DA3001"/>
    <w:rsid w:val="00DA31CB"/>
    <w:rsid w:val="00DA436B"/>
    <w:rsid w:val="00DA43DB"/>
    <w:rsid w:val="00DA454F"/>
    <w:rsid w:val="00DA6BF3"/>
    <w:rsid w:val="00DA6EF4"/>
    <w:rsid w:val="00DB0997"/>
    <w:rsid w:val="00DB1E89"/>
    <w:rsid w:val="00DB2A24"/>
    <w:rsid w:val="00DB4177"/>
    <w:rsid w:val="00DB43B4"/>
    <w:rsid w:val="00DB4C00"/>
    <w:rsid w:val="00DB5FC7"/>
    <w:rsid w:val="00DB6727"/>
    <w:rsid w:val="00DB6B90"/>
    <w:rsid w:val="00DB79D4"/>
    <w:rsid w:val="00DC0E7E"/>
    <w:rsid w:val="00DC1F96"/>
    <w:rsid w:val="00DC2D38"/>
    <w:rsid w:val="00DC344A"/>
    <w:rsid w:val="00DC3A12"/>
    <w:rsid w:val="00DC3A4A"/>
    <w:rsid w:val="00DC3E9D"/>
    <w:rsid w:val="00DC3F34"/>
    <w:rsid w:val="00DC4602"/>
    <w:rsid w:val="00DC59C8"/>
    <w:rsid w:val="00DC5EBF"/>
    <w:rsid w:val="00DC6110"/>
    <w:rsid w:val="00DC6762"/>
    <w:rsid w:val="00DC6F97"/>
    <w:rsid w:val="00DD0391"/>
    <w:rsid w:val="00DD06ED"/>
    <w:rsid w:val="00DD09A0"/>
    <w:rsid w:val="00DD27FB"/>
    <w:rsid w:val="00DD2E2B"/>
    <w:rsid w:val="00DD2F34"/>
    <w:rsid w:val="00DD439C"/>
    <w:rsid w:val="00DD4575"/>
    <w:rsid w:val="00DD4B46"/>
    <w:rsid w:val="00DD520E"/>
    <w:rsid w:val="00DD65CD"/>
    <w:rsid w:val="00DD664C"/>
    <w:rsid w:val="00DD6711"/>
    <w:rsid w:val="00DD6CF3"/>
    <w:rsid w:val="00DE020E"/>
    <w:rsid w:val="00DE07C2"/>
    <w:rsid w:val="00DE1D29"/>
    <w:rsid w:val="00DE23D2"/>
    <w:rsid w:val="00DE26E2"/>
    <w:rsid w:val="00DE28A8"/>
    <w:rsid w:val="00DE324A"/>
    <w:rsid w:val="00DE3357"/>
    <w:rsid w:val="00DE40DB"/>
    <w:rsid w:val="00DE417B"/>
    <w:rsid w:val="00DE57E9"/>
    <w:rsid w:val="00DE58CC"/>
    <w:rsid w:val="00DE594C"/>
    <w:rsid w:val="00DE59D6"/>
    <w:rsid w:val="00DE5B9C"/>
    <w:rsid w:val="00DE6586"/>
    <w:rsid w:val="00DE7DD9"/>
    <w:rsid w:val="00DF01CA"/>
    <w:rsid w:val="00DF0DC8"/>
    <w:rsid w:val="00DF1231"/>
    <w:rsid w:val="00DF1511"/>
    <w:rsid w:val="00DF1ACB"/>
    <w:rsid w:val="00DF1F98"/>
    <w:rsid w:val="00DF32B3"/>
    <w:rsid w:val="00DF35B4"/>
    <w:rsid w:val="00DF3EA9"/>
    <w:rsid w:val="00DF4B2C"/>
    <w:rsid w:val="00DF55E9"/>
    <w:rsid w:val="00DF594B"/>
    <w:rsid w:val="00DF634F"/>
    <w:rsid w:val="00DF6AB1"/>
    <w:rsid w:val="00DF6CE6"/>
    <w:rsid w:val="00DF6E24"/>
    <w:rsid w:val="00DF6FC5"/>
    <w:rsid w:val="00DF7751"/>
    <w:rsid w:val="00E002EE"/>
    <w:rsid w:val="00E01032"/>
    <w:rsid w:val="00E012DD"/>
    <w:rsid w:val="00E01A61"/>
    <w:rsid w:val="00E01B83"/>
    <w:rsid w:val="00E02A84"/>
    <w:rsid w:val="00E03804"/>
    <w:rsid w:val="00E03B1B"/>
    <w:rsid w:val="00E03F4F"/>
    <w:rsid w:val="00E04790"/>
    <w:rsid w:val="00E04CFB"/>
    <w:rsid w:val="00E04DE3"/>
    <w:rsid w:val="00E04E2A"/>
    <w:rsid w:val="00E05A9B"/>
    <w:rsid w:val="00E05F6B"/>
    <w:rsid w:val="00E068EC"/>
    <w:rsid w:val="00E06B89"/>
    <w:rsid w:val="00E07907"/>
    <w:rsid w:val="00E100FC"/>
    <w:rsid w:val="00E1015A"/>
    <w:rsid w:val="00E109EA"/>
    <w:rsid w:val="00E10A7E"/>
    <w:rsid w:val="00E11C53"/>
    <w:rsid w:val="00E11D30"/>
    <w:rsid w:val="00E12F48"/>
    <w:rsid w:val="00E1437C"/>
    <w:rsid w:val="00E1453D"/>
    <w:rsid w:val="00E1508B"/>
    <w:rsid w:val="00E15CE3"/>
    <w:rsid w:val="00E162A8"/>
    <w:rsid w:val="00E16E7E"/>
    <w:rsid w:val="00E1715D"/>
    <w:rsid w:val="00E171C5"/>
    <w:rsid w:val="00E17309"/>
    <w:rsid w:val="00E17316"/>
    <w:rsid w:val="00E1779A"/>
    <w:rsid w:val="00E17F18"/>
    <w:rsid w:val="00E20320"/>
    <w:rsid w:val="00E205E4"/>
    <w:rsid w:val="00E20DC1"/>
    <w:rsid w:val="00E20F64"/>
    <w:rsid w:val="00E21284"/>
    <w:rsid w:val="00E21D55"/>
    <w:rsid w:val="00E21F9B"/>
    <w:rsid w:val="00E221F8"/>
    <w:rsid w:val="00E223BC"/>
    <w:rsid w:val="00E22A14"/>
    <w:rsid w:val="00E22ED3"/>
    <w:rsid w:val="00E235E5"/>
    <w:rsid w:val="00E23FB5"/>
    <w:rsid w:val="00E26857"/>
    <w:rsid w:val="00E27587"/>
    <w:rsid w:val="00E2776A"/>
    <w:rsid w:val="00E279AB"/>
    <w:rsid w:val="00E30B3E"/>
    <w:rsid w:val="00E30D08"/>
    <w:rsid w:val="00E3320E"/>
    <w:rsid w:val="00E33AB7"/>
    <w:rsid w:val="00E33EBA"/>
    <w:rsid w:val="00E356D7"/>
    <w:rsid w:val="00E35FA6"/>
    <w:rsid w:val="00E363C2"/>
    <w:rsid w:val="00E3767D"/>
    <w:rsid w:val="00E4025B"/>
    <w:rsid w:val="00E40750"/>
    <w:rsid w:val="00E40786"/>
    <w:rsid w:val="00E414DC"/>
    <w:rsid w:val="00E41855"/>
    <w:rsid w:val="00E41E61"/>
    <w:rsid w:val="00E41F18"/>
    <w:rsid w:val="00E421AF"/>
    <w:rsid w:val="00E423CE"/>
    <w:rsid w:val="00E42522"/>
    <w:rsid w:val="00E4313D"/>
    <w:rsid w:val="00E431FC"/>
    <w:rsid w:val="00E437C6"/>
    <w:rsid w:val="00E439FC"/>
    <w:rsid w:val="00E45262"/>
    <w:rsid w:val="00E46FE0"/>
    <w:rsid w:val="00E4722D"/>
    <w:rsid w:val="00E472D1"/>
    <w:rsid w:val="00E5111E"/>
    <w:rsid w:val="00E53122"/>
    <w:rsid w:val="00E532A1"/>
    <w:rsid w:val="00E5347F"/>
    <w:rsid w:val="00E5418D"/>
    <w:rsid w:val="00E548FA"/>
    <w:rsid w:val="00E55C3C"/>
    <w:rsid w:val="00E55EF1"/>
    <w:rsid w:val="00E5658E"/>
    <w:rsid w:val="00E566F5"/>
    <w:rsid w:val="00E60035"/>
    <w:rsid w:val="00E600F5"/>
    <w:rsid w:val="00E60917"/>
    <w:rsid w:val="00E60B3A"/>
    <w:rsid w:val="00E60D3F"/>
    <w:rsid w:val="00E60DBF"/>
    <w:rsid w:val="00E61327"/>
    <w:rsid w:val="00E6147B"/>
    <w:rsid w:val="00E618D6"/>
    <w:rsid w:val="00E61B38"/>
    <w:rsid w:val="00E61B42"/>
    <w:rsid w:val="00E61F2D"/>
    <w:rsid w:val="00E62A9F"/>
    <w:rsid w:val="00E63AF8"/>
    <w:rsid w:val="00E63DD2"/>
    <w:rsid w:val="00E65851"/>
    <w:rsid w:val="00E65D77"/>
    <w:rsid w:val="00E66264"/>
    <w:rsid w:val="00E66D66"/>
    <w:rsid w:val="00E67478"/>
    <w:rsid w:val="00E67672"/>
    <w:rsid w:val="00E67EAA"/>
    <w:rsid w:val="00E71E99"/>
    <w:rsid w:val="00E72595"/>
    <w:rsid w:val="00E726DE"/>
    <w:rsid w:val="00E72716"/>
    <w:rsid w:val="00E72D12"/>
    <w:rsid w:val="00E73B44"/>
    <w:rsid w:val="00E7523C"/>
    <w:rsid w:val="00E75622"/>
    <w:rsid w:val="00E757A7"/>
    <w:rsid w:val="00E76AF5"/>
    <w:rsid w:val="00E77980"/>
    <w:rsid w:val="00E80051"/>
    <w:rsid w:val="00E802AF"/>
    <w:rsid w:val="00E80339"/>
    <w:rsid w:val="00E80880"/>
    <w:rsid w:val="00E80B70"/>
    <w:rsid w:val="00E821A4"/>
    <w:rsid w:val="00E83EFB"/>
    <w:rsid w:val="00E8561D"/>
    <w:rsid w:val="00E85B21"/>
    <w:rsid w:val="00E863AC"/>
    <w:rsid w:val="00E87336"/>
    <w:rsid w:val="00E87D27"/>
    <w:rsid w:val="00E912BA"/>
    <w:rsid w:val="00E9195D"/>
    <w:rsid w:val="00E92389"/>
    <w:rsid w:val="00E92FC3"/>
    <w:rsid w:val="00E93444"/>
    <w:rsid w:val="00E93CB4"/>
    <w:rsid w:val="00E947AE"/>
    <w:rsid w:val="00E94834"/>
    <w:rsid w:val="00E94D2C"/>
    <w:rsid w:val="00E94E78"/>
    <w:rsid w:val="00E958E1"/>
    <w:rsid w:val="00E96B69"/>
    <w:rsid w:val="00E973C4"/>
    <w:rsid w:val="00E97E0F"/>
    <w:rsid w:val="00EA0C71"/>
    <w:rsid w:val="00EA0F4E"/>
    <w:rsid w:val="00EA2993"/>
    <w:rsid w:val="00EA3209"/>
    <w:rsid w:val="00EA404A"/>
    <w:rsid w:val="00EA47C9"/>
    <w:rsid w:val="00EA4A5B"/>
    <w:rsid w:val="00EA53E8"/>
    <w:rsid w:val="00EA5540"/>
    <w:rsid w:val="00EA568D"/>
    <w:rsid w:val="00EA57DA"/>
    <w:rsid w:val="00EA5AA8"/>
    <w:rsid w:val="00EA607B"/>
    <w:rsid w:val="00EA60B7"/>
    <w:rsid w:val="00EA6909"/>
    <w:rsid w:val="00EB00D6"/>
    <w:rsid w:val="00EB0332"/>
    <w:rsid w:val="00EB071F"/>
    <w:rsid w:val="00EB1076"/>
    <w:rsid w:val="00EB1DFD"/>
    <w:rsid w:val="00EB2211"/>
    <w:rsid w:val="00EB22D1"/>
    <w:rsid w:val="00EB3769"/>
    <w:rsid w:val="00EB3958"/>
    <w:rsid w:val="00EB4E9C"/>
    <w:rsid w:val="00EB50CF"/>
    <w:rsid w:val="00EB5266"/>
    <w:rsid w:val="00EB5485"/>
    <w:rsid w:val="00EB5C4C"/>
    <w:rsid w:val="00EB5EB8"/>
    <w:rsid w:val="00EC02B7"/>
    <w:rsid w:val="00EC0C48"/>
    <w:rsid w:val="00EC1236"/>
    <w:rsid w:val="00EC1BE0"/>
    <w:rsid w:val="00EC2379"/>
    <w:rsid w:val="00EC296A"/>
    <w:rsid w:val="00EC32C5"/>
    <w:rsid w:val="00EC34A0"/>
    <w:rsid w:val="00EC3B33"/>
    <w:rsid w:val="00EC484B"/>
    <w:rsid w:val="00EC5613"/>
    <w:rsid w:val="00EC5959"/>
    <w:rsid w:val="00EC69D8"/>
    <w:rsid w:val="00EC77FF"/>
    <w:rsid w:val="00EC7A8C"/>
    <w:rsid w:val="00EC7C27"/>
    <w:rsid w:val="00ED0523"/>
    <w:rsid w:val="00ED126A"/>
    <w:rsid w:val="00ED1C10"/>
    <w:rsid w:val="00ED333F"/>
    <w:rsid w:val="00ED382B"/>
    <w:rsid w:val="00ED41A5"/>
    <w:rsid w:val="00ED47A1"/>
    <w:rsid w:val="00ED4BB8"/>
    <w:rsid w:val="00ED7C18"/>
    <w:rsid w:val="00EE099E"/>
    <w:rsid w:val="00EE140F"/>
    <w:rsid w:val="00EE195E"/>
    <w:rsid w:val="00EE2226"/>
    <w:rsid w:val="00EE2680"/>
    <w:rsid w:val="00EE2829"/>
    <w:rsid w:val="00EE3B37"/>
    <w:rsid w:val="00EE488E"/>
    <w:rsid w:val="00EE4BE5"/>
    <w:rsid w:val="00EE4C8F"/>
    <w:rsid w:val="00EE55CD"/>
    <w:rsid w:val="00EE5730"/>
    <w:rsid w:val="00EE5772"/>
    <w:rsid w:val="00EE6556"/>
    <w:rsid w:val="00EE76D0"/>
    <w:rsid w:val="00EF0DE5"/>
    <w:rsid w:val="00EF10B9"/>
    <w:rsid w:val="00EF1902"/>
    <w:rsid w:val="00EF1F6D"/>
    <w:rsid w:val="00EF213F"/>
    <w:rsid w:val="00EF24B4"/>
    <w:rsid w:val="00EF24D7"/>
    <w:rsid w:val="00EF2C47"/>
    <w:rsid w:val="00EF34F4"/>
    <w:rsid w:val="00EF36F7"/>
    <w:rsid w:val="00EF471F"/>
    <w:rsid w:val="00EF473B"/>
    <w:rsid w:val="00EF55C9"/>
    <w:rsid w:val="00EF5C84"/>
    <w:rsid w:val="00EF5C94"/>
    <w:rsid w:val="00EF5E80"/>
    <w:rsid w:val="00EF60F7"/>
    <w:rsid w:val="00EF7762"/>
    <w:rsid w:val="00EF7A8C"/>
    <w:rsid w:val="00EF7AC5"/>
    <w:rsid w:val="00EF7CFA"/>
    <w:rsid w:val="00F00844"/>
    <w:rsid w:val="00F009DA"/>
    <w:rsid w:val="00F00EA2"/>
    <w:rsid w:val="00F01456"/>
    <w:rsid w:val="00F01D85"/>
    <w:rsid w:val="00F034F2"/>
    <w:rsid w:val="00F04056"/>
    <w:rsid w:val="00F05038"/>
    <w:rsid w:val="00F0582C"/>
    <w:rsid w:val="00F05F24"/>
    <w:rsid w:val="00F065E0"/>
    <w:rsid w:val="00F06EF2"/>
    <w:rsid w:val="00F10D07"/>
    <w:rsid w:val="00F10DE6"/>
    <w:rsid w:val="00F11100"/>
    <w:rsid w:val="00F1178A"/>
    <w:rsid w:val="00F11E19"/>
    <w:rsid w:val="00F12BCE"/>
    <w:rsid w:val="00F12D35"/>
    <w:rsid w:val="00F12F67"/>
    <w:rsid w:val="00F138F4"/>
    <w:rsid w:val="00F13B16"/>
    <w:rsid w:val="00F13EBA"/>
    <w:rsid w:val="00F1418A"/>
    <w:rsid w:val="00F14DF2"/>
    <w:rsid w:val="00F15C2D"/>
    <w:rsid w:val="00F16DF5"/>
    <w:rsid w:val="00F201CD"/>
    <w:rsid w:val="00F20604"/>
    <w:rsid w:val="00F20E87"/>
    <w:rsid w:val="00F21670"/>
    <w:rsid w:val="00F21E1E"/>
    <w:rsid w:val="00F21F79"/>
    <w:rsid w:val="00F23585"/>
    <w:rsid w:val="00F2478B"/>
    <w:rsid w:val="00F2498C"/>
    <w:rsid w:val="00F25532"/>
    <w:rsid w:val="00F25820"/>
    <w:rsid w:val="00F266AA"/>
    <w:rsid w:val="00F27064"/>
    <w:rsid w:val="00F30128"/>
    <w:rsid w:val="00F30793"/>
    <w:rsid w:val="00F30B44"/>
    <w:rsid w:val="00F31ADB"/>
    <w:rsid w:val="00F31FED"/>
    <w:rsid w:val="00F31FF9"/>
    <w:rsid w:val="00F32406"/>
    <w:rsid w:val="00F32C03"/>
    <w:rsid w:val="00F3357A"/>
    <w:rsid w:val="00F33E42"/>
    <w:rsid w:val="00F342FE"/>
    <w:rsid w:val="00F34B72"/>
    <w:rsid w:val="00F356FE"/>
    <w:rsid w:val="00F357AE"/>
    <w:rsid w:val="00F36262"/>
    <w:rsid w:val="00F366EB"/>
    <w:rsid w:val="00F36CF9"/>
    <w:rsid w:val="00F37382"/>
    <w:rsid w:val="00F375F2"/>
    <w:rsid w:val="00F400D9"/>
    <w:rsid w:val="00F409B7"/>
    <w:rsid w:val="00F40C27"/>
    <w:rsid w:val="00F41A86"/>
    <w:rsid w:val="00F42487"/>
    <w:rsid w:val="00F4333B"/>
    <w:rsid w:val="00F4389B"/>
    <w:rsid w:val="00F43BB8"/>
    <w:rsid w:val="00F445DD"/>
    <w:rsid w:val="00F45695"/>
    <w:rsid w:val="00F463BD"/>
    <w:rsid w:val="00F469D9"/>
    <w:rsid w:val="00F46EE1"/>
    <w:rsid w:val="00F4716F"/>
    <w:rsid w:val="00F50364"/>
    <w:rsid w:val="00F50A06"/>
    <w:rsid w:val="00F50AC8"/>
    <w:rsid w:val="00F514BD"/>
    <w:rsid w:val="00F5189E"/>
    <w:rsid w:val="00F51AC1"/>
    <w:rsid w:val="00F51DB2"/>
    <w:rsid w:val="00F51E72"/>
    <w:rsid w:val="00F52208"/>
    <w:rsid w:val="00F52262"/>
    <w:rsid w:val="00F5240C"/>
    <w:rsid w:val="00F52430"/>
    <w:rsid w:val="00F5295F"/>
    <w:rsid w:val="00F544FA"/>
    <w:rsid w:val="00F54B06"/>
    <w:rsid w:val="00F551FB"/>
    <w:rsid w:val="00F55268"/>
    <w:rsid w:val="00F55566"/>
    <w:rsid w:val="00F56508"/>
    <w:rsid w:val="00F57409"/>
    <w:rsid w:val="00F574B4"/>
    <w:rsid w:val="00F57512"/>
    <w:rsid w:val="00F60475"/>
    <w:rsid w:val="00F605C3"/>
    <w:rsid w:val="00F60919"/>
    <w:rsid w:val="00F6199C"/>
    <w:rsid w:val="00F62CD1"/>
    <w:rsid w:val="00F634F2"/>
    <w:rsid w:val="00F63A08"/>
    <w:rsid w:val="00F640F9"/>
    <w:rsid w:val="00F64AA3"/>
    <w:rsid w:val="00F64DF5"/>
    <w:rsid w:val="00F6678E"/>
    <w:rsid w:val="00F6699B"/>
    <w:rsid w:val="00F66D9E"/>
    <w:rsid w:val="00F673D8"/>
    <w:rsid w:val="00F675EF"/>
    <w:rsid w:val="00F6767F"/>
    <w:rsid w:val="00F7200B"/>
    <w:rsid w:val="00F7228A"/>
    <w:rsid w:val="00F73974"/>
    <w:rsid w:val="00F73CDF"/>
    <w:rsid w:val="00F74352"/>
    <w:rsid w:val="00F748C8"/>
    <w:rsid w:val="00F74E92"/>
    <w:rsid w:val="00F76E15"/>
    <w:rsid w:val="00F77515"/>
    <w:rsid w:val="00F77F87"/>
    <w:rsid w:val="00F803D5"/>
    <w:rsid w:val="00F80602"/>
    <w:rsid w:val="00F81538"/>
    <w:rsid w:val="00F83480"/>
    <w:rsid w:val="00F839BE"/>
    <w:rsid w:val="00F841BD"/>
    <w:rsid w:val="00F8426E"/>
    <w:rsid w:val="00F84695"/>
    <w:rsid w:val="00F848E6"/>
    <w:rsid w:val="00F84D3B"/>
    <w:rsid w:val="00F84DC7"/>
    <w:rsid w:val="00F85034"/>
    <w:rsid w:val="00F85425"/>
    <w:rsid w:val="00F85784"/>
    <w:rsid w:val="00F86238"/>
    <w:rsid w:val="00F86577"/>
    <w:rsid w:val="00F87550"/>
    <w:rsid w:val="00F9046C"/>
    <w:rsid w:val="00F90F5B"/>
    <w:rsid w:val="00F913D4"/>
    <w:rsid w:val="00F91DC0"/>
    <w:rsid w:val="00F93C66"/>
    <w:rsid w:val="00F93D8C"/>
    <w:rsid w:val="00F940F9"/>
    <w:rsid w:val="00F945AD"/>
    <w:rsid w:val="00F945B3"/>
    <w:rsid w:val="00F9474B"/>
    <w:rsid w:val="00F94BB4"/>
    <w:rsid w:val="00F95DF1"/>
    <w:rsid w:val="00F95F83"/>
    <w:rsid w:val="00F963D4"/>
    <w:rsid w:val="00F97E7D"/>
    <w:rsid w:val="00FA049F"/>
    <w:rsid w:val="00FA0BD1"/>
    <w:rsid w:val="00FA1032"/>
    <w:rsid w:val="00FA11A6"/>
    <w:rsid w:val="00FA136F"/>
    <w:rsid w:val="00FA1588"/>
    <w:rsid w:val="00FA2363"/>
    <w:rsid w:val="00FA2F68"/>
    <w:rsid w:val="00FA32D7"/>
    <w:rsid w:val="00FA33AA"/>
    <w:rsid w:val="00FA415A"/>
    <w:rsid w:val="00FA43E4"/>
    <w:rsid w:val="00FA4EF6"/>
    <w:rsid w:val="00FA50C6"/>
    <w:rsid w:val="00FA5BE8"/>
    <w:rsid w:val="00FA61E0"/>
    <w:rsid w:val="00FA719C"/>
    <w:rsid w:val="00FA73A7"/>
    <w:rsid w:val="00FB1653"/>
    <w:rsid w:val="00FB201C"/>
    <w:rsid w:val="00FB27F5"/>
    <w:rsid w:val="00FB2B1E"/>
    <w:rsid w:val="00FB39C9"/>
    <w:rsid w:val="00FB3E66"/>
    <w:rsid w:val="00FB3F37"/>
    <w:rsid w:val="00FB41F7"/>
    <w:rsid w:val="00FB494C"/>
    <w:rsid w:val="00FB4E0C"/>
    <w:rsid w:val="00FB6D82"/>
    <w:rsid w:val="00FB6DAD"/>
    <w:rsid w:val="00FB7102"/>
    <w:rsid w:val="00FB7C4B"/>
    <w:rsid w:val="00FC0302"/>
    <w:rsid w:val="00FC1760"/>
    <w:rsid w:val="00FC2CF4"/>
    <w:rsid w:val="00FC414A"/>
    <w:rsid w:val="00FC4831"/>
    <w:rsid w:val="00FC4EB9"/>
    <w:rsid w:val="00FC5301"/>
    <w:rsid w:val="00FC54B8"/>
    <w:rsid w:val="00FC5B0C"/>
    <w:rsid w:val="00FC7A92"/>
    <w:rsid w:val="00FD0C2F"/>
    <w:rsid w:val="00FD124E"/>
    <w:rsid w:val="00FD178A"/>
    <w:rsid w:val="00FD1D71"/>
    <w:rsid w:val="00FD2392"/>
    <w:rsid w:val="00FD2530"/>
    <w:rsid w:val="00FD2703"/>
    <w:rsid w:val="00FD41E0"/>
    <w:rsid w:val="00FD4675"/>
    <w:rsid w:val="00FD4748"/>
    <w:rsid w:val="00FD4BD1"/>
    <w:rsid w:val="00FD4C7D"/>
    <w:rsid w:val="00FD4F1B"/>
    <w:rsid w:val="00FD505D"/>
    <w:rsid w:val="00FD56CC"/>
    <w:rsid w:val="00FD5717"/>
    <w:rsid w:val="00FD7721"/>
    <w:rsid w:val="00FD7EEC"/>
    <w:rsid w:val="00FE0482"/>
    <w:rsid w:val="00FE05DE"/>
    <w:rsid w:val="00FE0FB0"/>
    <w:rsid w:val="00FE18A0"/>
    <w:rsid w:val="00FE2581"/>
    <w:rsid w:val="00FE2C6C"/>
    <w:rsid w:val="00FE3A12"/>
    <w:rsid w:val="00FE4467"/>
    <w:rsid w:val="00FE48FE"/>
    <w:rsid w:val="00FE4A40"/>
    <w:rsid w:val="00FE4AA6"/>
    <w:rsid w:val="00FE6280"/>
    <w:rsid w:val="00FE6341"/>
    <w:rsid w:val="00FE7A45"/>
    <w:rsid w:val="00FF04FF"/>
    <w:rsid w:val="00FF0BAF"/>
    <w:rsid w:val="00FF12D2"/>
    <w:rsid w:val="00FF1404"/>
    <w:rsid w:val="00FF150E"/>
    <w:rsid w:val="00FF16FF"/>
    <w:rsid w:val="00FF1FBD"/>
    <w:rsid w:val="00FF2542"/>
    <w:rsid w:val="00FF28B7"/>
    <w:rsid w:val="00FF38F2"/>
    <w:rsid w:val="00FF3D60"/>
    <w:rsid w:val="00FF4640"/>
    <w:rsid w:val="00FF4783"/>
    <w:rsid w:val="00FF4992"/>
    <w:rsid w:val="00FF4A6B"/>
    <w:rsid w:val="00FF52FF"/>
    <w:rsid w:val="00FF620E"/>
    <w:rsid w:val="00FF643D"/>
    <w:rsid w:val="00FF6451"/>
    <w:rsid w:val="00FF750E"/>
    <w:rsid w:val="00FF7886"/>
    <w:rsid w:val="00FF7CD4"/>
    <w:rsid w:val="010746F8"/>
    <w:rsid w:val="015A3316"/>
    <w:rsid w:val="017E00E6"/>
    <w:rsid w:val="022E26FA"/>
    <w:rsid w:val="025033FE"/>
    <w:rsid w:val="025739FF"/>
    <w:rsid w:val="02832646"/>
    <w:rsid w:val="02E554FE"/>
    <w:rsid w:val="03237D24"/>
    <w:rsid w:val="035C0195"/>
    <w:rsid w:val="035C6DF3"/>
    <w:rsid w:val="03B0049B"/>
    <w:rsid w:val="045118DF"/>
    <w:rsid w:val="04A50D75"/>
    <w:rsid w:val="05837654"/>
    <w:rsid w:val="05C23B25"/>
    <w:rsid w:val="05CC64B2"/>
    <w:rsid w:val="05FF3180"/>
    <w:rsid w:val="06037123"/>
    <w:rsid w:val="063D3C16"/>
    <w:rsid w:val="06826BED"/>
    <w:rsid w:val="06C5392E"/>
    <w:rsid w:val="06FF2F14"/>
    <w:rsid w:val="07541529"/>
    <w:rsid w:val="07711FDE"/>
    <w:rsid w:val="07A01B75"/>
    <w:rsid w:val="07F27D26"/>
    <w:rsid w:val="07FD1E3A"/>
    <w:rsid w:val="08206641"/>
    <w:rsid w:val="082F6EC5"/>
    <w:rsid w:val="086A7A02"/>
    <w:rsid w:val="08C711B3"/>
    <w:rsid w:val="095C7B4D"/>
    <w:rsid w:val="095F358F"/>
    <w:rsid w:val="098E4822"/>
    <w:rsid w:val="0990709C"/>
    <w:rsid w:val="09D22367"/>
    <w:rsid w:val="0A1E6ABA"/>
    <w:rsid w:val="0A2368BD"/>
    <w:rsid w:val="0AD84792"/>
    <w:rsid w:val="0ADD5D80"/>
    <w:rsid w:val="0AE446F2"/>
    <w:rsid w:val="0B611327"/>
    <w:rsid w:val="0BBA12FF"/>
    <w:rsid w:val="0BC32681"/>
    <w:rsid w:val="0DAE7521"/>
    <w:rsid w:val="0DE01C47"/>
    <w:rsid w:val="0E393E3D"/>
    <w:rsid w:val="0E634B54"/>
    <w:rsid w:val="0EE446F8"/>
    <w:rsid w:val="0F0767AD"/>
    <w:rsid w:val="0F83104D"/>
    <w:rsid w:val="0FDB4ACE"/>
    <w:rsid w:val="10B4201D"/>
    <w:rsid w:val="10DC72C8"/>
    <w:rsid w:val="10E43CBD"/>
    <w:rsid w:val="1175433E"/>
    <w:rsid w:val="117A5014"/>
    <w:rsid w:val="11CF2EE4"/>
    <w:rsid w:val="11FA43A7"/>
    <w:rsid w:val="12057245"/>
    <w:rsid w:val="12107727"/>
    <w:rsid w:val="123B60F7"/>
    <w:rsid w:val="124473D0"/>
    <w:rsid w:val="12615ED1"/>
    <w:rsid w:val="12BA3EB3"/>
    <w:rsid w:val="12CF313E"/>
    <w:rsid w:val="12F7275A"/>
    <w:rsid w:val="13F20D00"/>
    <w:rsid w:val="143A0A8B"/>
    <w:rsid w:val="15A279C5"/>
    <w:rsid w:val="1643482E"/>
    <w:rsid w:val="17490418"/>
    <w:rsid w:val="17AA4179"/>
    <w:rsid w:val="17E23913"/>
    <w:rsid w:val="17EA0A1A"/>
    <w:rsid w:val="185664D4"/>
    <w:rsid w:val="188F5243"/>
    <w:rsid w:val="18B52DD6"/>
    <w:rsid w:val="18C21036"/>
    <w:rsid w:val="18D618A7"/>
    <w:rsid w:val="18F953B8"/>
    <w:rsid w:val="19002F96"/>
    <w:rsid w:val="190E4657"/>
    <w:rsid w:val="1923450A"/>
    <w:rsid w:val="19287A4C"/>
    <w:rsid w:val="19495D4A"/>
    <w:rsid w:val="196418DB"/>
    <w:rsid w:val="19F31E08"/>
    <w:rsid w:val="1A106A9A"/>
    <w:rsid w:val="1A18482C"/>
    <w:rsid w:val="1A534939"/>
    <w:rsid w:val="1A7B0C6C"/>
    <w:rsid w:val="1A9D1D74"/>
    <w:rsid w:val="1ADC0AEE"/>
    <w:rsid w:val="1AF57CC6"/>
    <w:rsid w:val="1B1F4E7E"/>
    <w:rsid w:val="1BE54DE8"/>
    <w:rsid w:val="1C9A61BB"/>
    <w:rsid w:val="1CCA3680"/>
    <w:rsid w:val="1DBE5FCB"/>
    <w:rsid w:val="1DE2466D"/>
    <w:rsid w:val="1EA24EE5"/>
    <w:rsid w:val="1EB61656"/>
    <w:rsid w:val="20B41BC5"/>
    <w:rsid w:val="20CE39A7"/>
    <w:rsid w:val="21477D6F"/>
    <w:rsid w:val="218E5CE2"/>
    <w:rsid w:val="226825F8"/>
    <w:rsid w:val="22FC7E9E"/>
    <w:rsid w:val="231D1CA3"/>
    <w:rsid w:val="2347319D"/>
    <w:rsid w:val="241B7A2B"/>
    <w:rsid w:val="24AB6DBF"/>
    <w:rsid w:val="25981AB5"/>
    <w:rsid w:val="26512CD3"/>
    <w:rsid w:val="26850EC1"/>
    <w:rsid w:val="26B65958"/>
    <w:rsid w:val="26DE174A"/>
    <w:rsid w:val="27630B0C"/>
    <w:rsid w:val="27BF4CD7"/>
    <w:rsid w:val="27E94829"/>
    <w:rsid w:val="28045C37"/>
    <w:rsid w:val="2A622692"/>
    <w:rsid w:val="2A666490"/>
    <w:rsid w:val="2AB033FD"/>
    <w:rsid w:val="2B0F6376"/>
    <w:rsid w:val="2B5E7482"/>
    <w:rsid w:val="2B692F44"/>
    <w:rsid w:val="2B825D21"/>
    <w:rsid w:val="2BD31B5A"/>
    <w:rsid w:val="2C305E98"/>
    <w:rsid w:val="2C661CC8"/>
    <w:rsid w:val="2C7D0DED"/>
    <w:rsid w:val="2C867DBF"/>
    <w:rsid w:val="2C9E256F"/>
    <w:rsid w:val="2CE87198"/>
    <w:rsid w:val="2D1647BC"/>
    <w:rsid w:val="2DEC2C62"/>
    <w:rsid w:val="2E0320A1"/>
    <w:rsid w:val="2E3803D8"/>
    <w:rsid w:val="2E5458AB"/>
    <w:rsid w:val="2EDF554B"/>
    <w:rsid w:val="2F57478F"/>
    <w:rsid w:val="2F5A2C1E"/>
    <w:rsid w:val="30EB64D8"/>
    <w:rsid w:val="30EF5D11"/>
    <w:rsid w:val="31113102"/>
    <w:rsid w:val="31AD12EB"/>
    <w:rsid w:val="323D1A1A"/>
    <w:rsid w:val="32566E47"/>
    <w:rsid w:val="3298242A"/>
    <w:rsid w:val="32B2404A"/>
    <w:rsid w:val="32C860D8"/>
    <w:rsid w:val="32E335AA"/>
    <w:rsid w:val="32EF2E9B"/>
    <w:rsid w:val="33641FBE"/>
    <w:rsid w:val="338A5ACE"/>
    <w:rsid w:val="33F90BA5"/>
    <w:rsid w:val="33FB63AF"/>
    <w:rsid w:val="35707008"/>
    <w:rsid w:val="358042F8"/>
    <w:rsid w:val="358C3947"/>
    <w:rsid w:val="35A93478"/>
    <w:rsid w:val="35E07264"/>
    <w:rsid w:val="35FE3701"/>
    <w:rsid w:val="360840A3"/>
    <w:rsid w:val="36896BE3"/>
    <w:rsid w:val="369342FF"/>
    <w:rsid w:val="36950618"/>
    <w:rsid w:val="36E22C0B"/>
    <w:rsid w:val="36E92998"/>
    <w:rsid w:val="36EA3EE7"/>
    <w:rsid w:val="37296585"/>
    <w:rsid w:val="3736160A"/>
    <w:rsid w:val="37B22EAA"/>
    <w:rsid w:val="37D913AF"/>
    <w:rsid w:val="38156F95"/>
    <w:rsid w:val="3825542A"/>
    <w:rsid w:val="38552F1B"/>
    <w:rsid w:val="38F202B5"/>
    <w:rsid w:val="398919E9"/>
    <w:rsid w:val="39A04AD6"/>
    <w:rsid w:val="3A542CE9"/>
    <w:rsid w:val="3A8F1328"/>
    <w:rsid w:val="3B0E29EA"/>
    <w:rsid w:val="3B252A87"/>
    <w:rsid w:val="3B2E639D"/>
    <w:rsid w:val="3B6F509D"/>
    <w:rsid w:val="3BEE04DB"/>
    <w:rsid w:val="3C0C46E3"/>
    <w:rsid w:val="3C362464"/>
    <w:rsid w:val="3CB469A7"/>
    <w:rsid w:val="3D033C0B"/>
    <w:rsid w:val="3D162D45"/>
    <w:rsid w:val="3DF05745"/>
    <w:rsid w:val="3E5F71BC"/>
    <w:rsid w:val="3EA43BF0"/>
    <w:rsid w:val="3EB11ECD"/>
    <w:rsid w:val="3F4C4AF8"/>
    <w:rsid w:val="3F6F1681"/>
    <w:rsid w:val="3F8F587F"/>
    <w:rsid w:val="40034AEA"/>
    <w:rsid w:val="400F0D01"/>
    <w:rsid w:val="406F60E2"/>
    <w:rsid w:val="408829FA"/>
    <w:rsid w:val="409401B8"/>
    <w:rsid w:val="4156050B"/>
    <w:rsid w:val="427D40B5"/>
    <w:rsid w:val="42953B02"/>
    <w:rsid w:val="42AC2D16"/>
    <w:rsid w:val="43192030"/>
    <w:rsid w:val="440B334A"/>
    <w:rsid w:val="441340C0"/>
    <w:rsid w:val="445615AB"/>
    <w:rsid w:val="4488746D"/>
    <w:rsid w:val="448E3E1C"/>
    <w:rsid w:val="448F0FCD"/>
    <w:rsid w:val="44E567DE"/>
    <w:rsid w:val="451E1E83"/>
    <w:rsid w:val="45825E44"/>
    <w:rsid w:val="46806A24"/>
    <w:rsid w:val="46A04DB4"/>
    <w:rsid w:val="46A60DAC"/>
    <w:rsid w:val="46F06F56"/>
    <w:rsid w:val="47081F83"/>
    <w:rsid w:val="47631ACB"/>
    <w:rsid w:val="47BB1907"/>
    <w:rsid w:val="47F91B5A"/>
    <w:rsid w:val="49614CB7"/>
    <w:rsid w:val="497525A1"/>
    <w:rsid w:val="49E66481"/>
    <w:rsid w:val="49F8402B"/>
    <w:rsid w:val="4A3318D2"/>
    <w:rsid w:val="4A5E7C61"/>
    <w:rsid w:val="4A7C04AD"/>
    <w:rsid w:val="4A8C7696"/>
    <w:rsid w:val="4A9014FC"/>
    <w:rsid w:val="4AB37333"/>
    <w:rsid w:val="4AFF1B0B"/>
    <w:rsid w:val="4B732719"/>
    <w:rsid w:val="4B743F5A"/>
    <w:rsid w:val="4B895879"/>
    <w:rsid w:val="4B8E135F"/>
    <w:rsid w:val="4B8F25E4"/>
    <w:rsid w:val="4BBB1B66"/>
    <w:rsid w:val="4C6A4346"/>
    <w:rsid w:val="4C823D12"/>
    <w:rsid w:val="4CC36B68"/>
    <w:rsid w:val="4D115B26"/>
    <w:rsid w:val="4D53559F"/>
    <w:rsid w:val="4D5554F7"/>
    <w:rsid w:val="4D7A00FD"/>
    <w:rsid w:val="4DB50BA7"/>
    <w:rsid w:val="4DE945E2"/>
    <w:rsid w:val="4E0B4C6B"/>
    <w:rsid w:val="4EC973A0"/>
    <w:rsid w:val="4EE24AB3"/>
    <w:rsid w:val="4F4F6D26"/>
    <w:rsid w:val="4F7B0143"/>
    <w:rsid w:val="4FBE7162"/>
    <w:rsid w:val="4FDE2637"/>
    <w:rsid w:val="4FE90420"/>
    <w:rsid w:val="4FF42EAC"/>
    <w:rsid w:val="5003584F"/>
    <w:rsid w:val="50272E84"/>
    <w:rsid w:val="503D57E6"/>
    <w:rsid w:val="5041477C"/>
    <w:rsid w:val="506E5261"/>
    <w:rsid w:val="50BD385C"/>
    <w:rsid w:val="513445CE"/>
    <w:rsid w:val="513C3327"/>
    <w:rsid w:val="513F7105"/>
    <w:rsid w:val="515A029A"/>
    <w:rsid w:val="51EE698E"/>
    <w:rsid w:val="52213237"/>
    <w:rsid w:val="538D184C"/>
    <w:rsid w:val="54A11D47"/>
    <w:rsid w:val="553C7AE3"/>
    <w:rsid w:val="55622C4E"/>
    <w:rsid w:val="55794532"/>
    <w:rsid w:val="55F8379A"/>
    <w:rsid w:val="56101070"/>
    <w:rsid w:val="56820C2B"/>
    <w:rsid w:val="56C006C5"/>
    <w:rsid w:val="57AD2F17"/>
    <w:rsid w:val="57F26066"/>
    <w:rsid w:val="588975B4"/>
    <w:rsid w:val="58B71ABA"/>
    <w:rsid w:val="58FA1B2A"/>
    <w:rsid w:val="59A5389F"/>
    <w:rsid w:val="59A84B9C"/>
    <w:rsid w:val="59C54BA8"/>
    <w:rsid w:val="5A161C2A"/>
    <w:rsid w:val="5A9F6164"/>
    <w:rsid w:val="5AB77B8C"/>
    <w:rsid w:val="5B015E29"/>
    <w:rsid w:val="5B0171D9"/>
    <w:rsid w:val="5B547963"/>
    <w:rsid w:val="5B6D486F"/>
    <w:rsid w:val="5CCD5A73"/>
    <w:rsid w:val="5CFE3E03"/>
    <w:rsid w:val="5D177E85"/>
    <w:rsid w:val="5D604DC6"/>
    <w:rsid w:val="5DC2335D"/>
    <w:rsid w:val="5DD26C71"/>
    <w:rsid w:val="5DD31D99"/>
    <w:rsid w:val="5E170257"/>
    <w:rsid w:val="5E8B37F3"/>
    <w:rsid w:val="5F29288B"/>
    <w:rsid w:val="5F465B03"/>
    <w:rsid w:val="5FCC7F85"/>
    <w:rsid w:val="5FDC7501"/>
    <w:rsid w:val="60BB7EC7"/>
    <w:rsid w:val="60D55390"/>
    <w:rsid w:val="61131A15"/>
    <w:rsid w:val="611B78DC"/>
    <w:rsid w:val="612379D9"/>
    <w:rsid w:val="61666BF8"/>
    <w:rsid w:val="61A62889"/>
    <w:rsid w:val="61D31F56"/>
    <w:rsid w:val="61D51FCF"/>
    <w:rsid w:val="61EF4230"/>
    <w:rsid w:val="62083543"/>
    <w:rsid w:val="62191046"/>
    <w:rsid w:val="626C4414"/>
    <w:rsid w:val="62C20707"/>
    <w:rsid w:val="62D82F16"/>
    <w:rsid w:val="62E012D1"/>
    <w:rsid w:val="62F13FD7"/>
    <w:rsid w:val="630A2701"/>
    <w:rsid w:val="63D211A5"/>
    <w:rsid w:val="63E15DFA"/>
    <w:rsid w:val="63F016FA"/>
    <w:rsid w:val="64616F3B"/>
    <w:rsid w:val="64F658D5"/>
    <w:rsid w:val="650C50F9"/>
    <w:rsid w:val="65980703"/>
    <w:rsid w:val="65981D5A"/>
    <w:rsid w:val="66C16BBD"/>
    <w:rsid w:val="670536AA"/>
    <w:rsid w:val="6727446C"/>
    <w:rsid w:val="67421E2C"/>
    <w:rsid w:val="676F2F4D"/>
    <w:rsid w:val="68EC0971"/>
    <w:rsid w:val="68F23E85"/>
    <w:rsid w:val="691B1A32"/>
    <w:rsid w:val="69433AED"/>
    <w:rsid w:val="69BD4C13"/>
    <w:rsid w:val="69EF694B"/>
    <w:rsid w:val="6A241FFF"/>
    <w:rsid w:val="6B1C0DC7"/>
    <w:rsid w:val="6B252F16"/>
    <w:rsid w:val="6B672960"/>
    <w:rsid w:val="6BC44F01"/>
    <w:rsid w:val="6BC95AF1"/>
    <w:rsid w:val="6C2F1B2D"/>
    <w:rsid w:val="6C330B69"/>
    <w:rsid w:val="6C3D203B"/>
    <w:rsid w:val="6C700175"/>
    <w:rsid w:val="6C81508C"/>
    <w:rsid w:val="6C8D6DD7"/>
    <w:rsid w:val="6CA51091"/>
    <w:rsid w:val="6CF11D59"/>
    <w:rsid w:val="6D340359"/>
    <w:rsid w:val="6D733DDC"/>
    <w:rsid w:val="6D7D3037"/>
    <w:rsid w:val="6DED1E7F"/>
    <w:rsid w:val="6E557B10"/>
    <w:rsid w:val="6EB505AF"/>
    <w:rsid w:val="6EF94E1F"/>
    <w:rsid w:val="6F4D6073"/>
    <w:rsid w:val="6F675D4D"/>
    <w:rsid w:val="6F9A1EC4"/>
    <w:rsid w:val="6FB22A8C"/>
    <w:rsid w:val="6FF12A18"/>
    <w:rsid w:val="70C1323B"/>
    <w:rsid w:val="71264544"/>
    <w:rsid w:val="71346B68"/>
    <w:rsid w:val="719A47D5"/>
    <w:rsid w:val="722E7602"/>
    <w:rsid w:val="722F0DCD"/>
    <w:rsid w:val="7249408E"/>
    <w:rsid w:val="726A3C2F"/>
    <w:rsid w:val="727705A1"/>
    <w:rsid w:val="731955B0"/>
    <w:rsid w:val="733210B1"/>
    <w:rsid w:val="739E016D"/>
    <w:rsid w:val="7400051E"/>
    <w:rsid w:val="744E5160"/>
    <w:rsid w:val="7452064E"/>
    <w:rsid w:val="7463285B"/>
    <w:rsid w:val="74B64168"/>
    <w:rsid w:val="751636AB"/>
    <w:rsid w:val="75521977"/>
    <w:rsid w:val="75657D77"/>
    <w:rsid w:val="75802AD7"/>
    <w:rsid w:val="76534C90"/>
    <w:rsid w:val="773F4ECA"/>
    <w:rsid w:val="77600663"/>
    <w:rsid w:val="778B160C"/>
    <w:rsid w:val="78085BF3"/>
    <w:rsid w:val="7863590F"/>
    <w:rsid w:val="78B13B95"/>
    <w:rsid w:val="79F67BB1"/>
    <w:rsid w:val="7A4F7B0A"/>
    <w:rsid w:val="7ACB3313"/>
    <w:rsid w:val="7AE807CC"/>
    <w:rsid w:val="7B503C31"/>
    <w:rsid w:val="7B5353D8"/>
    <w:rsid w:val="7BB956D6"/>
    <w:rsid w:val="7BE75B20"/>
    <w:rsid w:val="7C43369E"/>
    <w:rsid w:val="7C8613AC"/>
    <w:rsid w:val="7CC56BE8"/>
    <w:rsid w:val="7CDA41FC"/>
    <w:rsid w:val="7CE85B49"/>
    <w:rsid w:val="7D126BCC"/>
    <w:rsid w:val="7D1D17DB"/>
    <w:rsid w:val="7D32526E"/>
    <w:rsid w:val="7D511DEB"/>
    <w:rsid w:val="7D6D6BEF"/>
    <w:rsid w:val="7D9B4389"/>
    <w:rsid w:val="7DB27E48"/>
    <w:rsid w:val="7DBE3A17"/>
    <w:rsid w:val="7DEB6F26"/>
    <w:rsid w:val="7E611589"/>
    <w:rsid w:val="7E877CC9"/>
    <w:rsid w:val="7EA37DB5"/>
    <w:rsid w:val="7F5B5506"/>
    <w:rsid w:val="7FA0738F"/>
    <w:rsid w:val="7FC76394"/>
    <w:rsid w:val="7FFF35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49"/>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semiHidden/>
    <w:unhideWhenUsed/>
    <w:qFormat/>
    <w:uiPriority w:val="0"/>
    <w:pPr>
      <w:keepNext/>
      <w:keepLines/>
      <w:spacing w:line="372" w:lineRule="auto"/>
      <w:outlineLvl w:val="4"/>
    </w:pPr>
    <w:rPr>
      <w:b/>
      <w:sz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39"/>
    <w:pPr>
      <w:ind w:left="1260"/>
      <w:jc w:val="left"/>
    </w:pPr>
    <w:rPr>
      <w:sz w:val="18"/>
      <w:szCs w:val="18"/>
    </w:rPr>
  </w:style>
  <w:style w:type="paragraph" w:styleId="8">
    <w:name w:val="Normal Indent"/>
    <w:basedOn w:val="1"/>
    <w:link w:val="50"/>
    <w:qFormat/>
    <w:uiPriority w:val="0"/>
    <w:pPr>
      <w:ind w:firstLine="420"/>
    </w:pPr>
    <w:rPr>
      <w:szCs w:val="20"/>
    </w:rPr>
  </w:style>
  <w:style w:type="paragraph" w:styleId="9">
    <w:name w:val="Document Map"/>
    <w:basedOn w:val="1"/>
    <w:next w:val="10"/>
    <w:qFormat/>
    <w:uiPriority w:val="0"/>
    <w:pPr>
      <w:shd w:val="clear" w:color="auto" w:fill="000080"/>
    </w:pPr>
  </w:style>
  <w:style w:type="paragraph" w:styleId="10">
    <w:name w:val="Title"/>
    <w:basedOn w:val="1"/>
    <w:next w:val="1"/>
    <w:qFormat/>
    <w:uiPriority w:val="10"/>
    <w:pPr>
      <w:spacing w:before="240" w:after="60"/>
      <w:jc w:val="center"/>
      <w:outlineLvl w:val="0"/>
    </w:pPr>
    <w:rPr>
      <w:rFonts w:ascii="Calibri Light" w:hAnsi="Calibri Light"/>
      <w:b/>
      <w:bCs/>
      <w:sz w:val="32"/>
      <w:szCs w:val="32"/>
    </w:rPr>
  </w:style>
  <w:style w:type="paragraph" w:styleId="11">
    <w:name w:val="annotation text"/>
    <w:basedOn w:val="1"/>
    <w:semiHidden/>
    <w:qFormat/>
    <w:uiPriority w:val="0"/>
    <w:pPr>
      <w:jc w:val="left"/>
    </w:pPr>
  </w:style>
  <w:style w:type="paragraph" w:styleId="12">
    <w:name w:val="Body Text 3"/>
    <w:basedOn w:val="1"/>
    <w:qFormat/>
    <w:uiPriority w:val="0"/>
    <w:rPr>
      <w:sz w:val="24"/>
    </w:rPr>
  </w:style>
  <w:style w:type="paragraph" w:styleId="13">
    <w:name w:val="Body Text"/>
    <w:basedOn w:val="1"/>
    <w:qFormat/>
    <w:uiPriority w:val="0"/>
    <w:rPr>
      <w:rFonts w:ascii="金山简黑体" w:hAnsi="金山简黑体" w:eastAsia="金山简黑体"/>
      <w:b/>
      <w:spacing w:val="-8"/>
      <w:sz w:val="44"/>
      <w:szCs w:val="20"/>
    </w:rPr>
  </w:style>
  <w:style w:type="paragraph" w:styleId="14">
    <w:name w:val="Body Text Indent"/>
    <w:basedOn w:val="1"/>
    <w:qFormat/>
    <w:uiPriority w:val="0"/>
    <w:pPr>
      <w:spacing w:line="200" w:lineRule="exact"/>
      <w:ind w:firstLine="301"/>
    </w:pPr>
    <w:rPr>
      <w:rFonts w:ascii="宋体"/>
      <w:spacing w:val="-4"/>
      <w:sz w:val="18"/>
      <w:szCs w:val="20"/>
    </w:rPr>
  </w:style>
  <w:style w:type="paragraph" w:styleId="15">
    <w:name w:val="toc 5"/>
    <w:basedOn w:val="1"/>
    <w:next w:val="1"/>
    <w:qFormat/>
    <w:uiPriority w:val="39"/>
    <w:pPr>
      <w:ind w:left="840"/>
      <w:jc w:val="left"/>
    </w:pPr>
    <w:rPr>
      <w:sz w:val="18"/>
      <w:szCs w:val="18"/>
    </w:rPr>
  </w:style>
  <w:style w:type="paragraph" w:styleId="16">
    <w:name w:val="toc 3"/>
    <w:basedOn w:val="1"/>
    <w:next w:val="1"/>
    <w:qFormat/>
    <w:uiPriority w:val="39"/>
    <w:pPr>
      <w:ind w:left="300" w:leftChars="300"/>
      <w:jc w:val="left"/>
    </w:pPr>
    <w:rPr>
      <w:iCs/>
      <w:szCs w:val="20"/>
    </w:rPr>
  </w:style>
  <w:style w:type="paragraph" w:styleId="17">
    <w:name w:val="Plain Text"/>
    <w:basedOn w:val="1"/>
    <w:next w:val="1"/>
    <w:link w:val="51"/>
    <w:qFormat/>
    <w:uiPriority w:val="0"/>
    <w:rPr>
      <w:rFonts w:ascii="宋体"/>
      <w:szCs w:val="20"/>
    </w:rPr>
  </w:style>
  <w:style w:type="paragraph" w:styleId="18">
    <w:name w:val="toc 8"/>
    <w:basedOn w:val="1"/>
    <w:next w:val="1"/>
    <w:qFormat/>
    <w:uiPriority w:val="39"/>
    <w:pPr>
      <w:ind w:left="1470"/>
      <w:jc w:val="left"/>
    </w:pPr>
    <w:rPr>
      <w:sz w:val="18"/>
      <w:szCs w:val="18"/>
    </w:rPr>
  </w:style>
  <w:style w:type="paragraph" w:styleId="19">
    <w:name w:val="Date"/>
    <w:basedOn w:val="1"/>
    <w:next w:val="1"/>
    <w:qFormat/>
    <w:uiPriority w:val="0"/>
    <w:pPr>
      <w:ind w:left="100" w:leftChars="2500"/>
    </w:pPr>
  </w:style>
  <w:style w:type="paragraph" w:styleId="20">
    <w:name w:val="Body Text Indent 2"/>
    <w:basedOn w:val="1"/>
    <w:qFormat/>
    <w:uiPriority w:val="0"/>
    <w:pPr>
      <w:spacing w:after="120" w:line="480" w:lineRule="auto"/>
      <w:ind w:left="200" w:leftChars="200"/>
    </w:pPr>
  </w:style>
  <w:style w:type="paragraph" w:styleId="21">
    <w:name w:val="Balloon Text"/>
    <w:basedOn w:val="1"/>
    <w:link w:val="52"/>
    <w:qFormat/>
    <w:uiPriority w:val="0"/>
    <w:rPr>
      <w:sz w:val="18"/>
      <w:szCs w:val="18"/>
    </w:rPr>
  </w:style>
  <w:style w:type="paragraph" w:styleId="22">
    <w:name w:val="footer"/>
    <w:basedOn w:val="1"/>
    <w:link w:val="53"/>
    <w:qFormat/>
    <w:uiPriority w:val="0"/>
    <w:pPr>
      <w:tabs>
        <w:tab w:val="center" w:pos="4153"/>
        <w:tab w:val="right" w:pos="8306"/>
      </w:tabs>
      <w:snapToGrid w:val="0"/>
      <w:jc w:val="left"/>
    </w:pPr>
    <w:rPr>
      <w:rFonts w:ascii="宋体"/>
      <w:sz w:val="18"/>
      <w:szCs w:val="20"/>
    </w:rPr>
  </w:style>
  <w:style w:type="paragraph" w:styleId="23">
    <w:name w:val="header"/>
    <w:basedOn w:val="1"/>
    <w:link w:val="54"/>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adjustRightInd w:val="0"/>
      <w:spacing w:before="120" w:after="120"/>
      <w:ind w:firstLine="50" w:firstLineChars="50"/>
      <w:jc w:val="left"/>
      <w:outlineLvl w:val="0"/>
    </w:pPr>
    <w:rPr>
      <w:bCs/>
      <w:caps/>
      <w:szCs w:val="20"/>
    </w:rPr>
  </w:style>
  <w:style w:type="paragraph" w:styleId="25">
    <w:name w:val="toc 4"/>
    <w:basedOn w:val="1"/>
    <w:next w:val="1"/>
    <w:qFormat/>
    <w:uiPriority w:val="39"/>
    <w:pPr>
      <w:ind w:left="630"/>
      <w:jc w:val="left"/>
    </w:pPr>
    <w:rPr>
      <w:sz w:val="18"/>
      <w:szCs w:val="18"/>
    </w:rPr>
  </w:style>
  <w:style w:type="paragraph" w:styleId="26">
    <w:name w:val="toc 6"/>
    <w:basedOn w:val="1"/>
    <w:next w:val="1"/>
    <w:qFormat/>
    <w:uiPriority w:val="39"/>
    <w:pPr>
      <w:ind w:left="1050"/>
      <w:jc w:val="left"/>
    </w:pPr>
    <w:rPr>
      <w:sz w:val="18"/>
      <w:szCs w:val="18"/>
    </w:rPr>
  </w:style>
  <w:style w:type="paragraph" w:styleId="27">
    <w:name w:val="Body Text Indent 3"/>
    <w:basedOn w:val="1"/>
    <w:qFormat/>
    <w:uiPriority w:val="0"/>
    <w:pPr>
      <w:spacing w:line="400" w:lineRule="exact"/>
      <w:ind w:left="360"/>
    </w:pPr>
    <w:rPr>
      <w:sz w:val="24"/>
    </w:rPr>
  </w:style>
  <w:style w:type="paragraph" w:styleId="28">
    <w:name w:val="toc 2"/>
    <w:basedOn w:val="1"/>
    <w:next w:val="1"/>
    <w:qFormat/>
    <w:uiPriority w:val="39"/>
    <w:pPr>
      <w:tabs>
        <w:tab w:val="right" w:leader="dot" w:pos="9344"/>
      </w:tabs>
      <w:ind w:left="200" w:leftChars="200"/>
      <w:jc w:val="left"/>
    </w:pPr>
    <w:rPr>
      <w:smallCaps/>
      <w:szCs w:val="20"/>
    </w:rPr>
  </w:style>
  <w:style w:type="paragraph" w:styleId="29">
    <w:name w:val="toc 9"/>
    <w:basedOn w:val="1"/>
    <w:next w:val="1"/>
    <w:qFormat/>
    <w:uiPriority w:val="39"/>
    <w:pPr>
      <w:ind w:left="1680"/>
      <w:jc w:val="left"/>
    </w:pPr>
    <w:rPr>
      <w:sz w:val="18"/>
      <w:szCs w:val="18"/>
    </w:rPr>
  </w:style>
  <w:style w:type="paragraph" w:styleId="30">
    <w:name w:val="Body Text 2"/>
    <w:basedOn w:val="1"/>
    <w:qFormat/>
    <w:uiPriority w:val="0"/>
    <w:rPr>
      <w:rFonts w:ascii="宋体"/>
      <w:sz w:val="13"/>
      <w:szCs w:val="20"/>
    </w:rPr>
  </w:style>
  <w:style w:type="paragraph" w:styleId="3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2">
    <w:name w:val="index 1"/>
    <w:basedOn w:val="1"/>
    <w:next w:val="1"/>
    <w:semiHidden/>
    <w:qFormat/>
    <w:uiPriority w:val="0"/>
  </w:style>
  <w:style w:type="paragraph" w:styleId="33">
    <w:name w:val="annotation subject"/>
    <w:basedOn w:val="11"/>
    <w:next w:val="11"/>
    <w:semiHidden/>
    <w:qFormat/>
    <w:uiPriority w:val="0"/>
    <w:rPr>
      <w:b/>
      <w:bCs/>
    </w:rPr>
  </w:style>
  <w:style w:type="paragraph" w:styleId="34">
    <w:name w:val="Body Text First Indent"/>
    <w:basedOn w:val="13"/>
    <w:qFormat/>
    <w:uiPriority w:val="0"/>
    <w:pPr>
      <w:spacing w:after="120"/>
      <w:ind w:firstLine="420" w:firstLineChars="100"/>
    </w:pPr>
  </w:style>
  <w:style w:type="paragraph" w:styleId="35">
    <w:name w:val="Body Text First Indent 2"/>
    <w:basedOn w:val="14"/>
    <w:qFormat/>
    <w:uiPriority w:val="0"/>
    <w:pPr>
      <w:ind w:firstLine="420" w:firstLineChars="200"/>
    </w:pPr>
    <w:rPr>
      <w:rFonts w:ascii="Calibri" w:hAnsi="Calibri"/>
      <w:szCs w:val="24"/>
    </w:rPr>
  </w:style>
  <w:style w:type="table" w:styleId="37">
    <w:name w:val="Table Grid"/>
    <w:basedOn w:val="3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basedOn w:val="38"/>
    <w:qFormat/>
    <w:uiPriority w:val="22"/>
    <w:rPr>
      <w:b/>
      <w:bCs/>
    </w:rPr>
  </w:style>
  <w:style w:type="character" w:styleId="40">
    <w:name w:val="page number"/>
    <w:basedOn w:val="38"/>
    <w:qFormat/>
    <w:uiPriority w:val="0"/>
  </w:style>
  <w:style w:type="character" w:styleId="41">
    <w:name w:val="FollowedHyperlink"/>
    <w:basedOn w:val="38"/>
    <w:qFormat/>
    <w:uiPriority w:val="99"/>
    <w:rPr>
      <w:color w:val="555555"/>
      <w:u w:val="none"/>
    </w:rPr>
  </w:style>
  <w:style w:type="character" w:styleId="42">
    <w:name w:val="Emphasis"/>
    <w:basedOn w:val="38"/>
    <w:qFormat/>
    <w:uiPriority w:val="0"/>
    <w:rPr>
      <w:i/>
    </w:rPr>
  </w:style>
  <w:style w:type="character" w:styleId="43">
    <w:name w:val="Hyperlink"/>
    <w:basedOn w:val="38"/>
    <w:qFormat/>
    <w:uiPriority w:val="99"/>
    <w:rPr>
      <w:color w:val="555555"/>
      <w:u w:val="none"/>
    </w:rPr>
  </w:style>
  <w:style w:type="character" w:styleId="44">
    <w:name w:val="annotation reference"/>
    <w:semiHidden/>
    <w:qFormat/>
    <w:uiPriority w:val="0"/>
    <w:rPr>
      <w:sz w:val="21"/>
      <w:szCs w:val="21"/>
    </w:rPr>
  </w:style>
  <w:style w:type="character" w:styleId="45">
    <w:name w:val="HTML Sample"/>
    <w:basedOn w:val="38"/>
    <w:semiHidden/>
    <w:unhideWhenUsed/>
    <w:qFormat/>
    <w:uiPriority w:val="0"/>
    <w:rPr>
      <w:rFonts w:ascii="Courier New" w:hAnsi="Courier New"/>
    </w:rPr>
  </w:style>
  <w:style w:type="paragraph" w:customStyle="1" w:styleId="4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Normal Indent1"/>
    <w:basedOn w:val="1"/>
    <w:qFormat/>
    <w:uiPriority w:val="99"/>
    <w:pPr>
      <w:ind w:firstLine="420" w:firstLineChars="200"/>
    </w:pPr>
  </w:style>
  <w:style w:type="paragraph" w:customStyle="1" w:styleId="4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9">
    <w:name w:val="标题 2 Char"/>
    <w:link w:val="3"/>
    <w:qFormat/>
    <w:uiPriority w:val="0"/>
    <w:rPr>
      <w:rFonts w:eastAsia="黑体"/>
      <w:b/>
      <w:sz w:val="28"/>
    </w:rPr>
  </w:style>
  <w:style w:type="character" w:customStyle="1" w:styleId="50">
    <w:name w:val="正文缩进 Char"/>
    <w:link w:val="8"/>
    <w:qFormat/>
    <w:uiPriority w:val="0"/>
    <w:rPr>
      <w:rFonts w:eastAsia="宋体"/>
      <w:kern w:val="2"/>
      <w:sz w:val="21"/>
      <w:lang w:val="en-US" w:eastAsia="zh-CN" w:bidi="ar-SA"/>
    </w:rPr>
  </w:style>
  <w:style w:type="character" w:customStyle="1" w:styleId="51">
    <w:name w:val="纯文本 Char2"/>
    <w:link w:val="17"/>
    <w:qFormat/>
    <w:uiPriority w:val="0"/>
    <w:rPr>
      <w:rFonts w:ascii="宋体" w:eastAsia="宋体"/>
      <w:kern w:val="2"/>
      <w:sz w:val="21"/>
      <w:lang w:val="en-US" w:eastAsia="zh-CN" w:bidi="ar-SA"/>
    </w:rPr>
  </w:style>
  <w:style w:type="character" w:customStyle="1" w:styleId="52">
    <w:name w:val="批注框文本 Char"/>
    <w:link w:val="21"/>
    <w:qFormat/>
    <w:uiPriority w:val="0"/>
    <w:rPr>
      <w:kern w:val="2"/>
      <w:sz w:val="18"/>
      <w:szCs w:val="18"/>
    </w:rPr>
  </w:style>
  <w:style w:type="character" w:customStyle="1" w:styleId="53">
    <w:name w:val="页脚 Char"/>
    <w:link w:val="22"/>
    <w:qFormat/>
    <w:uiPriority w:val="0"/>
    <w:rPr>
      <w:rFonts w:ascii="宋体"/>
      <w:kern w:val="2"/>
      <w:sz w:val="18"/>
    </w:rPr>
  </w:style>
  <w:style w:type="character" w:customStyle="1" w:styleId="54">
    <w:name w:val="页眉 Char"/>
    <w:link w:val="23"/>
    <w:qFormat/>
    <w:uiPriority w:val="0"/>
    <w:rPr>
      <w:kern w:val="2"/>
      <w:sz w:val="18"/>
      <w:szCs w:val="18"/>
    </w:rPr>
  </w:style>
  <w:style w:type="paragraph" w:customStyle="1" w:styleId="55">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56">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57">
    <w:name w:val="样式1"/>
    <w:basedOn w:val="3"/>
    <w:qFormat/>
    <w:uiPriority w:val="0"/>
  </w:style>
  <w:style w:type="paragraph" w:customStyle="1" w:styleId="58">
    <w:name w:val="样式2"/>
    <w:basedOn w:val="3"/>
    <w:qFormat/>
    <w:uiPriority w:val="0"/>
    <w:pPr>
      <w:spacing w:line="440" w:lineRule="exact"/>
      <w:jc w:val="center"/>
    </w:pPr>
    <w:rPr>
      <w:rFonts w:ascii="宋体" w:hAnsi="宋体"/>
      <w:b w:val="0"/>
      <w:sz w:val="32"/>
    </w:rPr>
  </w:style>
  <w:style w:type="character" w:customStyle="1" w:styleId="59">
    <w:name w:val="grame"/>
    <w:basedOn w:val="38"/>
    <w:qFormat/>
    <w:uiPriority w:val="0"/>
  </w:style>
  <w:style w:type="paragraph" w:customStyle="1" w:styleId="60">
    <w:name w:val="Char Char Char"/>
    <w:basedOn w:val="1"/>
    <w:qFormat/>
    <w:uiPriority w:val="0"/>
    <w:pPr>
      <w:ind w:firstLine="200" w:firstLineChars="200"/>
    </w:pPr>
    <w:rPr>
      <w:sz w:val="24"/>
    </w:rPr>
  </w:style>
  <w:style w:type="paragraph" w:customStyle="1" w:styleId="61">
    <w:name w:val="xl23"/>
    <w:basedOn w:val="1"/>
    <w:qFormat/>
    <w:uiPriority w:val="0"/>
    <w:pPr>
      <w:widowControl/>
      <w:spacing w:before="100" w:beforeAutospacing="1" w:after="100" w:afterAutospacing="1"/>
      <w:jc w:val="center"/>
    </w:pPr>
    <w:rPr>
      <w:rFonts w:ascii="Arial Unicode MS" w:hAnsi="Arial Unicode MS" w:eastAsia="Arial Unicode MS"/>
      <w:kern w:val="0"/>
      <w:sz w:val="24"/>
      <w:szCs w:val="20"/>
    </w:rPr>
  </w:style>
  <w:style w:type="paragraph" w:customStyle="1" w:styleId="62">
    <w:name w:val="Char Char Char Char Char Char Char Char Char Char Char Char Char Char Char Char"/>
    <w:basedOn w:val="1"/>
    <w:qFormat/>
    <w:uiPriority w:val="0"/>
    <w:pPr>
      <w:widowControl/>
      <w:spacing w:after="160" w:line="240" w:lineRule="exact"/>
      <w:jc w:val="left"/>
    </w:pPr>
    <w:rPr>
      <w:rFonts w:ascii="Verdana" w:hAnsi="Verdana" w:eastAsia="FangSong_GB2312"/>
      <w:kern w:val="0"/>
      <w:sz w:val="24"/>
      <w:szCs w:val="20"/>
      <w:lang w:eastAsia="en-US"/>
    </w:rPr>
  </w:style>
  <w:style w:type="paragraph" w:customStyle="1" w:styleId="63">
    <w:name w:val="样式3"/>
    <w:basedOn w:val="4"/>
    <w:qFormat/>
    <w:uiPriority w:val="0"/>
    <w:pPr>
      <w:ind w:left="101" w:hanging="101" w:hangingChars="101"/>
      <w:jc w:val="left"/>
    </w:pPr>
    <w:rPr>
      <w:b w:val="0"/>
      <w:bCs/>
      <w:sz w:val="24"/>
      <w:szCs w:val="24"/>
    </w:rPr>
  </w:style>
  <w:style w:type="paragraph" w:customStyle="1" w:styleId="64">
    <w:name w:val="第四行"/>
    <w:basedOn w:val="1"/>
    <w:qFormat/>
    <w:uiPriority w:val="0"/>
    <w:pPr>
      <w:tabs>
        <w:tab w:val="left" w:pos="1200"/>
      </w:tabs>
      <w:spacing w:line="360" w:lineRule="auto"/>
      <w:jc w:val="center"/>
    </w:pPr>
    <w:rPr>
      <w:rFonts w:ascii="宋体"/>
      <w:b/>
      <w:bCs/>
      <w:spacing w:val="40"/>
      <w:sz w:val="28"/>
      <w:szCs w:val="28"/>
    </w:rPr>
  </w:style>
  <w:style w:type="paragraph" w:customStyle="1" w:styleId="65">
    <w:name w:val="表格"/>
    <w:basedOn w:val="1"/>
    <w:qFormat/>
    <w:uiPriority w:val="0"/>
    <w:pPr>
      <w:tabs>
        <w:tab w:val="left" w:pos="1200"/>
      </w:tabs>
      <w:spacing w:line="500" w:lineRule="exact"/>
      <w:jc w:val="center"/>
    </w:pPr>
    <w:rPr>
      <w:rFonts w:ascii="宋体"/>
      <w:sz w:val="24"/>
      <w:szCs w:val="18"/>
    </w:rPr>
  </w:style>
  <w:style w:type="character" w:customStyle="1" w:styleId="66">
    <w:name w:val="普通文字1 Char2"/>
    <w:qFormat/>
    <w:uiPriority w:val="0"/>
    <w:rPr>
      <w:rFonts w:ascii="宋体" w:eastAsia="宋体"/>
      <w:kern w:val="2"/>
      <w:sz w:val="21"/>
      <w:lang w:val="en-US" w:eastAsia="zh-CN" w:bidi="ar-SA"/>
    </w:rPr>
  </w:style>
  <w:style w:type="paragraph" w:customStyle="1" w:styleId="67">
    <w:name w:val="Char"/>
    <w:basedOn w:val="1"/>
    <w:qFormat/>
    <w:uiPriority w:val="0"/>
  </w:style>
  <w:style w:type="paragraph" w:customStyle="1" w:styleId="68">
    <w:name w:val="Char11"/>
    <w:basedOn w:val="1"/>
    <w:qFormat/>
    <w:uiPriority w:val="0"/>
  </w:style>
  <w:style w:type="paragraph" w:customStyle="1" w:styleId="69">
    <w:name w:val="列出段落1"/>
    <w:basedOn w:val="1"/>
    <w:qFormat/>
    <w:uiPriority w:val="0"/>
    <w:pPr>
      <w:ind w:firstLine="420" w:firstLineChars="200"/>
    </w:pPr>
    <w:rPr>
      <w:rFonts w:ascii="Calibri" w:hAnsi="Calibri"/>
      <w:szCs w:val="22"/>
    </w:rPr>
  </w:style>
  <w:style w:type="character" w:customStyle="1" w:styleId="70">
    <w:name w:val="纯文本 Char"/>
    <w:qFormat/>
    <w:uiPriority w:val="0"/>
    <w:rPr>
      <w:rFonts w:ascii="宋体" w:eastAsia="宋体"/>
      <w:kern w:val="2"/>
      <w:sz w:val="21"/>
      <w:lang w:val="en-US" w:eastAsia="zh-CN" w:bidi="ar-SA"/>
    </w:rPr>
  </w:style>
  <w:style w:type="character" w:customStyle="1" w:styleId="71">
    <w:name w:val="标题 3 Char"/>
    <w:qFormat/>
    <w:uiPriority w:val="0"/>
    <w:rPr>
      <w:rFonts w:ascii="Arial" w:hAnsi="Arial" w:eastAsia="黑体"/>
      <w:b/>
      <w:sz w:val="28"/>
      <w:lang w:val="en-US" w:eastAsia="zh-CN" w:bidi="ar-SA"/>
    </w:rPr>
  </w:style>
  <w:style w:type="paragraph" w:customStyle="1" w:styleId="72">
    <w:name w:val="Content"/>
    <w:basedOn w:val="13"/>
    <w:qFormat/>
    <w:uiPriority w:val="0"/>
    <w:pPr>
      <w:spacing w:line="360" w:lineRule="auto"/>
      <w:ind w:firstLine="480"/>
    </w:pPr>
    <w:rPr>
      <w:rFonts w:ascii="Times New Roman" w:hAnsi="Times New Roman" w:eastAsia="全真簡粗明"/>
      <w:b w:val="0"/>
      <w:snapToGrid w:val="0"/>
      <w:spacing w:val="0"/>
      <w:kern w:val="0"/>
      <w:sz w:val="24"/>
      <w:lang w:eastAsia="zh-TW"/>
    </w:rPr>
  </w:style>
  <w:style w:type="paragraph" w:customStyle="1" w:styleId="73">
    <w:name w:val="Char Char1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74">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75">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76">
    <w:name w:val="Char1"/>
    <w:basedOn w:val="1"/>
    <w:qFormat/>
    <w:uiPriority w:val="0"/>
    <w:pPr>
      <w:widowControl/>
      <w:spacing w:after="160" w:line="240" w:lineRule="exact"/>
      <w:jc w:val="left"/>
    </w:pPr>
  </w:style>
  <w:style w:type="paragraph" w:customStyle="1" w:styleId="77">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8">
    <w:name w:val="纯文本 New New New New"/>
    <w:basedOn w:val="1"/>
    <w:next w:val="1"/>
    <w:qFormat/>
    <w:uiPriority w:val="0"/>
    <w:pPr>
      <w:autoSpaceDE w:val="0"/>
      <w:autoSpaceDN w:val="0"/>
      <w:adjustRightInd w:val="0"/>
      <w:jc w:val="left"/>
    </w:pPr>
    <w:rPr>
      <w:rFonts w:ascii="宋体"/>
    </w:rPr>
  </w:style>
  <w:style w:type="paragraph" w:customStyle="1" w:styleId="79">
    <w:name w:val="纯文本 New New New"/>
    <w:basedOn w:val="1"/>
    <w:next w:val="1"/>
    <w:qFormat/>
    <w:uiPriority w:val="0"/>
    <w:pPr>
      <w:autoSpaceDE w:val="0"/>
      <w:autoSpaceDN w:val="0"/>
      <w:adjustRightInd w:val="0"/>
      <w:jc w:val="left"/>
    </w:pPr>
    <w:rPr>
      <w:rFonts w:ascii="宋体"/>
    </w:rPr>
  </w:style>
  <w:style w:type="paragraph" w:customStyle="1" w:styleId="80">
    <w:name w:val="纯文本 New New"/>
    <w:basedOn w:val="1"/>
    <w:next w:val="1"/>
    <w:qFormat/>
    <w:uiPriority w:val="0"/>
    <w:pPr>
      <w:autoSpaceDE w:val="0"/>
      <w:autoSpaceDN w:val="0"/>
      <w:adjustRightInd w:val="0"/>
      <w:jc w:val="left"/>
    </w:pPr>
    <w:rPr>
      <w:rFonts w:ascii="宋体"/>
    </w:rPr>
  </w:style>
  <w:style w:type="paragraph" w:customStyle="1" w:styleId="81">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
    <w:name w:val="项目书正文"/>
    <w:basedOn w:val="1"/>
    <w:qFormat/>
    <w:uiPriority w:val="0"/>
    <w:pPr>
      <w:widowControl/>
      <w:spacing w:beforeLines="50" w:afterLines="50" w:line="420" w:lineRule="auto"/>
      <w:ind w:firstLine="200" w:firstLineChars="200"/>
      <w:jc w:val="left"/>
    </w:pPr>
    <w:rPr>
      <w:rFonts w:ascii="Calibri" w:hAnsi="Calibri" w:cs="宋体"/>
      <w:kern w:val="0"/>
      <w:sz w:val="24"/>
      <w:szCs w:val="20"/>
    </w:rPr>
  </w:style>
  <w:style w:type="paragraph" w:customStyle="1" w:styleId="83">
    <w:name w:val="样式 首行缩进:  2 字符"/>
    <w:basedOn w:val="1"/>
    <w:qFormat/>
    <w:uiPriority w:val="0"/>
    <w:pPr>
      <w:spacing w:line="400" w:lineRule="exact"/>
      <w:ind w:firstLine="200" w:firstLineChars="200"/>
    </w:pPr>
    <w:rPr>
      <w:rFonts w:cs="宋体"/>
      <w:sz w:val="24"/>
    </w:rPr>
  </w:style>
  <w:style w:type="paragraph" w:customStyle="1" w:styleId="84">
    <w:name w:val="采购申报表正文"/>
    <w:basedOn w:val="1"/>
    <w:qFormat/>
    <w:uiPriority w:val="0"/>
    <w:rPr>
      <w:rFonts w:ascii="FangSong_GB2312" w:eastAsia="FangSong_GB2312"/>
      <w:szCs w:val="28"/>
    </w:rPr>
  </w:style>
  <w:style w:type="paragraph" w:customStyle="1" w:styleId="85">
    <w:name w:val="_Style 5"/>
    <w:basedOn w:val="1"/>
    <w:qFormat/>
    <w:uiPriority w:val="0"/>
    <w:pPr>
      <w:keepNext/>
      <w:keepLines/>
      <w:pageBreakBefore/>
      <w:tabs>
        <w:tab w:val="left" w:pos="390"/>
      </w:tabs>
      <w:ind w:left="390" w:hanging="390"/>
    </w:pPr>
    <w:rPr>
      <w:rFonts w:ascii="Tahoma" w:hAnsi="Tahoma"/>
      <w:sz w:val="24"/>
      <w:szCs w:val="20"/>
    </w:rPr>
  </w:style>
  <w:style w:type="paragraph" w:customStyle="1" w:styleId="86">
    <w:name w:val="p0"/>
    <w:basedOn w:val="1"/>
    <w:qFormat/>
    <w:uiPriority w:val="0"/>
    <w:pPr>
      <w:widowControl/>
    </w:pPr>
    <w:rPr>
      <w:rFonts w:ascii="仿宋" w:eastAsia="仿宋"/>
      <w:kern w:val="0"/>
      <w:sz w:val="32"/>
      <w:szCs w:val="21"/>
    </w:rPr>
  </w:style>
  <w:style w:type="character" w:customStyle="1" w:styleId="87">
    <w:name w:val="标题 2 字符"/>
    <w:qFormat/>
    <w:uiPriority w:val="0"/>
    <w:rPr>
      <w:rFonts w:eastAsia="黑体"/>
      <w:b/>
      <w:sz w:val="28"/>
    </w:rPr>
  </w:style>
  <w:style w:type="character" w:customStyle="1" w:styleId="88">
    <w:name w:val="正文缩进 字符"/>
    <w:qFormat/>
    <w:uiPriority w:val="0"/>
    <w:rPr>
      <w:rFonts w:eastAsia="宋体"/>
      <w:kern w:val="2"/>
      <w:sz w:val="21"/>
      <w:lang w:val="en-US" w:eastAsia="zh-CN" w:bidi="ar-SA"/>
    </w:rPr>
  </w:style>
  <w:style w:type="paragraph" w:customStyle="1" w:styleId="89">
    <w:name w:val="列出段落11"/>
    <w:basedOn w:val="1"/>
    <w:unhideWhenUsed/>
    <w:qFormat/>
    <w:uiPriority w:val="99"/>
    <w:pPr>
      <w:ind w:firstLine="420" w:firstLineChars="200"/>
    </w:pPr>
  </w:style>
  <w:style w:type="paragraph" w:customStyle="1" w:styleId="90">
    <w:name w:val="p2"/>
    <w:basedOn w:val="1"/>
    <w:qFormat/>
    <w:uiPriority w:val="0"/>
    <w:pPr>
      <w:widowControl/>
      <w:spacing w:line="480" w:lineRule="auto"/>
      <w:ind w:firstLine="420"/>
      <w:jc w:val="left"/>
    </w:pPr>
    <w:rPr>
      <w:rFonts w:ascii="宋体" w:hAnsi="宋体" w:cs="宋体"/>
      <w:kern w:val="0"/>
      <w:szCs w:val="21"/>
    </w:rPr>
  </w:style>
  <w:style w:type="character" w:customStyle="1" w:styleId="91">
    <w:name w:val="@他1"/>
    <w:unhideWhenUsed/>
    <w:qFormat/>
    <w:uiPriority w:val="99"/>
    <w:rPr>
      <w:color w:val="2B579A"/>
      <w:shd w:val="clear" w:color="auto" w:fill="E6E6E6"/>
    </w:rPr>
  </w:style>
  <w:style w:type="paragraph" w:customStyle="1" w:styleId="92">
    <w:name w:val="_Style 2"/>
    <w:basedOn w:val="1"/>
    <w:qFormat/>
    <w:uiPriority w:val="0"/>
    <w:pPr>
      <w:ind w:firstLine="420" w:firstLineChars="200"/>
    </w:pPr>
  </w:style>
  <w:style w:type="paragraph" w:styleId="93">
    <w:name w:val="List Paragraph"/>
    <w:basedOn w:val="1"/>
    <w:qFormat/>
    <w:uiPriority w:val="99"/>
    <w:pPr>
      <w:ind w:firstLine="420" w:firstLineChars="200"/>
    </w:pPr>
  </w:style>
  <w:style w:type="character" w:customStyle="1" w:styleId="94">
    <w:name w:val="纯文本 Char1"/>
    <w:qFormat/>
    <w:uiPriority w:val="0"/>
    <w:rPr>
      <w:rFonts w:ascii="宋体" w:eastAsia="宋体"/>
      <w:kern w:val="2"/>
      <w:sz w:val="21"/>
      <w:lang w:val="en-US" w:eastAsia="zh-CN" w:bidi="ar-SA"/>
    </w:rPr>
  </w:style>
  <w:style w:type="paragraph" w:customStyle="1" w:styleId="95">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96">
    <w:name w:val="font5"/>
    <w:basedOn w:val="1"/>
    <w:qFormat/>
    <w:uiPriority w:val="0"/>
    <w:pPr>
      <w:widowControl/>
      <w:spacing w:before="100" w:beforeAutospacing="1" w:after="100" w:afterAutospacing="1"/>
      <w:jc w:val="left"/>
    </w:pPr>
    <w:rPr>
      <w:rFonts w:ascii="宋体" w:hAnsi="宋体" w:cs="宋体"/>
      <w:kern w:val="0"/>
      <w:sz w:val="12"/>
      <w:szCs w:val="12"/>
    </w:rPr>
  </w:style>
  <w:style w:type="paragraph" w:customStyle="1" w:styleId="9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2"/>
      <w:szCs w:val="12"/>
    </w:rPr>
  </w:style>
  <w:style w:type="paragraph" w:customStyle="1" w:styleId="9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12"/>
      <w:szCs w:val="12"/>
    </w:rPr>
  </w:style>
  <w:style w:type="paragraph" w:customStyle="1" w:styleId="9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12"/>
      <w:szCs w:val="12"/>
    </w:rPr>
  </w:style>
  <w:style w:type="paragraph" w:customStyle="1" w:styleId="10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2"/>
      <w:szCs w:val="12"/>
    </w:rPr>
  </w:style>
  <w:style w:type="paragraph" w:customStyle="1" w:styleId="10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2"/>
      <w:szCs w:val="12"/>
    </w:rPr>
  </w:style>
  <w:style w:type="paragraph" w:customStyle="1" w:styleId="10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2"/>
      <w:szCs w:val="12"/>
    </w:rPr>
  </w:style>
  <w:style w:type="paragraph" w:customStyle="1" w:styleId="106">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7">
    <w:name w:val="Table Paragraph"/>
    <w:basedOn w:val="1"/>
    <w:qFormat/>
    <w:uiPriority w:val="1"/>
    <w:pPr>
      <w:autoSpaceDE w:val="0"/>
      <w:autoSpaceDN w:val="0"/>
      <w:jc w:val="left"/>
    </w:pPr>
    <w:rPr>
      <w:rFonts w:ascii="仿宋" w:hAnsi="仿宋" w:eastAsia="仿宋" w:cs="仿宋"/>
      <w:kern w:val="0"/>
      <w:sz w:val="22"/>
      <w:szCs w:val="22"/>
      <w:lang w:eastAsia="en-US"/>
    </w:rPr>
  </w:style>
  <w:style w:type="paragraph" w:customStyle="1" w:styleId="108">
    <w:name w:val="6'"/>
    <w:basedOn w:val="1"/>
    <w:qFormat/>
    <w:uiPriority w:val="0"/>
    <w:pPr>
      <w:spacing w:line="320" w:lineRule="exact"/>
      <w:jc w:val="center"/>
    </w:pPr>
    <w:rPr>
      <w:color w:val="000000"/>
      <w:spacing w:val="20"/>
      <w:kern w:val="0"/>
      <w:szCs w:val="20"/>
    </w:rPr>
  </w:style>
  <w:style w:type="table" w:customStyle="1" w:styleId="109">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0">
    <w:name w:val="1"/>
    <w:basedOn w:val="1"/>
    <w:next w:val="93"/>
    <w:link w:val="111"/>
    <w:unhideWhenUsed/>
    <w:qFormat/>
    <w:uiPriority w:val="34"/>
    <w:pPr>
      <w:ind w:firstLine="420" w:firstLineChars="200"/>
    </w:pPr>
    <w:rPr>
      <w:rFonts w:ascii="Calibri" w:hAnsi="Calibri"/>
      <w:szCs w:val="22"/>
    </w:rPr>
  </w:style>
  <w:style w:type="character" w:customStyle="1" w:styleId="111">
    <w:name w:val="列出段落 Char"/>
    <w:link w:val="110"/>
    <w:qFormat/>
    <w:uiPriority w:val="0"/>
    <w:rPr>
      <w:rFonts w:ascii="Calibri" w:hAnsi="Calibri"/>
      <w:kern w:val="2"/>
      <w:sz w:val="21"/>
      <w:szCs w:val="22"/>
    </w:rPr>
  </w:style>
  <w:style w:type="character" w:customStyle="1" w:styleId="112">
    <w:name w:val="未处理的提及1"/>
    <w:basedOn w:val="38"/>
    <w:semiHidden/>
    <w:unhideWhenUsed/>
    <w:qFormat/>
    <w:uiPriority w:val="99"/>
    <w:rPr>
      <w:color w:val="605E5C"/>
      <w:shd w:val="clear" w:color="auto" w:fill="E1DFDD"/>
    </w:rPr>
  </w:style>
  <w:style w:type="paragraph" w:customStyle="1" w:styleId="113">
    <w:name w:val="Other|1"/>
    <w:basedOn w:val="1"/>
    <w:qFormat/>
    <w:uiPriority w:val="0"/>
    <w:pPr>
      <w:spacing w:line="310" w:lineRule="exact"/>
    </w:pPr>
    <w:rPr>
      <w:rFonts w:ascii="宋体" w:hAnsi="宋体" w:cs="宋体"/>
      <w:sz w:val="20"/>
      <w:szCs w:val="20"/>
      <w:lang w:val="zh-TW" w:eastAsia="zh-TW" w:bidi="zh-TW"/>
    </w:rPr>
  </w:style>
  <w:style w:type="character" w:customStyle="1" w:styleId="114">
    <w:name w:val="未处理的提及2"/>
    <w:basedOn w:val="38"/>
    <w:unhideWhenUsed/>
    <w:qFormat/>
    <w:uiPriority w:val="99"/>
    <w:rPr>
      <w:color w:val="605E5C"/>
      <w:shd w:val="clear" w:color="auto" w:fill="E1DFDD"/>
    </w:rPr>
  </w:style>
  <w:style w:type="paragraph" w:customStyle="1" w:styleId="115">
    <w:name w:val="TOC 标题1"/>
    <w:basedOn w:val="2"/>
    <w:next w:val="1"/>
    <w:unhideWhenUsed/>
    <w:qFormat/>
    <w:uiPriority w:val="39"/>
    <w:pPr>
      <w:widowControl/>
      <w:numPr>
        <w:numId w:val="0"/>
      </w:numPr>
      <w:adjustRightInd/>
      <w:spacing w:before="240" w:line="259" w:lineRule="auto"/>
      <w:jc w:val="left"/>
      <w:textAlignment w:val="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116">
    <w:name w:val="Unresolved Mention"/>
    <w:basedOn w:val="38"/>
    <w:semiHidden/>
    <w:unhideWhenUsed/>
    <w:qFormat/>
    <w:uiPriority w:val="99"/>
    <w:rPr>
      <w:color w:val="605E5C"/>
      <w:shd w:val="clear" w:color="auto" w:fill="E1DFDD"/>
    </w:rPr>
  </w:style>
  <w:style w:type="character" w:customStyle="1" w:styleId="117">
    <w:name w:val="font61"/>
    <w:basedOn w:val="38"/>
    <w:qFormat/>
    <w:uiPriority w:val="0"/>
    <w:rPr>
      <w:rFonts w:ascii="方正仿宋_GBK" w:hAnsi="方正仿宋_GBK" w:eastAsia="方正仿宋_GBK" w:cs="方正仿宋_GBK"/>
      <w:color w:val="000000"/>
      <w:sz w:val="24"/>
      <w:szCs w:val="24"/>
      <w:u w:val="none"/>
    </w:rPr>
  </w:style>
  <w:style w:type="character" w:customStyle="1" w:styleId="118">
    <w:name w:val="font31"/>
    <w:basedOn w:val="38"/>
    <w:qFormat/>
    <w:uiPriority w:val="0"/>
    <w:rPr>
      <w:rFonts w:hint="default" w:ascii="Nimbus Roman No9 L" w:hAnsi="Nimbus Roman No9 L" w:eastAsia="Nimbus Roman No9 L" w:cs="Nimbus Roman No9 L"/>
      <w:color w:val="000000"/>
      <w:sz w:val="24"/>
      <w:szCs w:val="24"/>
      <w:u w:val="none"/>
    </w:rPr>
  </w:style>
  <w:style w:type="character" w:customStyle="1" w:styleId="119">
    <w:name w:val="font51"/>
    <w:basedOn w:val="38"/>
    <w:qFormat/>
    <w:uiPriority w:val="0"/>
    <w:rPr>
      <w:rFonts w:hint="eastAsia" w:ascii="方正仿宋_GBK" w:hAnsi="方正仿宋_GBK" w:eastAsia="方正仿宋_GBK" w:cs="方正仿宋_GBK"/>
      <w:color w:val="000000"/>
      <w:sz w:val="22"/>
      <w:szCs w:val="22"/>
      <w:u w:val="none"/>
    </w:rPr>
  </w:style>
  <w:style w:type="character" w:customStyle="1" w:styleId="120">
    <w:name w:val="font71"/>
    <w:basedOn w:val="38"/>
    <w:qFormat/>
    <w:uiPriority w:val="0"/>
    <w:rPr>
      <w:rFonts w:hint="default" w:ascii="Nimbus Roman No9 L" w:hAnsi="Nimbus Roman No9 L" w:eastAsia="Nimbus Roman No9 L" w:cs="Nimbus Roman No9 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c9299d7f-c5db-4aba-a920-01d710c566e0</errorID>
      <errorWord>采购</errorWord>
      <group>L1_Word</group>
      <groupName>字词问题</groupName>
      <ability>L2_Typo</ability>
      <abilityName>字词错误</abilityName>
      <candidateList>
        <item>年采购</item>
      </candidateList>
      <explain/>
      <paraID>40E4539F</paraID>
      <start>4</start>
      <end>6</end>
      <status>unmodified</status>
      <modifiedWord/>
      <trackRevisions>false</trackRevisions>
    </reviewItem>
    <reviewItem>
      <errorID>38a9129b-dead-4989-9235-a30ebf298685</errorID>
      <errorWord> </errorWord>
      <group>L1_Punc</group>
      <groupName>标点问题</groupName>
      <ability>L2_Punc_CN</ability>
      <abilityName>标点符号问题</abilityName>
      <candidateList>
        <item/>
      </candidateList>
      <explain>此处空格冗余，建议删除。</explain>
      <paraID>40E4539F</paraID>
      <start>82</start>
      <end>83</end>
      <status>unmodified</status>
      <modifiedWord/>
      <trackRevisions>false</trackRevisions>
    </reviewItem>
    <reviewItem>
      <errorID>32dedf0b-6e04-4d3f-9fd0-6f71ed67d6d7</errorID>
      <errorWord>:</errorWord>
      <group>L1_Format</group>
      <groupName>格式问题</groupName>
      <ability>L2_HalfPunc_CN</ability>
      <abilityName>全半角问题</abilityName>
      <candidateList>
        <item>：</item>
      </candidateList>
      <explain>文本全半角错误。</explain>
      <paraID>70A4518B</paraID>
      <start>4</start>
      <end>5</end>
      <status>unmodified</status>
      <modifiedWord/>
      <trackRevisions>false</trackRevisions>
    </reviewItem>
    <reviewItem>
      <errorID>8d7d8e6a-e602-4625-8780-e33f270aa1a8</errorID>
      <errorWord>:</errorWord>
      <group>L1_Format</group>
      <groupName>格式问题</groupName>
      <ability>L2_HalfPunc_CN</ability>
      <abilityName>全半角问题</abilityName>
      <candidateList>
        <item>：</item>
      </candidateList>
      <explain>文本全半角错误。</explain>
      <paraID>34576F96</paraID>
      <start>2</start>
      <end>3</end>
      <status>unmodified</status>
      <modifiedWord/>
      <trackRevisions>false</trackRevisions>
    </reviewItem>
    <reviewItem>
      <errorID>bf40da74-0471-4a7e-83f4-825d37fec717</errorID>
      <errorWord>2026年08月</errorWord>
      <group>L1_Knowledge</group>
      <groupName>知识性问题</groupName>
      <ability>L2_Time</ability>
      <abilityName>日期时间</abilityName>
      <candidateList>
        <item>2026年8月</item>
      </candidateList>
      <explain>根据日常书写习惯，月份一般会省略前导零。</explain>
      <paraID>36ACD06E</paraID>
      <start>3</start>
      <end>11</end>
      <status>unmodified</status>
      <modifiedWord/>
      <trackRevisions>false</trackRevisions>
    </reviewItem>
    <reviewItem>
      <errorID>8fc74fb8-5e78-468d-8593-8183e896cca9</errorID>
      <errorWord> </errorWord>
      <group>L1_Punc</group>
      <groupName>标点问题</groupName>
      <ability>L2_Punc_CN</ability>
      <abilityName>标点符号问题</abilityName>
      <candidateList>
        <item>  </item>
      </candidateList>
      <explain/>
      <paraID>36ACD06E</paraID>
      <start>11</start>
      <end>12</end>
      <status>unmodified</status>
      <modifiedWord/>
      <trackRevisions>false</trackRevisions>
    </reviewItem>
    <reviewItem>
      <errorID>caa2078c-234c-489e-b8d6-53b35ad805c5</errorID>
      <errorWord>2026年08月</errorWord>
      <group>L1_Knowledge</group>
      <groupName>知识性问题</groupName>
      <ability>L2_Time</ability>
      <abilityName>日期时间</abilityName>
      <candidateList>
        <item>2026年8月</item>
      </candidateList>
      <explain>根据日常书写习惯，月份一般会省略前导零。</explain>
      <paraID>36ACD06E</paraID>
      <start>14</start>
      <end>22</end>
      <status>unmodified</status>
      <modifiedWord/>
      <trackRevisions>false</trackRevisions>
    </reviewItem>
    <reviewItem>
      <errorID>8d05bb4b-118a-40d8-b41a-b5eac500c0ef</errorID>
      <errorWord> </errorWord>
      <group>L1_Punc</group>
      <groupName>标点问题</groupName>
      <ability>L2_Punc_CN</ability>
      <abilityName>标点符号问题</abilityName>
      <candidateList>
        <item>  </item>
      </candidateList>
      <explain/>
      <paraID>36ACD06E</paraID>
      <start>22</start>
      <end>23</end>
      <status>unmodified</status>
      <modifiedWord/>
      <trackRevisions>false</trackRevisions>
    </reviewItem>
    <reviewItem>
      <errorID>4afcd349-2284-4a3a-9831-f43490fee465</errorID>
      <errorWord>2026年09月</errorWord>
      <group>L1_Knowledge</group>
      <groupName>知识性问题</groupName>
      <ability>L2_Time</ability>
      <abilityName>日期时间</abilityName>
      <candidateList>
        <item>2026年9月</item>
      </candidateList>
      <explain>根据日常书写习惯，月份一般会省略前导零。</explain>
      <paraID>39E40B2E</paraID>
      <start>11</start>
      <end>19</end>
      <status>unmodified</status>
      <modifiedWord/>
      <trackRevisions>false</trackRevisions>
    </reviewItem>
    <reviewItem>
      <errorID>ae6ba632-7a88-4886-aca1-e1afb7bd1904</errorID>
      <errorWord> </errorWord>
      <group>L1_Punc</group>
      <groupName>标点问题</groupName>
      <ability>L2_Punc_CN</ability>
      <abilityName>标点符号问题</abilityName>
      <candidateList>
        <item>  </item>
      </candidateList>
      <explain/>
      <paraID>39E40B2E</paraID>
      <start>19</start>
      <end>20</end>
      <status>unmodified</status>
      <modifiedWord/>
      <trackRevisions>false</trackRevisions>
    </reviewItem>
    <reviewItem>
      <errorID>91312e39-2cc1-4131-aeb1-7f257fea34f8</errorID>
      <errorWord>日 </errorWord>
      <group>L1_Word</group>
      <groupName>字词问题</groupName>
      <ability>L2_Typo</ability>
      <abilityName>字词错误</abilityName>
      <candidateList>
        <item> 日</item>
      </candidateList>
      <explain/>
      <paraID>39E40B2E</paraID>
      <start>20</start>
      <end>22</end>
      <status>unmodified</status>
      <modifiedWord/>
      <trackRevisions>false</trackRevisions>
    </reviewItem>
    <reviewItem>
      <errorID>ab27bc23-a76d-4738-aeba-070d9fac8888</errorID>
      <errorWord>2026年09月</errorWord>
      <group>L1_Knowledge</group>
      <groupName>知识性问题</groupName>
      <ability>L2_Time</ability>
      <abilityName>日期时间</abilityName>
      <candidateList>
        <item>2026年9月</item>
      </candidateList>
      <explain>根据日常书写习惯，月份一般会省略前导零。</explain>
      <paraID>1021915F</paraID>
      <start>5</start>
      <end>13</end>
      <status>unmodified</status>
      <modifiedWord/>
      <trackRevisions>false</trackRevisions>
    </reviewItem>
    <reviewItem>
      <errorID>efb08a91-47cd-4325-ab37-cc437cde48f5</errorID>
      <errorWord>商铺</errorWord>
      <group>L1_Word</group>
      <groupName>字词问题</groupName>
      <ability>L2_Typo</ability>
      <abilityName>字词错误</abilityName>
      <candidateList>
        <item>号商铺</item>
      </candidateList>
      <explain/>
      <paraID>47A50286</paraID>
      <start>37</start>
      <end>39</end>
      <status>unmodified</status>
      <modifiedWord/>
      <trackRevisions>false</trackRevisions>
    </reviewItem>
    <reviewItem>
      <errorID>a29f9270-a2f0-4c86-a7ad-531471c6b2a6</errorID>
      <errorWord>验真</errorWord>
      <group>L1_Word</group>
      <groupName>字词问题</groupName>
      <ability>L2_Typo</ability>
      <abilityName>字词错误</abilityName>
      <candidateList>
        <item>验证</item>
      </candidateList>
      <explain>存在发音相近字词的误用。</explain>
      <paraID> EA01BD9</paraID>
      <start>89</start>
      <end>91</end>
      <status>unmodified</status>
      <modifiedWord/>
      <trackRevisions>false</trackRevisions>
    </reviewItem>
    <reviewItem>
      <errorID>6f6e4a0b-bb0f-4c73-aa8b-5d7b5534aa44</errorID>
      <errorWord>认真学习</errorWord>
      <group>L1_Word</group>
      <groupName>字词问题</groupName>
      <ability>L2_Typo</ability>
      <abilityName>字词错误</abilityName>
      <candidateList>
        <item>应认真学习</item>
      </candidateList>
      <explain/>
      <paraID>270208AC</paraID>
      <start>76</start>
      <end>80</end>
      <status>unmodified</status>
      <modifiedWord/>
      <trackRevisions>false</trackRevisions>
    </reviewItem>
    <reviewItem>
      <errorID>5d38b2a9-3823-4132-9c84-46faca2d9462</errorID>
      <errorWord>-</errorWord>
      <group>L1_Format</group>
      <groupName>格式问题</groupName>
      <ability>L2_HalfPunc_CN</ability>
      <abilityName>全半角问题</abilityName>
      <candidateList>
        <item>－</item>
      </candidateList>
      <explain>文本全半角错误。</explain>
      <paraID>270208AC</paraID>
      <start>260</start>
      <end>261</end>
      <status>unmodified</status>
      <modifiedWord/>
      <trackRevisions>false</trackRevisions>
    </reviewItem>
    <reviewItem>
      <errorID>533f102d-1966-4e0f-9b94-10b41b207f79</errorID>
      <errorWord>-</errorWord>
      <group>L1_Format</group>
      <groupName>格式问题</groupName>
      <ability>L2_HalfPunc_CN</ability>
      <abilityName>全半角问题</abilityName>
      <candidateList>
        <item>－</item>
      </candidateList>
      <explain>文本全半角错误。</explain>
      <paraID>270208AC</paraID>
      <start>265</start>
      <end>266</end>
      <status>unmodified</status>
      <modifiedWord/>
      <trackRevisions>false</trackRevisions>
    </reviewItem>
    <reviewItem>
      <errorID>a51addb3-7287-4cea-a6ff-1a7877fa9c85</errorID>
      <errorWord>-</errorWord>
      <group>L1_Format</group>
      <groupName>格式问题</groupName>
      <ability>L2_HalfPunc_CN</ability>
      <abilityName>全半角问题</abilityName>
      <candidateList>
        <item>－</item>
      </candidateList>
      <explain>文本全半角错误。</explain>
      <paraID>270208AC</paraID>
      <start>270</start>
      <end>271</end>
      <status>unmodified</status>
      <modifiedWord/>
      <trackRevisions>false</trackRevisions>
    </reviewItem>
    <reviewItem>
      <errorID>417729ae-bbba-4732-877f-883abcdcc356</errorID>
      <errorWord>-</errorWord>
      <group>L1_Format</group>
      <groupName>格式问题</groupName>
      <ability>L2_HalfPunc_CN</ability>
      <abilityName>全半角问题</abilityName>
      <candidateList>
        <item>－</item>
      </candidateList>
      <explain>文本全半角错误。</explain>
      <paraID>270208AC</paraID>
      <start>390</start>
      <end>391</end>
      <status>unmodified</status>
      <modifiedWord/>
      <trackRevisions>false</trackRevisions>
    </reviewItem>
    <reviewItem>
      <errorID>403510bc-0b77-4c42-9bdf-991c8ee0eeb3</errorID>
      <errorWord>-</errorWord>
      <group>L1_Format</group>
      <groupName>格式问题</groupName>
      <ability>L2_HalfPunc_CN</ability>
      <abilityName>全半角问题</abilityName>
      <candidateList>
        <item>－</item>
      </candidateList>
      <explain>文本全半角错误。</explain>
      <paraID>270208AC</paraID>
      <start>396</start>
      <end>397</end>
      <status>unmodified</status>
      <modifiedWord/>
      <trackRevisions>false</trackRevisions>
    </reviewItem>
    <reviewItem>
      <errorID>9fc2d13a-46e2-4159-8a87-b8706dad023a</errorID>
      <errorWord>-</errorWord>
      <group>L1_Format</group>
      <groupName>格式问题</groupName>
      <ability>L2_HalfPunc_CN</ability>
      <abilityName>全半角问题</abilityName>
      <candidateList>
        <item>－</item>
      </candidateList>
      <explain>文本全半角错误。</explain>
      <paraID>270208AC</paraID>
      <start>485</start>
      <end>486</end>
      <status>unmodified</status>
      <modifiedWord/>
      <trackRevisions>false</trackRevisions>
    </reviewItem>
    <reviewItem>
      <errorID>fe4b54eb-21b1-4524-9f87-889006044dbb</errorID>
      <errorWord>-</errorWord>
      <group>L1_Format</group>
      <groupName>格式问题</groupName>
      <ability>L2_HalfPunc_CN</ability>
      <abilityName>全半角问题</abilityName>
      <candidateList>
        <item>－</item>
      </candidateList>
      <explain>文本全半角错误。</explain>
      <paraID>270208AC</paraID>
      <start>491</start>
      <end>492</end>
      <status>unmodified</status>
      <modifiedWord/>
      <trackRevisions>false</trackRevisions>
    </reviewItem>
    <reviewItem>
      <errorID>578b1c2e-90e2-4a8b-9b92-e9fa23ac4588</errorID>
      <errorWord>-</errorWord>
      <group>L1_Format</group>
      <groupName>格式问题</groupName>
      <ability>L2_HalfPunc_CN</ability>
      <abilityName>全半角问题</abilityName>
      <candidateList>
        <item>－</item>
      </candidateList>
      <explain>文本全半角错误。</explain>
      <paraID>270208AC</paraID>
      <start>496</start>
      <end>497</end>
      <status>unmodified</status>
      <modifiedWord/>
      <trackRevisions>false</trackRevisions>
    </reviewItem>
    <reviewItem>
      <errorID>dc125160-91b4-4d0a-a964-3dba65d0de4f</errorID>
      <errorWord>-</errorWord>
      <group>L1_Format</group>
      <groupName>格式问题</groupName>
      <ability>L2_HalfPunc_CN</ability>
      <abilityName>全半角问题</abilityName>
      <candidateList>
        <item>－</item>
      </candidateList>
      <explain>文本全半角错误。</explain>
      <paraID>270208AC</paraID>
      <start>497</start>
      <end>498</end>
      <status>unmodified</status>
      <modifiedWord/>
      <trackRevisions>false</trackRevisions>
    </reviewItem>
    <reviewItem>
      <errorID>b0e2c0a5-188e-427d-9348-ae30d7adcbd1</errorID>
      <errorWord>前，提前</errorWord>
      <group>L1_Grammar</group>
      <groupName>语法问题</groupName>
      <ability>L2_Grammar</ability>
      <abilityName>语法错误</abilityName>
      <candidateList>
        <item>前</item>
      </candidateList>
      <explain/>
      <paraID>270208AC</paraID>
      <start>674</start>
      <end>678</end>
      <status>unmodified</status>
      <modifiedWord/>
      <trackRevisions>false</trackRevisions>
    </reviewItem>
    <reviewItem>
      <errorID>8e55ad97-9549-408b-8c24-f01cce405d8c</errorID>
      <errorWord>，</errorWord>
      <group>L1_Punc</group>
      <groupName>标点问题</groupName>
      <ability>L2_Punc_CN</ability>
      <abilityName>标点符号问题</abilityName>
      <candidateList>
        <item>。</item>
      </candidateList>
      <explain/>
      <paraID>270208AC</paraID>
      <start>702</start>
      <end>703</end>
      <status>unmodified</status>
      <modifiedWord/>
      <trackRevisions>false</trackRevisions>
    </reviewItem>
    <reviewItem>
      <errorID>6d0116e8-e53d-4dea-815d-df6f5a6ca093</errorID>
      <errorWord>解密的</errorWord>
      <group>L1_Word</group>
      <groupName>字词问题</groupName>
      <ability>L2_Typo</ability>
      <abilityName>字词错误</abilityName>
      <candidateList>
        <item>解密</item>
      </candidateList>
      <explain/>
      <paraID>270208AC</paraID>
      <start>721</start>
      <end>724</end>
      <status>unmodified</status>
      <modifiedWord/>
      <trackRevisions>false</trackRevisions>
    </reviewItem>
    <reviewItem>
      <errorID>ea5e889d-6126-441b-bb42-81e6a46932fb</errorID>
      <errorWord>：</errorWord>
      <group>L1_Punc</group>
      <groupName>标点问题</groupName>
      <ability>L2_Punc_CN</ability>
      <abilityName>标点符号问题</abilityName>
      <candidateList>
        <item/>
      </candidateList>
      <explain/>
      <paraID>270208AC</paraID>
      <start>733</start>
      <end>734</end>
      <status>unmodified</status>
      <modifiedWord/>
      <trackRevisions>false</trackRevisions>
    </reviewItem>
    <reviewItem>
      <errorID>2017ad9c-1d96-4e42-b9a2-d19403ee0865</errorID>
      <errorWord>-</errorWord>
      <group>L1_Format</group>
      <groupName>格式问题</groupName>
      <ability>L2_HalfPunc_CN</ability>
      <abilityName>全半角问题</abilityName>
      <candidateList>
        <item>－</item>
      </candidateList>
      <explain>文本全半角错误。</explain>
      <paraID>270208AC</paraID>
      <start>788</start>
      <end>789</end>
      <status>unmodified</status>
      <modifiedWord/>
      <trackRevisions>false</trackRevisions>
    </reviewItem>
    <reviewItem>
      <errorID>b363facb-39f4-4b13-9460-dd48a7ff650f</errorID>
      <errorWord>-</errorWord>
      <group>L1_Format</group>
      <groupName>格式问题</groupName>
      <ability>L2_HalfPunc_CN</ability>
      <abilityName>全半角问题</abilityName>
      <candidateList>
        <item>－</item>
      </candidateList>
      <explain>文本全半角错误。</explain>
      <paraID>270208AC</paraID>
      <start>794</start>
      <end>795</end>
      <status>unmodified</status>
      <modifiedWord/>
      <trackRevisions>false</trackRevisions>
    </reviewItem>
    <reviewItem>
      <errorID>c1a0fe42-7d32-4559-9bb1-ac7c268f6647</errorID>
      <errorWord>-</errorWord>
      <group>L1_Format</group>
      <groupName>格式问题</groupName>
      <ability>L2_HalfPunc_CN</ability>
      <abilityName>全半角问题</abilityName>
      <candidateList>
        <item>－</item>
      </candidateList>
      <explain>文本全半角错误。</explain>
      <paraID>270208AC</paraID>
      <start>799</start>
      <end>800</end>
      <status>unmodified</status>
      <modifiedWord/>
      <trackRevisions>false</trackRevisions>
    </reviewItem>
    <reviewItem>
      <errorID>0b3b5a8a-f98b-4d75-a9d4-0cb4a8d7f056</errorID>
      <errorWord>-</errorWord>
      <group>L1_Format</group>
      <groupName>格式问题</groupName>
      <ability>L2_HalfPunc_CN</ability>
      <abilityName>全半角问题</abilityName>
      <candidateList>
        <item>－</item>
      </candidateList>
      <explain>文本全半角错误。</explain>
      <paraID>270208AC</paraID>
      <start>804</start>
      <end>805</end>
      <status>unmodified</status>
      <modifiedWord/>
      <trackRevisions>false</trackRevisions>
    </reviewItem>
    <reviewItem>
      <errorID>f4959b4e-bc8c-4da0-819d-00ada153fa81</errorID>
      <errorWord>采购</errorWord>
      <group>L1_Word</group>
      <groupName>字词问题</groupName>
      <ability>L2_Typo</ability>
      <abilityName>字词错误</abilityName>
      <candidateList>
        <item>年采购</item>
      </candidateList>
      <explain/>
      <paraID>1C3F52D7</paraID>
      <start>4</start>
      <end>6</end>
      <status>unmodified</status>
      <modifiedWord/>
      <trackRevisions>false</trackRevisions>
    </reviewItem>
    <reviewItem>
      <errorID>4258e053-c0a4-41f6-ad3e-369c0f8bad36</errorID>
      <errorWord>。</errorWord>
      <group>L1_Punc</group>
      <groupName>标点问题</groupName>
      <ability>L2_Punc_CN</ability>
      <abilityName>标点符号问题</abilityName>
      <candidateList>
        <item/>
      </candidateList>
      <explain/>
      <paraID>4DABD585</paraID>
      <start>155</start>
      <end>156</end>
      <status>unmodified</status>
      <modifiedWord/>
      <trackRevisions>false</trackRevisions>
    </reviewItem>
    <reviewItem>
      <errorID>6657cf8f-b81c-4efb-9b86-c223ce27fc3c</errorID>
      <errorWord>--</errorWord>
      <group>L1_Punc</group>
      <groupName>标点问题</groupName>
      <ability>L2_Punc_CN</ability>
      <abilityName>标点符号问题</abilityName>
      <candidateList>
        <item>——</item>
      </candidateList>
      <explain/>
      <paraID>355F7729</paraID>
      <start>20</start>
      <end>22</end>
      <status>unmodified</status>
      <modifiedWord/>
      <trackRevisions>false</trackRevisions>
    </reviewItem>
    <reviewItem>
      <errorID>a8d2d2a4-ce5f-4151-8b61-5dd2a8824c19</errorID>
      <errorWord>》办法</errorWord>
      <group>L1_Grammar</group>
      <groupName>语法问题</groupName>
      <ability>L2_Grammar</ability>
      <abilityName>语法错误</abilityName>
      <candidateList>
        <item>》</item>
      </candidateList>
      <explain/>
      <paraID>355F7729</paraID>
      <start>34</start>
      <end>37</end>
      <status>unmodified</status>
      <modifiedWord/>
      <trackRevisions>false</trackRevisions>
    </reviewItem>
    <reviewItem>
      <errorID>52556d12-8f4d-417a-aa4e-f75d28fa18e3</errorID>
      <errorWord>确</errorWord>
      <group>L1_Word</group>
      <groupName>字词问题</groupName>
      <ability>L2_Typo</ability>
      <abilityName>字词错误</abilityName>
      <candidateList>
        <item>确实</item>
      </candidateList>
      <explain/>
      <paraID>70A8031B</paraID>
      <start>16</start>
      <end>18</end>
      <status>modified</status>
      <modifiedWord>确实</modifiedWord>
      <trackRevisions>false</trackRevisions>
    </reviewItem>
    <reviewItem>
      <errorID>a282edd8-8f90-4bb9-8a7f-e71c0b2d8e41</errorID>
      <errorWord>对</errorWord>
      <group>L1_Word</group>
      <groupName>字词问题</groupName>
      <ability>L2_Typo</ability>
      <abilityName>字词错误</abilityName>
      <candidateList>
        <item> 对</item>
      </candidateList>
      <explain/>
      <paraID>5A7ED17C</paraID>
      <start>4</start>
      <end>5</end>
      <status>unmodified</status>
      <modifiedWord/>
      <trackRevisions>false</trackRevisions>
    </reviewItem>
    <reviewItem>
      <errorID>2e92ee7c-f977-45be-b1e0-922ae57368da</errorID>
      <errorWord>是</errorWord>
      <group>L1_Punc</group>
      <groupName>标点问题</groupName>
      <ability>L2_Punc_CN</ability>
      <abilityName>标点符号问题</abilityName>
      <candidateList>
        <item>，是</item>
      </candidateList>
      <explain/>
      <paraID>5A7ED17C</paraID>
      <start>24</start>
      <end>25</end>
      <status>unmodified</status>
      <modifiedWord/>
      <trackRevisions>false</trackRevisions>
    </reviewItem>
    <reviewItem>
      <errorID>3c350b77-b12d-4473-9b7c-9d0b1f0af897</errorID>
      <errorWord>投标人</errorWord>
      <group>L1_Word</group>
      <groupName>字词问题</groupName>
      <ability>L2_Typo</ability>
      <abilityName>字词错误</abilityName>
      <candidateList>
        <item> 投标人</item>
      </candidateList>
      <explain/>
      <paraID>4CFBC267</paraID>
      <start>4</start>
      <end>7</end>
      <status>unmodified</status>
      <modifiedWord/>
      <trackRevisions>false</trackRevisions>
    </reviewItem>
    <reviewItem>
      <errorID>8bdd0f5d-511c-4f2d-8f2b-a1d7cde883b6</errorID>
      <errorWord>投标人</errorWord>
      <group>L1_Word</group>
      <groupName>字词问题</groupName>
      <ability>L2_Typo</ability>
      <abilityName>字词错误</abilityName>
      <candidateList>
        <item> 投标人</item>
      </candidateList>
      <explain/>
      <paraID>75027DCA</paraID>
      <start>4</start>
      <end>7</end>
      <status>unmodified</status>
      <modifiedWord/>
      <trackRevisions>false</trackRevisions>
    </reviewItem>
    <reviewItem>
      <errorID>91ee9f12-22df-48c7-b36b-cf6cf93d293d</errorID>
      <errorWord>，</errorWord>
      <group>L1_Punc</group>
      <groupName>标点问题</groupName>
      <ability>L2_Punc_CN</ability>
      <abilityName>标点符号问题</abilityName>
      <candidateList>
        <item>。</item>
      </candidateList>
      <explain/>
      <paraID>75027DCA</paraID>
      <start>63</start>
      <end>64</end>
      <status>unmodified</status>
      <modifiedWord/>
      <trackRevisions>false</trackRevisions>
    </reviewItem>
    <reviewItem>
      <errorID>a01d6a90-a101-4ab0-8abd-cc9bcadb9470</errorID>
      <errorWord>并</errorWord>
      <group>L1_Punc</group>
      <groupName>标点问题</groupName>
      <ability>L2_Punc_CN</ability>
      <abilityName>标点符号问题</abilityName>
      <candidateList>
        <item>，并</item>
      </candidateList>
      <explain/>
      <paraID>75027DCA</paraID>
      <start>74</start>
      <end>75</end>
      <status>unmodified</status>
      <modifiedWord/>
      <trackRevisions>false</trackRevisions>
    </reviewItem>
    <reviewItem>
      <errorID>706b48ce-bef9-491a-bc49-bcdcc084b6da</errorID>
      <errorWord>，但</errorWord>
      <group>L1_Word</group>
      <groupName>字词问题</groupName>
      <ability>L2_Typo</ability>
      <abilityName>字词错误</abilityName>
      <candidateList>
        <item>，</item>
      </candidateList>
      <explain/>
      <paraID>4DC11240</paraID>
      <start>52</start>
      <end>54</end>
      <status>unmodified</status>
      <modifiedWord/>
      <trackRevisions>false</trackRevisions>
    </reviewItem>
    <reviewItem>
      <errorID>59bb527d-573e-4eb3-bc09-f652d51815ca</errorID>
      <errorWord>“ 投标人须知前附表”</errorWord>
      <group>L1_Punc</group>
      <groupName>标点问题</groupName>
      <ability>L2_Punc_CN</ability>
      <abilityName>标点符号问题</abilityName>
      <candidateList>
        <item>《投标人须知前附表》</item>
      </candidateList>
      <explain/>
      <paraID>5E598023</paraID>
      <start>10</start>
      <end>21</end>
      <status>unmodified</status>
      <modifiedWord/>
      <trackRevisions>false</trackRevisions>
    </reviewItem>
    <reviewItem>
      <errorID>0dad70bc-e757-4b4f-a4c9-a451c5d8b327</errorID>
      <errorWord>开标</errorWord>
      <group>L1_Word</group>
      <groupName>字词问题</groupName>
      <ability>L2_Typo</ability>
      <abilityName>字词错误</abilityName>
      <candidateList>
        <item> 开标</item>
      </candidateList>
      <explain/>
      <paraID> 19A5877</paraID>
      <start>4</start>
      <end>6</end>
      <status>unmodified</status>
      <modifiedWord/>
      <trackRevisions>false</trackRevisions>
    </reviewItem>
    <reviewItem>
      <errorID>07de6d40-493f-45f8-ad86-87b478e47022</errorID>
      <errorWord>评</errorWord>
      <group>L1_Word</group>
      <groupName>字词问题</groupName>
      <ability>L2_Typo</ability>
      <abilityName>字词错误</abilityName>
      <candidateList>
        <item> 评</item>
      </candidateList>
      <explain/>
      <paraID> 982389D</paraID>
      <start>4</start>
      <end>5</end>
      <status>unmodified</status>
      <modifiedWord/>
      <trackRevisions>false</trackRevisions>
    </reviewItem>
    <reviewItem>
      <errorID>258bcd77-ba61-4cf5-9767-1656ae4651f5</errorID>
      <errorWord>标</errorWord>
      <group>L1_Grammar</group>
      <groupName>语法问题</groupName>
      <ability>L2_Grammar</ability>
      <abilityName>语法错误</abilityName>
      <candidateList>
        <item>标方法</item>
      </candidateList>
      <explain/>
      <paraID>5B0A6DA0</paraID>
      <start>6</start>
      <end>7</end>
      <status>unmodified</status>
      <modifiedWord/>
      <trackRevisions>false</trackRevisions>
    </reviewItem>
    <reviewItem>
      <errorID>69d87496-3b25-4453-9925-2162fbe35d8e</errorID>
      <errorWord>采购</errorWord>
      <group>L1_Word</group>
      <groupName>字词问题</groupName>
      <ability>L2_Typo</ability>
      <abilityName>字词错误</abilityName>
      <candidateList>
        <item> 采购</item>
      </candidateList>
      <explain/>
      <paraID>3C90E3E8</paraID>
      <start>4</start>
      <end>6</end>
      <status>unmodified</status>
      <modifiedWord/>
      <trackRevisions>false</trackRevisions>
    </reviewItem>
    <reviewItem>
      <errorID>14ff66a8-e2ea-4265-9b6b-e75c9bad30ce</errorID>
      <errorWord>。</errorWord>
      <group>L1_Punc</group>
      <groupName>标点问题</groupName>
      <ability>L2_Punc_CN</ability>
      <abilityName>标点符号问题</abilityName>
      <candidateList>
        <item>，</item>
      </candidateList>
      <explain/>
      <paraID>1811DE13</paraID>
      <start>67</start>
      <end>68</end>
      <status>unmodified</status>
      <modifiedWord/>
      <trackRevisions>false</trackRevisions>
    </reviewItem>
    <reviewItem>
      <errorID>a13a8c21-93fe-4127-9e17-0bc24a9d820a</errorID>
      <errorWord>解释权属采购</errorWord>
      <group>L1_Word</group>
      <groupName>字词问题</groupName>
      <ability>L2_Typo</ability>
      <abilityName>字词错误</abilityName>
      <candidateList>
        <item>解释权属于采购</item>
      </candidateList>
      <explain/>
      <paraID> F3C13B6</paraID>
      <start>32</start>
      <end>39</end>
      <status>modified</status>
      <modifiedWord>解释权属于采购</modifiedWord>
      <trackRevisions>false</trackRevisions>
    </reviewItem>
    <reviewItem>
      <errorID>803be259-0059-4c99-a3d7-cffd652a92b2</errorID>
      <errorWord> </errorWord>
      <group>L1_Punc</group>
      <groupName>标点问题</groupName>
      <ability>L2_Punc_CN</ability>
      <abilityName>标点符号问题</abilityName>
      <candidateList>
        <item/>
      </candidateList>
      <explain>此处空格冗余，建议删除。</explain>
      <paraID>6D1EE82D</paraID>
      <start>12</start>
      <end>13</end>
      <status>unmodified</status>
      <modifiedWord/>
      <trackRevisions>false</trackRevisions>
    </reviewItem>
    <reviewItem>
      <errorID>c97eff88-c6f8-497f-9e71-07d3a390cba3</errorID>
      <errorWord> </errorWord>
      <group>L1_Punc</group>
      <groupName>标点问题</groupName>
      <ability>L2_Punc_CN</ability>
      <abilityName>标点符号问题</abilityName>
      <candidateList>
        <item/>
      </candidateList>
      <explain>此处空格冗余，建议删除。</explain>
      <paraID>2F47E04F</paraID>
      <start>12</start>
      <end>13</end>
      <status>unmodified</status>
      <modifiedWord/>
      <trackRevisions>false</trackRevisions>
    </reviewItem>
    <reviewItem>
      <errorID>cb2f78f1-5e96-4135-8384-103ec4b0c324</errorID>
      <errorWord> </errorWord>
      <group>L1_Punc</group>
      <groupName>标点问题</groupName>
      <ability>L2_Punc_CN</ability>
      <abilityName>标点符号问题</abilityName>
      <candidateList>
        <item>、</item>
      </candidateList>
      <explain/>
      <paraID>2F47E04F</paraID>
      <start>19</start>
      <end>20</end>
      <status>unmodified</status>
      <modifiedWord/>
      <trackRevisions>false</trackRevisions>
    </reviewItem>
    <reviewItem>
      <errorID>09c7aeea-f54b-4343-a8e3-cc2c4e6ce257</errorID>
      <errorWord> </errorWord>
      <group>L1_Punc</group>
      <groupName>标点问题</groupName>
      <ability>L2_Punc_CN</ability>
      <abilityName>标点符号问题</abilityName>
      <candidateList>
        <item/>
      </candidateList>
      <explain>此处空格冗余，建议删除。</explain>
      <paraID>642AF927</paraID>
      <start>10</start>
      <end>11</end>
      <status>unmodified</status>
      <modifiedWord/>
      <trackRevisions>false</trackRevisions>
    </reviewItem>
    <reviewItem>
      <errorID>a3a9ab6d-83ef-45b9-acd6-5168cbe86b04</errorID>
      <errorWord> </errorWord>
      <group>L1_Punc</group>
      <groupName>标点问题</groupName>
      <ability>L2_Punc_CN</ability>
      <abilityName>标点符号问题</abilityName>
      <candidateList>
        <item>、</item>
      </candidateList>
      <explain/>
      <paraID>642AF927</paraID>
      <start>15</start>
      <end>16</end>
      <status>unmodified</status>
      <modifiedWord/>
      <trackRevisions>false</trackRevisions>
    </reviewItem>
    <reviewItem>
      <errorID>1c094a5f-0b8a-4b8c-bdc2-ed13d424a85e</errorID>
      <errorWord> </errorWord>
      <group>L1_Punc</group>
      <groupName>标点问题</groupName>
      <ability>L2_Punc_CN</ability>
      <abilityName>标点符号问题</abilityName>
      <candidateList>
        <item>、</item>
      </candidateList>
      <explain/>
      <paraID>642AF927</paraID>
      <start>20</start>
      <end>21</end>
      <status>unmodified</status>
      <modifiedWord/>
      <trackRevisions>false</trackRevisions>
    </reviewItem>
    <reviewItem>
      <errorID>6eae9617-f5b1-40bc-a0bb-57718d605926</errorID>
      <errorWord> </errorWord>
      <group>L1_Punc</group>
      <groupName>标点问题</groupName>
      <ability>L2_Punc_CN</ability>
      <abilityName>标点符号问题</abilityName>
      <candidateList>
        <item>、</item>
      </candidateList>
      <explain/>
      <paraID>642AF927</paraID>
      <start>26</start>
      <end>27</end>
      <status>unmodified</status>
      <modifiedWord/>
      <trackRevisions>false</trackRevisions>
    </reviewItem>
    <reviewItem>
      <errorID>c20c4edc-ffe6-41ad-b655-9a7c60a91f84</errorID>
      <errorWord> </errorWord>
      <group>L1_Punc</group>
      <groupName>标点问题</groupName>
      <ability>L2_Punc_CN</ability>
      <abilityName>标点符号问题</abilityName>
      <candidateList>
        <item/>
      </candidateList>
      <explain>此处空格冗余，建议删除。</explain>
      <paraID>603A45C5</paraID>
      <start>0</start>
      <end>1</end>
      <status>unmodified</status>
      <modifiedWord/>
      <trackRevisions>false</trackRevisions>
    </reviewItem>
    <reviewItem>
      <errorID>7c8a9690-7496-44df-9d09-72b0c386f5a4</errorID>
      <errorWord> </errorWord>
      <group>L1_Punc</group>
      <groupName>标点问题</groupName>
      <ability>L2_Punc_CN</ability>
      <abilityName>标点符号问题</abilityName>
      <candidateList>
        <item>、</item>
      </candidateList>
      <explain/>
      <paraID>603A45C5</paraID>
      <start>3</start>
      <end>4</end>
      <status>unmodified</status>
      <modifiedWord/>
      <trackRevisions>false</trackRevisions>
    </reviewItem>
    <reviewItem>
      <errorID>6acf31a1-7934-47c6-8a7b-ef63d4151a79</errorID>
      <errorWord> </errorWord>
      <group>L1_Punc</group>
      <groupName>标点问题</groupName>
      <ability>L2_Punc_CN</ability>
      <abilityName>标点符号问题</abilityName>
      <candidateList>
        <item>、</item>
      </candidateList>
      <explain/>
      <paraID>603A45C5</paraID>
      <start>8</start>
      <end>9</end>
      <status>unmodified</status>
      <modifiedWord/>
      <trackRevisions>false</trackRevisions>
    </reviewItem>
    <reviewItem>
      <errorID>c1e7ac5c-2f7c-4c62-9767-3716301ec818</errorID>
      <errorWord> </errorWord>
      <group>L1_Punc</group>
      <groupName>标点问题</groupName>
      <ability>L2_Punc_CN</ability>
      <abilityName>标点符号问题</abilityName>
      <candidateList>
        <item>、</item>
      </candidateList>
      <explain/>
      <paraID>603A45C5</paraID>
      <start>13</start>
      <end>14</end>
      <status>unmodified</status>
      <modifiedWord/>
      <trackRevisions>false</trackRevisions>
    </reviewItem>
    <reviewItem>
      <errorID>d29c3f9b-4974-4d5b-8fa0-863e76cd77b8</errorID>
      <errorWord> </errorWord>
      <group>L1_Punc</group>
      <groupName>标点问题</groupName>
      <ability>L2_Punc_CN</ability>
      <abilityName>标点符号问题</abilityName>
      <candidateList>
        <item/>
      </candidateList>
      <explain>此处空格冗余，建议删除。</explain>
      <paraID>4477F5F3</paraID>
      <start>30</start>
      <end>31</end>
      <status>unmodified</status>
      <modifiedWord/>
      <trackRevisions>false</trackRevisions>
    </reviewItem>
    <reviewItem>
      <errorID>252eabf6-206f-45e0-9ba9-b9b5d876cc9a</errorID>
      <errorWord> </errorWord>
      <group>L1_Punc</group>
      <groupName>标点问题</groupName>
      <ability>L2_Punc_CN</ability>
      <abilityName>标点符号问题</abilityName>
      <candidateList>
        <item/>
      </candidateList>
      <explain>此处空格冗余，建议删除。</explain>
      <paraID>32E43F69</paraID>
      <start>29</start>
      <end>30</end>
      <status>unmodified</status>
      <modifiedWord/>
      <trackRevisions>false</trackRevisions>
    </reviewItem>
    <reviewItem>
      <errorID>830d51b7-3428-4ab5-977b-1405620840f6</errorID>
      <errorWord> </errorWord>
      <group>L1_Punc</group>
      <groupName>标点问题</groupName>
      <ability>L2_Punc_CN</ability>
      <abilityName>标点符号问题</abilityName>
      <candidateList>
        <item/>
      </candidateList>
      <explain>此处空格冗余，建议删除。</explain>
      <paraID>74CC97B6</paraID>
      <start>21</start>
      <end>22</end>
      <status>unmodified</status>
      <modifiedWord/>
      <trackRevisions>false</trackRevisions>
    </reviewItem>
    <reviewItem>
      <errorID>c3ea6f1d-9281-491a-b6c6-0c5b78772ab5</errorID>
      <errorWord> </errorWord>
      <group>L1_Punc</group>
      <groupName>标点问题</groupName>
      <ability>L2_Punc_CN</ability>
      <abilityName>标点符号问题</abilityName>
      <candidateList>
        <item/>
      </candidateList>
      <explain>此处空格冗余，建议删除。</explain>
      <paraID>23D6E97C</paraID>
      <start>10</start>
      <end>11</end>
      <status>unmodified</status>
      <modifiedWord/>
      <trackRevisions>false</trackRevisions>
    </reviewItem>
    <reviewItem>
      <errorID>efe60810-cd7c-48bf-ad68-23580ab3d456</errorID>
      <errorWord> </errorWord>
      <group>L1_Punc</group>
      <groupName>标点问题</groupName>
      <ability>L2_Punc_CN</ability>
      <abilityName>标点符号问题</abilityName>
      <candidateList>
        <item/>
      </candidateList>
      <explain>此处空格冗余，建议删除。</explain>
      <paraID>53611CC8</paraID>
      <start>0</start>
      <end>1</end>
      <status>unmodified</status>
      <modifiedWord/>
      <trackRevisions>false</trackRevisions>
    </reviewItem>
    <reviewItem>
      <errorID>36f0080e-1e2d-4ee5-a71f-4844b987179c</errorID>
      <errorWord>微型</errorWord>
      <group>L1_Word</group>
      <groupName>字词问题</groupName>
      <ability>L2_Typo</ability>
      <abilityName>字词错误</abilityName>
      <candidateList>
        <item>微</item>
      </candidateList>
      <explain/>
      <paraID>53611CC8</paraID>
      <start>16</start>
      <end>18</end>
      <status>unmodified</status>
      <modifiedWord/>
      <trackRevisions>false</trackRevisions>
    </reviewItem>
    <reviewItem>
      <errorID>dfea6a94-0802-4aac-aa10-6d3a2bf55f1b</errorID>
      <errorWord> </errorWord>
      <group>L1_Punc</group>
      <groupName>标点问题</groupName>
      <ability>L2_Punc_CN</ability>
      <abilityName>标点符号问题</abilityName>
      <candidateList>
        <item/>
      </candidateList>
      <explain>此处空格冗余，建议删除。</explain>
      <paraID>4F838B52</paraID>
      <start>0</start>
      <end>1</end>
      <status>unmodified</status>
      <modifiedWord/>
      <trackRevisions>false</trackRevisions>
    </reviewItem>
    <reviewItem>
      <errorID>a2861d3b-e060-4481-9522-d2f8af629a35</errorID>
      <errorWord> </errorWord>
      <group>L1_Punc</group>
      <groupName>标点问题</groupName>
      <ability>L2_Punc_CN</ability>
      <abilityName>标点符号问题</abilityName>
      <candidateList>
        <item>、</item>
      </candidateList>
      <explain/>
      <paraID>4F838B52</paraID>
      <start>9</start>
      <end>10</end>
      <status>unmodified</status>
      <modifiedWord/>
      <trackRevisions>false</trackRevisions>
    </reviewItem>
    <reviewItem>
      <errorID>b50a630b-46b0-456f-bd86-8e37f66860ee</errorID>
      <errorWord> </errorWord>
      <group>L1_Punc</group>
      <groupName>标点问题</groupName>
      <ability>L2_Punc_CN</ability>
      <abilityName>标点符号问题</abilityName>
      <candidateList>
        <item>、</item>
      </candidateList>
      <explain/>
      <paraID>4F838B52</paraID>
      <start>14</start>
      <end>15</end>
      <status>unmodified</status>
      <modifiedWord/>
      <trackRevisions>false</trackRevisions>
    </reviewItem>
    <reviewItem>
      <errorID>95edf442-5134-489d-a96a-e13a99541f05</errorID>
      <errorWord> </errorWord>
      <group>L1_Punc</group>
      <groupName>标点问题</groupName>
      <ability>L2_Punc_CN</ability>
      <abilityName>标点符号问题</abilityName>
      <candidateList>
        <item/>
      </candidateList>
      <explain>此处空格冗余，建议删除。</explain>
      <paraID>29A0F8DA</paraID>
      <start>0</start>
      <end>1</end>
      <status>unmodified</status>
      <modifiedWord/>
      <trackRevisions>false</trackRevisions>
    </reviewItem>
    <reviewItem>
      <errorID>2d57bec6-9457-4a6b-89d5-21212bf90c72</errorID>
      <errorWord> </errorWord>
      <group>L1_Punc</group>
      <groupName>标点问题</groupName>
      <ability>L2_Punc_CN</ability>
      <abilityName>标点符号问题</abilityName>
      <candidateList>
        <item/>
      </candidateList>
      <explain>此处空格冗余，建议删除。</explain>
      <paraID>29A0F8DA</paraID>
      <start>22</start>
      <end>23</end>
      <status>unmodified</status>
      <modifiedWord/>
      <trackRevisions>false</trackRevisions>
    </reviewItem>
    <reviewItem>
      <errorID>21dc6932-cd81-45f2-8b27-f361b1a5cfb9</errorID>
      <errorWord> </errorWord>
      <group>L1_Punc</group>
      <groupName>标点问题</groupName>
      <ability>L2_Punc_CN</ability>
      <abilityName>标点符号问题</abilityName>
      <candidateList>
        <item/>
      </candidateList>
      <explain>此处空格冗余，建议删除。</explain>
      <paraID>7AD48DF5</paraID>
      <start>0</start>
      <end>1</end>
      <status>unmodified</status>
      <modifiedWord/>
      <trackRevisions>false</trackRevisions>
    </reviewItem>
    <reviewItem>
      <errorID>65a3c52e-d7a3-43df-aef2-3e966ca568c0</errorID>
      <errorWord> </errorWord>
      <group>L1_Punc</group>
      <groupName>标点问题</groupName>
      <ability>L2_Punc_CN</ability>
      <abilityName>标点符号问题</abilityName>
      <candidateList>
        <item/>
      </candidateList>
      <explain>此处空格冗余，建议删除。</explain>
      <paraID>41296245</paraID>
      <start>0</start>
      <end>1</end>
      <status>unmodified</status>
      <modifiedWord/>
      <trackRevisions>false</trackRevisions>
    </reviewItem>
    <reviewItem>
      <errorID>c9ba0738-affd-416b-985e-65737d4698e6</errorID>
      <errorWord> </errorWord>
      <group>L1_Punc</group>
      <groupName>标点问题</groupName>
      <ability>L2_Punc_CN</ability>
      <abilityName>标点符号问题</abilityName>
      <candidateList>
        <item/>
      </candidateList>
      <explain>此处空格冗余，建议删除。</explain>
      <paraID>383A4130</paraID>
      <start>0</start>
      <end>1</end>
      <status>unmodified</status>
      <modifiedWord/>
      <trackRevisions>false</trackRevisions>
    </reviewItem>
    <reviewItem>
      <errorID>3a884796-8d01-4ea5-bf7d-ae2793248b28</errorID>
      <errorWord> </errorWord>
      <group>L1_Punc</group>
      <groupName>标点问题</groupName>
      <ability>L2_Punc_CN</ability>
      <abilityName>标点符号问题</abilityName>
      <candidateList>
        <item/>
      </candidateList>
      <explain>此处空格冗余，建议删除。</explain>
      <paraID>6C4C56AB</paraID>
      <start>0</start>
      <end>1</end>
      <status>unmodified</status>
      <modifiedWord/>
      <trackRevisions>false</trackRevisions>
    </reviewItem>
    <reviewItem>
      <errorID>4d02c23c-e9ff-441c-904b-5e7a86e925d9</errorID>
      <errorWord> </errorWord>
      <group>L1_Punc</group>
      <groupName>标点问题</groupName>
      <ability>L2_Punc_CN</ability>
      <abilityName>标点符号问题</abilityName>
      <candidateList>
        <item>、</item>
      </candidateList>
      <explain/>
      <paraID>6C4C56AB</paraID>
      <start>11</start>
      <end>12</end>
      <status>unmodified</status>
      <modifiedWord/>
      <trackRevisions>false</trackRevisions>
    </reviewItem>
    <reviewItem>
      <errorID>f2224bfa-b9e7-40fb-a81f-0b15bbac5769</errorID>
      <errorWord>付款</errorWord>
      <group>L1_Grammar</group>
      <groupName>语法问题</groupName>
      <ability>L2_Grammar</ability>
      <abilityName>语法错误</abilityName>
      <candidateList>
        <item>进行付款</item>
      </candidateList>
      <explain/>
      <paraID>5E558DD5</paraID>
      <start>19</start>
      <end>21</end>
      <status>unmodified</status>
      <modifiedWord/>
      <trackRevisions>false</trackRevisions>
    </reviewItem>
    <reviewItem>
      <errorID>63b1707b-0f98-4038-bbfa-665c38aabd9d</errorID>
      <errorWord>。。</errorWord>
      <group>L1_Punc</group>
      <groupName>标点问题</groupName>
      <ability>L2_Punc_CN</ability>
      <abilityName>标点符号问题</abilityName>
      <candidateList>
        <item>。</item>
      </candidateList>
      <explain/>
      <paraID>1AC6C9BF</paraID>
      <start>71</start>
      <end>73</end>
      <status>unmodified</status>
      <modifiedWord/>
      <trackRevisions>false</trackRevisions>
    </reviewItem>
    <reviewItem>
      <errorID>d80c142b-5c33-47d6-a048-a7c5ce105e71</errorID>
      <errorWord>包含且</errorWord>
      <group>L1_Word</group>
      <groupName>字词问题</groupName>
      <ability>L2_Typo</ability>
      <abilityName>字词错误</abilityName>
      <candidateList>
        <item>包括但</item>
      </candidateList>
      <explain/>
      <paraID>44FCD71C</paraID>
      <start>235</start>
      <end>238</end>
      <status>unmodified</status>
      <modifiedWord/>
      <trackRevisions>false</trackRevisions>
    </reviewItem>
    <reviewItem>
      <errorID>21d0dcc2-ad3d-49aa-85b4-f77c2bd1d412</errorID>
      <errorWord>4.4.5</errorWord>
      <group>L1_Format</group>
      <groupName>格式问题</groupName>
      <ability>L2_Ordinal</ability>
      <abilityName>序号格式</abilityName>
      <candidateList>
        <item>4.4.3</item>
      </candidateList>
      <explain>标题顺序错误，请检查标题顺序是否合理。</explain>
      <paraID>53587C66</paraID>
      <start>0</start>
      <end>5</end>
      <status>modified</status>
      <modifiedWord>4.4.3</modifiedWord>
      <trackRevisions>false</trackRevisions>
    </reviewItem>
    <reviewItem>
      <errorID>ad864024-dc06-4b82-9793-6f7231578755</errorID>
      <errorWord>通讯畅通</errorWord>
      <group>L1_Word</group>
      <groupName>字词问题</groupName>
      <ability>L2_Typo</ability>
      <abilityName>字词错误</abilityName>
      <candidateList>
        <item>通信畅通</item>
      </candidateList>
      <explain/>
      <paraID> 164320C</paraID>
      <start>55</start>
      <end>59</end>
      <status>unmodified</status>
      <modifiedWord/>
      <trackRevisions>false</trackRevisions>
    </reviewItem>
    <reviewItem>
      <errorID>ce92a0d5-4211-4c1c-92b7-a6abdde1cf81</errorID>
      <errorWord>人民法院提起诉讼解决</errorWord>
      <group>L1_Knowledge</group>
      <groupName>知识性问题</groupName>
      <ability>L2_Knowledge</ability>
      <abilityName>其他知识</abilityName>
      <candidateList>
        <item>人民法院提起诉讼</item>
      </candidateList>
      <explain/>
      <paraID> FAC0120</paraID>
      <start>40</start>
      <end>50</end>
      <status>unmodified</status>
      <modifiedWord/>
      <trackRevisions>false</trackRevisions>
    </reviewItem>
    <reviewItem>
      <errorID>38ef0175-903a-4acf-8693-a28e2e7b07e0</errorID>
      <errorWord>其它</errorWord>
      <group>L1_Word</group>
      <groupName>字词问题</groupName>
      <ability>L2_Typo</ability>
      <abilityName>字词错误</abilityName>
      <candidateList>
        <item>其他</item>
      </candidateList>
      <explain/>
      <paraID> E41BA78</paraID>
      <start>0</start>
      <end>2</end>
      <status>unmodified</status>
      <modifiedWord/>
      <trackRevisions>false</trackRevisions>
    </reviewItem>
    <reviewItem>
      <errorID>6ff9d165-1831-4d6e-aef3-b3a8455d36bb</errorID>
      <errorWord>：）</errorWord>
      <group>L1_Punc</group>
      <groupName>标点问题</groupName>
      <ability>L2_Punc_CN</ability>
      <abilityName>标点符号问题</abilityName>
      <candidateList>
        <item>）</item>
      </candidateList>
      <explain/>
      <paraID>565C7532</paraID>
      <start>95</start>
      <end>97</end>
      <status>unmodified</status>
      <modifiedWord/>
      <trackRevisions>false</trackRevisions>
    </reviewItem>
    <reviewItem>
      <errorID>6e7e18ea-5dd8-441f-8a6a-6b082224cdd2</errorID>
      <errorWord>予</errorWord>
      <group>L1_Word</group>
      <groupName>字词问题</groupName>
      <ability>L2_Typo</ability>
      <abilityName>字词错误</abilityName>
      <candidateList>
        <item>予以</item>
      </candidateList>
      <explain/>
      <paraID>565C7532</paraID>
      <start>146</start>
      <end>147</end>
      <status>unmodified</status>
      <modifiedWord/>
      <trackRevisions>false</trackRevisions>
    </reviewItem>
    <reviewItem>
      <errorID>00be6e28-c331-4e25-aa8d-76c6a81f0be0</errorID>
      <errorWord>方</errorWord>
      <group>L1_Word</group>
      <groupName>字词问题</groupName>
      <ability>L2_Typo</ability>
      <abilityName>字词错误</abilityName>
      <candidateList>
        <item>我方</item>
      </candidateList>
      <explain/>
      <paraID>5F63B510</paraID>
      <start>2</start>
      <end>3</end>
      <status>unmodified</status>
      <modifiedWord/>
      <trackRevisions>false</trackRevisions>
    </reviewItem>
    <reviewItem>
      <errorID>85e6cbae-e0fe-458a-9db7-70965de23c64</errorID>
      <errorWord>。</errorWord>
      <group>L1_Punc</group>
      <groupName>标点问题</groupName>
      <ability>L2_Punc_CN</ability>
      <abilityName>标点符号问题</abilityName>
      <candidateList>
        <item>，</item>
      </candidateList>
      <explain/>
      <paraID>5F63B510</paraID>
      <start>30</start>
      <end>31</end>
      <status>unmodified</status>
      <modifiedWord/>
      <trackRevisions>false</trackRevisions>
    </reviewItem>
    <reviewItem>
      <errorID>49c6b132-9db9-438b-b73b-b1418d30d71b</errorID>
      <errorWord>在</errorWord>
      <group>L1_Word</group>
      <groupName>字词问题</groupName>
      <ability>L2_Typo</ability>
      <abilityName>字词错误</abilityName>
      <candidateList>
        <item>自</item>
      </candidateList>
      <explain/>
      <paraID>33871BCF</paraID>
      <start>2</start>
      <end>3</end>
      <status>unmodified</status>
      <modifiedWord/>
      <trackRevisions>false</trackRevisions>
    </reviewItem>
    <reviewItem>
      <errorID>fb9a12ef-82fe-441e-a728-0354c9dda449</errorID>
      <errorWord>遵循</errorWord>
      <group>L1_Word</group>
      <groupName>字词问题</groupName>
      <ability>L2_Typo</ability>
      <abilityName>字词错误</abilityName>
      <candidateList>
        <item>，</item>
      </candidateList>
      <explain/>
      <paraID>33871BCF</paraID>
      <start>16</start>
      <end>18</end>
      <status>unmodified</status>
      <modifiedWord/>
      <trackRevisions>false</trackRevisions>
    </reviewItem>
    <reviewItem>
      <errorID>a67d5e9a-133d-495a-8e81-e21adf0f4a8b</errorID>
      <errorWord>，</errorWord>
      <group>L1_Grammar</group>
      <groupName>语法问题</groupName>
      <ability>L2_Grammar</ability>
      <abilityName>语法错误</abilityName>
      <candidateList>
        <item>将遵循相关规则，</item>
      </candidateList>
      <explain/>
      <paraID>33871BCF</paraID>
      <start>23</start>
      <end>24</end>
      <status>unmodified</status>
      <modifiedWord/>
      <trackRevisions>false</trackRevisions>
    </reviewItem>
    <reviewItem>
      <errorID>43a94c52-e832-4810-8aac-796f3a025711</errorID>
      <errorWord>你方</errorWord>
      <group>L1_Word</group>
      <groupName>字词问题</groupName>
      <ability>L2_Typo</ability>
      <abilityName>字词错误</abilityName>
      <candidateList>
        <item>贵方</item>
      </candidateList>
      <explain/>
      <paraID>175071A2</paraID>
      <start>30</start>
      <end>32</end>
      <status>unmodified</status>
      <modifiedWord/>
      <trackRevisions>false</trackRevisions>
    </reviewItem>
    <reviewItem>
      <errorID>e69137e8-2e3e-436b-bbaf-92eb19cefb7a</errorID>
      <errorWord>你方</errorWord>
      <group>L1_Word</group>
      <groupName>字词问题</groupName>
      <ability>L2_Typo</ability>
      <abilityName>字词错误</abilityName>
      <candidateList>
        <item>贵方</item>
      </candidateList>
      <explain/>
      <paraID>2C48DEF2</paraID>
      <start>16</start>
      <end>18</end>
      <status>unmodified</status>
      <modifiedWord/>
      <trackRevisions>false</trackRevisions>
    </reviewItem>
    <reviewItem>
      <errorID>98038502-e625-4ed2-9884-6ca226d1638b</errorID>
      <errorWord>。</errorWord>
      <group>L1_Punc</group>
      <groupName>标点问题</groupName>
      <ability>L2_Punc_CN</ability>
      <abilityName>标点符号问题</abilityName>
      <candidateList>
        <item/>
      </candidateList>
      <explain/>
      <paraID>5C251C03</paraID>
      <start>49</start>
      <end>50</end>
      <status>unmodified</status>
      <modifiedWord/>
      <trackRevisions>false</trackRevisions>
    </reviewItem>
    <reviewItem>
      <errorID>b9291e25-7e86-41d9-a7db-36533e01a0fb</errorID>
      <errorWord>（</errorWord>
      <group>L1_Punc</group>
      <groupName>标点问题</groupName>
      <ability>L2_Punc_CN</ability>
      <abilityName>标点符号问题</abilityName>
      <candidateList>
        <item>：（</item>
      </candidateList>
      <explain/>
      <paraID>26CE121C</paraID>
      <start>7</start>
      <end>8</end>
      <status>unmodified</status>
      <modifiedWord/>
      <trackRevisions>false</trackRevisions>
    </reviewItem>
    <reviewItem>
      <errorID>59f4f4e3-86e9-46fd-b3cb-0e557ed7348d</errorID>
      <errorWord>（</errorWord>
      <group>L1_Punc</group>
      <groupName>标点问题</groupName>
      <ability>L2_Punc_CN</ability>
      <abilityName>标点符号问题</abilityName>
      <candidateList>
        <item>：（</item>
      </candidateList>
      <explain/>
      <paraID>26CE121C</paraID>
      <start>36</start>
      <end>37</end>
      <status>unmodified</status>
      <modifiedWord/>
      <trackRevisions>false</trackRevisions>
    </reviewItem>
    <reviewItem>
      <errorID>340e9f6e-e574-4c2c-8bf9-31d3f8bea872</errorID>
      <errorWord>（</errorWord>
      <group>L1_Punc</group>
      <groupName>标点问题</groupName>
      <ability>L2_Punc_CN</ability>
      <abilityName>标点符号问题</abilityName>
      <candidateList>
        <item>：（</item>
      </candidateList>
      <explain/>
      <paraID>26CE121C</paraID>
      <start>59</start>
      <end>60</end>
      <status>unmodified</status>
      <modifiedWord/>
      <trackRevisions>false</trackRevisions>
    </reviewItem>
    <reviewItem>
      <errorID>5fd9cdf4-5ee9-4243-9974-80a167beffc2</errorID>
      <errorWord>详细</errorWord>
      <group>L1_Word</group>
      <groupName>字词问题</groupName>
      <ability>L2_Typo</ability>
      <abilityName>字词错误</abilityName>
      <candidateList>
        <item>应详细</item>
      </candidateList>
      <explain/>
      <paraID> F7A7351</paraID>
      <start>2</start>
      <end>4</end>
      <status>unmodified</status>
      <modifiedWord/>
      <trackRevisions>false</trackRevisions>
    </reviewItem>
    <reviewItem>
      <errorID>a5ca1bc0-1435-4fd8-86a2-a32a55ea057b</errorID>
      <errorWord>投标人根据</errorWord>
      <group>L1_Grammar</group>
      <groupName>语法问题</groupName>
      <ability>L2_Grammar</ability>
      <abilityName>语法错误</abilityName>
      <candidateList>
        <item>投标人</item>
      </candidateList>
      <explain/>
      <paraID>6731BAC3</paraID>
      <start>2</start>
      <end>5</end>
      <status>modified</status>
      <modifiedWord>投标人</modifiedWord>
      <trackRevisions>false</trackRevisions>
    </reviewItem>
    <reviewItem>
      <errorID>1bd2dd27-9578-4f30-a294-18205151598a</errorID>
      <errorWord>，</errorWord>
      <group>L1_Punc</group>
      <groupName>标点问题</groupName>
      <ability>L2_Punc_CN</ability>
      <abilityName>标点符号问题</abilityName>
      <candidateList>
        <item>。</item>
      </candidateList>
      <explain/>
      <paraID>6731BAC3</paraID>
      <start>20</start>
      <end>21</end>
      <status>unmodified</status>
      <modifiedWord/>
      <trackRevisions>false</trackRevisions>
    </reviewItem>
    <reviewItem>
      <errorID>dd82d45b-b8f8-4b33-980f-3ab2508ebe17</errorID>
      <errorWord>电子</errorWord>
      <group>L1_Grammar</group>
      <groupName>语法问题</groupName>
      <ability>L2_Grammar</ability>
      <abilityName>语法错误</abilityName>
      <candidateList>
        <item>加盖电子</item>
      </candidateList>
      <explain/>
      <paraID>6731BAC3</paraID>
      <start>32</start>
      <end>34</end>
      <status>unmodified</status>
      <modifiedWord/>
      <trackRevisions>false</trackRevisions>
    </reviewItem>
    <reviewItem>
      <errorID>acaca0b3-780e-43c4-902f-f711a80e143c</errorID>
      <errorWord>。</errorWord>
      <group>L1_Punc</group>
      <groupName>标点问题</groupName>
      <ability>L2_Punc_CN</ability>
      <abilityName>标点符号问题</abilityName>
      <candidateList>
        <item>；</item>
      </candidateList>
      <explain/>
      <paraID>6731BAC3</paraID>
      <start>38</start>
      <end>39</end>
      <status>unmodified</status>
      <modifiedWord/>
      <trackRevisions>false</trackRevisions>
    </reviewItem>
    <reviewItem>
      <errorID>a6dfb535-e7ac-4b47-adbd-45569b6b20ef</errorID>
      <errorWord>电子</errorWord>
      <group>L1_Grammar</group>
      <groupName>语法问题</groupName>
      <ability>L2_Grammar</ability>
      <abilityName>语法错误</abilityName>
      <candidateList>
        <item>加盖电子</item>
      </candidateList>
      <explain/>
      <paraID>6731BAC3</paraID>
      <start>63</start>
      <end>65</end>
      <status>unmodified</status>
      <modifiedWord/>
      <trackRevisions>false</trackRevisions>
    </reviewItem>
    <reviewItem>
      <errorID>048aa8da-97e9-4a50-aff8-983ff335447c</errorID>
      <errorWord> </errorWord>
      <group>L1_Punc</group>
      <groupName>标点问题</groupName>
      <ability>L2_Punc_CN</ability>
      <abilityName>标点符号问题</abilityName>
      <candidateList>
        <item/>
      </candidateList>
      <explain>此处空格冗余，建议删除。</explain>
      <paraID>57C1E2C0</paraID>
      <start>16</start>
      <end>17</end>
      <status>unmodified</status>
      <modifiedWord/>
      <trackRevisions>false</trackRevisions>
    </reviewItem>
    <reviewItem>
      <errorID>34b160ef-26da-4245-ae09-54ca7fb20dd2</errorID>
      <errorWord>支持参数</errorWord>
      <group>L1_Word</group>
      <groupName>字词问题</groupName>
      <ability>L2_Typo</ability>
      <abilityName>字词错误</abilityName>
      <candidateList>
        <item>，以支持</item>
      </candidateList>
      <explain/>
      <paraID>57C1E2C0</paraID>
      <start>75</start>
      <end>79</end>
      <status>modified</status>
      <modifiedWord>，以支持</modifiedWord>
      <trackRevisions>false</trackRevisions>
    </reviewItem>
    <reviewItem>
      <errorID>c7d802fb-cc94-405a-bd59-20c9b53627a4</errorID>
      <errorWord>）1</errorWord>
      <group>L1_Word</group>
      <groupName>字词问题</groupName>
      <ability>L2_Typo</ability>
      <abilityName>字词错误</abilityName>
      <candidateList>
        <item>）</item>
      </candidateList>
      <explain/>
      <paraID> C3FC728</paraID>
      <start>8</start>
      <end>10</end>
      <status>unmodified</status>
      <modifiedWord/>
      <trackRevisions>false</trackRevisions>
    </reviewItem>
    <reviewItem>
      <errorID>18574f30-fdde-4a57-b6e6-b773345c9ce2</errorID>
      <errorWord>）2</errorWord>
      <group>L1_Word</group>
      <groupName>字词问题</groupName>
      <ability>L2_Typo</ability>
      <abilityName>字词错误</abilityName>
      <candidateList>
        <item>）</item>
      </candidateList>
      <explain/>
      <paraID> C3FC728</paraID>
      <start>18</start>
      <end>20</end>
      <status>unmodified</status>
      <modifiedWord/>
      <trackRevisions>false</trackRevisions>
    </reviewItem>
    <reviewItem>
      <errorID>bda07db9-a1b0-48df-8fd2-40615d0aaa88</errorID>
      <errorWord>）3</errorWord>
      <group>L1_Word</group>
      <groupName>字词问题</groupName>
      <ability>L2_Typo</ability>
      <abilityName>字词错误</abilityName>
      <candidateList>
        <item>）</item>
      </candidateList>
      <explain/>
      <paraID> C3FC728</paraID>
      <start>58</start>
      <end>60</end>
      <status>unmodified</status>
      <modifiedWord/>
      <trackRevisions>false</trackRevisions>
    </reviewItem>
    <reviewItem>
      <errorID>f4f76224-db9a-4adf-8cbf-6a2ce0e77965</errorID>
      <errorWord>）4</errorWord>
      <group>L1_Word</group>
      <groupName>字词问题</groupName>
      <ability>L2_Typo</ability>
      <abilityName>字词错误</abilityName>
      <candidateList>
        <item>）</item>
      </candidateList>
      <explain/>
      <paraID> C3FC728</paraID>
      <start>74</start>
      <end>76</end>
      <status>unmodified</status>
      <modifiedWord/>
      <trackRevisions>false</trackRevisions>
    </reviewItem>
    <reviewItem>
      <errorID>8c57d8a2-b44a-40ac-a3c2-3d27fdcf3249</errorID>
      <errorWord>）5</errorWord>
      <group>L1_Word</group>
      <groupName>字词问题</groupName>
      <ability>L2_Typo</ability>
      <abilityName>字词错误</abilityName>
      <candidateList>
        <item>）</item>
      </candidateList>
      <explain/>
      <paraID> C3FC728</paraID>
      <start>97</start>
      <end>99</end>
      <status>unmodified</status>
      <modifiedWord/>
      <trackRevisions>false</trackRevisions>
    </reviewItem>
    <reviewItem>
      <errorID>adafa53c-bc0c-481c-9712-b081fa8a5a79</errorID>
      <errorWord> </errorWord>
      <group>L1_Punc</group>
      <groupName>标点问题</groupName>
      <ability>L2_Punc_CN</ability>
      <abilityName>标点符号问题</abilityName>
      <candidateList>
        <item/>
      </candidateList>
      <explain>此处空格冗余，建议删除。</explain>
      <paraID>1E6106E8</paraID>
      <start>60</start>
      <end>61</end>
      <status>unmodified</status>
      <modifiedWord/>
      <trackRevisions>false</trackRevisions>
    </reviewItem>
    <reviewItem>
      <errorID>0328ef5d-62be-42f1-9eb7-40ed427a584e</errorID>
      <errorWord> </errorWord>
      <group>L1_Punc</group>
      <groupName>标点问题</groupName>
      <ability>L2_Punc_CN</ability>
      <abilityName>标点符号问题</abilityName>
      <candidateList>
        <item/>
      </candidateList>
      <explain>此处空格冗余，建议删除。</explain>
      <paraID>1E6106E8</paraID>
      <start>68</start>
      <end>69</end>
      <status>unmodified</status>
      <modifiedWord/>
      <trackRevisions>false</trackRevisions>
    </reviewItem>
    <reviewItem>
      <errorID>39ead899-4bc8-4416-8be5-735a96960419</errorID>
      <errorWord> </errorWord>
      <group>L1_Punc</group>
      <groupName>标点问题</groupName>
      <ability>L2_Punc_CN</ability>
      <abilityName>标点符号问题</abilityName>
      <candidateList>
        <item/>
      </candidateList>
      <explain>此处空格冗余，建议删除。</explain>
      <paraID>1E6106E8</paraID>
      <start>74</start>
      <end>75</end>
      <status>unmodified</status>
      <modifiedWord/>
      <trackRevisions>false</trackRevisions>
    </reviewItem>
    <reviewItem>
      <errorID>cff3d553-5687-4f6e-a46a-9a9b02ce812c</errorID>
      <errorWord>／</errorWord>
      <group>L1_Word</group>
      <groupName>字词问题</groupName>
      <ability>L2_Typo</ability>
      <abilityName>字词错误</abilityName>
      <candidateList>
        <item>/</item>
      </candidateList>
      <explain/>
      <paraID>4D23B543</paraID>
      <start>112</start>
      <end>113</end>
      <status>unmodified</status>
      <modifiedWord/>
      <trackRevisions>false</trackRevisions>
    </reviewItem>
    <reviewItem>
      <errorID>1f6da4e2-3d36-4dfe-acd0-93a41cef9138</errorID>
      <errorWord>环境</errorWord>
      <group>L1_Punc</group>
      <groupName>标点问题</groupName>
      <ability>L2_Punc_CN</ability>
      <abilityName>标点符号问题</abilityName>
      <candidateList>
        <item>、环境</item>
      </candidateList>
      <explain/>
      <paraID>4D23B543</paraID>
      <start>128</start>
      <end>130</end>
      <status>unmodified</status>
      <modifiedWord/>
      <trackRevisions>false</trackRevisions>
    </reviewItem>
    <reviewItem>
      <errorID>83d175af-048d-4828-aed0-59135bae113f</errorID>
      <errorWord>服务水平</errorWord>
      <group>L1_Grammar</group>
      <groupName>语法问题</groupName>
      <ability>L2_Grammar</ability>
      <abilityName>语法错误</abilityName>
      <candidateList>
        <item>水平</item>
      </candidateList>
      <explain/>
      <paraID>45CF5691</paraID>
      <start>66</start>
      <end>70</end>
      <status>unmodified</status>
      <modifiedWord/>
      <trackRevisions>false</trackRevisions>
    </reviewItem>
    <reviewItem>
      <errorID>3ffea272-b878-4208-a10e-1d7a22ee8de9</errorID>
      <errorWord>及</errorWord>
      <group>L1_Word</group>
      <groupName>字词问题</groupName>
      <ability>L2_Typo</ability>
      <abilityName>字词错误</abilityName>
      <candidateList>
        <item>等</item>
      </candidateList>
      <explain/>
      <paraID>45CF5691</paraID>
      <start>91</start>
      <end>92</end>
      <status>unmodified</status>
      <modifiedWord/>
      <trackRevisions>false</trackRevisions>
    </reviewItem>
    <reviewItem>
      <errorID>2c0415e3-08c4-4193-993a-170ae86f2419</errorID>
      <errorWord>全</errorWord>
      <group>L1_Word</group>
      <groupName>字词问题</groupName>
      <ability>L2_Typo</ability>
      <abilityName>字词错误</abilityName>
      <candidateList>
        <item>全过</item>
      </candidateList>
      <explain/>
      <paraID>7A356C2B</paraID>
      <start>2</start>
      <end>3</end>
      <status>unmodified</status>
      <modifiedWord/>
      <trackRevisions>false</trackRevisions>
    </reviewItem>
    <reviewItem>
      <errorID>32524523-b94f-4406-aff2-6a74a347bcbc</errorID>
      <errorWord>，</errorWord>
      <group>L1_Grammar</group>
      <groupName>语法问题</groupName>
      <ability>L2_Grammar</ability>
      <abilityName>语法错误</abilityName>
      <candidateList>
        <item>等法规，</item>
      </candidateList>
      <explain/>
      <paraID>7A356C2B</paraID>
      <start>42</start>
      <end>43</end>
      <status>unmodified</status>
      <modifiedWord/>
      <trackRevisions>false</trackRevisions>
    </reviewItem>
    <reviewItem>
      <errorID>578db7db-71f9-4a0a-ac41-b38a97cc0393</errorID>
      <errorWord>政策</errorWord>
      <group>L1_Word</group>
      <groupName>字词问题</groupName>
      <ability>L2_Typo</ability>
      <abilityName>字词错误</abilityName>
      <candidateList>
        <item>等政策</item>
      </candidateList>
      <explain/>
      <paraID>27D4D229</paraID>
      <start>66</start>
      <end>68</end>
      <status>unmodified</status>
      <modifiedWord/>
      <trackRevisions>false</trackRevisions>
    </reviewItem>
    <reviewItem>
      <errorID>6348c4f5-2c3a-43fb-8555-f032b425a3c8</errorID>
      <errorWord>三无产品</errorWord>
      <group>L1_Punc</group>
      <groupName>标点问题</groupName>
      <ability>L2_Punc_CN</ability>
      <abilityName>标点符号问题</abilityName>
      <candidateList>
        <item>“三无”产品</item>
      </candidateList>
      <explain/>
      <paraID>27D4D229</paraID>
      <start>120</start>
      <end>124</end>
      <status>unmodified</status>
      <modifiedWord/>
      <trackRevisions>false</trackRevisions>
    </reviewItem>
    <reviewItem>
      <errorID>4467301f-9f7c-46b8-8214-16df70980c65</errorID>
      <errorWord>偏差≤</errorWord>
      <group>L1_Word</group>
      <groupName>字词问题</groupName>
      <ability>L2_Typo</ability>
      <abilityName>字词错误</abilityName>
      <candidateList>
        <item>偏差</item>
      </candidateList>
      <explain/>
      <paraID>747CDE90</paraID>
      <start>42</start>
      <end>45</end>
      <status>unmodified</status>
      <modifiedWord/>
      <trackRevisions>false</trackRevisions>
    </reviewItem>
    <reviewItem>
      <errorID>d4c52482-e087-4494-837b-9dd825c99a4e</errorID>
      <errorWord>尊</errorWord>
      <group>L1_Punc</group>
      <groupName>标点问题</groupName>
      <ability>L2_Punc_CN</ability>
      <abilityName>标点符号问题</abilityName>
      <candidateList>
        <item>“尊”</item>
      </candidateList>
      <explain/>
      <paraID>7812C141</paraID>
      <start>15</start>
      <end>16</end>
      <status>unmodified</status>
      <modifiedWord/>
      <trackRevisions>false</trackRevisions>
    </reviewItem>
    <reviewItem>
      <errorID>5c832ff9-1076-476e-aeaa-01531d8307ad</errorID>
      <errorWord>成套寿</errorWord>
      <group>L1_Word</group>
      <groupName>字词问题</groupName>
      <ability>L2_Typo</ability>
      <abilityName>字词错误</abilityName>
      <candidateList>
        <item>成套</item>
      </candidateList>
      <explain/>
      <paraID>19A5B439</paraID>
      <start>2</start>
      <end>5</end>
      <status>unmodified</status>
      <modifiedWord/>
      <trackRevisions>false</trackRevisions>
    </reviewItem>
    <reviewItem>
      <errorID>3f60803c-e950-49c2-8c5f-438846700502</errorID>
      <errorWord>通讯畅通</errorWord>
      <group>L1_Word</group>
      <groupName>字词问题</groupName>
      <ability>L2_Typo</ability>
      <abilityName>字词错误</abilityName>
      <candidateList>
        <item>通信畅通</item>
      </candidateList>
      <explain/>
      <paraID>1D310B8C</paraID>
      <start>55</start>
      <end>59</end>
      <status>unmodified</status>
      <modifiedWord/>
      <trackRevisions>false</trackRevisions>
    </reviewItem>
    <reviewItem>
      <errorID>66ebc796-5268-4cfa-b4a3-10b51bd9be13</errorID>
      <errorWord>,</errorWord>
      <group>L1_Format</group>
      <groupName>格式问题</groupName>
      <ability>L2_HalfPunc_CN</ability>
      <abilityName>全半角问题</abilityName>
      <candidateList>
        <item>，</item>
      </candidateList>
      <explain>文本全半角错误。</explain>
      <paraID>7FA9102C</paraID>
      <start>30</start>
      <end>31</end>
      <status>unmodified</status>
      <modifiedWord/>
      <trackRevisions>false</trackRevisions>
    </reviewItem>
    <reviewItem>
      <errorID>d33d7eee-86a0-4e5a-b9b0-069c8b2da87e</errorID>
      <errorWord>,</errorWord>
      <group>L1_Format</group>
      <groupName>格式问题</groupName>
      <ability>L2_HalfPunc_CN</ability>
      <abilityName>全半角问题</abilityName>
      <candidateList>
        <item>，</item>
      </candidateList>
      <explain>文本全半角错误。</explain>
      <paraID>2C010252</paraID>
      <start>39</start>
      <end>40</end>
      <status>unmodified</status>
      <modifiedWord/>
      <trackRevisions>false</trackRevisions>
    </reviewItem>
    <reviewItem>
      <errorID>004d5642-411c-41a1-8dba-659d70f9b4dc</errorID>
      <errorWord>,</errorWord>
      <group>L1_Format</group>
      <groupName>格式问题</groupName>
      <ability>L2_HalfPunc_CN</ability>
      <abilityName>全半角问题</abilityName>
      <candidateList>
        <item>，</item>
      </candidateList>
      <explain>文本全半角错误。</explain>
      <paraID>77CB83CB</paraID>
      <start>30</start>
      <end>31</end>
      <status>unmodified</status>
      <modifiedWord/>
      <trackRevisions>false</trackRevisions>
    </reviewItem>
    <reviewItem>
      <errorID>d6fdcd1e-b0e1-4ee5-9b85-4d92ae9c33a5</errorID>
      <errorWord>,</errorWord>
      <group>L1_Format</group>
      <groupName>格式问题</groupName>
      <ability>L2_HalfPunc_CN</ability>
      <abilityName>全半角问题</abilityName>
      <candidateList>
        <item>，</item>
      </candidateList>
      <explain>文本全半角错误。</explain>
      <paraID>6F117F8A</paraID>
      <start>39</start>
      <end>40</end>
      <status>unmodified</status>
      <modifiedWord/>
      <trackRevisions>false</trackRevisions>
    </reviewItem>
    <reviewItem>
      <errorID>8b1a30d1-7dd5-4d71-99e0-295db6cee2d7</errorID>
      <errorWord>,</errorWord>
      <group>L1_Format</group>
      <groupName>格式问题</groupName>
      <ability>L2_HalfPunc_CN</ability>
      <abilityName>全半角问题</abilityName>
      <candidateList>
        <item>，</item>
      </candidateList>
      <explain>文本全半角错误。</explain>
      <paraID>350406ED</paraID>
      <start>44</start>
      <end>45</end>
      <status>unmodified</status>
      <modifiedWord/>
      <trackRevisions>false</trackRevisions>
    </reviewItem>
    <reviewItem>
      <errorID>2d97884d-3980-4710-84a5-a07b39de01a9</errorID>
      <errorWord>,</errorWord>
      <group>L1_Format</group>
      <groupName>格式问题</groupName>
      <ability>L2_HalfPunc_CN</ability>
      <abilityName>全半角问题</abilityName>
      <candidateList>
        <item>，</item>
      </candidateList>
      <explain>文本全半角错误。</explain>
      <paraID>53D23C16</paraID>
      <start>23</start>
      <end>24</end>
      <status>unmodified</status>
      <modifiedWord/>
      <trackRevisions>false</trackRevisions>
    </reviewItem>
    <reviewItem>
      <errorID>db39474e-75f3-4ada-acf2-1a16d36829a5</errorID>
      <errorWord>,</errorWord>
      <group>L1_Format</group>
      <groupName>格式问题</groupName>
      <ability>L2_HalfPunc_CN</ability>
      <abilityName>全半角问题</abilityName>
      <candidateList>
        <item>，</item>
      </candidateList>
      <explain>文本全半角错误。</explain>
      <paraID>2E1329D2</paraID>
      <start>43</start>
      <end>44</end>
      <status>unmodified</status>
      <modifiedWord/>
      <trackRevisions>false</trackRevisions>
    </reviewItem>
    <reviewItem>
      <errorID>624bd096-5f89-403c-a68f-8fc0c395a898</errorID>
      <errorWord>&lt;</errorWord>
      <group>L1_Format</group>
      <groupName>格式问题</groupName>
      <ability>L2_HalfPunc_CN</ability>
      <abilityName>全半角问题</abilityName>
      <candidateList>
        <item>〈</item>
      </candidateList>
      <explain>文本全半角错误。</explain>
      <paraID>2C965566</paraID>
      <start>49</start>
      <end>50</end>
      <status>unmodified</status>
      <modifiedWord/>
      <trackRevisions>false</trackRevisions>
    </reviewItem>
    <reviewItem>
      <errorID>74d2b3b9-b217-414b-9327-cea3b23c92ab</errorID>
      <errorWord>&gt;；</errorWord>
      <group>L1_Punc</group>
      <groupName>标点问题</groupName>
      <ability>L2_Punc_CN</ability>
      <abilityName>标点符号问题</abilityName>
      <candidateList>
        <item>&gt;</item>
      </candidateList>
      <explain/>
      <paraID>2C965566</paraID>
      <start>77</start>
      <end>79</end>
      <status>unmodified</status>
      <modifiedWord/>
      <trackRevisions>false</trackRevisions>
    </reviewItem>
    <reviewItem>
      <errorID>8fcb0b39-9934-47c1-8b04-c19e61d22ee2</errorID>
      <errorWord>&lt;</errorWord>
      <group>L1_Format</group>
      <groupName>格式问题</groupName>
      <ability>L2_HalfPunc_CN</ability>
      <abilityName>全半角问题</abilityName>
      <candidateList>
        <item>〈</item>
      </candidateList>
      <explain>文本全半角错误。</explain>
      <paraID>5E67007D</paraID>
      <start>49</start>
      <end>50</end>
      <status>unmodified</status>
      <modifiedWord/>
      <trackRevisions>false</trackRevisions>
    </reviewItem>
    <reviewItem>
      <errorID>7dc0a7f8-0fc8-41f0-810e-a92d666c939e</errorID>
      <errorWord>&gt;；</errorWord>
      <group>L1_Punc</group>
      <groupName>标点问题</groupName>
      <ability>L2_Punc_CN</ability>
      <abilityName>标点符号问题</abilityName>
      <candidateList>
        <item>&gt;</item>
      </candidateList>
      <explain/>
      <paraID>5E67007D</paraID>
      <start>77</start>
      <end>79</end>
      <status>unmodified</status>
      <modifiedWord/>
      <trackRevisions>false</trackRevisions>
    </reviewItem>
    <reviewItem>
      <errorID>dae765c9-635e-496d-bb6b-dd0a1efa7f97</errorID>
      <errorWord>&lt;</errorWord>
      <group>L1_Format</group>
      <groupName>格式问题</groupName>
      <ability>L2_HalfPunc_CN</ability>
      <abilityName>全半角问题</abilityName>
      <candidateList>
        <item>〈</item>
      </candidateList>
      <explain>文本全半角错误。</explain>
      <paraID>47C92E9B</paraID>
      <start>34</start>
      <end>35</end>
      <status>unmodified</status>
      <modifiedWord/>
      <trackRevisions>false</trackRevisions>
    </reviewItem>
    <reviewItem>
      <errorID>93d5e006-0da7-4955-a9f0-b5aeb8c7f63c</errorID>
      <errorWord>&gt;；</errorWord>
      <group>L1_Punc</group>
      <groupName>标点问题</groupName>
      <ability>L2_Punc_CN</ability>
      <abilityName>标点符号问题</abilityName>
      <candidateList>
        <item>&gt;</item>
      </candidateList>
      <explain/>
      <paraID>47C92E9B</paraID>
      <start>47</start>
      <end>49</end>
      <status>unmodified</status>
      <modifiedWord/>
      <trackRevisions>false</trackRevisions>
    </reviewItem>
    <reviewItem>
      <errorID>82268ebc-0ae5-41d2-bd7d-691c9ae5828f</errorID>
      <errorWord>，</errorWord>
      <group>L1_Word</group>
      <groupName>字词问题</groupName>
      <ability>L2_Typo</ability>
      <abilityName>字词错误</abilityName>
      <candidateList>
        <item>，并</item>
      </candidateList>
      <explain/>
      <paraID>51933FF3</paraID>
      <start>72</start>
      <end>73</end>
      <status>unmodified</status>
      <modifiedWord/>
      <trackRevisions>false</trackRevisions>
    </reviewItem>
    <reviewItem>
      <errorID>d675805c-670c-4a6c-b9dc-e8f0b91522b7</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 F902CC9</paraID>
      <start>67</start>
      <end>79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352001-C920-4933-8B0A-B5D0A231517D}">
  <ds:schemaRefs/>
</ds:datastoreItem>
</file>

<file path=customXml/itemProps3.xml><?xml version="1.0" encoding="utf-8"?>
<ds:datastoreItem xmlns:ds="http://schemas.openxmlformats.org/officeDocument/2006/customXml" ds:itemID="{5300feca-2df3-4715-b6db-894de95f1e04}">
  <ds:schemaRefs/>
</ds:datastoreItem>
</file>

<file path=docProps/app.xml><?xml version="1.0" encoding="utf-8"?>
<Properties xmlns="http://schemas.openxmlformats.org/officeDocument/2006/extended-properties" xmlns:vt="http://schemas.openxmlformats.org/officeDocument/2006/docPropsVTypes">
  <Template>Normal.dotm</Template>
  <Company>ZYQ</Company>
  <Pages>73</Pages>
  <Words>7320</Words>
  <Characters>8394</Characters>
  <Lines>333</Lines>
  <Paragraphs>93</Paragraphs>
  <TotalTime>44</TotalTime>
  <ScaleCrop>false</ScaleCrop>
  <LinksUpToDate>false</LinksUpToDate>
  <CharactersWithSpaces>8864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2019-10-30T04:02:00Z</dcterms:created>
  <dc:creator>kaka</dc:creator>
  <cp:lastModifiedBy>Administrator</cp:lastModifiedBy>
  <cp:lastPrinted>2022-07-25T02:47:00Z</cp:lastPrinted>
  <dcterms:modified xsi:type="dcterms:W3CDTF">2026-09-11T01:20:47Z</dcterms:modified>
  <dc:title>附件1</dc:title>
  <cp:revision>712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FB8B9DE4400B4EBCA0EA564AE3055A80_13</vt:lpwstr>
  </property>
  <property fmtid="{D5CDD505-2E9C-101B-9397-08002B2CF9AE}" pid="4" name="KSOTemplateDocerSaveRecord">
    <vt:lpwstr>eyJoZGlkIjoiZTQ1ODg0MWU5MTk4N2E4NzJjNzQ1MzhiZGFmMDBhZjEiLCJ1c2VySWQiOiIzNjkyODk1MDEifQ==</vt:lpwstr>
  </property>
</Properties>
</file>