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40D13">
      <w:pPr>
        <w:pStyle w:val="2"/>
        <w:spacing w:before="0" w:after="0" w:line="360" w:lineRule="auto"/>
        <w:ind w:firstLine="321" w:firstLineChars="100"/>
        <w:jc w:val="left"/>
        <w:rPr>
          <w:rFonts w:hint="eastAsia" w:ascii="宋体" w:hAnsi="宋体" w:eastAsia="宋体" w:cs="宋体"/>
          <w:color w:val="auto"/>
          <w:sz w:val="28"/>
          <w:szCs w:val="28"/>
          <w:highlight w:val="none"/>
        </w:rPr>
      </w:pPr>
      <w:r>
        <w:rPr>
          <w:rFonts w:hint="eastAsia" w:ascii="宋体" w:hAnsi="宋体" w:eastAsia="宋体" w:cs="宋体"/>
          <w:color w:val="auto"/>
          <w:sz w:val="32"/>
          <w:szCs w:val="32"/>
          <w:highlight w:val="none"/>
        </w:rPr>
        <w:t>合同草案条款</w:t>
      </w:r>
    </w:p>
    <w:p w14:paraId="6949E30E">
      <w:pPr>
        <w:tabs>
          <w:tab w:val="left" w:pos="0"/>
        </w:tabs>
        <w:wordWrap w:val="0"/>
        <w:topLinePunct/>
        <w:spacing w:line="360" w:lineRule="auto"/>
        <w:ind w:firstLine="482" w:firstLineChars="200"/>
        <w:jc w:val="left"/>
        <w:rPr>
          <w:rFonts w:ascii="宋体" w:hAnsi="宋体" w:cs="宋体"/>
          <w:color w:val="auto"/>
          <w:highlight w:val="none"/>
        </w:rPr>
      </w:pPr>
      <w:r>
        <w:rPr>
          <w:rFonts w:hint="eastAsia" w:ascii="宋体" w:hAnsi="宋体" w:cs="宋体"/>
          <w:b/>
          <w:bCs/>
          <w:color w:val="auto"/>
          <w:highlight w:val="none"/>
        </w:rPr>
        <w:t>说明：此合同为格式模板合同，仅作为采购人与成交供应商签订合同之时的参考，除实质性要求外，双方可根据实际情况对合同进行调整。</w:t>
      </w:r>
    </w:p>
    <w:p w14:paraId="47B847A4">
      <w:pPr>
        <w:wordWrap w:val="0"/>
        <w:topLinePunct/>
        <w:adjustRightInd w:val="0"/>
        <w:snapToGrid w:val="0"/>
        <w:spacing w:line="360" w:lineRule="auto"/>
        <w:ind w:firstLine="480" w:firstLineChars="200"/>
        <w:rPr>
          <w:rFonts w:ascii="宋体" w:hAnsi="宋体" w:cs="宋体"/>
          <w:snapToGrid w:val="0"/>
          <w:color w:val="auto"/>
          <w:szCs w:val="24"/>
          <w:highlight w:val="none"/>
        </w:rPr>
      </w:pPr>
      <w:r>
        <w:rPr>
          <w:rFonts w:hint="eastAsia" w:ascii="宋体" w:hAnsi="宋体" w:cs="宋体"/>
          <w:snapToGrid w:val="0"/>
          <w:color w:val="auto"/>
          <w:szCs w:val="24"/>
          <w:highlight w:val="none"/>
        </w:rPr>
        <w:t>合同编号：</w:t>
      </w:r>
      <w:r>
        <w:rPr>
          <w:rFonts w:hint="eastAsia" w:ascii="宋体" w:hAnsi="宋体" w:cs="宋体"/>
          <w:snapToGrid w:val="0"/>
          <w:color w:val="auto"/>
          <w:szCs w:val="24"/>
          <w:highlight w:val="none"/>
          <w:u w:val="single"/>
        </w:rPr>
        <w:t xml:space="preserve">          </w:t>
      </w:r>
      <w:r>
        <w:rPr>
          <w:rFonts w:hint="eastAsia" w:ascii="宋体" w:hAnsi="宋体" w:cs="宋体"/>
          <w:snapToGrid w:val="0"/>
          <w:color w:val="auto"/>
          <w:szCs w:val="24"/>
          <w:highlight w:val="none"/>
        </w:rPr>
        <w:t>(与项目编号一致)</w:t>
      </w:r>
    </w:p>
    <w:p w14:paraId="24E7A060">
      <w:pPr>
        <w:wordWrap w:val="0"/>
        <w:topLinePunct/>
        <w:adjustRightInd w:val="0"/>
        <w:snapToGrid w:val="0"/>
        <w:spacing w:line="360" w:lineRule="auto"/>
        <w:ind w:firstLine="480" w:firstLineChars="200"/>
        <w:rPr>
          <w:rFonts w:ascii="宋体" w:hAnsi="宋体" w:cs="宋体"/>
          <w:snapToGrid w:val="0"/>
          <w:color w:val="auto"/>
          <w:szCs w:val="24"/>
          <w:highlight w:val="none"/>
          <w:u w:val="single"/>
        </w:rPr>
      </w:pPr>
      <w:r>
        <w:rPr>
          <w:rFonts w:hint="eastAsia" w:ascii="宋体" w:hAnsi="宋体" w:cs="宋体"/>
          <w:snapToGrid w:val="0"/>
          <w:color w:val="auto"/>
          <w:szCs w:val="24"/>
          <w:highlight w:val="none"/>
        </w:rPr>
        <w:t>计划号/备案号：</w:t>
      </w:r>
      <w:r>
        <w:rPr>
          <w:rFonts w:hint="eastAsia" w:ascii="宋体" w:hAnsi="宋体" w:cs="宋体"/>
          <w:snapToGrid w:val="0"/>
          <w:color w:val="auto"/>
          <w:szCs w:val="24"/>
          <w:highlight w:val="none"/>
          <w:u w:val="single"/>
        </w:rPr>
        <w:t xml:space="preserve">                </w:t>
      </w:r>
    </w:p>
    <w:p w14:paraId="3BBF4B1D">
      <w:pPr>
        <w:wordWrap w:val="0"/>
        <w:topLinePunct/>
        <w:adjustRightInd w:val="0"/>
        <w:snapToGrid w:val="0"/>
        <w:spacing w:line="360" w:lineRule="auto"/>
        <w:ind w:firstLine="480" w:firstLineChars="200"/>
        <w:rPr>
          <w:rFonts w:ascii="宋体" w:hAnsi="宋体" w:cs="宋体"/>
          <w:snapToGrid w:val="0"/>
          <w:color w:val="auto"/>
          <w:szCs w:val="24"/>
          <w:highlight w:val="none"/>
          <w:u w:val="single"/>
        </w:rPr>
      </w:pPr>
      <w:r>
        <w:rPr>
          <w:rFonts w:hint="eastAsia" w:ascii="宋体" w:hAnsi="宋体" w:cs="宋体"/>
          <w:snapToGrid w:val="0"/>
          <w:color w:val="auto"/>
          <w:szCs w:val="24"/>
          <w:highlight w:val="none"/>
        </w:rPr>
        <w:t>签订地点：</w:t>
      </w:r>
      <w:r>
        <w:rPr>
          <w:rFonts w:hint="eastAsia" w:ascii="宋体" w:hAnsi="宋体" w:cs="宋体"/>
          <w:snapToGrid w:val="0"/>
          <w:color w:val="auto"/>
          <w:szCs w:val="24"/>
          <w:highlight w:val="none"/>
          <w:u w:val="single"/>
        </w:rPr>
        <w:t xml:space="preserve">                     </w:t>
      </w:r>
    </w:p>
    <w:p w14:paraId="4720189D">
      <w:pPr>
        <w:wordWrap w:val="0"/>
        <w:topLinePunct/>
        <w:adjustRightInd w:val="0"/>
        <w:snapToGrid w:val="0"/>
        <w:spacing w:line="360" w:lineRule="auto"/>
        <w:ind w:firstLine="480" w:firstLineChars="200"/>
        <w:rPr>
          <w:rFonts w:ascii="宋体" w:hAnsi="宋体" w:cs="宋体"/>
          <w:snapToGrid w:val="0"/>
          <w:color w:val="auto"/>
          <w:szCs w:val="24"/>
          <w:highlight w:val="none"/>
          <w:u w:val="single"/>
        </w:rPr>
      </w:pPr>
      <w:r>
        <w:rPr>
          <w:rFonts w:hint="eastAsia" w:ascii="宋体" w:hAnsi="宋体" w:cs="宋体"/>
          <w:snapToGrid w:val="0"/>
          <w:color w:val="auto"/>
          <w:szCs w:val="24"/>
          <w:highlight w:val="none"/>
        </w:rPr>
        <w:t>签订时间：</w:t>
      </w:r>
      <w:r>
        <w:rPr>
          <w:rFonts w:hint="eastAsia" w:ascii="宋体" w:hAnsi="宋体" w:cs="宋体"/>
          <w:snapToGrid w:val="0"/>
          <w:color w:val="auto"/>
          <w:szCs w:val="24"/>
          <w:highlight w:val="none"/>
          <w:u w:val="single"/>
        </w:rPr>
        <w:t xml:space="preserve">                     </w:t>
      </w:r>
    </w:p>
    <w:p w14:paraId="744FC2A6">
      <w:pPr>
        <w:wordWrap w:val="0"/>
        <w:topLinePunct/>
        <w:adjustRightInd w:val="0"/>
        <w:snapToGrid w:val="0"/>
        <w:spacing w:line="360" w:lineRule="auto"/>
        <w:ind w:firstLine="480" w:firstLineChars="200"/>
        <w:rPr>
          <w:rFonts w:ascii="宋体" w:hAnsi="宋体" w:cs="宋体"/>
          <w:snapToGrid w:val="0"/>
          <w:color w:val="auto"/>
          <w:szCs w:val="24"/>
          <w:highlight w:val="none"/>
          <w:u w:val="single"/>
        </w:rPr>
      </w:pPr>
      <w:r>
        <w:rPr>
          <w:rFonts w:hint="eastAsia" w:ascii="宋体" w:hAnsi="宋体" w:cs="宋体"/>
          <w:snapToGrid w:val="0"/>
          <w:color w:val="auto"/>
          <w:szCs w:val="24"/>
          <w:highlight w:val="none"/>
        </w:rPr>
        <w:t>采购人名称(甲方)：</w:t>
      </w:r>
      <w:r>
        <w:rPr>
          <w:rFonts w:hint="eastAsia" w:ascii="宋体" w:hAnsi="宋体" w:cs="宋体"/>
          <w:snapToGrid w:val="0"/>
          <w:color w:val="auto"/>
          <w:szCs w:val="24"/>
          <w:highlight w:val="none"/>
          <w:u w:val="single"/>
        </w:rPr>
        <w:t xml:space="preserve">                              </w:t>
      </w:r>
    </w:p>
    <w:p w14:paraId="56C7AFC2">
      <w:pPr>
        <w:wordWrap w:val="0"/>
        <w:topLinePunct/>
        <w:adjustRightInd w:val="0"/>
        <w:snapToGrid w:val="0"/>
        <w:spacing w:line="360" w:lineRule="auto"/>
        <w:ind w:firstLine="480" w:firstLineChars="200"/>
        <w:rPr>
          <w:rFonts w:ascii="宋体" w:hAnsi="宋体" w:cs="宋体"/>
          <w:snapToGrid w:val="0"/>
          <w:color w:val="auto"/>
          <w:szCs w:val="24"/>
          <w:highlight w:val="none"/>
          <w:u w:val="single"/>
        </w:rPr>
      </w:pPr>
      <w:r>
        <w:rPr>
          <w:rFonts w:hint="eastAsia" w:ascii="宋体" w:hAnsi="宋体" w:cs="宋体"/>
          <w:snapToGrid w:val="0"/>
          <w:color w:val="auto"/>
          <w:szCs w:val="24"/>
          <w:highlight w:val="none"/>
        </w:rPr>
        <w:t>成交人名称(乙方)：</w:t>
      </w:r>
      <w:r>
        <w:rPr>
          <w:rFonts w:hint="eastAsia" w:ascii="宋体" w:hAnsi="宋体" w:cs="宋体"/>
          <w:snapToGrid w:val="0"/>
          <w:color w:val="auto"/>
          <w:szCs w:val="24"/>
          <w:highlight w:val="none"/>
          <w:u w:val="single"/>
        </w:rPr>
        <w:t xml:space="preserve">                          </w:t>
      </w:r>
    </w:p>
    <w:p w14:paraId="6F84F7B7">
      <w:pPr>
        <w:wordWrap w:val="0"/>
        <w:topLinePunct/>
        <w:adjustRightInd w:val="0"/>
        <w:snapToGrid w:val="0"/>
        <w:spacing w:line="360" w:lineRule="auto"/>
        <w:ind w:firstLine="480" w:firstLineChars="200"/>
        <w:rPr>
          <w:rFonts w:ascii="宋体" w:hAnsi="宋体" w:cs="宋体"/>
          <w:snapToGrid w:val="0"/>
          <w:color w:val="auto"/>
          <w:szCs w:val="24"/>
          <w:highlight w:val="none"/>
        </w:rPr>
      </w:pPr>
      <w:r>
        <w:rPr>
          <w:rFonts w:hint="eastAsia" w:ascii="宋体" w:hAnsi="宋体" w:cs="宋体"/>
          <w:snapToGrid w:val="0"/>
          <w:color w:val="auto"/>
          <w:szCs w:val="24"/>
          <w:highlight w:val="none"/>
        </w:rPr>
        <w:t>合同类型：买卖合同</w:t>
      </w:r>
    </w:p>
    <w:p w14:paraId="61CC00F3">
      <w:pPr>
        <w:spacing w:line="360" w:lineRule="auto"/>
        <w:ind w:firstLine="480" w:firstLineChars="200"/>
        <w:rPr>
          <w:rFonts w:ascii="宋体" w:hAnsi="宋体" w:cs="宋体"/>
          <w:color w:val="auto"/>
          <w:kern w:val="0"/>
          <w:szCs w:val="24"/>
          <w:highlight w:val="none"/>
        </w:rPr>
      </w:pPr>
      <w:bookmarkStart w:id="0" w:name="_Toc12107"/>
      <w:bookmarkStart w:id="1" w:name="_Toc984"/>
      <w:bookmarkStart w:id="2" w:name="_Toc217446107"/>
      <w:bookmarkStart w:id="3" w:name="_Toc29921"/>
      <w:bookmarkStart w:id="4" w:name="_Toc28607"/>
      <w:bookmarkStart w:id="5" w:name="_Toc19327"/>
      <w:bookmarkStart w:id="6" w:name="_Toc15652"/>
      <w:bookmarkStart w:id="7" w:name="_Toc20353"/>
      <w:bookmarkStart w:id="8" w:name="_Toc575"/>
      <w:r>
        <w:rPr>
          <w:rFonts w:hint="eastAsia" w:ascii="宋体" w:hAnsi="宋体" w:cs="宋体"/>
          <w:color w:val="auto"/>
          <w:kern w:val="0"/>
          <w:szCs w:val="24"/>
          <w:highlight w:val="none"/>
        </w:rPr>
        <w:t>根据《中华人民共和国政府采购法》、《中华人民共和国民法典》及XXXX采购项目（项目编号：XXXX）的《</w:t>
      </w:r>
      <w:r>
        <w:rPr>
          <w:rFonts w:hint="eastAsia" w:ascii="宋体" w:hAnsi="宋体" w:cs="宋体"/>
          <w:color w:val="auto"/>
          <w:kern w:val="0"/>
          <w:szCs w:val="24"/>
          <w:highlight w:val="none"/>
          <w:lang w:eastAsia="zh-CN"/>
        </w:rPr>
        <w:t>竞争性谈判</w:t>
      </w:r>
      <w:r>
        <w:rPr>
          <w:rFonts w:hint="eastAsia" w:ascii="宋体" w:hAnsi="宋体" w:cs="宋体"/>
          <w:color w:val="auto"/>
          <w:kern w:val="0"/>
          <w:szCs w:val="24"/>
          <w:highlight w:val="none"/>
        </w:rPr>
        <w:t>文件》、乙方的《响应文件》及《成交通知书》，甲、乙双方同意签订本合同。详细技术说明及其他有关合同项目的特定信息由合同附件予以说明，合同附件及本项目的</w:t>
      </w:r>
      <w:r>
        <w:rPr>
          <w:rFonts w:hint="eastAsia" w:ascii="宋体" w:hAnsi="宋体" w:cs="宋体"/>
          <w:color w:val="auto"/>
          <w:kern w:val="0"/>
          <w:szCs w:val="24"/>
          <w:highlight w:val="none"/>
          <w:lang w:eastAsia="zh-CN"/>
        </w:rPr>
        <w:t>竞争性谈判</w:t>
      </w:r>
      <w:r>
        <w:rPr>
          <w:rFonts w:hint="eastAsia" w:ascii="宋体" w:hAnsi="宋体" w:cs="宋体"/>
          <w:color w:val="auto"/>
          <w:kern w:val="0"/>
          <w:szCs w:val="24"/>
          <w:highlight w:val="none"/>
        </w:rPr>
        <w:t>文件、响应文件、《成交通知书》等均为本合同不可分割的部分。双方同意共同遵守如下条款：</w:t>
      </w:r>
    </w:p>
    <w:p w14:paraId="3614C611">
      <w:pPr>
        <w:wordWrap w:val="0"/>
        <w:topLinePunct/>
        <w:adjustRightInd w:val="0"/>
        <w:snapToGrid w:val="0"/>
        <w:spacing w:line="360" w:lineRule="auto"/>
        <w:ind w:left="480" w:leftChars="200"/>
        <w:outlineLvl w:val="1"/>
        <w:rPr>
          <w:rFonts w:ascii="宋体" w:hAnsi="宋体" w:cs="宋体"/>
          <w:b/>
          <w:color w:val="auto"/>
          <w:szCs w:val="24"/>
          <w:highlight w:val="none"/>
        </w:rPr>
      </w:pPr>
      <w:r>
        <w:rPr>
          <w:rFonts w:hint="eastAsia" w:ascii="宋体" w:hAnsi="宋体" w:cs="宋体"/>
          <w:b/>
          <w:color w:val="auto"/>
          <w:szCs w:val="24"/>
          <w:highlight w:val="none"/>
        </w:rPr>
        <w:t>一、合同标的</w:t>
      </w:r>
      <w:bookmarkEnd w:id="0"/>
      <w:bookmarkEnd w:id="1"/>
      <w:bookmarkEnd w:id="2"/>
      <w:bookmarkEnd w:id="3"/>
      <w:bookmarkEnd w:id="4"/>
      <w:bookmarkEnd w:id="5"/>
      <w:bookmarkEnd w:id="6"/>
      <w:bookmarkEnd w:id="7"/>
      <w:bookmarkEnd w:id="8"/>
    </w:p>
    <w:tbl>
      <w:tblPr>
        <w:tblStyle w:val="3"/>
        <w:tblW w:w="945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15"/>
        <w:gridCol w:w="1298"/>
        <w:gridCol w:w="774"/>
        <w:gridCol w:w="963"/>
        <w:gridCol w:w="1159"/>
        <w:gridCol w:w="1270"/>
        <w:gridCol w:w="1351"/>
        <w:gridCol w:w="1123"/>
      </w:tblGrid>
      <w:tr w14:paraId="043B27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7" w:hRule="atLeast"/>
          <w:jc w:val="center"/>
        </w:trPr>
        <w:tc>
          <w:tcPr>
            <w:tcW w:w="1515" w:type="dxa"/>
            <w:tcBorders>
              <w:top w:val="single" w:color="auto" w:sz="4" w:space="0"/>
              <w:left w:val="single" w:color="auto" w:sz="4" w:space="0"/>
              <w:bottom w:val="single" w:color="auto" w:sz="4" w:space="0"/>
              <w:right w:val="single" w:color="auto" w:sz="4" w:space="0"/>
            </w:tcBorders>
            <w:noWrap w:val="0"/>
            <w:vAlign w:val="center"/>
          </w:tcPr>
          <w:p w14:paraId="11E93E8A">
            <w:pPr>
              <w:wordWrap w:val="0"/>
              <w:topLinePunct/>
              <w:adjustRightInd w:val="0"/>
              <w:snapToGrid w:val="0"/>
              <w:spacing w:line="360" w:lineRule="auto"/>
              <w:jc w:val="center"/>
              <w:rPr>
                <w:rFonts w:ascii="宋体" w:hAnsi="宋体" w:cs="宋体"/>
                <w:b/>
                <w:bCs/>
                <w:color w:val="auto"/>
                <w:sz w:val="21"/>
                <w:szCs w:val="24"/>
                <w:highlight w:val="none"/>
              </w:rPr>
            </w:pPr>
            <w:r>
              <w:rPr>
                <w:rFonts w:hint="eastAsia" w:ascii="宋体" w:hAnsi="宋体" w:cs="宋体"/>
                <w:b/>
                <w:bCs/>
                <w:color w:val="auto"/>
                <w:sz w:val="21"/>
                <w:szCs w:val="24"/>
                <w:highlight w:val="none"/>
              </w:rPr>
              <w:t>货物品名</w:t>
            </w:r>
          </w:p>
        </w:tc>
        <w:tc>
          <w:tcPr>
            <w:tcW w:w="1298" w:type="dxa"/>
            <w:tcBorders>
              <w:top w:val="single" w:color="auto" w:sz="4" w:space="0"/>
              <w:left w:val="single" w:color="auto" w:sz="4" w:space="0"/>
              <w:bottom w:val="single" w:color="auto" w:sz="4" w:space="0"/>
              <w:right w:val="single" w:color="auto" w:sz="4" w:space="0"/>
            </w:tcBorders>
            <w:noWrap w:val="0"/>
            <w:vAlign w:val="center"/>
          </w:tcPr>
          <w:p w14:paraId="5DAF9D94">
            <w:pPr>
              <w:wordWrap w:val="0"/>
              <w:topLinePunct/>
              <w:adjustRightInd w:val="0"/>
              <w:snapToGrid w:val="0"/>
              <w:spacing w:line="360" w:lineRule="auto"/>
              <w:jc w:val="center"/>
              <w:rPr>
                <w:rFonts w:ascii="宋体" w:hAnsi="宋体" w:cs="宋体"/>
                <w:b/>
                <w:bCs/>
                <w:color w:val="auto"/>
                <w:sz w:val="21"/>
                <w:szCs w:val="24"/>
                <w:highlight w:val="none"/>
              </w:rPr>
            </w:pPr>
            <w:r>
              <w:rPr>
                <w:rFonts w:hint="eastAsia" w:ascii="宋体" w:hAnsi="宋体" w:cs="宋体"/>
                <w:b/>
                <w:bCs/>
                <w:color w:val="auto"/>
                <w:sz w:val="21"/>
                <w:szCs w:val="24"/>
                <w:highlight w:val="none"/>
              </w:rPr>
              <w:t>规格</w:t>
            </w:r>
          </w:p>
          <w:p w14:paraId="0C217292">
            <w:pPr>
              <w:wordWrap w:val="0"/>
              <w:topLinePunct/>
              <w:adjustRightInd w:val="0"/>
              <w:snapToGrid w:val="0"/>
              <w:spacing w:line="360" w:lineRule="auto"/>
              <w:jc w:val="center"/>
              <w:rPr>
                <w:rFonts w:ascii="宋体" w:hAnsi="宋体" w:cs="宋体"/>
                <w:b/>
                <w:bCs/>
                <w:color w:val="auto"/>
                <w:sz w:val="21"/>
                <w:szCs w:val="24"/>
                <w:highlight w:val="none"/>
              </w:rPr>
            </w:pPr>
            <w:r>
              <w:rPr>
                <w:rFonts w:hint="eastAsia" w:ascii="宋体" w:hAnsi="宋体" w:cs="宋体"/>
                <w:b/>
                <w:bCs/>
                <w:color w:val="auto"/>
                <w:sz w:val="21"/>
                <w:szCs w:val="24"/>
                <w:highlight w:val="none"/>
              </w:rPr>
              <w:t>型号</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2263D642">
            <w:pPr>
              <w:wordWrap w:val="0"/>
              <w:topLinePunct/>
              <w:adjustRightInd w:val="0"/>
              <w:snapToGrid w:val="0"/>
              <w:spacing w:line="360" w:lineRule="auto"/>
              <w:jc w:val="center"/>
              <w:rPr>
                <w:rFonts w:ascii="宋体" w:hAnsi="宋体" w:cs="宋体"/>
                <w:b/>
                <w:bCs/>
                <w:color w:val="auto"/>
                <w:sz w:val="21"/>
                <w:szCs w:val="24"/>
                <w:highlight w:val="none"/>
              </w:rPr>
            </w:pPr>
            <w:r>
              <w:rPr>
                <w:rFonts w:hint="eastAsia" w:ascii="宋体" w:hAnsi="宋体" w:cs="宋体"/>
                <w:b/>
                <w:bCs/>
                <w:color w:val="auto"/>
                <w:sz w:val="21"/>
                <w:szCs w:val="24"/>
                <w:highlight w:val="none"/>
              </w:rPr>
              <w:t>单位</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02BA4B55">
            <w:pPr>
              <w:wordWrap w:val="0"/>
              <w:topLinePunct/>
              <w:adjustRightInd w:val="0"/>
              <w:snapToGrid w:val="0"/>
              <w:spacing w:line="360" w:lineRule="auto"/>
              <w:jc w:val="center"/>
              <w:rPr>
                <w:rFonts w:ascii="宋体" w:hAnsi="宋体" w:cs="宋体"/>
                <w:b/>
                <w:bCs/>
                <w:color w:val="auto"/>
                <w:sz w:val="21"/>
                <w:szCs w:val="24"/>
                <w:highlight w:val="none"/>
              </w:rPr>
            </w:pPr>
            <w:r>
              <w:rPr>
                <w:rFonts w:hint="eastAsia" w:ascii="宋体" w:hAnsi="宋体" w:cs="宋体"/>
                <w:b/>
                <w:bCs/>
                <w:color w:val="auto"/>
                <w:sz w:val="21"/>
                <w:szCs w:val="24"/>
                <w:highlight w:val="none"/>
              </w:rPr>
              <w:t>数量</w:t>
            </w:r>
          </w:p>
        </w:tc>
        <w:tc>
          <w:tcPr>
            <w:tcW w:w="1159" w:type="dxa"/>
            <w:tcBorders>
              <w:top w:val="single" w:color="auto" w:sz="4" w:space="0"/>
              <w:left w:val="single" w:color="auto" w:sz="4" w:space="0"/>
              <w:bottom w:val="single" w:color="auto" w:sz="4" w:space="0"/>
              <w:right w:val="single" w:color="auto" w:sz="4" w:space="0"/>
            </w:tcBorders>
            <w:noWrap w:val="0"/>
            <w:vAlign w:val="center"/>
          </w:tcPr>
          <w:p w14:paraId="5713160F">
            <w:pPr>
              <w:wordWrap w:val="0"/>
              <w:topLinePunct/>
              <w:adjustRightInd w:val="0"/>
              <w:snapToGrid w:val="0"/>
              <w:spacing w:line="360" w:lineRule="auto"/>
              <w:jc w:val="center"/>
              <w:rPr>
                <w:rFonts w:ascii="宋体" w:hAnsi="宋体" w:cs="宋体"/>
                <w:b/>
                <w:bCs/>
                <w:color w:val="auto"/>
                <w:sz w:val="21"/>
                <w:szCs w:val="24"/>
                <w:highlight w:val="none"/>
              </w:rPr>
            </w:pPr>
            <w:r>
              <w:rPr>
                <w:rFonts w:hint="eastAsia" w:ascii="宋体" w:hAnsi="宋体" w:cs="宋体"/>
                <w:b/>
                <w:bCs/>
                <w:color w:val="auto"/>
                <w:sz w:val="21"/>
                <w:szCs w:val="24"/>
                <w:highlight w:val="none"/>
              </w:rPr>
              <w:t>单价</w:t>
            </w:r>
          </w:p>
          <w:p w14:paraId="2FA8E26E">
            <w:pPr>
              <w:wordWrap w:val="0"/>
              <w:topLinePunct/>
              <w:adjustRightInd w:val="0"/>
              <w:snapToGrid w:val="0"/>
              <w:spacing w:line="360" w:lineRule="auto"/>
              <w:jc w:val="center"/>
              <w:rPr>
                <w:rFonts w:ascii="宋体" w:hAnsi="宋体" w:cs="宋体"/>
                <w:b/>
                <w:bCs/>
                <w:color w:val="auto"/>
                <w:sz w:val="21"/>
                <w:szCs w:val="24"/>
                <w:highlight w:val="none"/>
              </w:rPr>
            </w:pPr>
            <w:r>
              <w:rPr>
                <w:rFonts w:hint="eastAsia" w:ascii="宋体" w:hAnsi="宋体" w:cs="宋体"/>
                <w:b/>
                <w:bCs/>
                <w:color w:val="auto"/>
                <w:sz w:val="21"/>
                <w:szCs w:val="24"/>
                <w:highlight w:val="none"/>
              </w:rPr>
              <w:t>(元)</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77397E73">
            <w:pPr>
              <w:wordWrap w:val="0"/>
              <w:topLinePunct/>
              <w:adjustRightInd w:val="0"/>
              <w:snapToGrid w:val="0"/>
              <w:spacing w:line="360" w:lineRule="auto"/>
              <w:jc w:val="center"/>
              <w:rPr>
                <w:rFonts w:ascii="宋体" w:hAnsi="宋体" w:cs="宋体"/>
                <w:b/>
                <w:bCs/>
                <w:color w:val="auto"/>
                <w:sz w:val="21"/>
                <w:szCs w:val="24"/>
                <w:highlight w:val="none"/>
              </w:rPr>
            </w:pPr>
            <w:r>
              <w:rPr>
                <w:rFonts w:hint="eastAsia" w:ascii="宋体" w:hAnsi="宋体" w:cs="宋体"/>
                <w:b/>
                <w:bCs/>
                <w:color w:val="auto"/>
                <w:sz w:val="21"/>
                <w:szCs w:val="24"/>
                <w:highlight w:val="none"/>
              </w:rPr>
              <w:t>总价</w:t>
            </w:r>
          </w:p>
          <w:p w14:paraId="0B628EBD">
            <w:pPr>
              <w:wordWrap w:val="0"/>
              <w:topLinePunct/>
              <w:adjustRightInd w:val="0"/>
              <w:snapToGrid w:val="0"/>
              <w:spacing w:line="360" w:lineRule="auto"/>
              <w:jc w:val="center"/>
              <w:rPr>
                <w:rFonts w:ascii="宋体" w:hAnsi="宋体" w:cs="宋体"/>
                <w:b/>
                <w:bCs/>
                <w:color w:val="auto"/>
                <w:sz w:val="21"/>
                <w:szCs w:val="24"/>
                <w:highlight w:val="none"/>
              </w:rPr>
            </w:pPr>
            <w:r>
              <w:rPr>
                <w:rFonts w:hint="eastAsia" w:ascii="宋体" w:hAnsi="宋体" w:cs="宋体"/>
                <w:b/>
                <w:bCs/>
                <w:color w:val="auto"/>
                <w:sz w:val="21"/>
                <w:szCs w:val="24"/>
                <w:highlight w:val="none"/>
              </w:rPr>
              <w:t>(元)</w:t>
            </w:r>
          </w:p>
        </w:tc>
        <w:tc>
          <w:tcPr>
            <w:tcW w:w="1351" w:type="dxa"/>
            <w:tcBorders>
              <w:top w:val="single" w:color="auto" w:sz="4" w:space="0"/>
              <w:left w:val="single" w:color="auto" w:sz="4" w:space="0"/>
              <w:bottom w:val="single" w:color="auto" w:sz="4" w:space="0"/>
              <w:right w:val="single" w:color="auto" w:sz="4" w:space="0"/>
            </w:tcBorders>
            <w:noWrap w:val="0"/>
            <w:vAlign w:val="center"/>
          </w:tcPr>
          <w:p w14:paraId="54621C51">
            <w:pPr>
              <w:wordWrap w:val="0"/>
              <w:topLinePunct/>
              <w:adjustRightInd w:val="0"/>
              <w:snapToGrid w:val="0"/>
              <w:spacing w:line="360" w:lineRule="auto"/>
              <w:jc w:val="center"/>
              <w:rPr>
                <w:rFonts w:ascii="宋体" w:hAnsi="宋体" w:cs="宋体"/>
                <w:b/>
                <w:bCs/>
                <w:color w:val="auto"/>
                <w:sz w:val="21"/>
                <w:szCs w:val="24"/>
                <w:highlight w:val="none"/>
              </w:rPr>
            </w:pPr>
            <w:r>
              <w:rPr>
                <w:rFonts w:hint="eastAsia" w:ascii="宋体" w:hAnsi="宋体" w:cs="宋体"/>
                <w:b/>
                <w:bCs/>
                <w:color w:val="auto"/>
                <w:sz w:val="21"/>
                <w:szCs w:val="24"/>
                <w:highlight w:val="none"/>
              </w:rPr>
              <w:t>随机</w:t>
            </w:r>
          </w:p>
          <w:p w14:paraId="619FF08B">
            <w:pPr>
              <w:wordWrap w:val="0"/>
              <w:topLinePunct/>
              <w:adjustRightInd w:val="0"/>
              <w:snapToGrid w:val="0"/>
              <w:spacing w:line="360" w:lineRule="auto"/>
              <w:jc w:val="center"/>
              <w:rPr>
                <w:rFonts w:ascii="宋体" w:hAnsi="宋体" w:cs="宋体"/>
                <w:b/>
                <w:bCs/>
                <w:color w:val="auto"/>
                <w:sz w:val="21"/>
                <w:szCs w:val="24"/>
                <w:highlight w:val="none"/>
              </w:rPr>
            </w:pPr>
            <w:r>
              <w:rPr>
                <w:rFonts w:hint="eastAsia" w:ascii="宋体" w:hAnsi="宋体" w:cs="宋体"/>
                <w:b/>
                <w:bCs/>
                <w:color w:val="auto"/>
                <w:sz w:val="21"/>
                <w:szCs w:val="24"/>
                <w:highlight w:val="none"/>
              </w:rPr>
              <w:t>配件</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32953C98">
            <w:pPr>
              <w:wordWrap w:val="0"/>
              <w:topLinePunct/>
              <w:adjustRightInd w:val="0"/>
              <w:snapToGrid w:val="0"/>
              <w:spacing w:line="360" w:lineRule="auto"/>
              <w:jc w:val="center"/>
              <w:rPr>
                <w:rFonts w:ascii="宋体" w:hAnsi="宋体" w:cs="宋体"/>
                <w:b/>
                <w:bCs/>
                <w:color w:val="auto"/>
                <w:sz w:val="21"/>
                <w:szCs w:val="24"/>
                <w:highlight w:val="none"/>
              </w:rPr>
            </w:pPr>
            <w:r>
              <w:rPr>
                <w:rFonts w:hint="eastAsia" w:ascii="宋体" w:hAnsi="宋体" w:cs="宋体"/>
                <w:b/>
                <w:bCs/>
                <w:color w:val="auto"/>
                <w:sz w:val="21"/>
                <w:szCs w:val="24"/>
                <w:highlight w:val="none"/>
              </w:rPr>
              <w:t>履约时间</w:t>
            </w:r>
          </w:p>
        </w:tc>
      </w:tr>
      <w:tr w14:paraId="2B1251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1515" w:type="dxa"/>
            <w:tcBorders>
              <w:top w:val="single" w:color="auto" w:sz="4" w:space="0"/>
              <w:left w:val="single" w:color="auto" w:sz="4" w:space="0"/>
              <w:bottom w:val="single" w:color="auto" w:sz="4" w:space="0"/>
              <w:right w:val="single" w:color="auto" w:sz="4" w:space="0"/>
            </w:tcBorders>
            <w:noWrap w:val="0"/>
            <w:vAlign w:val="top"/>
          </w:tcPr>
          <w:p w14:paraId="6C43760C">
            <w:pPr>
              <w:wordWrap w:val="0"/>
              <w:topLinePunct/>
              <w:adjustRightInd w:val="0"/>
              <w:snapToGrid w:val="0"/>
              <w:spacing w:line="360" w:lineRule="auto"/>
              <w:jc w:val="center"/>
              <w:rPr>
                <w:rFonts w:ascii="宋体" w:hAnsi="宋体" w:cs="宋体"/>
                <w:color w:val="auto"/>
                <w:sz w:val="21"/>
                <w:szCs w:val="21"/>
                <w:highlight w:val="none"/>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DC32784">
            <w:pPr>
              <w:wordWrap w:val="0"/>
              <w:topLinePunct/>
              <w:adjustRightInd w:val="0"/>
              <w:snapToGrid w:val="0"/>
              <w:spacing w:line="360" w:lineRule="auto"/>
              <w:jc w:val="center"/>
              <w:rPr>
                <w:rFonts w:ascii="宋体" w:hAnsi="宋体" w:cs="宋体"/>
                <w:color w:val="auto"/>
                <w:sz w:val="21"/>
                <w:szCs w:val="24"/>
                <w:highlight w:val="none"/>
              </w:rPr>
            </w:pPr>
            <w:r>
              <w:rPr>
                <w:rFonts w:hint="eastAsia" w:ascii="宋体" w:hAnsi="宋体" w:cs="宋体"/>
                <w:color w:val="auto"/>
                <w:sz w:val="21"/>
                <w:szCs w:val="24"/>
                <w:highlight w:val="none"/>
              </w:rPr>
              <w:t> </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4ACA3455">
            <w:pPr>
              <w:wordWrap w:val="0"/>
              <w:topLinePunct/>
              <w:adjustRightInd w:val="0"/>
              <w:snapToGrid w:val="0"/>
              <w:spacing w:line="360" w:lineRule="auto"/>
              <w:jc w:val="center"/>
              <w:rPr>
                <w:rFonts w:ascii="宋体" w:hAnsi="宋体" w:cs="宋体"/>
                <w:color w:val="auto"/>
                <w:sz w:val="21"/>
                <w:szCs w:val="24"/>
                <w:highlight w:val="none"/>
              </w:rPr>
            </w:pPr>
            <w:r>
              <w:rPr>
                <w:rFonts w:hint="eastAsia" w:ascii="宋体" w:hAnsi="宋体" w:cs="宋体"/>
                <w:color w:val="auto"/>
                <w:sz w:val="21"/>
                <w:szCs w:val="24"/>
                <w:highlight w:val="none"/>
              </w:rPr>
              <w:t> </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42560E83">
            <w:pPr>
              <w:wordWrap w:val="0"/>
              <w:topLinePunct/>
              <w:adjustRightInd w:val="0"/>
              <w:snapToGrid w:val="0"/>
              <w:spacing w:line="360" w:lineRule="auto"/>
              <w:jc w:val="center"/>
              <w:rPr>
                <w:rFonts w:ascii="宋体" w:hAnsi="宋体" w:cs="宋体"/>
                <w:color w:val="auto"/>
                <w:sz w:val="21"/>
                <w:szCs w:val="24"/>
                <w:highlight w:val="none"/>
              </w:rPr>
            </w:pPr>
            <w:r>
              <w:rPr>
                <w:rFonts w:hint="eastAsia" w:ascii="宋体" w:hAnsi="宋体" w:cs="宋体"/>
                <w:color w:val="auto"/>
                <w:sz w:val="21"/>
                <w:szCs w:val="24"/>
                <w:highlight w:val="none"/>
              </w:rPr>
              <w:t> </w:t>
            </w:r>
          </w:p>
        </w:tc>
        <w:tc>
          <w:tcPr>
            <w:tcW w:w="1159" w:type="dxa"/>
            <w:tcBorders>
              <w:top w:val="single" w:color="auto" w:sz="4" w:space="0"/>
              <w:left w:val="single" w:color="auto" w:sz="4" w:space="0"/>
              <w:bottom w:val="single" w:color="auto" w:sz="4" w:space="0"/>
              <w:right w:val="single" w:color="auto" w:sz="4" w:space="0"/>
            </w:tcBorders>
            <w:noWrap w:val="0"/>
            <w:vAlign w:val="center"/>
          </w:tcPr>
          <w:p w14:paraId="4711C4E4">
            <w:pPr>
              <w:wordWrap w:val="0"/>
              <w:topLinePunct/>
              <w:adjustRightInd w:val="0"/>
              <w:snapToGrid w:val="0"/>
              <w:spacing w:line="360" w:lineRule="auto"/>
              <w:jc w:val="center"/>
              <w:rPr>
                <w:rFonts w:ascii="宋体" w:hAnsi="宋体" w:cs="宋体"/>
                <w:color w:val="auto"/>
                <w:sz w:val="21"/>
                <w:szCs w:val="24"/>
                <w:highlight w:val="none"/>
              </w:rPr>
            </w:pPr>
            <w:r>
              <w:rPr>
                <w:rFonts w:hint="eastAsia" w:ascii="宋体" w:hAnsi="宋体" w:cs="宋体"/>
                <w:color w:val="auto"/>
                <w:sz w:val="21"/>
                <w:szCs w:val="24"/>
                <w:highlight w:val="none"/>
              </w:rPr>
              <w:t> </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05B8F0E6">
            <w:pPr>
              <w:wordWrap w:val="0"/>
              <w:topLinePunct/>
              <w:adjustRightInd w:val="0"/>
              <w:snapToGrid w:val="0"/>
              <w:spacing w:line="360" w:lineRule="auto"/>
              <w:jc w:val="center"/>
              <w:rPr>
                <w:rFonts w:ascii="宋体" w:hAnsi="宋体" w:cs="宋体"/>
                <w:color w:val="auto"/>
                <w:sz w:val="21"/>
                <w:szCs w:val="24"/>
                <w:highlight w:val="none"/>
              </w:rPr>
            </w:pPr>
            <w:r>
              <w:rPr>
                <w:rFonts w:hint="eastAsia" w:ascii="宋体" w:hAnsi="宋体" w:cs="宋体"/>
                <w:color w:val="auto"/>
                <w:sz w:val="21"/>
                <w:szCs w:val="24"/>
                <w:highlight w:val="none"/>
              </w:rPr>
              <w:t> </w:t>
            </w:r>
          </w:p>
        </w:tc>
        <w:tc>
          <w:tcPr>
            <w:tcW w:w="1351" w:type="dxa"/>
            <w:tcBorders>
              <w:top w:val="single" w:color="auto" w:sz="4" w:space="0"/>
              <w:left w:val="single" w:color="auto" w:sz="4" w:space="0"/>
              <w:bottom w:val="single" w:color="auto" w:sz="4" w:space="0"/>
              <w:right w:val="single" w:color="auto" w:sz="4" w:space="0"/>
            </w:tcBorders>
            <w:noWrap w:val="0"/>
            <w:vAlign w:val="center"/>
          </w:tcPr>
          <w:p w14:paraId="11C19804">
            <w:pPr>
              <w:wordWrap w:val="0"/>
              <w:topLinePunct/>
              <w:adjustRightInd w:val="0"/>
              <w:snapToGrid w:val="0"/>
              <w:spacing w:line="360" w:lineRule="auto"/>
              <w:jc w:val="center"/>
              <w:rPr>
                <w:rFonts w:ascii="宋体" w:hAnsi="宋体" w:cs="宋体"/>
                <w:color w:val="auto"/>
                <w:sz w:val="21"/>
                <w:szCs w:val="24"/>
                <w:highlight w:val="none"/>
              </w:rPr>
            </w:pPr>
            <w:r>
              <w:rPr>
                <w:rFonts w:hint="eastAsia" w:ascii="宋体" w:hAnsi="宋体" w:cs="宋体"/>
                <w:color w:val="auto"/>
                <w:sz w:val="21"/>
                <w:szCs w:val="24"/>
                <w:highlight w:val="none"/>
              </w:rPr>
              <w:t> </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459625E8">
            <w:pPr>
              <w:wordWrap w:val="0"/>
              <w:topLinePunct/>
              <w:adjustRightInd w:val="0"/>
              <w:snapToGrid w:val="0"/>
              <w:spacing w:line="360" w:lineRule="auto"/>
              <w:jc w:val="center"/>
              <w:rPr>
                <w:rFonts w:ascii="宋体" w:hAnsi="宋体" w:cs="宋体"/>
                <w:color w:val="auto"/>
                <w:sz w:val="21"/>
                <w:szCs w:val="24"/>
                <w:highlight w:val="none"/>
              </w:rPr>
            </w:pPr>
            <w:r>
              <w:rPr>
                <w:rFonts w:hint="eastAsia" w:ascii="宋体" w:hAnsi="宋体" w:cs="宋体"/>
                <w:color w:val="auto"/>
                <w:sz w:val="21"/>
                <w:szCs w:val="24"/>
                <w:highlight w:val="none"/>
              </w:rPr>
              <w:t> </w:t>
            </w:r>
          </w:p>
        </w:tc>
      </w:tr>
      <w:tr w14:paraId="2186E7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1515" w:type="dxa"/>
            <w:tcBorders>
              <w:top w:val="single" w:color="auto" w:sz="4" w:space="0"/>
              <w:left w:val="single" w:color="auto" w:sz="4" w:space="0"/>
              <w:bottom w:val="single" w:color="auto" w:sz="4" w:space="0"/>
              <w:right w:val="single" w:color="auto" w:sz="4" w:space="0"/>
            </w:tcBorders>
            <w:noWrap w:val="0"/>
            <w:vAlign w:val="top"/>
          </w:tcPr>
          <w:p w14:paraId="25783A53">
            <w:pPr>
              <w:wordWrap w:val="0"/>
              <w:topLinePunct/>
              <w:adjustRightInd w:val="0"/>
              <w:snapToGrid w:val="0"/>
              <w:spacing w:line="360" w:lineRule="auto"/>
              <w:jc w:val="center"/>
              <w:rPr>
                <w:rFonts w:ascii="宋体" w:hAnsi="宋体" w:cs="宋体"/>
                <w:color w:val="auto"/>
                <w:sz w:val="21"/>
                <w:szCs w:val="21"/>
                <w:highlight w:val="none"/>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F891882">
            <w:pPr>
              <w:wordWrap w:val="0"/>
              <w:topLinePunct/>
              <w:adjustRightInd w:val="0"/>
              <w:snapToGrid w:val="0"/>
              <w:spacing w:line="360" w:lineRule="auto"/>
              <w:jc w:val="center"/>
              <w:rPr>
                <w:rFonts w:ascii="宋体" w:hAnsi="宋体" w:cs="宋体"/>
                <w:color w:val="auto"/>
                <w:sz w:val="21"/>
                <w:szCs w:val="24"/>
                <w:highlight w:val="none"/>
              </w:rPr>
            </w:pPr>
            <w:r>
              <w:rPr>
                <w:rFonts w:hint="eastAsia" w:ascii="宋体" w:hAnsi="宋体" w:cs="宋体"/>
                <w:color w:val="auto"/>
                <w:sz w:val="21"/>
                <w:szCs w:val="24"/>
                <w:highlight w:val="none"/>
              </w:rPr>
              <w:t> </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3F97E6C7">
            <w:pPr>
              <w:wordWrap w:val="0"/>
              <w:topLinePunct/>
              <w:adjustRightInd w:val="0"/>
              <w:snapToGrid w:val="0"/>
              <w:spacing w:line="360" w:lineRule="auto"/>
              <w:jc w:val="center"/>
              <w:rPr>
                <w:rFonts w:ascii="宋体" w:hAnsi="宋体" w:cs="宋体"/>
                <w:color w:val="auto"/>
                <w:sz w:val="21"/>
                <w:szCs w:val="24"/>
                <w:highlight w:val="none"/>
              </w:rPr>
            </w:pPr>
            <w:r>
              <w:rPr>
                <w:rFonts w:hint="eastAsia" w:ascii="宋体" w:hAnsi="宋体" w:cs="宋体"/>
                <w:color w:val="auto"/>
                <w:sz w:val="21"/>
                <w:szCs w:val="24"/>
                <w:highlight w:val="none"/>
              </w:rPr>
              <w:t> </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49DE6465">
            <w:pPr>
              <w:wordWrap w:val="0"/>
              <w:topLinePunct/>
              <w:adjustRightInd w:val="0"/>
              <w:snapToGrid w:val="0"/>
              <w:spacing w:line="360" w:lineRule="auto"/>
              <w:jc w:val="center"/>
              <w:rPr>
                <w:rFonts w:ascii="宋体" w:hAnsi="宋体" w:cs="宋体"/>
                <w:color w:val="auto"/>
                <w:sz w:val="21"/>
                <w:szCs w:val="24"/>
                <w:highlight w:val="none"/>
              </w:rPr>
            </w:pPr>
            <w:r>
              <w:rPr>
                <w:rFonts w:hint="eastAsia" w:ascii="宋体" w:hAnsi="宋体" w:cs="宋体"/>
                <w:color w:val="auto"/>
                <w:sz w:val="21"/>
                <w:szCs w:val="24"/>
                <w:highlight w:val="none"/>
              </w:rPr>
              <w:t> </w:t>
            </w:r>
          </w:p>
        </w:tc>
        <w:tc>
          <w:tcPr>
            <w:tcW w:w="1159" w:type="dxa"/>
            <w:tcBorders>
              <w:top w:val="single" w:color="auto" w:sz="4" w:space="0"/>
              <w:left w:val="single" w:color="auto" w:sz="4" w:space="0"/>
              <w:bottom w:val="single" w:color="auto" w:sz="4" w:space="0"/>
              <w:right w:val="single" w:color="auto" w:sz="4" w:space="0"/>
            </w:tcBorders>
            <w:noWrap w:val="0"/>
            <w:vAlign w:val="center"/>
          </w:tcPr>
          <w:p w14:paraId="2D721D95">
            <w:pPr>
              <w:wordWrap w:val="0"/>
              <w:topLinePunct/>
              <w:adjustRightInd w:val="0"/>
              <w:snapToGrid w:val="0"/>
              <w:spacing w:line="360" w:lineRule="auto"/>
              <w:jc w:val="center"/>
              <w:rPr>
                <w:rFonts w:ascii="宋体" w:hAnsi="宋体" w:cs="宋体"/>
                <w:color w:val="auto"/>
                <w:sz w:val="21"/>
                <w:szCs w:val="24"/>
                <w:highlight w:val="none"/>
              </w:rPr>
            </w:pPr>
            <w:r>
              <w:rPr>
                <w:rFonts w:hint="eastAsia" w:ascii="宋体" w:hAnsi="宋体" w:cs="宋体"/>
                <w:color w:val="auto"/>
                <w:sz w:val="21"/>
                <w:szCs w:val="24"/>
                <w:highlight w:val="none"/>
              </w:rPr>
              <w:t> </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70AD7B05">
            <w:pPr>
              <w:wordWrap w:val="0"/>
              <w:topLinePunct/>
              <w:adjustRightInd w:val="0"/>
              <w:snapToGrid w:val="0"/>
              <w:spacing w:line="360" w:lineRule="auto"/>
              <w:jc w:val="center"/>
              <w:rPr>
                <w:rFonts w:ascii="宋体" w:hAnsi="宋体" w:cs="宋体"/>
                <w:color w:val="auto"/>
                <w:sz w:val="21"/>
                <w:szCs w:val="24"/>
                <w:highlight w:val="none"/>
              </w:rPr>
            </w:pPr>
            <w:r>
              <w:rPr>
                <w:rFonts w:hint="eastAsia" w:ascii="宋体" w:hAnsi="宋体" w:cs="宋体"/>
                <w:color w:val="auto"/>
                <w:sz w:val="21"/>
                <w:szCs w:val="24"/>
                <w:highlight w:val="none"/>
              </w:rPr>
              <w:t> </w:t>
            </w:r>
          </w:p>
        </w:tc>
        <w:tc>
          <w:tcPr>
            <w:tcW w:w="1351" w:type="dxa"/>
            <w:tcBorders>
              <w:top w:val="single" w:color="auto" w:sz="4" w:space="0"/>
              <w:left w:val="single" w:color="auto" w:sz="4" w:space="0"/>
              <w:bottom w:val="single" w:color="auto" w:sz="4" w:space="0"/>
              <w:right w:val="single" w:color="auto" w:sz="4" w:space="0"/>
            </w:tcBorders>
            <w:noWrap w:val="0"/>
            <w:vAlign w:val="center"/>
          </w:tcPr>
          <w:p w14:paraId="0414D0F7">
            <w:pPr>
              <w:wordWrap w:val="0"/>
              <w:topLinePunct/>
              <w:adjustRightInd w:val="0"/>
              <w:snapToGrid w:val="0"/>
              <w:spacing w:line="360" w:lineRule="auto"/>
              <w:jc w:val="center"/>
              <w:rPr>
                <w:rFonts w:ascii="宋体" w:hAnsi="宋体" w:cs="宋体"/>
                <w:color w:val="auto"/>
                <w:sz w:val="21"/>
                <w:szCs w:val="24"/>
                <w:highlight w:val="none"/>
              </w:rPr>
            </w:pPr>
            <w:r>
              <w:rPr>
                <w:rFonts w:hint="eastAsia" w:ascii="宋体" w:hAnsi="宋体" w:cs="宋体"/>
                <w:color w:val="auto"/>
                <w:sz w:val="21"/>
                <w:szCs w:val="24"/>
                <w:highlight w:val="none"/>
              </w:rPr>
              <w:t> </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2FD0CBAC">
            <w:pPr>
              <w:wordWrap w:val="0"/>
              <w:topLinePunct/>
              <w:adjustRightInd w:val="0"/>
              <w:snapToGrid w:val="0"/>
              <w:spacing w:line="360" w:lineRule="auto"/>
              <w:jc w:val="center"/>
              <w:rPr>
                <w:rFonts w:ascii="宋体" w:hAnsi="宋体" w:cs="宋体"/>
                <w:color w:val="auto"/>
                <w:sz w:val="21"/>
                <w:szCs w:val="24"/>
                <w:highlight w:val="none"/>
              </w:rPr>
            </w:pPr>
            <w:r>
              <w:rPr>
                <w:rFonts w:hint="eastAsia" w:ascii="宋体" w:hAnsi="宋体" w:cs="宋体"/>
                <w:color w:val="auto"/>
                <w:sz w:val="21"/>
                <w:szCs w:val="24"/>
                <w:highlight w:val="none"/>
              </w:rPr>
              <w:t> </w:t>
            </w:r>
          </w:p>
        </w:tc>
      </w:tr>
      <w:tr w14:paraId="604A97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1515" w:type="dxa"/>
            <w:tcBorders>
              <w:top w:val="single" w:color="auto" w:sz="4" w:space="0"/>
              <w:left w:val="single" w:color="auto" w:sz="4" w:space="0"/>
              <w:bottom w:val="single" w:color="auto" w:sz="4" w:space="0"/>
              <w:right w:val="single" w:color="auto" w:sz="4" w:space="0"/>
            </w:tcBorders>
            <w:noWrap w:val="0"/>
            <w:vAlign w:val="top"/>
          </w:tcPr>
          <w:p w14:paraId="7F592C27">
            <w:pPr>
              <w:wordWrap w:val="0"/>
              <w:topLinePunct/>
              <w:adjustRightInd w:val="0"/>
              <w:snapToGrid w:val="0"/>
              <w:spacing w:line="360" w:lineRule="auto"/>
              <w:jc w:val="center"/>
              <w:rPr>
                <w:rFonts w:ascii="宋体" w:hAnsi="宋体" w:cs="宋体"/>
                <w:color w:val="auto"/>
                <w:sz w:val="21"/>
                <w:szCs w:val="21"/>
                <w:highlight w:val="none"/>
              </w:rPr>
            </w:pPr>
            <w:bookmarkStart w:id="9" w:name="_Toc22308"/>
            <w:bookmarkStart w:id="10" w:name="_Toc2729"/>
            <w:bookmarkStart w:id="11" w:name="_Toc15734"/>
            <w:bookmarkStart w:id="12" w:name="_Toc217446108"/>
            <w:bookmarkStart w:id="13" w:name="_Toc8483"/>
            <w:bookmarkStart w:id="14" w:name="_Toc29426"/>
            <w:bookmarkStart w:id="15" w:name="_Toc22148"/>
            <w:bookmarkStart w:id="16" w:name="_Toc31626"/>
            <w:bookmarkStart w:id="17" w:name="_Toc4409"/>
          </w:p>
        </w:tc>
        <w:tc>
          <w:tcPr>
            <w:tcW w:w="1298" w:type="dxa"/>
            <w:tcBorders>
              <w:top w:val="single" w:color="auto" w:sz="4" w:space="0"/>
              <w:left w:val="single" w:color="auto" w:sz="4" w:space="0"/>
              <w:bottom w:val="single" w:color="auto" w:sz="4" w:space="0"/>
              <w:right w:val="single" w:color="auto" w:sz="4" w:space="0"/>
            </w:tcBorders>
            <w:noWrap w:val="0"/>
            <w:vAlign w:val="center"/>
          </w:tcPr>
          <w:p w14:paraId="7BFE2053">
            <w:pPr>
              <w:wordWrap w:val="0"/>
              <w:topLinePunct/>
              <w:adjustRightInd w:val="0"/>
              <w:snapToGrid w:val="0"/>
              <w:spacing w:line="360" w:lineRule="auto"/>
              <w:jc w:val="center"/>
              <w:rPr>
                <w:rFonts w:ascii="宋体" w:hAnsi="宋体" w:cs="宋体"/>
                <w:color w:val="auto"/>
                <w:sz w:val="21"/>
                <w:szCs w:val="24"/>
                <w:highlight w:val="none"/>
              </w:rPr>
            </w:pPr>
          </w:p>
        </w:tc>
        <w:tc>
          <w:tcPr>
            <w:tcW w:w="774" w:type="dxa"/>
            <w:tcBorders>
              <w:top w:val="single" w:color="auto" w:sz="4" w:space="0"/>
              <w:left w:val="single" w:color="auto" w:sz="4" w:space="0"/>
              <w:bottom w:val="single" w:color="auto" w:sz="4" w:space="0"/>
              <w:right w:val="single" w:color="auto" w:sz="4" w:space="0"/>
            </w:tcBorders>
            <w:noWrap w:val="0"/>
            <w:vAlign w:val="center"/>
          </w:tcPr>
          <w:p w14:paraId="72F7D995">
            <w:pPr>
              <w:wordWrap w:val="0"/>
              <w:topLinePunct/>
              <w:adjustRightInd w:val="0"/>
              <w:snapToGrid w:val="0"/>
              <w:spacing w:line="360" w:lineRule="auto"/>
              <w:jc w:val="center"/>
              <w:rPr>
                <w:rFonts w:ascii="宋体" w:hAnsi="宋体" w:cs="宋体"/>
                <w:color w:val="auto"/>
                <w:sz w:val="21"/>
                <w:szCs w:val="24"/>
                <w:highlight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04D4F1F4">
            <w:pPr>
              <w:wordWrap w:val="0"/>
              <w:topLinePunct/>
              <w:adjustRightInd w:val="0"/>
              <w:snapToGrid w:val="0"/>
              <w:spacing w:line="360" w:lineRule="auto"/>
              <w:jc w:val="center"/>
              <w:rPr>
                <w:rFonts w:ascii="宋体" w:hAnsi="宋体" w:cs="宋体"/>
                <w:color w:val="auto"/>
                <w:sz w:val="21"/>
                <w:szCs w:val="24"/>
                <w:highlight w:val="none"/>
              </w:rPr>
            </w:pPr>
          </w:p>
        </w:tc>
        <w:tc>
          <w:tcPr>
            <w:tcW w:w="1159" w:type="dxa"/>
            <w:tcBorders>
              <w:top w:val="single" w:color="auto" w:sz="4" w:space="0"/>
              <w:left w:val="single" w:color="auto" w:sz="4" w:space="0"/>
              <w:bottom w:val="single" w:color="auto" w:sz="4" w:space="0"/>
              <w:right w:val="single" w:color="auto" w:sz="4" w:space="0"/>
            </w:tcBorders>
            <w:noWrap w:val="0"/>
            <w:vAlign w:val="center"/>
          </w:tcPr>
          <w:p w14:paraId="2F1CAB23">
            <w:pPr>
              <w:wordWrap w:val="0"/>
              <w:topLinePunct/>
              <w:adjustRightInd w:val="0"/>
              <w:snapToGrid w:val="0"/>
              <w:spacing w:line="360" w:lineRule="auto"/>
              <w:jc w:val="center"/>
              <w:rPr>
                <w:rFonts w:ascii="宋体" w:hAnsi="宋体" w:cs="宋体"/>
                <w:color w:val="auto"/>
                <w:sz w:val="21"/>
                <w:szCs w:val="24"/>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13299E1C">
            <w:pPr>
              <w:wordWrap w:val="0"/>
              <w:topLinePunct/>
              <w:adjustRightInd w:val="0"/>
              <w:snapToGrid w:val="0"/>
              <w:spacing w:line="360" w:lineRule="auto"/>
              <w:jc w:val="center"/>
              <w:rPr>
                <w:rFonts w:ascii="宋体" w:hAnsi="宋体" w:cs="宋体"/>
                <w:color w:val="auto"/>
                <w:sz w:val="21"/>
                <w:szCs w:val="24"/>
                <w:highlight w:val="none"/>
              </w:rPr>
            </w:pPr>
          </w:p>
        </w:tc>
        <w:tc>
          <w:tcPr>
            <w:tcW w:w="1351" w:type="dxa"/>
            <w:tcBorders>
              <w:top w:val="single" w:color="auto" w:sz="4" w:space="0"/>
              <w:left w:val="single" w:color="auto" w:sz="4" w:space="0"/>
              <w:bottom w:val="single" w:color="auto" w:sz="4" w:space="0"/>
              <w:right w:val="single" w:color="auto" w:sz="4" w:space="0"/>
            </w:tcBorders>
            <w:noWrap w:val="0"/>
            <w:vAlign w:val="center"/>
          </w:tcPr>
          <w:p w14:paraId="39DE5354">
            <w:pPr>
              <w:wordWrap w:val="0"/>
              <w:topLinePunct/>
              <w:adjustRightInd w:val="0"/>
              <w:snapToGrid w:val="0"/>
              <w:spacing w:line="360" w:lineRule="auto"/>
              <w:jc w:val="center"/>
              <w:rPr>
                <w:rFonts w:ascii="宋体" w:hAnsi="宋体" w:cs="宋体"/>
                <w:color w:val="auto"/>
                <w:sz w:val="21"/>
                <w:szCs w:val="24"/>
                <w:highlight w:val="none"/>
              </w:rPr>
            </w:pPr>
          </w:p>
        </w:tc>
        <w:tc>
          <w:tcPr>
            <w:tcW w:w="1123" w:type="dxa"/>
            <w:tcBorders>
              <w:top w:val="single" w:color="auto" w:sz="4" w:space="0"/>
              <w:left w:val="single" w:color="auto" w:sz="4" w:space="0"/>
              <w:bottom w:val="single" w:color="auto" w:sz="4" w:space="0"/>
              <w:right w:val="single" w:color="auto" w:sz="4" w:space="0"/>
            </w:tcBorders>
            <w:noWrap w:val="0"/>
            <w:vAlign w:val="center"/>
          </w:tcPr>
          <w:p w14:paraId="0D7DD8C0">
            <w:pPr>
              <w:wordWrap w:val="0"/>
              <w:topLinePunct/>
              <w:adjustRightInd w:val="0"/>
              <w:snapToGrid w:val="0"/>
              <w:spacing w:line="360" w:lineRule="auto"/>
              <w:jc w:val="center"/>
              <w:rPr>
                <w:rFonts w:ascii="宋体" w:hAnsi="宋体" w:cs="宋体"/>
                <w:color w:val="auto"/>
                <w:sz w:val="21"/>
                <w:szCs w:val="24"/>
                <w:highlight w:val="none"/>
              </w:rPr>
            </w:pPr>
          </w:p>
        </w:tc>
      </w:tr>
      <w:tr w14:paraId="6DBC61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1515" w:type="dxa"/>
            <w:tcBorders>
              <w:top w:val="single" w:color="auto" w:sz="4" w:space="0"/>
              <w:left w:val="single" w:color="auto" w:sz="4" w:space="0"/>
              <w:bottom w:val="single" w:color="auto" w:sz="4" w:space="0"/>
              <w:right w:val="single" w:color="auto" w:sz="4" w:space="0"/>
            </w:tcBorders>
            <w:noWrap w:val="0"/>
            <w:vAlign w:val="top"/>
          </w:tcPr>
          <w:p w14:paraId="775C8B07">
            <w:pPr>
              <w:wordWrap w:val="0"/>
              <w:topLinePunct/>
              <w:adjustRightInd w:val="0"/>
              <w:snapToGrid w:val="0"/>
              <w:spacing w:line="360" w:lineRule="auto"/>
              <w:jc w:val="center"/>
              <w:rPr>
                <w:rFonts w:ascii="宋体" w:hAnsi="宋体" w:cs="宋体"/>
                <w:color w:val="auto"/>
                <w:sz w:val="21"/>
                <w:szCs w:val="21"/>
                <w:highlight w:val="none"/>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9339795">
            <w:pPr>
              <w:wordWrap w:val="0"/>
              <w:topLinePunct/>
              <w:adjustRightInd w:val="0"/>
              <w:snapToGrid w:val="0"/>
              <w:spacing w:line="360" w:lineRule="auto"/>
              <w:jc w:val="center"/>
              <w:rPr>
                <w:rFonts w:ascii="宋体" w:hAnsi="宋体" w:cs="宋体"/>
                <w:color w:val="auto"/>
                <w:sz w:val="21"/>
                <w:szCs w:val="24"/>
                <w:highlight w:val="none"/>
              </w:rPr>
            </w:pPr>
          </w:p>
        </w:tc>
        <w:tc>
          <w:tcPr>
            <w:tcW w:w="774" w:type="dxa"/>
            <w:tcBorders>
              <w:top w:val="single" w:color="auto" w:sz="4" w:space="0"/>
              <w:left w:val="single" w:color="auto" w:sz="4" w:space="0"/>
              <w:bottom w:val="single" w:color="auto" w:sz="4" w:space="0"/>
              <w:right w:val="single" w:color="auto" w:sz="4" w:space="0"/>
            </w:tcBorders>
            <w:noWrap w:val="0"/>
            <w:vAlign w:val="center"/>
          </w:tcPr>
          <w:p w14:paraId="15FC8A4B">
            <w:pPr>
              <w:wordWrap w:val="0"/>
              <w:topLinePunct/>
              <w:adjustRightInd w:val="0"/>
              <w:snapToGrid w:val="0"/>
              <w:spacing w:line="360" w:lineRule="auto"/>
              <w:jc w:val="center"/>
              <w:rPr>
                <w:rFonts w:ascii="宋体" w:hAnsi="宋体" w:cs="宋体"/>
                <w:color w:val="auto"/>
                <w:sz w:val="21"/>
                <w:szCs w:val="24"/>
                <w:highlight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52E4FA87">
            <w:pPr>
              <w:wordWrap w:val="0"/>
              <w:topLinePunct/>
              <w:adjustRightInd w:val="0"/>
              <w:snapToGrid w:val="0"/>
              <w:spacing w:line="360" w:lineRule="auto"/>
              <w:jc w:val="center"/>
              <w:rPr>
                <w:rFonts w:ascii="宋体" w:hAnsi="宋体" w:cs="宋体"/>
                <w:color w:val="auto"/>
                <w:sz w:val="21"/>
                <w:szCs w:val="24"/>
                <w:highlight w:val="none"/>
              </w:rPr>
            </w:pPr>
          </w:p>
        </w:tc>
        <w:tc>
          <w:tcPr>
            <w:tcW w:w="1159" w:type="dxa"/>
            <w:tcBorders>
              <w:top w:val="single" w:color="auto" w:sz="4" w:space="0"/>
              <w:left w:val="single" w:color="auto" w:sz="4" w:space="0"/>
              <w:bottom w:val="single" w:color="auto" w:sz="4" w:space="0"/>
              <w:right w:val="single" w:color="auto" w:sz="4" w:space="0"/>
            </w:tcBorders>
            <w:noWrap w:val="0"/>
            <w:vAlign w:val="center"/>
          </w:tcPr>
          <w:p w14:paraId="264F9C3C">
            <w:pPr>
              <w:wordWrap w:val="0"/>
              <w:topLinePunct/>
              <w:adjustRightInd w:val="0"/>
              <w:snapToGrid w:val="0"/>
              <w:spacing w:line="360" w:lineRule="auto"/>
              <w:jc w:val="center"/>
              <w:rPr>
                <w:rFonts w:ascii="宋体" w:hAnsi="宋体" w:cs="宋体"/>
                <w:color w:val="auto"/>
                <w:sz w:val="21"/>
                <w:szCs w:val="24"/>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56BF6E58">
            <w:pPr>
              <w:wordWrap w:val="0"/>
              <w:topLinePunct/>
              <w:adjustRightInd w:val="0"/>
              <w:snapToGrid w:val="0"/>
              <w:spacing w:line="360" w:lineRule="auto"/>
              <w:jc w:val="center"/>
              <w:rPr>
                <w:rFonts w:ascii="宋体" w:hAnsi="宋体" w:cs="宋体"/>
                <w:color w:val="auto"/>
                <w:sz w:val="21"/>
                <w:szCs w:val="24"/>
                <w:highlight w:val="none"/>
              </w:rPr>
            </w:pPr>
          </w:p>
        </w:tc>
        <w:tc>
          <w:tcPr>
            <w:tcW w:w="1351" w:type="dxa"/>
            <w:tcBorders>
              <w:top w:val="single" w:color="auto" w:sz="4" w:space="0"/>
              <w:left w:val="single" w:color="auto" w:sz="4" w:space="0"/>
              <w:bottom w:val="single" w:color="auto" w:sz="4" w:space="0"/>
              <w:right w:val="single" w:color="auto" w:sz="4" w:space="0"/>
            </w:tcBorders>
            <w:noWrap w:val="0"/>
            <w:vAlign w:val="center"/>
          </w:tcPr>
          <w:p w14:paraId="73021BCB">
            <w:pPr>
              <w:wordWrap w:val="0"/>
              <w:topLinePunct/>
              <w:adjustRightInd w:val="0"/>
              <w:snapToGrid w:val="0"/>
              <w:spacing w:line="360" w:lineRule="auto"/>
              <w:jc w:val="center"/>
              <w:rPr>
                <w:rFonts w:ascii="宋体" w:hAnsi="宋体" w:cs="宋体"/>
                <w:color w:val="auto"/>
                <w:sz w:val="21"/>
                <w:szCs w:val="24"/>
                <w:highlight w:val="none"/>
              </w:rPr>
            </w:pPr>
          </w:p>
        </w:tc>
        <w:tc>
          <w:tcPr>
            <w:tcW w:w="1123" w:type="dxa"/>
            <w:tcBorders>
              <w:top w:val="single" w:color="auto" w:sz="4" w:space="0"/>
              <w:left w:val="single" w:color="auto" w:sz="4" w:space="0"/>
              <w:bottom w:val="single" w:color="auto" w:sz="4" w:space="0"/>
              <w:right w:val="single" w:color="auto" w:sz="4" w:space="0"/>
            </w:tcBorders>
            <w:noWrap w:val="0"/>
            <w:vAlign w:val="center"/>
          </w:tcPr>
          <w:p w14:paraId="6AF984D8">
            <w:pPr>
              <w:wordWrap w:val="0"/>
              <w:topLinePunct/>
              <w:adjustRightInd w:val="0"/>
              <w:snapToGrid w:val="0"/>
              <w:spacing w:line="360" w:lineRule="auto"/>
              <w:jc w:val="center"/>
              <w:rPr>
                <w:rFonts w:ascii="宋体" w:hAnsi="宋体" w:cs="宋体"/>
                <w:color w:val="auto"/>
                <w:sz w:val="21"/>
                <w:szCs w:val="24"/>
                <w:highlight w:val="none"/>
              </w:rPr>
            </w:pPr>
          </w:p>
        </w:tc>
      </w:tr>
    </w:tbl>
    <w:p w14:paraId="027F0410">
      <w:pPr>
        <w:wordWrap w:val="0"/>
        <w:topLinePunct/>
        <w:adjustRightInd w:val="0"/>
        <w:snapToGrid w:val="0"/>
        <w:spacing w:line="360" w:lineRule="auto"/>
        <w:ind w:left="480" w:leftChars="200"/>
        <w:outlineLvl w:val="1"/>
        <w:rPr>
          <w:rFonts w:ascii="宋体" w:hAnsi="宋体" w:cs="宋体"/>
          <w:b/>
          <w:color w:val="auto"/>
          <w:szCs w:val="24"/>
          <w:highlight w:val="none"/>
        </w:rPr>
      </w:pPr>
      <w:r>
        <w:rPr>
          <w:rFonts w:hint="eastAsia" w:ascii="宋体" w:hAnsi="宋体" w:cs="宋体"/>
          <w:b/>
          <w:color w:val="auto"/>
          <w:szCs w:val="24"/>
          <w:highlight w:val="none"/>
        </w:rPr>
        <w:t>二、合同</w:t>
      </w:r>
      <w:bookmarkEnd w:id="9"/>
      <w:bookmarkEnd w:id="10"/>
      <w:bookmarkEnd w:id="11"/>
      <w:bookmarkEnd w:id="12"/>
      <w:r>
        <w:rPr>
          <w:rFonts w:hint="eastAsia" w:ascii="宋体" w:hAnsi="宋体" w:cs="宋体"/>
          <w:b/>
          <w:color w:val="auto"/>
          <w:szCs w:val="24"/>
          <w:highlight w:val="none"/>
        </w:rPr>
        <w:t>价款</w:t>
      </w:r>
      <w:bookmarkEnd w:id="13"/>
      <w:bookmarkEnd w:id="14"/>
      <w:bookmarkEnd w:id="15"/>
      <w:bookmarkEnd w:id="16"/>
      <w:bookmarkEnd w:id="17"/>
    </w:p>
    <w:p w14:paraId="7E56E41E">
      <w:pPr>
        <w:wordWrap w:val="0"/>
        <w:topLinePunct/>
        <w:adjustRightInd w:val="0"/>
        <w:snapToGrid w:val="0"/>
        <w:spacing w:line="360" w:lineRule="auto"/>
        <w:ind w:firstLine="480" w:firstLineChars="200"/>
        <w:rPr>
          <w:rFonts w:ascii="宋体" w:hAnsi="宋体" w:cs="宋体"/>
          <w:snapToGrid w:val="0"/>
          <w:color w:val="auto"/>
          <w:szCs w:val="24"/>
          <w:highlight w:val="none"/>
        </w:rPr>
      </w:pPr>
      <w:bookmarkStart w:id="18" w:name="_Toc13646"/>
      <w:bookmarkStart w:id="19" w:name="_Toc30015"/>
      <w:bookmarkStart w:id="20" w:name="_Toc16934"/>
      <w:bookmarkStart w:id="21" w:name="_Toc217446109"/>
      <w:bookmarkStart w:id="22" w:name="_Toc8140"/>
      <w:bookmarkStart w:id="23" w:name="_Toc23012"/>
      <w:bookmarkStart w:id="24" w:name="_Toc7853"/>
      <w:bookmarkStart w:id="25" w:name="_Toc11736"/>
      <w:bookmarkStart w:id="26" w:name="_Toc14789"/>
      <w:r>
        <w:rPr>
          <w:rFonts w:hint="eastAsia" w:ascii="宋体" w:hAnsi="宋体" w:cs="宋体"/>
          <w:snapToGrid w:val="0"/>
          <w:color w:val="auto"/>
          <w:szCs w:val="24"/>
          <w:highlight w:val="none"/>
        </w:rPr>
        <w:t>合同总价为人民币大写：</w:t>
      </w:r>
      <w:r>
        <w:rPr>
          <w:rFonts w:hint="eastAsia" w:ascii="宋体" w:hAnsi="宋体" w:cs="宋体"/>
          <w:snapToGrid w:val="0"/>
          <w:color w:val="auto"/>
          <w:szCs w:val="24"/>
          <w:highlight w:val="none"/>
          <w:u w:val="single"/>
        </w:rPr>
        <w:t xml:space="preserve">                </w:t>
      </w:r>
      <w:r>
        <w:rPr>
          <w:rFonts w:hint="eastAsia" w:ascii="宋体" w:hAnsi="宋体" w:cs="宋体"/>
          <w:snapToGrid w:val="0"/>
          <w:color w:val="auto"/>
          <w:szCs w:val="24"/>
          <w:highlight w:val="none"/>
        </w:rPr>
        <w:t>元，即￥</w:t>
      </w:r>
      <w:r>
        <w:rPr>
          <w:rFonts w:hint="eastAsia" w:ascii="宋体" w:hAnsi="宋体" w:cs="宋体"/>
          <w:snapToGrid w:val="0"/>
          <w:color w:val="auto"/>
          <w:szCs w:val="24"/>
          <w:highlight w:val="none"/>
          <w:u w:val="single"/>
        </w:rPr>
        <w:t xml:space="preserve">        </w:t>
      </w:r>
      <w:r>
        <w:rPr>
          <w:rFonts w:hint="eastAsia" w:ascii="宋体" w:hAnsi="宋体" w:cs="宋体"/>
          <w:snapToGrid w:val="0"/>
          <w:color w:val="auto"/>
          <w:szCs w:val="24"/>
          <w:highlight w:val="none"/>
        </w:rPr>
        <w:t>元；该合同总价已包括</w:t>
      </w:r>
      <w:r>
        <w:rPr>
          <w:rFonts w:hint="eastAsia" w:ascii="宋体" w:hAnsi="宋体" w:cs="宋体"/>
          <w:bCs/>
          <w:snapToGrid w:val="0"/>
          <w:color w:val="auto"/>
          <w:szCs w:val="24"/>
          <w:highlight w:val="none"/>
        </w:rPr>
        <w:t>材料（含主材、辅材辅料）、</w:t>
      </w:r>
      <w:r>
        <w:rPr>
          <w:rFonts w:hint="eastAsia" w:ascii="宋体" w:hAnsi="宋体" w:cs="宋体"/>
          <w:color w:val="auto"/>
          <w:sz w:val="24"/>
          <w:szCs w:val="24"/>
          <w:highlight w:val="none"/>
          <w:lang w:val="en-US" w:eastAsia="zh-CN"/>
        </w:rPr>
        <w:t>人工转运费、</w:t>
      </w:r>
      <w:r>
        <w:rPr>
          <w:rFonts w:hint="eastAsia" w:ascii="宋体" w:hAnsi="宋体" w:cs="宋体"/>
          <w:bCs/>
          <w:snapToGrid w:val="0"/>
          <w:color w:val="auto"/>
          <w:szCs w:val="24"/>
          <w:highlight w:val="none"/>
        </w:rPr>
        <w:t>设备、人工、运输、上下车、安装调试、机械费、保险、</w:t>
      </w:r>
      <w:r>
        <w:rPr>
          <w:rFonts w:hint="eastAsia" w:ascii="宋体" w:hAnsi="宋体" w:cs="宋体"/>
          <w:bCs/>
          <w:snapToGrid w:val="0"/>
          <w:color w:val="auto"/>
          <w:szCs w:val="24"/>
          <w:highlight w:val="none"/>
          <w:lang w:val="en-US" w:eastAsia="zh-CN"/>
        </w:rPr>
        <w:t>检测、</w:t>
      </w:r>
      <w:r>
        <w:rPr>
          <w:rFonts w:hint="eastAsia" w:ascii="宋体" w:hAnsi="宋体" w:cs="宋体"/>
          <w:bCs/>
          <w:snapToGrid w:val="0"/>
          <w:color w:val="auto"/>
          <w:szCs w:val="24"/>
          <w:highlight w:val="none"/>
        </w:rPr>
        <w:t>利润、税金、保修期内的保修服务以及完成该项目所涉及的一切相关配套服务等所有其他有关各项的含税费用</w:t>
      </w:r>
      <w:r>
        <w:rPr>
          <w:rFonts w:hint="eastAsia" w:ascii="宋体" w:hAnsi="宋体" w:cs="宋体"/>
          <w:snapToGrid w:val="0"/>
          <w:color w:val="auto"/>
          <w:szCs w:val="24"/>
          <w:highlight w:val="none"/>
        </w:rPr>
        <w:t>。本合同执行期间合同总价不变，甲方无须另向乙方支付本合同规定之外的其他任何费用。</w:t>
      </w:r>
    </w:p>
    <w:p w14:paraId="53CFAFBC">
      <w:pPr>
        <w:wordWrap w:val="0"/>
        <w:topLinePunct/>
        <w:adjustRightInd w:val="0"/>
        <w:snapToGrid w:val="0"/>
        <w:spacing w:line="360" w:lineRule="auto"/>
        <w:ind w:left="480" w:leftChars="200"/>
        <w:outlineLvl w:val="1"/>
        <w:rPr>
          <w:rFonts w:ascii="宋体" w:hAnsi="宋体" w:cs="宋体"/>
          <w:b/>
          <w:color w:val="auto"/>
          <w:szCs w:val="24"/>
          <w:highlight w:val="none"/>
        </w:rPr>
      </w:pPr>
      <w:r>
        <w:rPr>
          <w:rFonts w:hint="eastAsia" w:ascii="宋体" w:hAnsi="宋体" w:cs="宋体"/>
          <w:b/>
          <w:color w:val="auto"/>
          <w:szCs w:val="24"/>
          <w:highlight w:val="none"/>
        </w:rPr>
        <w:t>三、质量要求</w:t>
      </w:r>
      <w:bookmarkEnd w:id="18"/>
      <w:bookmarkEnd w:id="19"/>
      <w:bookmarkEnd w:id="20"/>
      <w:bookmarkEnd w:id="21"/>
      <w:bookmarkEnd w:id="22"/>
      <w:bookmarkEnd w:id="23"/>
      <w:bookmarkEnd w:id="24"/>
      <w:bookmarkEnd w:id="25"/>
      <w:bookmarkEnd w:id="26"/>
    </w:p>
    <w:p w14:paraId="69C7CEC0">
      <w:pPr>
        <w:pStyle w:val="5"/>
        <w:keepNext w:val="0"/>
        <w:keepLines w:val="0"/>
        <w:pageBreakBefore w:val="0"/>
        <w:widowControl w:val="0"/>
        <w:kinsoku/>
        <w:overflowPunct/>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2"/>
          <w:highlight w:val="none"/>
          <w:lang w:val="en-US" w:eastAsia="zh-CN" w:bidi="ar-SA"/>
        </w:rPr>
      </w:pPr>
      <w:bookmarkStart w:id="27" w:name="_Toc24782"/>
      <w:bookmarkStart w:id="28" w:name="_Toc12856"/>
      <w:r>
        <w:rPr>
          <w:rFonts w:hint="eastAsia" w:ascii="宋体" w:hAnsi="宋体" w:eastAsia="宋体" w:cs="宋体"/>
          <w:color w:val="auto"/>
          <w:kern w:val="2"/>
          <w:sz w:val="24"/>
          <w:szCs w:val="22"/>
          <w:highlight w:val="none"/>
          <w:lang w:val="en-US" w:eastAsia="zh-CN" w:bidi="ar-SA"/>
        </w:rPr>
        <w:t>1.供应商须提供全新的货物（含零部件、配件、使用说明书等），表面无划伤、无碰撞痕迹，且权属清楚，不得侵害他人的知识产权。</w:t>
      </w:r>
    </w:p>
    <w:p w14:paraId="601525C0">
      <w:pPr>
        <w:pStyle w:val="5"/>
        <w:keepNext w:val="0"/>
        <w:keepLines w:val="0"/>
        <w:pageBreakBefore w:val="0"/>
        <w:widowControl w:val="0"/>
        <w:kinsoku/>
        <w:overflowPunct/>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2"/>
          <w:highlight w:val="none"/>
          <w:lang w:val="en-US" w:eastAsia="zh-CN" w:bidi="ar-SA"/>
        </w:rPr>
      </w:pPr>
      <w:r>
        <w:rPr>
          <w:rFonts w:hint="eastAsia" w:ascii="宋体" w:hAnsi="宋体" w:eastAsia="宋体" w:cs="宋体"/>
          <w:color w:val="auto"/>
          <w:kern w:val="2"/>
          <w:sz w:val="24"/>
          <w:szCs w:val="22"/>
          <w:highlight w:val="none"/>
          <w:lang w:val="en-US" w:eastAsia="zh-CN" w:bidi="ar-SA"/>
        </w:rPr>
        <w:t>2.货物必须符合或优于国家标准，以及本项目竞争性谈判文件及技术协议的质量要求和技术指标与出厂标准。</w:t>
      </w:r>
    </w:p>
    <w:p w14:paraId="7FF12EEB">
      <w:pPr>
        <w:pStyle w:val="5"/>
        <w:keepNext w:val="0"/>
        <w:keepLines w:val="0"/>
        <w:pageBreakBefore w:val="0"/>
        <w:widowControl w:val="0"/>
        <w:kinsoku/>
        <w:overflowPunct/>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2"/>
          <w:highlight w:val="none"/>
          <w:lang w:val="en-US" w:eastAsia="zh-CN" w:bidi="ar-SA"/>
        </w:rPr>
      </w:pPr>
      <w:r>
        <w:rPr>
          <w:rFonts w:hint="eastAsia" w:ascii="宋体" w:hAnsi="宋体" w:eastAsia="宋体" w:cs="宋体"/>
          <w:color w:val="auto"/>
          <w:kern w:val="2"/>
          <w:sz w:val="24"/>
          <w:szCs w:val="22"/>
          <w:highlight w:val="none"/>
          <w:lang w:val="en-US" w:eastAsia="zh-CN" w:bidi="ar-SA"/>
        </w:rPr>
        <w:t>3.货物制造质量出现问题，供应商应负责三包（包修、包换、包退），费用由供应商负担。</w:t>
      </w:r>
    </w:p>
    <w:p w14:paraId="6622522C">
      <w:pPr>
        <w:pStyle w:val="5"/>
        <w:keepNext w:val="0"/>
        <w:keepLines w:val="0"/>
        <w:pageBreakBefore w:val="0"/>
        <w:widowControl w:val="0"/>
        <w:kinsoku/>
        <w:overflowPunct/>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2"/>
          <w:highlight w:val="none"/>
          <w:lang w:val="en-US" w:eastAsia="zh-CN" w:bidi="ar-SA"/>
        </w:rPr>
      </w:pPr>
      <w:r>
        <w:rPr>
          <w:rFonts w:hint="eastAsia" w:ascii="宋体" w:hAnsi="宋体" w:eastAsia="宋体" w:cs="宋体"/>
          <w:color w:val="auto"/>
          <w:kern w:val="2"/>
          <w:sz w:val="24"/>
          <w:szCs w:val="22"/>
          <w:highlight w:val="none"/>
          <w:lang w:val="en-US" w:eastAsia="zh-CN" w:bidi="ar-SA"/>
        </w:rPr>
        <w:t>4.货到现场</w:t>
      </w:r>
      <w:r>
        <w:rPr>
          <w:rFonts w:hint="eastAsia" w:ascii="宋体" w:hAnsi="宋体" w:eastAsia="宋体" w:cs="宋体"/>
          <w:color w:val="auto"/>
          <w:sz w:val="24"/>
          <w:szCs w:val="24"/>
          <w:highlight w:val="none"/>
        </w:rPr>
        <w:t>后</w:t>
      </w:r>
      <w:r>
        <w:rPr>
          <w:rFonts w:hint="eastAsia" w:ascii="宋体" w:hAnsi="宋体" w:cs="宋体"/>
          <w:color w:val="auto"/>
          <w:sz w:val="24"/>
          <w:szCs w:val="24"/>
          <w:highlight w:val="none"/>
          <w:lang w:val="en-US" w:eastAsia="zh-CN"/>
        </w:rPr>
        <w:t>管理保存全部由</w:t>
      </w:r>
      <w:r>
        <w:rPr>
          <w:rFonts w:hint="eastAsia" w:ascii="宋体" w:hAnsi="宋体" w:eastAsia="宋体" w:cs="宋体"/>
          <w:color w:val="auto"/>
          <w:sz w:val="24"/>
          <w:szCs w:val="24"/>
          <w:highlight w:val="none"/>
        </w:rPr>
        <w:t>供应商负担。</w:t>
      </w:r>
    </w:p>
    <w:p w14:paraId="1A809995">
      <w:pPr>
        <w:pStyle w:val="5"/>
        <w:keepNext w:val="0"/>
        <w:keepLines w:val="0"/>
        <w:pageBreakBefore w:val="0"/>
        <w:widowControl w:val="0"/>
        <w:kinsoku/>
        <w:overflowPunct/>
        <w:autoSpaceDE/>
        <w:autoSpaceDN/>
        <w:bidi w:val="0"/>
        <w:adjustRightInd/>
        <w:snapToGrid/>
        <w:spacing w:line="360" w:lineRule="auto"/>
        <w:ind w:firstLine="480" w:firstLineChars="200"/>
        <w:textAlignment w:val="auto"/>
        <w:rPr>
          <w:rFonts w:hint="eastAsia"/>
          <w:color w:val="auto"/>
          <w:highlight w:val="none"/>
          <w:lang w:val="en-US" w:eastAsia="zh-CN"/>
        </w:rPr>
      </w:pPr>
      <w:r>
        <w:rPr>
          <w:rFonts w:hint="eastAsia" w:ascii="宋体" w:hAnsi="宋体" w:eastAsia="宋体" w:cs="宋体"/>
          <w:color w:val="auto"/>
          <w:kern w:val="2"/>
          <w:sz w:val="24"/>
          <w:szCs w:val="22"/>
          <w:highlight w:val="none"/>
          <w:lang w:val="en-US" w:eastAsia="zh-CN" w:bidi="ar-SA"/>
        </w:rPr>
        <w:t>5.为确保采购货物的质量，成交供应商在签订合同前3天提供相关检验检测报告原件查验，若成交供应商未提供相关检测报告或提供资料不符合竞争性谈判文件要求，取消其中标资格。</w:t>
      </w:r>
    </w:p>
    <w:p w14:paraId="68B84C7E">
      <w:pPr>
        <w:wordWrap w:val="0"/>
        <w:topLinePunct/>
        <w:adjustRightInd w:val="0"/>
        <w:snapToGrid w:val="0"/>
        <w:spacing w:line="360" w:lineRule="auto"/>
        <w:ind w:left="480" w:leftChars="200"/>
        <w:outlineLvl w:val="1"/>
        <w:rPr>
          <w:rFonts w:ascii="宋体" w:hAnsi="宋体" w:cs="宋体"/>
          <w:b/>
          <w:color w:val="auto"/>
          <w:szCs w:val="24"/>
          <w:highlight w:val="none"/>
        </w:rPr>
      </w:pPr>
      <w:r>
        <w:rPr>
          <w:rFonts w:hint="eastAsia" w:ascii="宋体" w:hAnsi="宋体" w:cs="宋体"/>
          <w:b/>
          <w:color w:val="auto"/>
          <w:szCs w:val="24"/>
          <w:highlight w:val="none"/>
        </w:rPr>
        <w:t>四、</w:t>
      </w:r>
      <w:r>
        <w:rPr>
          <w:rFonts w:hint="eastAsia" w:ascii="宋体" w:hAnsi="宋体" w:cs="宋体"/>
          <w:b/>
          <w:bCs/>
          <w:color w:val="auto"/>
          <w:szCs w:val="24"/>
          <w:highlight w:val="none"/>
        </w:rPr>
        <w:t>履约时间、地点及交货要求</w:t>
      </w:r>
      <w:bookmarkEnd w:id="27"/>
      <w:bookmarkEnd w:id="28"/>
    </w:p>
    <w:p w14:paraId="501F5229">
      <w:pPr>
        <w:widowControl/>
        <w:tabs>
          <w:tab w:val="left" w:pos="360"/>
        </w:tabs>
        <w:snapToGrid w:val="0"/>
        <w:spacing w:line="360" w:lineRule="auto"/>
        <w:ind w:firstLine="480" w:firstLineChars="200"/>
        <w:rPr>
          <w:rFonts w:hint="eastAsia" w:ascii="宋体" w:hAnsi="宋体" w:eastAsia="宋体" w:cs="宋体"/>
          <w:color w:val="auto"/>
          <w:szCs w:val="24"/>
          <w:highlight w:val="none"/>
        </w:rPr>
      </w:pPr>
      <w:r>
        <w:rPr>
          <w:rFonts w:hint="eastAsia" w:ascii="宋体" w:hAnsi="宋体" w:cs="宋体"/>
          <w:bCs/>
          <w:color w:val="auto"/>
          <w:kern w:val="0"/>
          <w:szCs w:val="24"/>
          <w:highlight w:val="none"/>
        </w:rPr>
        <w:t>(一)履约时间：</w:t>
      </w:r>
    </w:p>
    <w:p w14:paraId="65FBC53E">
      <w:pPr>
        <w:keepNext w:val="0"/>
        <w:keepLines w:val="0"/>
        <w:pageBreakBefore w:val="0"/>
        <w:widowControl w:val="0"/>
        <w:kinsoku/>
        <w:wordWrap/>
        <w:overflowPunct/>
        <w:topLinePunct w:val="0"/>
        <w:autoSpaceDE/>
        <w:autoSpaceDN/>
        <w:bidi w:val="0"/>
        <w:spacing w:before="164" w:beforeLines="50" w:after="164" w:afterLines="50"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eastAsia="zh-CN"/>
        </w:rPr>
        <w:t>合同生效之日起365天。</w:t>
      </w:r>
    </w:p>
    <w:p w14:paraId="5AF5C011">
      <w:pPr>
        <w:widowControl/>
        <w:tabs>
          <w:tab w:val="left" w:pos="360"/>
        </w:tabs>
        <w:snapToGrid w:val="0"/>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(二)履约地点：采购人指定地点</w:t>
      </w:r>
    </w:p>
    <w:p w14:paraId="57EDD6F6">
      <w:pPr>
        <w:tabs>
          <w:tab w:val="left" w:pos="420"/>
        </w:tabs>
        <w:spacing w:line="360" w:lineRule="auto"/>
        <w:ind w:left="480" w:leftChars="200"/>
        <w:rPr>
          <w:rFonts w:ascii="宋体" w:hAnsi="宋体" w:cs="宋体"/>
          <w:color w:val="auto"/>
          <w:szCs w:val="24"/>
          <w:highlight w:val="none"/>
        </w:rPr>
      </w:pPr>
      <w:r>
        <w:rPr>
          <w:rFonts w:hint="eastAsia" w:ascii="宋体" w:hAnsi="宋体" w:cs="宋体"/>
          <w:color w:val="auto"/>
          <w:szCs w:val="24"/>
          <w:highlight w:val="none"/>
        </w:rPr>
        <w:t>(三)交货：</w:t>
      </w:r>
    </w:p>
    <w:p w14:paraId="3E527E3C">
      <w:pPr>
        <w:widowControl/>
        <w:tabs>
          <w:tab w:val="left" w:pos="360"/>
        </w:tabs>
        <w:snapToGrid w:val="0"/>
        <w:spacing w:line="360" w:lineRule="auto"/>
        <w:ind w:firstLine="480" w:firstLineChars="200"/>
        <w:rPr>
          <w:rFonts w:ascii="宋体" w:hAnsi="宋体" w:cs="宋体"/>
          <w:color w:val="auto"/>
          <w:szCs w:val="24"/>
          <w:highlight w:val="none"/>
          <w:u w:val="single"/>
        </w:rPr>
      </w:pPr>
      <w:r>
        <w:rPr>
          <w:rFonts w:hint="eastAsia" w:ascii="宋体" w:hAnsi="宋体" w:cs="宋体"/>
          <w:color w:val="auto"/>
          <w:szCs w:val="24"/>
          <w:highlight w:val="none"/>
          <w:shd w:val="clear" w:color="auto" w:fill="FFFFFF"/>
        </w:rPr>
        <w:t>1、交货地点及联系人：</w:t>
      </w:r>
      <w:r>
        <w:rPr>
          <w:rFonts w:hint="eastAsia" w:ascii="宋体" w:hAnsi="宋体" w:cs="宋体"/>
          <w:color w:val="auto"/>
          <w:szCs w:val="24"/>
          <w:highlight w:val="none"/>
        </w:rPr>
        <w:t>乙方负责办理运输和保险，将货物运抵甲方指定地点，有关运输、保险和装卸等一切相关的费用由乙方承担。</w:t>
      </w:r>
    </w:p>
    <w:p w14:paraId="2562FF65">
      <w:pPr>
        <w:widowControl/>
        <w:tabs>
          <w:tab w:val="left" w:pos="360"/>
        </w:tabs>
        <w:snapToGrid w:val="0"/>
        <w:spacing w:line="360" w:lineRule="auto"/>
        <w:ind w:firstLine="480" w:firstLineChars="200"/>
        <w:rPr>
          <w:rFonts w:ascii="宋体" w:hAnsi="宋体" w:cs="宋体"/>
          <w:color w:val="auto"/>
          <w:szCs w:val="24"/>
          <w:highlight w:val="none"/>
        </w:rPr>
      </w:pPr>
      <w:r>
        <w:rPr>
          <w:rFonts w:hint="eastAsia" w:ascii="宋体" w:hAnsi="宋体" w:cs="宋体"/>
          <w:color w:val="auto"/>
          <w:szCs w:val="24"/>
          <w:highlight w:val="none"/>
          <w:shd w:val="clear" w:color="auto" w:fill="FFFFFF"/>
        </w:rPr>
        <w:t>2、</w:t>
      </w:r>
      <w:r>
        <w:rPr>
          <w:rFonts w:hint="eastAsia" w:ascii="宋体" w:hAnsi="宋体" w:cs="宋体"/>
          <w:color w:val="auto"/>
          <w:szCs w:val="24"/>
          <w:highlight w:val="none"/>
        </w:rPr>
        <w:t>供应商应在货物送达到甲方指定地点</w:t>
      </w:r>
      <w:r>
        <w:rPr>
          <w:rFonts w:hint="eastAsia" w:ascii="宋体" w:hAnsi="宋体" w:cs="宋体"/>
          <w:color w:val="auto"/>
          <w:szCs w:val="24"/>
          <w:highlight w:val="none"/>
          <w:u w:val="single"/>
        </w:rPr>
        <w:t xml:space="preserve">  七  </w:t>
      </w:r>
      <w:r>
        <w:rPr>
          <w:rFonts w:hint="eastAsia" w:ascii="宋体" w:hAnsi="宋体" w:cs="宋体"/>
          <w:color w:val="auto"/>
          <w:szCs w:val="24"/>
          <w:highlight w:val="none"/>
        </w:rPr>
        <w:t>日前，向甲方提供货物卸车、清点计划（内容包括：合同号、设备名称、数量、价格、箱数、型号规格、重量和体积、拟发运的时间及其他必要的说明），并于发运的同时通知甲方，分批送货的每次均按照此要求执行。</w:t>
      </w:r>
    </w:p>
    <w:p w14:paraId="1C1B4554">
      <w:pPr>
        <w:widowControl/>
        <w:tabs>
          <w:tab w:val="left" w:pos="0"/>
        </w:tabs>
        <w:snapToGrid w:val="0"/>
        <w:spacing w:line="360" w:lineRule="auto"/>
        <w:ind w:firstLine="480" w:firstLineChars="200"/>
        <w:rPr>
          <w:rFonts w:ascii="宋体" w:hAnsi="宋体" w:cs="宋体"/>
          <w:color w:val="auto"/>
          <w:szCs w:val="24"/>
          <w:highlight w:val="none"/>
        </w:rPr>
      </w:pPr>
      <w:r>
        <w:rPr>
          <w:rFonts w:hint="eastAsia" w:ascii="宋体" w:hAnsi="宋体" w:cs="宋体"/>
          <w:color w:val="auto"/>
          <w:szCs w:val="24"/>
          <w:highlight w:val="none"/>
        </w:rPr>
        <w:t>3、开箱清点及初步检验时双方应派人员参加。凡由于乙方对合同货物包装不善、标记不明、防护措施不当或在合同货物装箱前保管不良，致使合同货物遭到损坏或丢失，乙方应负责免费更换或补足，并承担由此给甲方造成的一切损失。</w:t>
      </w:r>
    </w:p>
    <w:p w14:paraId="069FAD05">
      <w:pPr>
        <w:widowControl/>
        <w:tabs>
          <w:tab w:val="left" w:pos="0"/>
        </w:tabs>
        <w:snapToGrid w:val="0"/>
        <w:spacing w:line="360" w:lineRule="auto"/>
        <w:ind w:firstLine="480" w:firstLineChars="200"/>
        <w:rPr>
          <w:rFonts w:ascii="宋体" w:hAnsi="宋体" w:cs="宋体"/>
          <w:color w:val="auto"/>
          <w:szCs w:val="24"/>
          <w:highlight w:val="none"/>
        </w:rPr>
      </w:pPr>
      <w:r>
        <w:rPr>
          <w:rFonts w:hint="eastAsia" w:ascii="宋体" w:hAnsi="宋体" w:cs="宋体"/>
          <w:color w:val="auto"/>
          <w:szCs w:val="24"/>
          <w:highlight w:val="none"/>
        </w:rPr>
        <w:t>4、货物涉及政府采购商品包装和快递包装的，货物送达至甲方指定地点后，甲方将对乙方是否按照</w:t>
      </w:r>
      <w:r>
        <w:rPr>
          <w:rFonts w:hint="eastAsia" w:ascii="宋体" w:hAnsi="宋体" w:cs="宋体"/>
          <w:color w:val="auto"/>
          <w:szCs w:val="24"/>
          <w:highlight w:val="none"/>
          <w:lang w:eastAsia="zh-CN"/>
        </w:rPr>
        <w:t>竞争性谈判</w:t>
      </w:r>
      <w:r>
        <w:rPr>
          <w:rFonts w:hint="eastAsia" w:ascii="宋体" w:hAnsi="宋体" w:cs="宋体"/>
          <w:color w:val="auto"/>
          <w:szCs w:val="24"/>
          <w:highlight w:val="none"/>
        </w:rPr>
        <w:t>文件规定的包装要求进行验收，不符合包装要求的，甲方有权拒收并要求乙方负责免费更换，并承担由此给甲方造成的一切损失。</w:t>
      </w:r>
    </w:p>
    <w:p w14:paraId="3EEA13B0">
      <w:pPr>
        <w:widowControl/>
        <w:tabs>
          <w:tab w:val="left" w:pos="0"/>
        </w:tabs>
        <w:snapToGrid w:val="0"/>
        <w:spacing w:line="360" w:lineRule="auto"/>
        <w:ind w:firstLine="480" w:firstLineChars="200"/>
        <w:rPr>
          <w:rFonts w:ascii="宋体" w:hAnsi="宋体" w:cs="宋体"/>
          <w:color w:val="auto"/>
          <w:szCs w:val="24"/>
          <w:highlight w:val="none"/>
        </w:rPr>
      </w:pPr>
      <w:r>
        <w:rPr>
          <w:rFonts w:hint="eastAsia" w:ascii="宋体" w:hAnsi="宋体" w:cs="宋体"/>
          <w:color w:val="auto"/>
          <w:szCs w:val="24"/>
          <w:highlight w:val="none"/>
        </w:rPr>
        <w:t>5、供应商所提供的货物若发现有诸如数量、型号和外观尺寸与合同不符，或产生更换或补货等情形并导致工期延误，采购人有权根据合同有关条款的规定对因此造成的直接损失向供应商索赔。</w:t>
      </w:r>
    </w:p>
    <w:p w14:paraId="52CEE21D">
      <w:pPr>
        <w:wordWrap w:val="0"/>
        <w:topLinePunct/>
        <w:adjustRightInd w:val="0"/>
        <w:snapToGrid w:val="0"/>
        <w:spacing w:line="360" w:lineRule="auto"/>
        <w:ind w:left="480" w:leftChars="200"/>
        <w:outlineLvl w:val="1"/>
        <w:rPr>
          <w:rFonts w:ascii="宋体" w:hAnsi="宋体" w:cs="宋体"/>
          <w:b/>
          <w:bCs/>
          <w:color w:val="auto"/>
          <w:szCs w:val="24"/>
          <w:highlight w:val="none"/>
        </w:rPr>
      </w:pPr>
      <w:bookmarkStart w:id="29" w:name="_Toc15528"/>
      <w:bookmarkStart w:id="30" w:name="_Toc25730"/>
      <w:r>
        <w:rPr>
          <w:rFonts w:hint="eastAsia" w:ascii="宋体" w:hAnsi="宋体" w:cs="宋体"/>
          <w:b/>
          <w:bCs/>
          <w:color w:val="auto"/>
          <w:szCs w:val="24"/>
          <w:highlight w:val="none"/>
        </w:rPr>
        <w:t>五、包装方式及运输要求</w:t>
      </w:r>
      <w:bookmarkEnd w:id="29"/>
      <w:bookmarkEnd w:id="30"/>
    </w:p>
    <w:p w14:paraId="01BF0FDF">
      <w:pPr>
        <w:keepNext/>
        <w:keepLines/>
        <w:tabs>
          <w:tab w:val="left" w:pos="0"/>
        </w:tabs>
        <w:wordWrap w:val="0"/>
        <w:adjustRightInd w:val="0"/>
        <w:snapToGrid w:val="0"/>
        <w:spacing w:line="360" w:lineRule="auto"/>
        <w:ind w:firstLine="480" w:firstLineChars="200"/>
        <w:jc w:val="left"/>
        <w:rPr>
          <w:rFonts w:ascii="宋体" w:hAnsi="宋体" w:cs="宋体"/>
          <w:color w:val="auto"/>
          <w:szCs w:val="24"/>
          <w:highlight w:val="none"/>
        </w:rPr>
      </w:pPr>
      <w:r>
        <w:rPr>
          <w:rFonts w:hint="eastAsia" w:ascii="宋体" w:hAnsi="宋体" w:cs="宋体"/>
          <w:color w:val="auto"/>
          <w:szCs w:val="24"/>
          <w:highlight w:val="none"/>
        </w:rPr>
        <w:t>(一)乙方须严格按照《商品包装政府采购需求标准(试行)》、 《快递包装政府采购需求标准(试行)》(财办库〔2020〕123号)的要求进行产品及相关快递服务的包装，具体要求查询链接：</w:t>
      </w:r>
      <w:r>
        <w:rPr>
          <w:color w:val="auto"/>
          <w:highlight w:val="none"/>
        </w:rPr>
        <w:fldChar w:fldCharType="begin"/>
      </w:r>
      <w:r>
        <w:rPr>
          <w:color w:val="auto"/>
          <w:highlight w:val="none"/>
        </w:rPr>
        <w:instrText xml:space="preserve"> HYPERLINK "http://www.ccgp.gov.cn/zcfg/mof/202007/t20200703_14587250.htm。" </w:instrText>
      </w:r>
      <w:r>
        <w:rPr>
          <w:color w:val="auto"/>
          <w:highlight w:val="none"/>
        </w:rPr>
        <w:fldChar w:fldCharType="separate"/>
      </w:r>
      <w:r>
        <w:rPr>
          <w:rFonts w:hint="eastAsia" w:ascii="宋体" w:hAnsi="宋体" w:cs="宋体"/>
          <w:color w:val="auto"/>
          <w:szCs w:val="24"/>
          <w:highlight w:val="none"/>
        </w:rPr>
        <w:t>http://www.ccgp.gov.cn/zcfg/mof/202007/t20200703_14587250.htm。</w:t>
      </w:r>
      <w:r>
        <w:rPr>
          <w:rFonts w:hint="eastAsia" w:ascii="宋体" w:hAnsi="宋体" w:cs="宋体"/>
          <w:color w:val="auto"/>
          <w:szCs w:val="24"/>
          <w:highlight w:val="none"/>
        </w:rPr>
        <w:fldChar w:fldCharType="end"/>
      </w:r>
    </w:p>
    <w:p w14:paraId="3ECD8B20">
      <w:pPr>
        <w:numPr>
          <w:ilvl w:val="3"/>
          <w:numId w:val="0"/>
        </w:numPr>
        <w:tabs>
          <w:tab w:val="left" w:pos="0"/>
        </w:tabs>
        <w:wordWrap w:val="0"/>
        <w:topLinePunct/>
        <w:spacing w:line="360" w:lineRule="auto"/>
        <w:ind w:firstLine="480" w:firstLineChars="200"/>
        <w:rPr>
          <w:rFonts w:ascii="宋体" w:hAnsi="宋体" w:cs="宋体"/>
          <w:color w:val="auto"/>
          <w:szCs w:val="24"/>
          <w:highlight w:val="none"/>
        </w:rPr>
      </w:pPr>
      <w:r>
        <w:rPr>
          <w:rFonts w:hint="eastAsia" w:ascii="宋体" w:hAnsi="宋体" w:cs="宋体"/>
          <w:color w:val="auto"/>
          <w:szCs w:val="24"/>
          <w:highlight w:val="none"/>
        </w:rPr>
        <w:t>(二)乙方应当按照约定的方式交付标的物。对于包装方式没有约定或者约定不明确的，应当按照通用的方式包装；没有通用方式的，应当采取足以保护标的物且有利于节约资源，保护生态环境的包装方式。</w:t>
      </w:r>
    </w:p>
    <w:p w14:paraId="2DC6E43D">
      <w:pPr>
        <w:numPr>
          <w:ilvl w:val="3"/>
          <w:numId w:val="0"/>
        </w:numPr>
        <w:tabs>
          <w:tab w:val="left" w:pos="0"/>
        </w:tabs>
        <w:wordWrap w:val="0"/>
        <w:topLinePunct/>
        <w:spacing w:line="360" w:lineRule="auto"/>
        <w:ind w:firstLine="480" w:firstLineChars="200"/>
        <w:rPr>
          <w:rFonts w:ascii="宋体" w:hAnsi="宋体" w:cs="宋体"/>
          <w:color w:val="auto"/>
          <w:szCs w:val="24"/>
          <w:highlight w:val="none"/>
        </w:rPr>
      </w:pPr>
      <w:r>
        <w:rPr>
          <w:rFonts w:hint="eastAsia" w:ascii="宋体" w:hAnsi="宋体" w:cs="宋体"/>
          <w:color w:val="auto"/>
          <w:szCs w:val="24"/>
          <w:highlight w:val="none"/>
        </w:rPr>
        <w:t>(三)本次采购的标的物需要运输，乙方在合同约定的时间内将标的物运输至合同约定地点。乙方自行运输标的物或委托承运人运输的，应为该批货物购买货物运输保险和运输工具航程保险，其损毁、灭失的风险自合同成立时起由乙方承担。</w:t>
      </w:r>
    </w:p>
    <w:p w14:paraId="29956465">
      <w:pPr>
        <w:numPr>
          <w:ilvl w:val="3"/>
          <w:numId w:val="0"/>
        </w:numPr>
        <w:tabs>
          <w:tab w:val="left" w:pos="0"/>
        </w:tabs>
        <w:wordWrap w:val="0"/>
        <w:topLinePunct/>
        <w:spacing w:line="360" w:lineRule="auto"/>
        <w:ind w:firstLine="480" w:firstLineChars="200"/>
        <w:rPr>
          <w:rFonts w:ascii="宋体" w:hAnsi="宋体" w:cs="宋体"/>
          <w:color w:val="auto"/>
          <w:szCs w:val="24"/>
          <w:highlight w:val="none"/>
        </w:rPr>
      </w:pPr>
      <w:r>
        <w:rPr>
          <w:rFonts w:hint="eastAsia" w:ascii="宋体" w:hAnsi="宋体" w:cs="宋体"/>
          <w:color w:val="auto"/>
          <w:szCs w:val="24"/>
          <w:highlight w:val="none"/>
        </w:rPr>
        <w:t>(四)乙方按照约定将标的物运送至甲方指定地点并完成交付的或甲方违反约定不予收取的，标的物损毁、灭失的风险由甲方承担。</w:t>
      </w:r>
    </w:p>
    <w:p w14:paraId="178CD56B">
      <w:pPr>
        <w:wordWrap w:val="0"/>
        <w:topLinePunct/>
        <w:adjustRightInd w:val="0"/>
        <w:snapToGrid w:val="0"/>
        <w:spacing w:line="360" w:lineRule="auto"/>
        <w:ind w:left="480" w:leftChars="200"/>
        <w:outlineLvl w:val="1"/>
        <w:rPr>
          <w:rFonts w:hint="eastAsia" w:ascii="宋体" w:hAnsi="宋体" w:cs="宋体"/>
          <w:b/>
          <w:bCs/>
          <w:color w:val="auto"/>
          <w:szCs w:val="24"/>
          <w:highlight w:val="none"/>
        </w:rPr>
      </w:pPr>
      <w:bookmarkStart w:id="31" w:name="_Toc26229"/>
      <w:bookmarkStart w:id="32" w:name="_Toc27902"/>
      <w:r>
        <w:rPr>
          <w:rFonts w:hint="eastAsia" w:ascii="宋体" w:hAnsi="宋体" w:cs="宋体"/>
          <w:b/>
          <w:bCs/>
          <w:color w:val="auto"/>
          <w:szCs w:val="24"/>
          <w:highlight w:val="none"/>
        </w:rPr>
        <w:t>六、验收要求</w:t>
      </w:r>
      <w:bookmarkEnd w:id="31"/>
      <w:bookmarkEnd w:id="32"/>
    </w:p>
    <w:p w14:paraId="058A1F09">
      <w:pPr>
        <w:wordWrap w:val="0"/>
        <w:topLinePunct/>
        <w:spacing w:line="360" w:lineRule="auto"/>
        <w:ind w:firstLine="480" w:firstLineChars="200"/>
        <w:rPr>
          <w:color w:val="auto"/>
          <w:highlight w:val="none"/>
        </w:rPr>
      </w:pPr>
      <w:r>
        <w:rPr>
          <w:rFonts w:hint="eastAsia" w:ascii="宋体" w:hAnsi="宋体" w:cs="宋体"/>
          <w:color w:val="auto"/>
          <w:szCs w:val="24"/>
          <w:highlight w:val="none"/>
        </w:rPr>
        <w:t>(</w:t>
      </w:r>
      <w:r>
        <w:rPr>
          <w:rFonts w:hint="eastAsia" w:ascii="宋体" w:hAnsi="宋体" w:cs="宋体"/>
          <w:color w:val="auto"/>
          <w:szCs w:val="24"/>
          <w:highlight w:val="none"/>
          <w:lang w:val="en-US" w:eastAsia="zh-CN"/>
        </w:rPr>
        <w:t>一</w:t>
      </w:r>
      <w:r>
        <w:rPr>
          <w:rFonts w:hint="eastAsia" w:ascii="宋体" w:hAnsi="宋体" w:cs="宋体"/>
          <w:color w:val="auto"/>
          <w:szCs w:val="24"/>
          <w:highlight w:val="none"/>
        </w:rPr>
        <w:t>)本项目现场验收由甲方组织，乙方配合进行。甲方可以-邀请参加本项目的其他供应商或者第三方专业机构及专家参与验收，相关验收意见作为验收的参考资料。政府向社会公众提供的公共服务项目，验收时应当邀请服务对象参与并出具意见，验收结果应当向社会公告。</w:t>
      </w:r>
    </w:p>
    <w:p w14:paraId="3F8C46E3">
      <w:pPr>
        <w:numPr>
          <w:ilvl w:val="2"/>
          <w:numId w:val="0"/>
        </w:numPr>
        <w:wordWrap w:val="0"/>
        <w:topLinePunct/>
        <w:spacing w:line="360" w:lineRule="auto"/>
        <w:ind w:firstLine="480" w:firstLineChars="200"/>
        <w:rPr>
          <w:rFonts w:ascii="宋体" w:hAnsi="宋体" w:cs="宋体"/>
          <w:snapToGrid w:val="0"/>
          <w:color w:val="auto"/>
          <w:szCs w:val="24"/>
          <w:highlight w:val="none"/>
        </w:rPr>
      </w:pPr>
      <w:r>
        <w:rPr>
          <w:rFonts w:hint="eastAsia" w:ascii="宋体" w:hAnsi="宋体" w:cs="宋体"/>
          <w:snapToGrid w:val="0"/>
          <w:color w:val="auto"/>
          <w:szCs w:val="24"/>
          <w:highlight w:val="none"/>
        </w:rPr>
        <w:t>(</w:t>
      </w:r>
      <w:r>
        <w:rPr>
          <w:rFonts w:hint="eastAsia" w:ascii="宋体" w:hAnsi="宋体" w:cs="宋体"/>
          <w:snapToGrid w:val="0"/>
          <w:color w:val="auto"/>
          <w:szCs w:val="24"/>
          <w:highlight w:val="none"/>
          <w:lang w:val="en-US" w:eastAsia="zh-CN"/>
        </w:rPr>
        <w:t>二</w:t>
      </w:r>
      <w:r>
        <w:rPr>
          <w:rFonts w:hint="eastAsia" w:ascii="宋体" w:hAnsi="宋体" w:cs="宋体"/>
          <w:snapToGrid w:val="0"/>
          <w:color w:val="auto"/>
          <w:szCs w:val="24"/>
          <w:highlight w:val="none"/>
        </w:rPr>
        <w:t>)货物在乙方通知安装调试完成后</w:t>
      </w:r>
      <w:r>
        <w:rPr>
          <w:rFonts w:hint="eastAsia" w:ascii="宋体" w:hAnsi="宋体" w:cs="宋体"/>
          <w:snapToGrid w:val="0"/>
          <w:color w:val="auto"/>
          <w:szCs w:val="24"/>
          <w:highlight w:val="none"/>
          <w:u w:val="single"/>
        </w:rPr>
        <w:t>7</w:t>
      </w:r>
      <w:r>
        <w:rPr>
          <w:rFonts w:hint="eastAsia" w:ascii="宋体" w:hAnsi="宋体" w:cs="宋体"/>
          <w:snapToGrid w:val="0"/>
          <w:color w:val="auto"/>
          <w:szCs w:val="24"/>
          <w:highlight w:val="none"/>
        </w:rPr>
        <w:t>日内初步验收。初步验收合格后，进入</w:t>
      </w:r>
      <w:r>
        <w:rPr>
          <w:rFonts w:hint="eastAsia" w:ascii="宋体" w:hAnsi="宋体" w:cs="宋体"/>
          <w:snapToGrid w:val="0"/>
          <w:color w:val="auto"/>
          <w:szCs w:val="24"/>
          <w:highlight w:val="none"/>
          <w:u w:val="single"/>
        </w:rPr>
        <w:t>15天</w:t>
      </w:r>
      <w:r>
        <w:rPr>
          <w:rFonts w:hint="eastAsia" w:ascii="宋体" w:hAnsi="宋体" w:cs="宋体"/>
          <w:snapToGrid w:val="0"/>
          <w:color w:val="auto"/>
          <w:szCs w:val="24"/>
          <w:highlight w:val="none"/>
        </w:rPr>
        <w:t>试用期；试用期间发生重大质量问题，修复后试用期相应顺延；试用期结束后</w:t>
      </w:r>
      <w:r>
        <w:rPr>
          <w:rFonts w:hint="eastAsia" w:ascii="宋体" w:hAnsi="宋体" w:cs="宋体"/>
          <w:snapToGrid w:val="0"/>
          <w:color w:val="auto"/>
          <w:szCs w:val="24"/>
          <w:highlight w:val="none"/>
          <w:u w:val="single"/>
        </w:rPr>
        <w:t>15</w:t>
      </w:r>
      <w:r>
        <w:rPr>
          <w:rFonts w:hint="eastAsia" w:ascii="宋体" w:hAnsi="宋体" w:cs="宋体"/>
          <w:snapToGrid w:val="0"/>
          <w:color w:val="auto"/>
          <w:szCs w:val="24"/>
          <w:highlight w:val="none"/>
        </w:rPr>
        <w:t>日内完成最终验收；</w:t>
      </w:r>
    </w:p>
    <w:p w14:paraId="22D51903">
      <w:pPr>
        <w:numPr>
          <w:ilvl w:val="2"/>
          <w:numId w:val="0"/>
        </w:numPr>
        <w:wordWrap w:val="0"/>
        <w:topLinePunct/>
        <w:spacing w:line="360" w:lineRule="auto"/>
        <w:ind w:firstLine="480" w:firstLineChars="200"/>
        <w:rPr>
          <w:rFonts w:ascii="宋体" w:hAnsi="宋体" w:cs="宋体"/>
          <w:snapToGrid w:val="0"/>
          <w:color w:val="auto"/>
          <w:szCs w:val="24"/>
          <w:highlight w:val="none"/>
        </w:rPr>
      </w:pPr>
      <w:r>
        <w:rPr>
          <w:rFonts w:hint="eastAsia" w:ascii="宋体" w:hAnsi="宋体" w:cs="宋体"/>
          <w:snapToGrid w:val="0"/>
          <w:color w:val="auto"/>
          <w:szCs w:val="24"/>
          <w:highlight w:val="none"/>
        </w:rPr>
        <w:t>(</w:t>
      </w:r>
      <w:r>
        <w:rPr>
          <w:rFonts w:hint="eastAsia" w:ascii="宋体" w:hAnsi="宋体" w:cs="宋体"/>
          <w:snapToGrid w:val="0"/>
          <w:color w:val="auto"/>
          <w:szCs w:val="24"/>
          <w:highlight w:val="none"/>
          <w:lang w:val="en-US" w:eastAsia="zh-CN"/>
        </w:rPr>
        <w:t>三</w:t>
      </w:r>
      <w:r>
        <w:rPr>
          <w:rFonts w:hint="eastAsia" w:ascii="宋体" w:hAnsi="宋体" w:cs="宋体"/>
          <w:snapToGrid w:val="0"/>
          <w:color w:val="auto"/>
          <w:szCs w:val="24"/>
          <w:highlight w:val="none"/>
        </w:rPr>
        <w:t>)验收标准：按国家有关规定以及采购文件的质量要求和技术指标(包括每一项技术和商务要求的履约情况)、乙方的投标文件及承诺与本合同约定标准进行验收；甲乙双方如对质量要求和技术指标的约定标准有相互抵触或异议的事项，由甲方在投标文件中按质量要求和技术指标比较优胜的原则确定该项的约定标准进行验收；</w:t>
      </w:r>
    </w:p>
    <w:p w14:paraId="297038AC">
      <w:pPr>
        <w:numPr>
          <w:ilvl w:val="2"/>
          <w:numId w:val="0"/>
        </w:numPr>
        <w:wordWrap w:val="0"/>
        <w:topLinePunct/>
        <w:spacing w:line="360" w:lineRule="auto"/>
        <w:ind w:firstLine="480" w:firstLineChars="200"/>
        <w:rPr>
          <w:rFonts w:ascii="宋体" w:hAnsi="宋体" w:cs="宋体"/>
          <w:snapToGrid w:val="0"/>
          <w:color w:val="auto"/>
          <w:szCs w:val="24"/>
          <w:highlight w:val="none"/>
        </w:rPr>
      </w:pPr>
      <w:r>
        <w:rPr>
          <w:rFonts w:hint="eastAsia" w:ascii="宋体" w:hAnsi="宋体" w:cs="宋体"/>
          <w:snapToGrid w:val="0"/>
          <w:color w:val="auto"/>
          <w:szCs w:val="24"/>
          <w:highlight w:val="none"/>
        </w:rPr>
        <w:t>(</w:t>
      </w:r>
      <w:r>
        <w:rPr>
          <w:rFonts w:hint="eastAsia" w:ascii="宋体" w:hAnsi="宋体" w:cs="宋体"/>
          <w:snapToGrid w:val="0"/>
          <w:color w:val="auto"/>
          <w:szCs w:val="24"/>
          <w:highlight w:val="none"/>
          <w:lang w:val="en-US" w:eastAsia="zh-CN"/>
        </w:rPr>
        <w:t>四</w:t>
      </w:r>
      <w:r>
        <w:rPr>
          <w:rFonts w:hint="eastAsia" w:ascii="宋体" w:hAnsi="宋体" w:cs="宋体"/>
          <w:snapToGrid w:val="0"/>
          <w:color w:val="auto"/>
          <w:szCs w:val="24"/>
          <w:highlight w:val="none"/>
        </w:rPr>
        <w:t>)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14:paraId="378443BE">
      <w:pPr>
        <w:numPr>
          <w:ilvl w:val="2"/>
          <w:numId w:val="0"/>
        </w:numPr>
        <w:wordWrap w:val="0"/>
        <w:topLinePunct/>
        <w:spacing w:line="360" w:lineRule="auto"/>
        <w:ind w:firstLine="480" w:firstLineChars="200"/>
        <w:rPr>
          <w:rFonts w:ascii="宋体" w:hAnsi="宋体" w:cs="宋体"/>
          <w:snapToGrid w:val="0"/>
          <w:color w:val="auto"/>
          <w:szCs w:val="24"/>
          <w:highlight w:val="none"/>
        </w:rPr>
      </w:pPr>
      <w:r>
        <w:rPr>
          <w:rFonts w:hint="eastAsia" w:ascii="宋体" w:hAnsi="宋体" w:cs="宋体"/>
          <w:snapToGrid w:val="0"/>
          <w:color w:val="auto"/>
          <w:szCs w:val="24"/>
          <w:highlight w:val="none"/>
        </w:rPr>
        <w:t>(</w:t>
      </w:r>
      <w:r>
        <w:rPr>
          <w:rFonts w:hint="eastAsia" w:ascii="宋体" w:hAnsi="宋体" w:cs="宋体"/>
          <w:snapToGrid w:val="0"/>
          <w:color w:val="auto"/>
          <w:szCs w:val="24"/>
          <w:highlight w:val="none"/>
          <w:lang w:val="en-US" w:eastAsia="zh-CN"/>
        </w:rPr>
        <w:t>五</w:t>
      </w:r>
      <w:r>
        <w:rPr>
          <w:rFonts w:hint="eastAsia" w:ascii="宋体" w:hAnsi="宋体" w:cs="宋体"/>
          <w:snapToGrid w:val="0"/>
          <w:color w:val="auto"/>
          <w:szCs w:val="24"/>
          <w:highlight w:val="none"/>
        </w:rPr>
        <w:t>)如验收合格，双方签署验收报告。</w:t>
      </w:r>
    </w:p>
    <w:p w14:paraId="3A440284">
      <w:pPr>
        <w:numPr>
          <w:ilvl w:val="1"/>
          <w:numId w:val="0"/>
        </w:numPr>
        <w:wordWrap w:val="0"/>
        <w:topLinePunct/>
        <w:spacing w:line="360" w:lineRule="auto"/>
        <w:ind w:firstLine="480" w:firstLineChars="200"/>
        <w:rPr>
          <w:rFonts w:ascii="宋体" w:hAnsi="宋体" w:cs="宋体"/>
          <w:color w:val="auto"/>
          <w:szCs w:val="24"/>
          <w:highlight w:val="none"/>
        </w:rPr>
      </w:pPr>
      <w:r>
        <w:rPr>
          <w:rFonts w:hint="eastAsia" w:ascii="宋体" w:hAnsi="宋体" w:cs="宋体"/>
          <w:color w:val="auto"/>
          <w:szCs w:val="24"/>
          <w:highlight w:val="none"/>
        </w:rPr>
        <w:t>1、货物安装调试完成后</w:t>
      </w:r>
      <w:r>
        <w:rPr>
          <w:rFonts w:hint="eastAsia" w:ascii="宋体" w:hAnsi="宋体" w:cs="宋体"/>
          <w:color w:val="auto"/>
          <w:szCs w:val="24"/>
          <w:highlight w:val="none"/>
          <w:u w:val="single"/>
        </w:rPr>
        <w:t>30</w:t>
      </w:r>
      <w:r>
        <w:rPr>
          <w:rFonts w:hint="eastAsia" w:ascii="宋体" w:hAnsi="宋体" w:cs="宋体"/>
          <w:color w:val="auto"/>
          <w:szCs w:val="24"/>
          <w:highlight w:val="none"/>
        </w:rPr>
        <w:t>日内，甲方无故不进行验收工作并已使用货物的，视同已安装调试完成并验收合格。</w:t>
      </w:r>
    </w:p>
    <w:p w14:paraId="0232CB58">
      <w:pPr>
        <w:numPr>
          <w:ilvl w:val="1"/>
          <w:numId w:val="0"/>
        </w:numPr>
        <w:wordWrap w:val="0"/>
        <w:topLinePunct/>
        <w:spacing w:line="360" w:lineRule="auto"/>
        <w:ind w:firstLine="480" w:firstLineChars="200"/>
        <w:rPr>
          <w:rFonts w:ascii="宋体" w:hAnsi="宋体" w:cs="宋体"/>
          <w:color w:val="auto"/>
          <w:szCs w:val="24"/>
          <w:highlight w:val="none"/>
        </w:rPr>
      </w:pPr>
      <w:r>
        <w:rPr>
          <w:rFonts w:hint="eastAsia" w:ascii="宋体" w:hAnsi="宋体" w:cs="宋体"/>
          <w:color w:val="auto"/>
          <w:szCs w:val="24"/>
          <w:highlight w:val="none"/>
        </w:rPr>
        <w:t>2、乙方应将所提供货物的装箱清单、配件、随机工具、用户使用手册、原厂保修卡等资料交付给甲方；乙方不能完整交付货物及本款规定的单证和工具的，必须负责补齐，否则视为未按合同约定交货。</w:t>
      </w:r>
    </w:p>
    <w:p w14:paraId="3E11E6A6">
      <w:pPr>
        <w:numPr>
          <w:ilvl w:val="1"/>
          <w:numId w:val="0"/>
        </w:numPr>
        <w:wordWrap w:val="0"/>
        <w:topLinePunct/>
        <w:spacing w:line="360" w:lineRule="auto"/>
        <w:ind w:firstLine="480" w:firstLineChars="200"/>
        <w:rPr>
          <w:rFonts w:ascii="宋体" w:hAnsi="宋体" w:cs="宋体"/>
          <w:color w:val="auto"/>
          <w:szCs w:val="24"/>
          <w:highlight w:val="none"/>
        </w:rPr>
      </w:pPr>
      <w:r>
        <w:rPr>
          <w:rFonts w:hint="eastAsia" w:ascii="宋体" w:hAnsi="宋体" w:cs="宋体"/>
          <w:color w:val="auto"/>
          <w:szCs w:val="24"/>
          <w:highlight w:val="none"/>
        </w:rPr>
        <w:t>3、如货物经乙方</w:t>
      </w:r>
      <w:r>
        <w:rPr>
          <w:rFonts w:hint="eastAsia" w:ascii="宋体" w:hAnsi="宋体" w:cs="宋体"/>
          <w:color w:val="auto"/>
          <w:szCs w:val="24"/>
          <w:highlight w:val="none"/>
          <w:u w:val="single"/>
        </w:rPr>
        <w:t>3</w:t>
      </w:r>
      <w:r>
        <w:rPr>
          <w:rFonts w:hint="eastAsia" w:ascii="宋体" w:hAnsi="宋体" w:cs="宋体"/>
          <w:color w:val="auto"/>
          <w:szCs w:val="24"/>
          <w:highlight w:val="none"/>
        </w:rPr>
        <w:t>次维修或更换仍不能达到合同约定的质量标准，甲方有权退货，并视作乙方不能交付货物而违约，甲方可依法依约追究乙方的违约责任。</w:t>
      </w:r>
    </w:p>
    <w:p w14:paraId="3EF180BA">
      <w:pPr>
        <w:numPr>
          <w:ilvl w:val="1"/>
          <w:numId w:val="0"/>
        </w:numPr>
        <w:wordWrap w:val="0"/>
        <w:topLinePunct/>
        <w:spacing w:line="360" w:lineRule="auto"/>
        <w:ind w:firstLine="480" w:firstLineChars="200"/>
        <w:rPr>
          <w:rFonts w:ascii="宋体" w:hAnsi="宋体" w:cs="宋体"/>
          <w:color w:val="auto"/>
          <w:szCs w:val="24"/>
          <w:highlight w:val="none"/>
        </w:rPr>
      </w:pPr>
      <w:r>
        <w:rPr>
          <w:rFonts w:hint="eastAsia" w:ascii="宋体" w:hAnsi="宋体" w:cs="宋体"/>
          <w:color w:val="auto"/>
          <w:szCs w:val="24"/>
          <w:highlight w:val="none"/>
        </w:rPr>
        <w:t>(</w:t>
      </w:r>
      <w:r>
        <w:rPr>
          <w:rFonts w:hint="eastAsia" w:ascii="宋体" w:hAnsi="宋体" w:cs="宋体"/>
          <w:color w:val="auto"/>
          <w:szCs w:val="24"/>
          <w:highlight w:val="none"/>
          <w:lang w:val="en-US" w:eastAsia="zh-CN"/>
        </w:rPr>
        <w:t>七</w:t>
      </w:r>
      <w:r>
        <w:rPr>
          <w:rFonts w:hint="eastAsia" w:ascii="宋体" w:hAnsi="宋体" w:cs="宋体"/>
          <w:color w:val="auto"/>
          <w:szCs w:val="24"/>
          <w:highlight w:val="none"/>
        </w:rPr>
        <w:t>)验收不合格且拒不整改的，将不予支付采购资金，并上报本项目同级财政部门按照政府采购法律法规等有关规定给予行政处罚； </w:t>
      </w:r>
    </w:p>
    <w:p w14:paraId="24743505">
      <w:pPr>
        <w:numPr>
          <w:ilvl w:val="1"/>
          <w:numId w:val="0"/>
        </w:numPr>
        <w:wordWrap w:val="0"/>
        <w:topLinePunct/>
        <w:spacing w:line="360" w:lineRule="auto"/>
        <w:ind w:firstLine="480" w:firstLineChars="200"/>
        <w:rPr>
          <w:rFonts w:ascii="宋体" w:hAnsi="宋体" w:cs="宋体"/>
          <w:color w:val="auto"/>
          <w:szCs w:val="24"/>
          <w:highlight w:val="none"/>
        </w:rPr>
      </w:pPr>
      <w:r>
        <w:rPr>
          <w:rFonts w:hint="eastAsia" w:ascii="宋体" w:hAnsi="宋体" w:cs="宋体"/>
          <w:color w:val="auto"/>
          <w:szCs w:val="24"/>
          <w:highlight w:val="none"/>
        </w:rPr>
        <w:t>(</w:t>
      </w:r>
      <w:r>
        <w:rPr>
          <w:rFonts w:hint="eastAsia" w:ascii="宋体" w:hAnsi="宋体" w:cs="宋体"/>
          <w:color w:val="auto"/>
          <w:szCs w:val="24"/>
          <w:highlight w:val="none"/>
          <w:lang w:val="en-US" w:eastAsia="zh-CN"/>
        </w:rPr>
        <w:t>八</w:t>
      </w:r>
      <w:r>
        <w:rPr>
          <w:rFonts w:hint="eastAsia" w:ascii="宋体" w:hAnsi="宋体" w:cs="宋体"/>
          <w:color w:val="auto"/>
          <w:szCs w:val="24"/>
          <w:highlight w:val="none"/>
        </w:rPr>
        <w:t>)其他未尽事宜应严格按照《财政部关于进一步加强政府采购需求和履约验收管理的指导意见》(财库〔2016〕205号)、《雅安市财政局关于规范政府采购履约验收工作的通知》（雅财采〔2021〕50号)和相关要求进行验收。</w:t>
      </w:r>
    </w:p>
    <w:p w14:paraId="4CA52BED">
      <w:pPr>
        <w:wordWrap w:val="0"/>
        <w:topLinePunct/>
        <w:adjustRightInd w:val="0"/>
        <w:snapToGrid w:val="0"/>
        <w:spacing w:line="360" w:lineRule="auto"/>
        <w:ind w:left="480" w:leftChars="200"/>
        <w:outlineLvl w:val="1"/>
        <w:rPr>
          <w:rFonts w:ascii="宋体" w:hAnsi="宋体" w:cs="宋体"/>
          <w:b/>
          <w:color w:val="auto"/>
          <w:szCs w:val="24"/>
          <w:highlight w:val="none"/>
        </w:rPr>
      </w:pPr>
      <w:bookmarkStart w:id="33" w:name="_Toc12397"/>
      <w:bookmarkStart w:id="34" w:name="_Toc217446111"/>
      <w:bookmarkStart w:id="35" w:name="_Toc30836"/>
      <w:bookmarkStart w:id="36" w:name="_Toc23384"/>
      <w:bookmarkStart w:id="37" w:name="_Toc16880"/>
      <w:bookmarkStart w:id="38" w:name="_Toc24040"/>
      <w:bookmarkStart w:id="39" w:name="_Toc5232"/>
      <w:bookmarkStart w:id="40" w:name="_Toc13487"/>
      <w:bookmarkStart w:id="41" w:name="_Toc27152"/>
      <w:r>
        <w:rPr>
          <w:rFonts w:hint="eastAsia" w:ascii="宋体" w:hAnsi="宋体" w:cs="宋体"/>
          <w:b/>
          <w:color w:val="auto"/>
          <w:szCs w:val="24"/>
          <w:highlight w:val="none"/>
        </w:rPr>
        <w:t>七、付款方式</w:t>
      </w:r>
      <w:bookmarkEnd w:id="33"/>
      <w:bookmarkEnd w:id="34"/>
      <w:bookmarkEnd w:id="35"/>
      <w:bookmarkEnd w:id="36"/>
      <w:bookmarkEnd w:id="37"/>
      <w:bookmarkEnd w:id="38"/>
      <w:bookmarkEnd w:id="39"/>
      <w:bookmarkEnd w:id="40"/>
      <w:bookmarkEnd w:id="41"/>
      <w:r>
        <w:rPr>
          <w:rFonts w:hint="eastAsia" w:ascii="宋体" w:hAnsi="宋体" w:cs="宋体"/>
          <w:b/>
          <w:color w:val="auto"/>
          <w:szCs w:val="24"/>
          <w:highlight w:val="none"/>
        </w:rPr>
        <w:t xml:space="preserve"> </w:t>
      </w:r>
    </w:p>
    <w:p w14:paraId="1A676E57">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据实结算，签订合同后</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日内采购人向成交供应商支付采购预算金额的40%；根据成交供应商每季度已完成工作量达到付款条件起10日内进行据实结算（须抵扣前期预付款）。据实结算金额达到合同金额的100%后，采购人可与成交供应商结束履约或签订法律法规允许范围内的补充合同。</w:t>
      </w:r>
    </w:p>
    <w:p w14:paraId="2CBF0363">
      <w:pPr>
        <w:numPr>
          <w:ilvl w:val="1"/>
          <w:numId w:val="0"/>
        </w:numPr>
        <w:wordWrap w:val="0"/>
        <w:topLinePunct/>
        <w:spacing w:line="360" w:lineRule="auto"/>
        <w:ind w:firstLine="480" w:firstLineChars="200"/>
        <w:rPr>
          <w:rFonts w:hint="eastAsia" w:ascii="宋体" w:hAnsi="宋体" w:cs="宋体"/>
          <w:color w:val="auto"/>
          <w:szCs w:val="24"/>
          <w:highlight w:val="none"/>
        </w:rPr>
      </w:pPr>
      <w:r>
        <w:rPr>
          <w:rFonts w:hint="eastAsia" w:ascii="宋体" w:hAnsi="宋体" w:eastAsia="宋体" w:cs="宋体"/>
          <w:color w:val="auto"/>
          <w:kern w:val="2"/>
          <w:sz w:val="24"/>
          <w:szCs w:val="24"/>
          <w:highlight w:val="none"/>
          <w:lang w:val="en-US" w:eastAsia="zh-CN" w:bidi="ar-SA"/>
        </w:rPr>
        <w:t>(二)</w:t>
      </w:r>
      <w:r>
        <w:rPr>
          <w:rFonts w:hint="eastAsia" w:ascii="宋体" w:hAnsi="宋体" w:cs="宋体"/>
          <w:color w:val="auto"/>
          <w:szCs w:val="24"/>
          <w:highlight w:val="none"/>
        </w:rPr>
        <w:t>履约保证金：本项目不收取履约保证金。</w:t>
      </w:r>
    </w:p>
    <w:p w14:paraId="46A53E0E">
      <w:pPr>
        <w:numPr>
          <w:ilvl w:val="1"/>
          <w:numId w:val="0"/>
        </w:numPr>
        <w:wordWrap w:val="0"/>
        <w:topLinePunct/>
        <w:spacing w:line="360" w:lineRule="auto"/>
        <w:ind w:firstLine="480" w:firstLineChars="200"/>
        <w:rPr>
          <w:rFonts w:ascii="宋体" w:hAnsi="宋体" w:cs="宋体"/>
          <w:color w:val="auto"/>
          <w:szCs w:val="24"/>
          <w:highlight w:val="none"/>
        </w:rPr>
      </w:pPr>
      <w:r>
        <w:rPr>
          <w:rFonts w:hint="eastAsia" w:ascii="宋体" w:hAnsi="宋体" w:eastAsia="宋体" w:cs="宋体"/>
          <w:color w:val="auto"/>
          <w:kern w:val="2"/>
          <w:sz w:val="24"/>
          <w:szCs w:val="24"/>
          <w:highlight w:val="none"/>
          <w:lang w:val="en-US" w:eastAsia="zh-CN" w:bidi="ar-SA"/>
        </w:rPr>
        <w:t>(三)</w:t>
      </w:r>
      <w:r>
        <w:rPr>
          <w:rFonts w:hint="eastAsia" w:ascii="宋体" w:hAnsi="宋体" w:cs="宋体"/>
          <w:color w:val="auto"/>
          <w:szCs w:val="24"/>
          <w:highlight w:val="none"/>
        </w:rPr>
        <w:t>每次付款前，供应商须向采购人出具合法有效完整的增值税发票及凭证资料后进行支付结算，付款方式均采用公对公的银行转账，采购人接受转账的开户信息以合同载明的为准。如因供应商未按照要求提供合法有效的发票导致逾期付款的，不视为采购人违约，采购人不承担任何责任。</w:t>
      </w:r>
    </w:p>
    <w:p w14:paraId="0384BF3C">
      <w:pPr>
        <w:numPr>
          <w:ilvl w:val="3"/>
          <w:numId w:val="0"/>
        </w:numPr>
        <w:tabs>
          <w:tab w:val="left" w:pos="0"/>
        </w:tabs>
        <w:wordWrap w:val="0"/>
        <w:topLinePunct/>
        <w:spacing w:line="360" w:lineRule="auto"/>
        <w:ind w:firstLine="480" w:firstLineChars="200"/>
        <w:rPr>
          <w:rFonts w:hint="eastAsia" w:ascii="宋体" w:hAnsi="宋体" w:eastAsia="宋体" w:cs="宋体"/>
          <w:color w:val="auto"/>
          <w:szCs w:val="24"/>
          <w:highlight w:val="none"/>
        </w:rPr>
      </w:pPr>
      <w:bookmarkStart w:id="42" w:name="_Toc8259"/>
      <w:bookmarkStart w:id="43" w:name="_Toc15448"/>
      <w:bookmarkStart w:id="44" w:name="_Toc30733"/>
      <w:bookmarkStart w:id="45" w:name="_Toc18045"/>
      <w:bookmarkStart w:id="46" w:name="_Toc9108"/>
      <w:bookmarkStart w:id="47" w:name="_Toc2843"/>
      <w:bookmarkStart w:id="48" w:name="_Toc14917"/>
      <w:bookmarkStart w:id="49" w:name="_Toc217446112"/>
      <w:bookmarkStart w:id="50" w:name="_Toc29807"/>
      <w:r>
        <w:rPr>
          <w:rFonts w:hint="eastAsia" w:ascii="宋体" w:hAnsi="宋体" w:eastAsia="宋体" w:cs="宋体"/>
          <w:color w:val="auto"/>
          <w:szCs w:val="24"/>
          <w:highlight w:val="none"/>
        </w:rPr>
        <w:t>八、售后服务</w:t>
      </w:r>
      <w:bookmarkEnd w:id="42"/>
      <w:bookmarkEnd w:id="43"/>
      <w:bookmarkEnd w:id="44"/>
      <w:bookmarkEnd w:id="45"/>
      <w:bookmarkEnd w:id="46"/>
      <w:bookmarkEnd w:id="47"/>
      <w:bookmarkEnd w:id="48"/>
      <w:bookmarkEnd w:id="49"/>
      <w:bookmarkEnd w:id="50"/>
    </w:p>
    <w:p w14:paraId="1BBB6E39">
      <w:pPr>
        <w:numPr>
          <w:ilvl w:val="3"/>
          <w:numId w:val="0"/>
        </w:numPr>
        <w:tabs>
          <w:tab w:val="left" w:pos="0"/>
        </w:tabs>
        <w:wordWrap w:val="0"/>
        <w:topLinePunct/>
        <w:spacing w:line="360" w:lineRule="auto"/>
        <w:ind w:firstLine="480" w:firstLineChars="200"/>
        <w:rPr>
          <w:rFonts w:hint="eastAsia" w:ascii="宋体" w:hAnsi="宋体" w:eastAsia="宋体" w:cs="宋体"/>
          <w:color w:val="auto"/>
          <w:szCs w:val="24"/>
          <w:highlight w:val="none"/>
        </w:rPr>
      </w:pPr>
      <w:bookmarkStart w:id="51" w:name="_Toc7772"/>
      <w:bookmarkStart w:id="52" w:name="_Toc22018"/>
      <w:bookmarkStart w:id="53" w:name="_Toc217446113"/>
      <w:bookmarkStart w:id="54" w:name="_Toc12161"/>
      <w:bookmarkStart w:id="55" w:name="_Toc5119"/>
      <w:bookmarkStart w:id="56" w:name="_Toc29284"/>
      <w:r>
        <w:rPr>
          <w:rFonts w:hint="eastAsia" w:ascii="宋体" w:hAnsi="宋体" w:eastAsia="宋体" w:cs="宋体"/>
          <w:color w:val="auto"/>
          <w:szCs w:val="24"/>
          <w:highlight w:val="none"/>
        </w:rPr>
        <w:t>(一)质保期：</w:t>
      </w:r>
      <w:r>
        <w:rPr>
          <w:rFonts w:hint="eastAsia" w:ascii="宋体" w:hAnsi="宋体" w:eastAsia="宋体" w:cs="宋体"/>
          <w:color w:val="auto"/>
          <w:szCs w:val="24"/>
          <w:highlight w:val="none"/>
          <w:lang w:val="en-US" w:eastAsia="zh-CN"/>
        </w:rPr>
        <w:t>1</w:t>
      </w:r>
      <w:r>
        <w:rPr>
          <w:rFonts w:hint="eastAsia" w:ascii="宋体" w:hAnsi="宋体" w:eastAsia="宋体" w:cs="宋体"/>
          <w:color w:val="auto"/>
          <w:szCs w:val="24"/>
          <w:highlight w:val="none"/>
        </w:rPr>
        <w:t>年(质保期为验收合格之日起开始计算)。</w:t>
      </w:r>
    </w:p>
    <w:p w14:paraId="681E7806">
      <w:pPr>
        <w:numPr>
          <w:ilvl w:val="3"/>
          <w:numId w:val="0"/>
        </w:numPr>
        <w:tabs>
          <w:tab w:val="left" w:pos="0"/>
        </w:tabs>
        <w:wordWrap w:val="0"/>
        <w:topLinePunct/>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二</w:t>
      </w:r>
      <w:r>
        <w:rPr>
          <w:rFonts w:hint="eastAsia" w:ascii="宋体" w:hAnsi="宋体" w:eastAsia="宋体" w:cs="宋体"/>
          <w:color w:val="auto"/>
          <w:szCs w:val="24"/>
          <w:highlight w:val="none"/>
        </w:rPr>
        <w:t>)乙方应有完善的技术支持与服务体系，专人负责与</w:t>
      </w:r>
      <w:r>
        <w:rPr>
          <w:rFonts w:hint="eastAsia" w:ascii="宋体" w:hAnsi="宋体" w:eastAsia="宋体" w:cs="宋体"/>
          <w:color w:val="auto"/>
          <w:szCs w:val="24"/>
          <w:highlight w:val="none"/>
          <w:lang w:val="en-US" w:eastAsia="zh-CN"/>
        </w:rPr>
        <w:t>甲方</w:t>
      </w:r>
      <w:r>
        <w:rPr>
          <w:rFonts w:hint="eastAsia" w:ascii="宋体" w:hAnsi="宋体" w:eastAsia="宋体" w:cs="宋体"/>
          <w:color w:val="auto"/>
          <w:szCs w:val="24"/>
          <w:highlight w:val="none"/>
        </w:rPr>
        <w:t>联系售后服务事宜，必要的售后机具配置、具有专门的服务电话，并能提供本地化服务。</w:t>
      </w:r>
    </w:p>
    <w:p w14:paraId="09C92553">
      <w:pPr>
        <w:numPr>
          <w:ilvl w:val="1"/>
          <w:numId w:val="0"/>
        </w:numPr>
        <w:wordWrap w:val="0"/>
        <w:topLinePunct/>
        <w:spacing w:line="360" w:lineRule="auto"/>
        <w:ind w:firstLine="480" w:firstLineChars="200"/>
        <w:rPr>
          <w:rFonts w:hint="eastAsia" w:ascii="宋体" w:hAnsi="宋体" w:cs="宋体"/>
          <w:bCs/>
          <w:color w:val="auto"/>
          <w:szCs w:val="24"/>
          <w:highlight w:val="none"/>
        </w:rPr>
      </w:pPr>
      <w:r>
        <w:rPr>
          <w:rFonts w:hint="eastAsia" w:ascii="宋体" w:hAnsi="宋体" w:cs="宋体"/>
          <w:bCs/>
          <w:color w:val="auto"/>
          <w:szCs w:val="24"/>
          <w:highlight w:val="none"/>
          <w:lang w:eastAsia="zh-CN"/>
        </w:rPr>
        <w:t>（</w:t>
      </w:r>
      <w:r>
        <w:rPr>
          <w:rFonts w:hint="eastAsia" w:ascii="宋体" w:hAnsi="宋体" w:cs="宋体"/>
          <w:bCs/>
          <w:color w:val="auto"/>
          <w:szCs w:val="24"/>
          <w:highlight w:val="none"/>
          <w:lang w:val="en-US" w:eastAsia="zh-CN"/>
        </w:rPr>
        <w:t>三</w:t>
      </w:r>
      <w:r>
        <w:rPr>
          <w:rFonts w:hint="eastAsia" w:ascii="宋体" w:hAnsi="宋体" w:cs="宋体"/>
          <w:bCs/>
          <w:color w:val="auto"/>
          <w:szCs w:val="24"/>
          <w:highlight w:val="none"/>
          <w:lang w:eastAsia="zh-CN"/>
        </w:rPr>
        <w:t>）</w:t>
      </w:r>
      <w:r>
        <w:rPr>
          <w:rFonts w:hint="eastAsia" w:ascii="宋体" w:hAnsi="宋体" w:cs="宋体"/>
          <w:bCs/>
          <w:color w:val="auto"/>
          <w:szCs w:val="24"/>
          <w:highlight w:val="none"/>
        </w:rPr>
        <w:t>质保期内出现质量问题，由</w:t>
      </w:r>
      <w:r>
        <w:rPr>
          <w:rFonts w:hint="eastAsia" w:ascii="宋体" w:hAnsi="宋体" w:cs="宋体"/>
          <w:bCs/>
          <w:color w:val="auto"/>
          <w:szCs w:val="24"/>
          <w:highlight w:val="none"/>
          <w:lang w:val="en-US" w:eastAsia="zh-CN"/>
        </w:rPr>
        <w:t>乙方</w:t>
      </w:r>
      <w:r>
        <w:rPr>
          <w:rFonts w:hint="eastAsia" w:ascii="宋体" w:hAnsi="宋体" w:cs="宋体"/>
          <w:bCs/>
          <w:color w:val="auto"/>
          <w:szCs w:val="24"/>
          <w:highlight w:val="none"/>
        </w:rPr>
        <w:t>负责免费更换。</w:t>
      </w:r>
    </w:p>
    <w:p w14:paraId="22FFC8CC">
      <w:pPr>
        <w:numPr>
          <w:ilvl w:val="1"/>
          <w:numId w:val="0"/>
        </w:numPr>
        <w:wordWrap w:val="0"/>
        <w:topLinePunct/>
        <w:spacing w:line="360" w:lineRule="auto"/>
        <w:ind w:firstLine="480" w:firstLineChars="200"/>
        <w:rPr>
          <w:rFonts w:ascii="宋体" w:hAnsi="宋体" w:cs="宋体"/>
          <w:bCs/>
          <w:color w:val="auto"/>
          <w:szCs w:val="24"/>
          <w:highlight w:val="none"/>
        </w:rPr>
      </w:pPr>
      <w:r>
        <w:rPr>
          <w:rFonts w:hint="eastAsia" w:ascii="宋体" w:hAnsi="宋体" w:cs="宋体"/>
          <w:bCs/>
          <w:color w:val="auto"/>
          <w:szCs w:val="24"/>
          <w:highlight w:val="none"/>
          <w:lang w:eastAsia="zh-CN"/>
        </w:rPr>
        <w:t>（</w:t>
      </w:r>
      <w:r>
        <w:rPr>
          <w:rFonts w:hint="eastAsia" w:ascii="宋体" w:hAnsi="宋体" w:cs="宋体"/>
          <w:bCs/>
          <w:color w:val="auto"/>
          <w:szCs w:val="24"/>
          <w:highlight w:val="none"/>
          <w:lang w:val="en-US" w:eastAsia="zh-CN"/>
        </w:rPr>
        <w:t>四</w:t>
      </w:r>
      <w:r>
        <w:rPr>
          <w:rFonts w:hint="eastAsia" w:ascii="宋体" w:hAnsi="宋体" w:cs="宋体"/>
          <w:bCs/>
          <w:color w:val="auto"/>
          <w:szCs w:val="24"/>
          <w:highlight w:val="none"/>
          <w:lang w:eastAsia="zh-CN"/>
        </w:rPr>
        <w:t>）</w:t>
      </w:r>
      <w:r>
        <w:rPr>
          <w:rFonts w:hint="eastAsia" w:ascii="宋体" w:hAnsi="宋体" w:cs="宋体"/>
          <w:bCs/>
          <w:color w:val="auto"/>
          <w:szCs w:val="24"/>
          <w:highlight w:val="none"/>
          <w:lang w:val="en-US" w:eastAsia="zh-CN"/>
        </w:rPr>
        <w:t>乙方</w:t>
      </w:r>
      <w:r>
        <w:rPr>
          <w:rFonts w:hint="eastAsia" w:ascii="宋体" w:hAnsi="宋体" w:cs="宋体"/>
          <w:bCs/>
          <w:color w:val="auto"/>
          <w:szCs w:val="24"/>
          <w:highlight w:val="none"/>
        </w:rPr>
        <w:t>针对本项目提供的其他有利于项目售后保障措施。</w:t>
      </w:r>
    </w:p>
    <w:p w14:paraId="45C85BBD">
      <w:pPr>
        <w:wordWrap w:val="0"/>
        <w:topLinePunct/>
        <w:adjustRightInd w:val="0"/>
        <w:snapToGrid w:val="0"/>
        <w:spacing w:line="360" w:lineRule="auto"/>
        <w:ind w:left="480" w:leftChars="200"/>
        <w:outlineLvl w:val="1"/>
        <w:rPr>
          <w:rFonts w:ascii="宋体" w:hAnsi="宋体" w:cs="宋体"/>
          <w:b/>
          <w:color w:val="auto"/>
          <w:szCs w:val="24"/>
          <w:highlight w:val="none"/>
        </w:rPr>
      </w:pPr>
      <w:bookmarkStart w:id="57" w:name="_Toc19375"/>
      <w:bookmarkStart w:id="58" w:name="_Toc9142"/>
      <w:r>
        <w:rPr>
          <w:rFonts w:hint="eastAsia" w:ascii="宋体" w:hAnsi="宋体" w:cs="宋体"/>
          <w:b/>
          <w:color w:val="auto"/>
          <w:szCs w:val="24"/>
          <w:highlight w:val="none"/>
        </w:rPr>
        <w:t>九、违约责任</w:t>
      </w:r>
      <w:bookmarkEnd w:id="51"/>
      <w:bookmarkEnd w:id="52"/>
      <w:bookmarkEnd w:id="53"/>
      <w:bookmarkEnd w:id="54"/>
      <w:bookmarkEnd w:id="55"/>
      <w:bookmarkEnd w:id="56"/>
      <w:bookmarkEnd w:id="57"/>
      <w:bookmarkEnd w:id="58"/>
    </w:p>
    <w:p w14:paraId="21E346A4">
      <w:pPr>
        <w:tabs>
          <w:tab w:val="left" w:pos="0"/>
        </w:tabs>
        <w:adjustRightInd w:val="0"/>
        <w:spacing w:line="360" w:lineRule="auto"/>
        <w:ind w:firstLine="480" w:firstLineChars="200"/>
        <w:jc w:val="left"/>
        <w:rPr>
          <w:rFonts w:hint="eastAsia" w:ascii="宋体" w:hAnsi="宋体" w:eastAsia="宋体" w:cs="宋体"/>
          <w:color w:val="auto"/>
          <w:szCs w:val="24"/>
          <w:highlight w:val="none"/>
          <w:lang w:val="en-US" w:eastAsia="zh-CN"/>
        </w:rPr>
      </w:pPr>
      <w:bookmarkStart w:id="59" w:name="_Toc7980"/>
      <w:bookmarkStart w:id="60" w:name="_Toc4725"/>
      <w:bookmarkStart w:id="61" w:name="_Toc7150"/>
      <w:bookmarkStart w:id="62" w:name="_Toc577"/>
      <w:bookmarkStart w:id="63" w:name="_Toc22826"/>
      <w:bookmarkStart w:id="64" w:name="_Toc25607"/>
      <w:bookmarkStart w:id="65" w:name="_Toc217446114"/>
      <w:bookmarkStart w:id="66" w:name="_Toc29862"/>
      <w:bookmarkStart w:id="67" w:name="_Toc30469"/>
      <w:r>
        <w:rPr>
          <w:rFonts w:hint="eastAsia" w:ascii="宋体" w:hAnsi="宋体" w:eastAsia="宋体" w:cs="宋体"/>
          <w:color w:val="auto"/>
          <w:szCs w:val="24"/>
          <w:highlight w:val="none"/>
          <w:lang w:val="en-US" w:eastAsia="zh-CN"/>
        </w:rPr>
        <w:t xml:space="preserve">（一）甲方违约责任 </w:t>
      </w:r>
    </w:p>
    <w:p w14:paraId="517C894C">
      <w:pPr>
        <w:tabs>
          <w:tab w:val="left" w:pos="0"/>
        </w:tabs>
        <w:adjustRightInd w:val="0"/>
        <w:spacing w:line="360" w:lineRule="auto"/>
        <w:ind w:firstLine="480" w:firstLineChars="200"/>
        <w:jc w:val="left"/>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en-US" w:eastAsia="zh-CN"/>
        </w:rPr>
        <w:t>1.甲方逾期支付合同款的，除应及时付足合同款外，应向乙方偿付逾期欠款总额以合同订立时1年期贷款市场报价利率的违约金；逾期付款超过 30 天的，乙方有权终止合同；</w:t>
      </w:r>
    </w:p>
    <w:p w14:paraId="4127F74C">
      <w:pPr>
        <w:tabs>
          <w:tab w:val="left" w:pos="0"/>
        </w:tabs>
        <w:adjustRightInd w:val="0"/>
        <w:spacing w:line="360" w:lineRule="auto"/>
        <w:ind w:firstLine="480" w:firstLineChars="200"/>
        <w:jc w:val="left"/>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en-US" w:eastAsia="zh-CN"/>
        </w:rPr>
        <w:t>2.甲方偿付的违约金不足以弥补乙方损失的，还应按乙方经济损失尚未弥补的部分，支付赔偿金给乙方。</w:t>
      </w:r>
    </w:p>
    <w:p w14:paraId="2B053DBF">
      <w:pPr>
        <w:tabs>
          <w:tab w:val="left" w:pos="0"/>
        </w:tabs>
        <w:adjustRightInd w:val="0"/>
        <w:spacing w:line="360" w:lineRule="auto"/>
        <w:ind w:firstLine="480" w:firstLineChars="200"/>
        <w:jc w:val="left"/>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en-US" w:eastAsia="zh-CN"/>
        </w:rPr>
        <w:t>（二）乙方违约责任</w:t>
      </w:r>
    </w:p>
    <w:p w14:paraId="791C9370">
      <w:pPr>
        <w:tabs>
          <w:tab w:val="left" w:pos="0"/>
        </w:tabs>
        <w:adjustRightInd w:val="0"/>
        <w:spacing w:line="360" w:lineRule="auto"/>
        <w:ind w:firstLine="480" w:firstLineChars="200"/>
        <w:jc w:val="left"/>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en-US" w:eastAsia="zh-CN"/>
        </w:rPr>
        <w:t xml:space="preserve">1.乙方必须遵守采购合同并执行合同中的各项规定，保证采购合同的正常履行。 </w:t>
      </w:r>
    </w:p>
    <w:p w14:paraId="75616E3A">
      <w:pPr>
        <w:tabs>
          <w:tab w:val="left" w:pos="0"/>
        </w:tabs>
        <w:adjustRightInd w:val="0"/>
        <w:spacing w:line="360" w:lineRule="auto"/>
        <w:ind w:firstLine="480" w:firstLineChars="200"/>
        <w:jc w:val="left"/>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en-US" w:eastAsia="zh-CN"/>
        </w:rPr>
        <w:t xml:space="preserve">2.如因乙方工作人员在履行职务过程中的疏忽、失职、过错等故意或者过失原因给甲方造成损失或侵害，包括但不限于甲方本身的财产损失、由此而导致的甲方对任何第三方的法律责任等，乙方对此均应承担全部的赔偿责任。 </w:t>
      </w:r>
    </w:p>
    <w:p w14:paraId="4280A7D4">
      <w:pPr>
        <w:tabs>
          <w:tab w:val="left" w:pos="0"/>
        </w:tabs>
        <w:adjustRightInd w:val="0"/>
        <w:spacing w:line="360" w:lineRule="auto"/>
        <w:ind w:firstLine="480" w:firstLineChars="200"/>
        <w:jc w:val="left"/>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en-US" w:eastAsia="zh-CN"/>
        </w:rPr>
        <w:t>3.乙方必须遵守采购合同按时完成合同相关工作，若由于乙方原因导致合同迟延履行，乙方应承担采购合同中约定的违约责任。</w:t>
      </w:r>
    </w:p>
    <w:p w14:paraId="7FCC53D4">
      <w:pPr>
        <w:tabs>
          <w:tab w:val="left" w:pos="0"/>
        </w:tabs>
        <w:adjustRightInd w:val="0"/>
        <w:spacing w:line="360" w:lineRule="auto"/>
        <w:ind w:firstLine="480" w:firstLineChars="200"/>
        <w:jc w:val="left"/>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en-US" w:eastAsia="zh-CN"/>
        </w:rPr>
        <w:t>4.乙方交付的货物不符合合同规定的，乙方应向甲方支付合同总价的5%的违约金，并须在合同规定的交付时间内交付合格的货物给甲方，否则，视作乙方不能交付货物而违约，按本条本款下述第“（5）”项规定由乙方偿付违约赔偿金给甲方。</w:t>
      </w:r>
    </w:p>
    <w:p w14:paraId="1B0F49D2">
      <w:pPr>
        <w:tabs>
          <w:tab w:val="left" w:pos="0"/>
        </w:tabs>
        <w:adjustRightInd w:val="0"/>
        <w:spacing w:line="360" w:lineRule="auto"/>
        <w:ind w:firstLine="480" w:firstLineChars="200"/>
        <w:jc w:val="left"/>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en-US" w:eastAsia="zh-CN"/>
        </w:rPr>
        <w:t xml:space="preserve">5.乙方不能交付货物或逾期交付货物而违约的，除应及时交付货物外，应向甲方偿付逾期交付部分费用总额的万分之五/天的违约金；逾期交付超过30天，甲方有权终止合同，乙方则应按合同总价的20%的款额向甲方偿付赔偿金，并须全额退还甲方已经付给乙方的合同费用及其利息。 </w:t>
      </w:r>
    </w:p>
    <w:p w14:paraId="1FCC9529">
      <w:pPr>
        <w:tabs>
          <w:tab w:val="left" w:pos="0"/>
        </w:tabs>
        <w:adjustRightInd w:val="0"/>
        <w:spacing w:line="360" w:lineRule="auto"/>
        <w:ind w:firstLine="480" w:firstLineChars="200"/>
        <w:jc w:val="left"/>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en-US" w:eastAsia="zh-CN"/>
        </w:rPr>
        <w:t>6.乙方应当遵守甲方的相关项目需求及相关技术要求及实质性条款，实施完成采购合同应当完全满足相关项目需求及相关技术要求及实质性条款，若乙方瑕疵履行采购合同，甲方有权向乙方要求赔偿合同总价款20%的违约金，若造成相关损失的，甲方有权要求乙方承担所有赔偿责任。</w:t>
      </w:r>
    </w:p>
    <w:p w14:paraId="484E1311">
      <w:pPr>
        <w:tabs>
          <w:tab w:val="left" w:pos="0"/>
        </w:tabs>
        <w:adjustRightInd w:val="0"/>
        <w:spacing w:line="360" w:lineRule="auto"/>
        <w:ind w:firstLine="480" w:firstLineChars="200"/>
        <w:jc w:val="left"/>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en-US" w:eastAsia="zh-CN"/>
        </w:rPr>
        <w:t xml:space="preserve">7.乙方提供的货物经甲方送交具有法定资格条件的技术监督机构检测后，如检测结果认定不符合本合同规定标准的，则视为乙方没有按时交付而违约，乙方须在7日内无条件提供符合规定的货物，如逾期不能提供符合规定的货物，甲方有权终止本合同，乙方应另付合同总价的5%的赔偿金给甲方。     </w:t>
      </w:r>
    </w:p>
    <w:p w14:paraId="24F4E338">
      <w:pPr>
        <w:tabs>
          <w:tab w:val="left" w:pos="0"/>
        </w:tabs>
        <w:adjustRightInd w:val="0"/>
        <w:spacing w:line="360" w:lineRule="auto"/>
        <w:ind w:firstLine="480" w:firstLineChars="200"/>
        <w:jc w:val="left"/>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en-US" w:eastAsia="zh-CN"/>
        </w:rPr>
        <w:t>8.乙方偿付的违约金不足以弥补甲方损失的，还应按甲方损失尚未弥补的部分，支付赔偿金给甲方。</w:t>
      </w:r>
    </w:p>
    <w:p w14:paraId="37F53687">
      <w:pPr>
        <w:wordWrap w:val="0"/>
        <w:topLinePunct/>
        <w:adjustRightInd w:val="0"/>
        <w:snapToGrid w:val="0"/>
        <w:spacing w:line="360" w:lineRule="auto"/>
        <w:ind w:left="480" w:leftChars="200"/>
        <w:outlineLvl w:val="1"/>
        <w:rPr>
          <w:rFonts w:ascii="宋体" w:hAnsi="宋体" w:cs="宋体"/>
          <w:b/>
          <w:color w:val="auto"/>
          <w:szCs w:val="24"/>
          <w:highlight w:val="none"/>
        </w:rPr>
      </w:pPr>
      <w:r>
        <w:rPr>
          <w:rFonts w:hint="eastAsia" w:ascii="宋体" w:hAnsi="宋体" w:cs="宋体"/>
          <w:b/>
          <w:color w:val="auto"/>
          <w:szCs w:val="24"/>
          <w:highlight w:val="none"/>
        </w:rPr>
        <w:t>十、争议解决的方法</w:t>
      </w:r>
      <w:bookmarkEnd w:id="59"/>
      <w:bookmarkEnd w:id="60"/>
      <w:bookmarkEnd w:id="61"/>
      <w:bookmarkEnd w:id="62"/>
      <w:bookmarkEnd w:id="63"/>
      <w:bookmarkEnd w:id="64"/>
      <w:bookmarkEnd w:id="65"/>
      <w:bookmarkEnd w:id="66"/>
      <w:bookmarkEnd w:id="67"/>
    </w:p>
    <w:p w14:paraId="3E68D2FF">
      <w:pPr>
        <w:wordWrap w:val="0"/>
        <w:topLinePunct/>
        <w:adjustRightInd w:val="0"/>
        <w:spacing w:line="360" w:lineRule="auto"/>
        <w:ind w:firstLine="480" w:firstLineChars="200"/>
        <w:rPr>
          <w:rFonts w:ascii="宋体" w:hAnsi="宋体" w:cs="宋体"/>
          <w:color w:val="auto"/>
          <w:szCs w:val="24"/>
          <w:highlight w:val="none"/>
        </w:rPr>
      </w:pPr>
      <w:r>
        <w:rPr>
          <w:rFonts w:hint="eastAsia" w:ascii="宋体" w:hAnsi="宋体" w:cs="宋体"/>
          <w:color w:val="auto"/>
          <w:szCs w:val="24"/>
          <w:highlight w:val="none"/>
        </w:rPr>
        <w:t>1.因货物的质量问题发生争议，由甲方或其指定的第三方机构进行质量鉴定。货物符合标准的，鉴定费由甲方承担；货物不符合质量标准的，鉴定费由乙方承担。</w:t>
      </w:r>
    </w:p>
    <w:p w14:paraId="5D78067B">
      <w:pPr>
        <w:tabs>
          <w:tab w:val="left" w:pos="0"/>
        </w:tabs>
        <w:adjustRightInd w:val="0"/>
        <w:spacing w:line="360" w:lineRule="auto"/>
        <w:ind w:firstLine="480" w:firstLineChars="200"/>
        <w:jc w:val="left"/>
        <w:rPr>
          <w:rFonts w:ascii="宋体" w:hAnsi="宋体" w:cs="宋体"/>
          <w:color w:val="auto"/>
          <w:szCs w:val="24"/>
          <w:highlight w:val="none"/>
        </w:rPr>
      </w:pPr>
      <w:r>
        <w:rPr>
          <w:rFonts w:hint="eastAsia" w:ascii="宋体" w:hAnsi="宋体" w:cs="宋体"/>
          <w:color w:val="auto"/>
          <w:szCs w:val="24"/>
          <w:highlight w:val="none"/>
        </w:rPr>
        <w:t>2.合同履行期间，若双方发生争议，可协商或由有关部门调解解决，协商或调解不成的，按照下列方式解决(任选一项，且只能选择一项，在选定的一项前的方框内打“√”)：</w:t>
      </w:r>
    </w:p>
    <w:p w14:paraId="3E4A6886">
      <w:pPr>
        <w:tabs>
          <w:tab w:val="left" w:pos="0"/>
        </w:tabs>
        <w:adjustRightInd w:val="0"/>
        <w:spacing w:line="360" w:lineRule="auto"/>
        <w:ind w:firstLine="480" w:firstLineChars="200"/>
        <w:jc w:val="left"/>
        <w:rPr>
          <w:rFonts w:ascii="宋体" w:hAnsi="宋体" w:cs="宋体"/>
          <w:color w:val="auto"/>
          <w:szCs w:val="24"/>
          <w:highlight w:val="none"/>
        </w:rPr>
      </w:pPr>
      <w:r>
        <w:rPr>
          <w:rFonts w:hint="eastAsia" w:ascii="宋体" w:hAnsi="宋体" w:cs="宋体"/>
          <w:color w:val="auto"/>
          <w:szCs w:val="24"/>
          <w:highlight w:val="none"/>
        </w:rPr>
        <w:sym w:font="Wingdings 2" w:char="00A3"/>
      </w:r>
      <w:r>
        <w:rPr>
          <w:rFonts w:hint="eastAsia" w:ascii="宋体" w:hAnsi="宋体" w:cs="宋体"/>
          <w:color w:val="auto"/>
          <w:szCs w:val="24"/>
          <w:highlight w:val="none"/>
        </w:rPr>
        <w:t xml:space="preserve"> 向</w:t>
      </w:r>
      <w:r>
        <w:rPr>
          <w:rFonts w:hint="eastAsia" w:ascii="宋体" w:hAnsi="宋体" w:cs="宋体"/>
          <w:color w:val="auto"/>
          <w:szCs w:val="24"/>
          <w:highlight w:val="none"/>
          <w:u w:val="single"/>
        </w:rPr>
        <w:t>雅安</w:t>
      </w:r>
      <w:r>
        <w:rPr>
          <w:rFonts w:hint="eastAsia" w:ascii="宋体" w:hAnsi="宋体" w:cs="宋体"/>
          <w:color w:val="auto"/>
          <w:szCs w:val="24"/>
          <w:highlight w:val="none"/>
        </w:rPr>
        <w:t>仲裁委员会申请仲裁；</w:t>
      </w:r>
      <w:r>
        <w:rPr>
          <w:rFonts w:hint="eastAsia" w:ascii="宋体" w:hAnsi="宋体" w:cs="宋体"/>
          <w:color w:val="auto"/>
          <w:szCs w:val="24"/>
          <w:highlight w:val="none"/>
          <w:lang w:eastAsia="zh-CN"/>
        </w:rPr>
        <w:t>☑</w:t>
      </w:r>
      <w:r>
        <w:rPr>
          <w:rFonts w:hint="eastAsia" w:ascii="宋体" w:hAnsi="宋体" w:cs="宋体"/>
          <w:color w:val="auto"/>
          <w:szCs w:val="24"/>
          <w:highlight w:val="none"/>
        </w:rPr>
        <w:t xml:space="preserve"> 向</w:t>
      </w:r>
      <w:r>
        <w:rPr>
          <w:rFonts w:hint="eastAsia" w:ascii="宋体" w:hAnsi="宋体" w:cs="宋体"/>
          <w:color w:val="auto"/>
          <w:szCs w:val="24"/>
          <w:highlight w:val="none"/>
          <w:u w:val="single"/>
        </w:rPr>
        <w:t xml:space="preserve"> </w:t>
      </w:r>
      <w:r>
        <w:rPr>
          <w:rFonts w:hint="eastAsia" w:ascii="宋体" w:hAnsi="宋体" w:cs="宋体"/>
          <w:color w:val="auto"/>
          <w:szCs w:val="24"/>
          <w:highlight w:val="none"/>
          <w:u w:val="single"/>
          <w:lang w:val="en-US" w:eastAsia="zh-CN"/>
        </w:rPr>
        <w:t>甲方</w:t>
      </w:r>
      <w:r>
        <w:rPr>
          <w:rFonts w:hint="eastAsia" w:ascii="宋体" w:hAnsi="宋体" w:cs="宋体"/>
          <w:color w:val="auto"/>
          <w:szCs w:val="24"/>
          <w:highlight w:val="none"/>
          <w:u w:val="single"/>
        </w:rPr>
        <w:t xml:space="preserve"> </w:t>
      </w:r>
      <w:r>
        <w:rPr>
          <w:rFonts w:hint="eastAsia" w:ascii="宋体" w:hAnsi="宋体" w:cs="宋体"/>
          <w:color w:val="auto"/>
          <w:szCs w:val="24"/>
          <w:highlight w:val="none"/>
        </w:rPr>
        <w:t>所在地人民法院起诉。</w:t>
      </w:r>
    </w:p>
    <w:p w14:paraId="6D03B0E0">
      <w:pPr>
        <w:tabs>
          <w:tab w:val="left" w:pos="0"/>
        </w:tabs>
        <w:adjustRightInd w:val="0"/>
        <w:spacing w:line="360" w:lineRule="auto"/>
        <w:ind w:firstLine="480" w:firstLineChars="200"/>
        <w:jc w:val="left"/>
        <w:rPr>
          <w:rFonts w:ascii="宋体" w:hAnsi="宋体" w:cs="宋体"/>
          <w:color w:val="auto"/>
          <w:szCs w:val="24"/>
          <w:highlight w:val="none"/>
        </w:rPr>
      </w:pPr>
      <w:r>
        <w:rPr>
          <w:rFonts w:hint="eastAsia" w:ascii="宋体" w:hAnsi="宋体" w:cs="宋体"/>
          <w:color w:val="auto"/>
          <w:szCs w:val="24"/>
          <w:highlight w:val="none"/>
        </w:rPr>
        <w:t>3.</w:t>
      </w:r>
      <w:r>
        <w:rPr>
          <w:rFonts w:hint="eastAsia" w:ascii="宋体" w:hAnsi="宋体" w:cs="宋体"/>
          <w:color w:val="auto"/>
          <w:szCs w:val="24"/>
          <w:highlight w:val="none"/>
          <w:lang w:val="en-US" w:eastAsia="zh-CN"/>
        </w:rPr>
        <w:t>诉讼结果</w:t>
      </w:r>
      <w:r>
        <w:rPr>
          <w:rFonts w:hint="eastAsia" w:ascii="宋体" w:hAnsi="宋体" w:cs="宋体"/>
          <w:color w:val="auto"/>
          <w:szCs w:val="24"/>
          <w:highlight w:val="none"/>
        </w:rPr>
        <w:t>应为最终决定，并对双方具有约束力。</w:t>
      </w:r>
    </w:p>
    <w:p w14:paraId="3F3060DF">
      <w:pPr>
        <w:tabs>
          <w:tab w:val="left" w:pos="0"/>
        </w:tabs>
        <w:adjustRightInd w:val="0"/>
        <w:spacing w:line="360" w:lineRule="auto"/>
        <w:ind w:firstLine="480" w:firstLineChars="200"/>
        <w:jc w:val="left"/>
        <w:rPr>
          <w:rFonts w:ascii="宋体" w:hAnsi="宋体" w:cs="宋体"/>
          <w:color w:val="auto"/>
          <w:szCs w:val="24"/>
          <w:highlight w:val="none"/>
        </w:rPr>
      </w:pPr>
      <w:r>
        <w:rPr>
          <w:rFonts w:hint="eastAsia" w:ascii="宋体" w:hAnsi="宋体" w:cs="宋体"/>
          <w:color w:val="auto"/>
          <w:szCs w:val="24"/>
          <w:highlight w:val="none"/>
        </w:rPr>
        <w:t>4.除另有</w:t>
      </w:r>
      <w:r>
        <w:rPr>
          <w:rFonts w:hint="eastAsia" w:ascii="宋体" w:hAnsi="宋体" w:cs="宋体"/>
          <w:color w:val="auto"/>
          <w:szCs w:val="24"/>
          <w:highlight w:val="none"/>
          <w:lang w:val="en-US" w:eastAsia="zh-CN"/>
        </w:rPr>
        <w:t>诉讼</w:t>
      </w:r>
      <w:r>
        <w:rPr>
          <w:rFonts w:hint="eastAsia" w:ascii="宋体" w:hAnsi="宋体" w:cs="宋体"/>
          <w:color w:val="auto"/>
          <w:szCs w:val="24"/>
          <w:highlight w:val="none"/>
        </w:rPr>
        <w:t>外，</w:t>
      </w:r>
      <w:r>
        <w:rPr>
          <w:rFonts w:hint="eastAsia" w:ascii="宋体" w:hAnsi="宋体" w:cs="宋体"/>
          <w:color w:val="auto"/>
          <w:szCs w:val="24"/>
          <w:highlight w:val="none"/>
          <w:lang w:val="en-US" w:eastAsia="zh-CN"/>
        </w:rPr>
        <w:t>诉讼</w:t>
      </w:r>
      <w:r>
        <w:rPr>
          <w:rFonts w:hint="eastAsia" w:ascii="宋体" w:hAnsi="宋体" w:cs="宋体"/>
          <w:color w:val="auto"/>
          <w:szCs w:val="24"/>
          <w:highlight w:val="none"/>
        </w:rPr>
        <w:t xml:space="preserve">费应由败诉方负担。 </w:t>
      </w:r>
    </w:p>
    <w:p w14:paraId="6F8D50BB">
      <w:pPr>
        <w:tabs>
          <w:tab w:val="left" w:pos="0"/>
        </w:tabs>
        <w:adjustRightInd w:val="0"/>
        <w:spacing w:line="360" w:lineRule="auto"/>
        <w:ind w:firstLine="480" w:firstLineChars="200"/>
        <w:jc w:val="left"/>
        <w:rPr>
          <w:rFonts w:ascii="宋体" w:hAnsi="宋体" w:cs="宋体"/>
          <w:color w:val="auto"/>
          <w:szCs w:val="24"/>
          <w:highlight w:val="none"/>
        </w:rPr>
      </w:pPr>
      <w:r>
        <w:rPr>
          <w:rFonts w:hint="eastAsia" w:ascii="宋体" w:hAnsi="宋体" w:cs="宋体"/>
          <w:color w:val="auto"/>
          <w:szCs w:val="24"/>
          <w:highlight w:val="none"/>
        </w:rPr>
        <w:t>5.在</w:t>
      </w:r>
      <w:r>
        <w:rPr>
          <w:rFonts w:hint="eastAsia" w:ascii="宋体" w:hAnsi="宋体" w:cs="宋体"/>
          <w:color w:val="auto"/>
          <w:szCs w:val="24"/>
          <w:highlight w:val="none"/>
          <w:lang w:val="en-US" w:eastAsia="zh-CN"/>
        </w:rPr>
        <w:t>诉讼</w:t>
      </w:r>
      <w:r>
        <w:rPr>
          <w:rFonts w:hint="eastAsia" w:ascii="宋体" w:hAnsi="宋体" w:cs="宋体"/>
          <w:color w:val="auto"/>
          <w:szCs w:val="24"/>
          <w:highlight w:val="none"/>
        </w:rPr>
        <w:t>期间，除正在进行</w:t>
      </w:r>
      <w:r>
        <w:rPr>
          <w:rFonts w:hint="eastAsia" w:ascii="宋体" w:hAnsi="宋体" w:cs="宋体"/>
          <w:color w:val="auto"/>
          <w:szCs w:val="24"/>
          <w:highlight w:val="none"/>
          <w:lang w:val="en-US" w:eastAsia="zh-CN"/>
        </w:rPr>
        <w:t>诉讼</w:t>
      </w:r>
      <w:r>
        <w:rPr>
          <w:rFonts w:hint="eastAsia" w:ascii="宋体" w:hAnsi="宋体" w:cs="宋体"/>
          <w:color w:val="auto"/>
          <w:szCs w:val="24"/>
          <w:highlight w:val="none"/>
        </w:rPr>
        <w:t>部分外，合同其他部分继续执行。</w:t>
      </w:r>
    </w:p>
    <w:p w14:paraId="724C7DBA">
      <w:pPr>
        <w:wordWrap w:val="0"/>
        <w:topLinePunct/>
        <w:adjustRightInd w:val="0"/>
        <w:snapToGrid w:val="0"/>
        <w:spacing w:line="360" w:lineRule="auto"/>
        <w:ind w:left="480" w:leftChars="200"/>
        <w:outlineLvl w:val="1"/>
        <w:rPr>
          <w:rFonts w:ascii="宋体" w:hAnsi="宋体" w:cs="宋体"/>
          <w:b/>
          <w:color w:val="auto"/>
          <w:szCs w:val="24"/>
          <w:highlight w:val="none"/>
        </w:rPr>
      </w:pPr>
      <w:bookmarkStart w:id="68" w:name="_Toc11354"/>
      <w:bookmarkStart w:id="69" w:name="_Toc25669"/>
      <w:bookmarkStart w:id="70" w:name="_Toc14887"/>
      <w:bookmarkStart w:id="71" w:name="_Toc2164"/>
      <w:bookmarkStart w:id="72" w:name="_Toc16731"/>
      <w:bookmarkStart w:id="73" w:name="_Toc20531"/>
      <w:bookmarkStart w:id="74" w:name="_Toc8003"/>
      <w:bookmarkStart w:id="75" w:name="_Toc28943"/>
      <w:bookmarkStart w:id="76" w:name="_Toc217446115"/>
      <w:r>
        <w:rPr>
          <w:rFonts w:hint="eastAsia" w:ascii="宋体" w:hAnsi="宋体" w:cs="宋体"/>
          <w:b/>
          <w:color w:val="auto"/>
          <w:szCs w:val="24"/>
          <w:highlight w:val="none"/>
        </w:rPr>
        <w:t>十一、其他</w:t>
      </w:r>
      <w:bookmarkEnd w:id="68"/>
      <w:bookmarkEnd w:id="69"/>
      <w:bookmarkEnd w:id="70"/>
      <w:bookmarkEnd w:id="71"/>
      <w:bookmarkEnd w:id="72"/>
      <w:bookmarkEnd w:id="73"/>
      <w:bookmarkEnd w:id="74"/>
      <w:bookmarkEnd w:id="75"/>
      <w:bookmarkEnd w:id="76"/>
    </w:p>
    <w:p w14:paraId="0A79CDA3">
      <w:pPr>
        <w:numPr>
          <w:ilvl w:val="1"/>
          <w:numId w:val="0"/>
        </w:numPr>
        <w:wordWrap w:val="0"/>
        <w:topLinePunct/>
        <w:spacing w:line="360" w:lineRule="auto"/>
        <w:ind w:left="240" w:leftChars="0" w:firstLine="480" w:firstLineChars="200"/>
        <w:rPr>
          <w:rFonts w:ascii="宋体" w:hAnsi="宋体" w:cs="宋体"/>
          <w:color w:val="auto"/>
          <w:szCs w:val="24"/>
          <w:highlight w:val="none"/>
        </w:rPr>
      </w:pPr>
      <w:r>
        <w:rPr>
          <w:rFonts w:hint="eastAsia" w:ascii="宋体" w:hAnsi="宋体" w:eastAsia="宋体" w:cs="宋体"/>
          <w:color w:val="auto"/>
          <w:kern w:val="2"/>
          <w:sz w:val="24"/>
          <w:szCs w:val="24"/>
          <w:highlight w:val="none"/>
          <w:lang w:val="en-US" w:eastAsia="zh-CN" w:bidi="ar-SA"/>
        </w:rPr>
        <w:t>(一)</w:t>
      </w:r>
      <w:r>
        <w:rPr>
          <w:rFonts w:hint="eastAsia" w:ascii="宋体" w:hAnsi="宋体" w:cs="宋体"/>
          <w:color w:val="auto"/>
          <w:szCs w:val="24"/>
          <w:highlight w:val="none"/>
        </w:rPr>
        <w:t>如有未尽事宜，由双方依法订立补充合同。</w:t>
      </w:r>
    </w:p>
    <w:p w14:paraId="2DED6365">
      <w:pPr>
        <w:numPr>
          <w:ilvl w:val="1"/>
          <w:numId w:val="0"/>
        </w:numPr>
        <w:wordWrap w:val="0"/>
        <w:topLinePunct/>
        <w:spacing w:line="360" w:lineRule="auto"/>
        <w:ind w:left="240" w:leftChars="0" w:firstLine="480" w:firstLineChars="200"/>
        <w:rPr>
          <w:rFonts w:ascii="宋体" w:hAnsi="宋体" w:cs="宋体"/>
          <w:color w:val="auto"/>
          <w:szCs w:val="24"/>
          <w:highlight w:val="none"/>
        </w:rPr>
      </w:pPr>
      <w:r>
        <w:rPr>
          <w:rFonts w:hint="eastAsia" w:ascii="宋体" w:hAnsi="宋体" w:eastAsia="宋体" w:cs="宋体"/>
          <w:color w:val="auto"/>
          <w:kern w:val="2"/>
          <w:sz w:val="24"/>
          <w:szCs w:val="24"/>
          <w:highlight w:val="none"/>
          <w:lang w:val="en-US" w:eastAsia="zh-CN" w:bidi="ar-SA"/>
        </w:rPr>
        <w:t>(二)</w:t>
      </w:r>
      <w:r>
        <w:rPr>
          <w:rFonts w:hint="eastAsia" w:ascii="宋体" w:hAnsi="宋体" w:cs="宋体"/>
          <w:color w:val="auto"/>
          <w:szCs w:val="24"/>
          <w:highlight w:val="none"/>
        </w:rPr>
        <w:t>本合同一式六份，自双方签章之日起生效。甲方执三份，乙方、政府采购管理部门、采购代理机构各执一份。</w:t>
      </w:r>
    </w:p>
    <w:p w14:paraId="627754F0">
      <w:pPr>
        <w:wordWrap w:val="0"/>
        <w:topLinePunct/>
        <w:adjustRightInd w:val="0"/>
        <w:snapToGrid w:val="0"/>
        <w:spacing w:line="360" w:lineRule="auto"/>
        <w:ind w:left="480" w:leftChars="200"/>
        <w:outlineLvl w:val="1"/>
        <w:rPr>
          <w:rFonts w:ascii="宋体" w:hAnsi="宋体" w:cs="宋体"/>
          <w:b/>
          <w:color w:val="auto"/>
          <w:szCs w:val="24"/>
          <w:highlight w:val="none"/>
        </w:rPr>
      </w:pPr>
      <w:bookmarkStart w:id="77" w:name="_Toc24755"/>
      <w:bookmarkStart w:id="78" w:name="_Toc25232"/>
      <w:r>
        <w:rPr>
          <w:rFonts w:hint="eastAsia" w:ascii="宋体" w:hAnsi="宋体" w:cs="宋体"/>
          <w:b/>
          <w:color w:val="auto"/>
          <w:szCs w:val="24"/>
          <w:highlight w:val="none"/>
        </w:rPr>
        <w:t>十二、附件</w:t>
      </w:r>
      <w:bookmarkEnd w:id="77"/>
      <w:bookmarkEnd w:id="78"/>
    </w:p>
    <w:p w14:paraId="59DEF0FE">
      <w:pPr>
        <w:numPr>
          <w:ilvl w:val="0"/>
          <w:numId w:val="1"/>
        </w:numPr>
        <w:wordWrap w:val="0"/>
        <w:topLinePunct/>
        <w:adjustRightInd w:val="0"/>
        <w:snapToGrid w:val="0"/>
        <w:spacing w:line="360" w:lineRule="auto"/>
        <w:ind w:firstLine="480" w:firstLineChars="200"/>
        <w:rPr>
          <w:rFonts w:ascii="宋体" w:hAnsi="宋体" w:cs="宋体"/>
          <w:bCs/>
          <w:color w:val="auto"/>
          <w:szCs w:val="24"/>
          <w:highlight w:val="none"/>
        </w:rPr>
      </w:pPr>
      <w:bookmarkStart w:id="79" w:name="_Toc4145"/>
      <w:bookmarkStart w:id="80" w:name="_Toc24636"/>
      <w:r>
        <w:rPr>
          <w:rFonts w:hint="eastAsia" w:ascii="宋体" w:hAnsi="宋体" w:cs="宋体"/>
          <w:bCs/>
          <w:color w:val="auto"/>
          <w:szCs w:val="24"/>
          <w:highlight w:val="none"/>
        </w:rPr>
        <w:t>《</w:t>
      </w:r>
      <w:r>
        <w:rPr>
          <w:rFonts w:hint="eastAsia" w:ascii="宋体" w:hAnsi="宋体" w:cs="宋体"/>
          <w:bCs/>
          <w:color w:val="auto"/>
          <w:szCs w:val="24"/>
          <w:highlight w:val="none"/>
          <w:lang w:eastAsia="zh-CN"/>
        </w:rPr>
        <w:t>竞争性谈判</w:t>
      </w:r>
      <w:r>
        <w:rPr>
          <w:rFonts w:hint="eastAsia" w:ascii="宋体" w:hAnsi="宋体" w:cs="宋体"/>
          <w:bCs/>
          <w:color w:val="auto"/>
          <w:szCs w:val="24"/>
          <w:highlight w:val="none"/>
        </w:rPr>
        <w:t>文件》</w:t>
      </w:r>
      <w:bookmarkEnd w:id="79"/>
      <w:bookmarkEnd w:id="80"/>
      <w:r>
        <w:rPr>
          <w:rFonts w:hint="eastAsia" w:ascii="宋体" w:hAnsi="宋体" w:cs="宋体"/>
          <w:bCs/>
          <w:color w:val="auto"/>
          <w:szCs w:val="24"/>
          <w:highlight w:val="none"/>
        </w:rPr>
        <w:t>。</w:t>
      </w:r>
    </w:p>
    <w:p w14:paraId="0CCCCF60">
      <w:pPr>
        <w:numPr>
          <w:ilvl w:val="0"/>
          <w:numId w:val="1"/>
        </w:numPr>
        <w:wordWrap w:val="0"/>
        <w:topLinePunct/>
        <w:adjustRightInd w:val="0"/>
        <w:snapToGrid w:val="0"/>
        <w:spacing w:line="360" w:lineRule="auto"/>
        <w:ind w:firstLine="480" w:firstLineChars="200"/>
        <w:rPr>
          <w:rFonts w:ascii="宋体" w:hAnsi="宋体" w:cs="宋体"/>
          <w:bCs/>
          <w:color w:val="auto"/>
          <w:szCs w:val="24"/>
          <w:highlight w:val="none"/>
        </w:rPr>
      </w:pPr>
      <w:bookmarkStart w:id="81" w:name="_Toc21850"/>
      <w:bookmarkStart w:id="82" w:name="_Toc25553"/>
      <w:r>
        <w:rPr>
          <w:rFonts w:hint="eastAsia" w:ascii="宋体" w:hAnsi="宋体" w:cs="宋体"/>
          <w:bCs/>
          <w:color w:val="auto"/>
          <w:szCs w:val="24"/>
          <w:highlight w:val="none"/>
        </w:rPr>
        <w:t>项目修改澄清文件（如有）</w:t>
      </w:r>
      <w:bookmarkEnd w:id="81"/>
      <w:bookmarkEnd w:id="82"/>
      <w:r>
        <w:rPr>
          <w:rFonts w:hint="eastAsia" w:ascii="宋体" w:hAnsi="宋体" w:cs="宋体"/>
          <w:bCs/>
          <w:color w:val="auto"/>
          <w:szCs w:val="24"/>
          <w:highlight w:val="none"/>
        </w:rPr>
        <w:t>。</w:t>
      </w:r>
    </w:p>
    <w:p w14:paraId="67120F04">
      <w:pPr>
        <w:numPr>
          <w:ilvl w:val="0"/>
          <w:numId w:val="1"/>
        </w:numPr>
        <w:wordWrap w:val="0"/>
        <w:topLinePunct/>
        <w:adjustRightInd w:val="0"/>
        <w:snapToGrid w:val="0"/>
        <w:spacing w:line="360" w:lineRule="auto"/>
        <w:ind w:firstLine="480" w:firstLineChars="200"/>
        <w:rPr>
          <w:rFonts w:ascii="宋体" w:hAnsi="宋体" w:cs="宋体"/>
          <w:bCs/>
          <w:color w:val="auto"/>
          <w:szCs w:val="24"/>
          <w:highlight w:val="none"/>
        </w:rPr>
      </w:pPr>
      <w:bookmarkStart w:id="83" w:name="_Toc3436"/>
      <w:bookmarkStart w:id="84" w:name="_Toc2739"/>
      <w:r>
        <w:rPr>
          <w:rFonts w:hint="eastAsia" w:ascii="宋体" w:hAnsi="宋体" w:cs="宋体"/>
          <w:bCs/>
          <w:color w:val="auto"/>
          <w:szCs w:val="24"/>
          <w:highlight w:val="none"/>
        </w:rPr>
        <w:t>《响应文件》</w:t>
      </w:r>
      <w:bookmarkEnd w:id="83"/>
      <w:bookmarkEnd w:id="84"/>
      <w:r>
        <w:rPr>
          <w:rFonts w:hint="eastAsia" w:ascii="宋体" w:hAnsi="宋体" w:cs="宋体"/>
          <w:bCs/>
          <w:color w:val="auto"/>
          <w:szCs w:val="24"/>
          <w:highlight w:val="none"/>
        </w:rPr>
        <w:t>。</w:t>
      </w:r>
    </w:p>
    <w:p w14:paraId="064F5B56">
      <w:pPr>
        <w:numPr>
          <w:ilvl w:val="0"/>
          <w:numId w:val="1"/>
        </w:numPr>
        <w:wordWrap w:val="0"/>
        <w:topLinePunct/>
        <w:adjustRightInd w:val="0"/>
        <w:snapToGrid w:val="0"/>
        <w:spacing w:line="360" w:lineRule="auto"/>
        <w:ind w:firstLine="480" w:firstLineChars="200"/>
        <w:rPr>
          <w:rFonts w:ascii="宋体" w:hAnsi="宋体" w:cs="宋体"/>
          <w:bCs/>
          <w:color w:val="auto"/>
          <w:szCs w:val="24"/>
          <w:highlight w:val="none"/>
        </w:rPr>
      </w:pPr>
      <w:bookmarkStart w:id="85" w:name="_Toc6303"/>
      <w:bookmarkStart w:id="86" w:name="_Toc2438"/>
      <w:r>
        <w:rPr>
          <w:rFonts w:hint="eastAsia" w:ascii="宋体" w:hAnsi="宋体" w:cs="宋体"/>
          <w:bCs/>
          <w:color w:val="auto"/>
          <w:szCs w:val="24"/>
          <w:highlight w:val="none"/>
        </w:rPr>
        <w:t>《成交通知书》</w:t>
      </w:r>
      <w:bookmarkEnd w:id="85"/>
      <w:bookmarkEnd w:id="86"/>
      <w:r>
        <w:rPr>
          <w:rFonts w:hint="eastAsia" w:ascii="宋体" w:hAnsi="宋体" w:cs="宋体"/>
          <w:bCs/>
          <w:color w:val="auto"/>
          <w:szCs w:val="24"/>
          <w:highlight w:val="none"/>
        </w:rPr>
        <w:t>。</w:t>
      </w:r>
    </w:p>
    <w:p w14:paraId="570AEABE">
      <w:pPr>
        <w:numPr>
          <w:ilvl w:val="0"/>
          <w:numId w:val="1"/>
        </w:numPr>
        <w:wordWrap w:val="0"/>
        <w:topLinePunct/>
        <w:adjustRightInd w:val="0"/>
        <w:snapToGrid w:val="0"/>
        <w:spacing w:line="360" w:lineRule="auto"/>
        <w:ind w:firstLine="480" w:firstLineChars="200"/>
        <w:rPr>
          <w:rFonts w:ascii="宋体" w:hAnsi="宋体" w:cs="宋体"/>
          <w:bCs/>
          <w:color w:val="auto"/>
          <w:szCs w:val="24"/>
          <w:highlight w:val="none"/>
        </w:rPr>
      </w:pPr>
      <w:bookmarkStart w:id="87" w:name="_Toc24787"/>
      <w:bookmarkStart w:id="88" w:name="_Toc26039"/>
      <w:r>
        <w:rPr>
          <w:rFonts w:hint="eastAsia" w:ascii="宋体" w:hAnsi="宋体" w:cs="宋体"/>
          <w:bCs/>
          <w:color w:val="auto"/>
          <w:szCs w:val="24"/>
          <w:highlight w:val="none"/>
        </w:rPr>
        <w:t>补充合同（如有）</w:t>
      </w:r>
      <w:bookmarkEnd w:id="87"/>
      <w:bookmarkEnd w:id="88"/>
      <w:r>
        <w:rPr>
          <w:rFonts w:hint="eastAsia" w:ascii="宋体" w:hAnsi="宋体" w:cs="宋体"/>
          <w:bCs/>
          <w:color w:val="auto"/>
          <w:szCs w:val="24"/>
          <w:highlight w:val="none"/>
        </w:rPr>
        <w:t>。</w:t>
      </w:r>
    </w:p>
    <w:p w14:paraId="148C1ED2">
      <w:pPr>
        <w:numPr>
          <w:ilvl w:val="0"/>
          <w:numId w:val="1"/>
        </w:numPr>
        <w:wordWrap w:val="0"/>
        <w:topLinePunct/>
        <w:adjustRightInd w:val="0"/>
        <w:snapToGrid w:val="0"/>
        <w:spacing w:line="360" w:lineRule="auto"/>
        <w:ind w:firstLine="480" w:firstLineChars="200"/>
        <w:rPr>
          <w:rFonts w:ascii="宋体" w:hAnsi="宋体" w:cs="宋体"/>
          <w:bCs/>
          <w:color w:val="auto"/>
          <w:szCs w:val="24"/>
          <w:highlight w:val="none"/>
        </w:rPr>
      </w:pPr>
      <w:r>
        <w:rPr>
          <w:rFonts w:hint="eastAsia" w:ascii="宋体" w:hAnsi="宋体" w:cs="宋体"/>
          <w:bCs/>
          <w:color w:val="auto"/>
          <w:szCs w:val="24"/>
          <w:highlight w:val="none"/>
        </w:rPr>
        <w:t>其他（如有）。</w:t>
      </w:r>
    </w:p>
    <w:tbl>
      <w:tblPr>
        <w:tblStyle w:val="3"/>
        <w:tblpPr w:leftFromText="180" w:rightFromText="180" w:vertAnchor="text" w:horzAnchor="page" w:tblpX="1076" w:tblpY="665"/>
        <w:tblOverlap w:val="never"/>
        <w:tblW w:w="9962" w:type="dxa"/>
        <w:tblInd w:w="0" w:type="dxa"/>
        <w:tblLayout w:type="fixed"/>
        <w:tblCellMar>
          <w:top w:w="0" w:type="dxa"/>
          <w:left w:w="108" w:type="dxa"/>
          <w:bottom w:w="0" w:type="dxa"/>
          <w:right w:w="108" w:type="dxa"/>
        </w:tblCellMar>
      </w:tblPr>
      <w:tblGrid>
        <w:gridCol w:w="4981"/>
        <w:gridCol w:w="4981"/>
      </w:tblGrid>
      <w:tr w14:paraId="7C5DC24A">
        <w:tblPrEx>
          <w:tblCellMar>
            <w:top w:w="0" w:type="dxa"/>
            <w:left w:w="108" w:type="dxa"/>
            <w:bottom w:w="0" w:type="dxa"/>
            <w:right w:w="108" w:type="dxa"/>
          </w:tblCellMar>
        </w:tblPrEx>
        <w:trPr>
          <w:trHeight w:val="718" w:hRule="atLeast"/>
        </w:trPr>
        <w:tc>
          <w:tcPr>
            <w:tcW w:w="4981" w:type="dxa"/>
            <w:noWrap w:val="0"/>
            <w:vAlign w:val="center"/>
          </w:tcPr>
          <w:p w14:paraId="117B2974">
            <w:pPr>
              <w:wordWrap w:val="0"/>
              <w:topLinePunct/>
              <w:adjustRightInd w:val="0"/>
              <w:snapToGrid w:val="0"/>
              <w:spacing w:line="360" w:lineRule="auto"/>
              <w:rPr>
                <w:rFonts w:ascii="宋体" w:hAnsi="宋体" w:cs="宋体"/>
                <w:snapToGrid w:val="0"/>
                <w:color w:val="auto"/>
                <w:szCs w:val="24"/>
                <w:highlight w:val="none"/>
              </w:rPr>
            </w:pPr>
            <w:r>
              <w:rPr>
                <w:rFonts w:hint="eastAsia" w:ascii="宋体" w:hAnsi="宋体" w:cs="宋体"/>
                <w:snapToGrid w:val="0"/>
                <w:color w:val="auto"/>
                <w:szCs w:val="24"/>
                <w:highlight w:val="none"/>
              </w:rPr>
              <w:t>甲方：   (盖章)</w:t>
            </w:r>
          </w:p>
        </w:tc>
        <w:tc>
          <w:tcPr>
            <w:tcW w:w="4981" w:type="dxa"/>
            <w:noWrap w:val="0"/>
            <w:vAlign w:val="center"/>
          </w:tcPr>
          <w:p w14:paraId="084C4231">
            <w:pPr>
              <w:wordWrap w:val="0"/>
              <w:topLinePunct/>
              <w:adjustRightInd w:val="0"/>
              <w:snapToGrid w:val="0"/>
              <w:spacing w:line="360" w:lineRule="auto"/>
              <w:rPr>
                <w:rFonts w:ascii="宋体" w:hAnsi="宋体" w:cs="宋体"/>
                <w:snapToGrid w:val="0"/>
                <w:color w:val="auto"/>
                <w:szCs w:val="24"/>
                <w:highlight w:val="none"/>
              </w:rPr>
            </w:pPr>
            <w:r>
              <w:rPr>
                <w:rFonts w:hint="eastAsia" w:ascii="宋体" w:hAnsi="宋体" w:cs="宋体"/>
                <w:snapToGrid w:val="0"/>
                <w:color w:val="auto"/>
                <w:szCs w:val="24"/>
                <w:highlight w:val="none"/>
              </w:rPr>
              <w:t>乙方：   (盖章)</w:t>
            </w:r>
          </w:p>
        </w:tc>
      </w:tr>
      <w:tr w14:paraId="0CB10341">
        <w:tblPrEx>
          <w:tblCellMar>
            <w:top w:w="0" w:type="dxa"/>
            <w:left w:w="108" w:type="dxa"/>
            <w:bottom w:w="0" w:type="dxa"/>
            <w:right w:w="108" w:type="dxa"/>
          </w:tblCellMar>
        </w:tblPrEx>
        <w:trPr>
          <w:trHeight w:val="718" w:hRule="atLeast"/>
        </w:trPr>
        <w:tc>
          <w:tcPr>
            <w:tcW w:w="4981" w:type="dxa"/>
            <w:noWrap w:val="0"/>
            <w:vAlign w:val="center"/>
          </w:tcPr>
          <w:p w14:paraId="2533B58D">
            <w:pPr>
              <w:wordWrap w:val="0"/>
              <w:topLinePunct/>
              <w:adjustRightInd w:val="0"/>
              <w:snapToGrid w:val="0"/>
              <w:spacing w:line="360" w:lineRule="auto"/>
              <w:rPr>
                <w:rFonts w:ascii="宋体" w:hAnsi="宋体" w:cs="宋体"/>
                <w:snapToGrid w:val="0"/>
                <w:color w:val="auto"/>
                <w:szCs w:val="24"/>
                <w:highlight w:val="none"/>
              </w:rPr>
            </w:pPr>
            <w:r>
              <w:rPr>
                <w:rFonts w:hint="eastAsia" w:ascii="宋体" w:hAnsi="宋体" w:cs="宋体"/>
                <w:snapToGrid w:val="0"/>
                <w:color w:val="auto"/>
                <w:szCs w:val="24"/>
                <w:highlight w:val="none"/>
              </w:rPr>
              <w:t>法定代表人(授权代表)：</w:t>
            </w:r>
          </w:p>
        </w:tc>
        <w:tc>
          <w:tcPr>
            <w:tcW w:w="4981" w:type="dxa"/>
            <w:noWrap w:val="0"/>
            <w:vAlign w:val="center"/>
          </w:tcPr>
          <w:p w14:paraId="6A4F5E7D">
            <w:pPr>
              <w:wordWrap w:val="0"/>
              <w:topLinePunct/>
              <w:adjustRightInd w:val="0"/>
              <w:snapToGrid w:val="0"/>
              <w:spacing w:line="360" w:lineRule="auto"/>
              <w:rPr>
                <w:rFonts w:ascii="宋体" w:hAnsi="宋体" w:cs="宋体"/>
                <w:snapToGrid w:val="0"/>
                <w:color w:val="auto"/>
                <w:szCs w:val="24"/>
                <w:highlight w:val="none"/>
              </w:rPr>
            </w:pPr>
            <w:r>
              <w:rPr>
                <w:rFonts w:hint="eastAsia" w:ascii="宋体" w:hAnsi="宋体" w:cs="宋体"/>
                <w:snapToGrid w:val="0"/>
                <w:color w:val="auto"/>
                <w:szCs w:val="24"/>
                <w:highlight w:val="none"/>
              </w:rPr>
              <w:t>法定代表人(授权代表)：</w:t>
            </w:r>
          </w:p>
        </w:tc>
      </w:tr>
      <w:tr w14:paraId="6B7A3716">
        <w:tblPrEx>
          <w:tblCellMar>
            <w:top w:w="0" w:type="dxa"/>
            <w:left w:w="108" w:type="dxa"/>
            <w:bottom w:w="0" w:type="dxa"/>
            <w:right w:w="108" w:type="dxa"/>
          </w:tblCellMar>
        </w:tblPrEx>
        <w:trPr>
          <w:trHeight w:val="718" w:hRule="atLeast"/>
        </w:trPr>
        <w:tc>
          <w:tcPr>
            <w:tcW w:w="4981" w:type="dxa"/>
            <w:noWrap w:val="0"/>
            <w:vAlign w:val="center"/>
          </w:tcPr>
          <w:p w14:paraId="67C6B17B">
            <w:pPr>
              <w:wordWrap w:val="0"/>
              <w:topLinePunct/>
              <w:adjustRightInd w:val="0"/>
              <w:snapToGrid w:val="0"/>
              <w:spacing w:line="360" w:lineRule="auto"/>
              <w:rPr>
                <w:rFonts w:ascii="宋体" w:hAnsi="宋体" w:cs="宋体"/>
                <w:snapToGrid w:val="0"/>
                <w:color w:val="auto"/>
                <w:szCs w:val="24"/>
                <w:highlight w:val="none"/>
              </w:rPr>
            </w:pPr>
            <w:r>
              <w:rPr>
                <w:rFonts w:hint="eastAsia" w:ascii="宋体" w:hAnsi="宋体" w:cs="宋体"/>
                <w:snapToGrid w:val="0"/>
                <w:color w:val="auto"/>
                <w:szCs w:val="24"/>
                <w:highlight w:val="none"/>
              </w:rPr>
              <w:t>地址(住所)：</w:t>
            </w:r>
          </w:p>
        </w:tc>
        <w:tc>
          <w:tcPr>
            <w:tcW w:w="4981" w:type="dxa"/>
            <w:noWrap w:val="0"/>
            <w:vAlign w:val="center"/>
          </w:tcPr>
          <w:p w14:paraId="5224DF89">
            <w:pPr>
              <w:wordWrap w:val="0"/>
              <w:topLinePunct/>
              <w:adjustRightInd w:val="0"/>
              <w:snapToGrid w:val="0"/>
              <w:spacing w:line="360" w:lineRule="auto"/>
              <w:rPr>
                <w:rFonts w:ascii="宋体" w:hAnsi="宋体" w:cs="宋体"/>
                <w:snapToGrid w:val="0"/>
                <w:color w:val="auto"/>
                <w:szCs w:val="24"/>
                <w:highlight w:val="none"/>
              </w:rPr>
            </w:pPr>
            <w:r>
              <w:rPr>
                <w:rFonts w:hint="eastAsia" w:ascii="宋体" w:hAnsi="宋体" w:cs="宋体"/>
                <w:snapToGrid w:val="0"/>
                <w:color w:val="auto"/>
                <w:szCs w:val="24"/>
                <w:highlight w:val="none"/>
              </w:rPr>
              <w:t>地址(住所)：</w:t>
            </w:r>
          </w:p>
        </w:tc>
      </w:tr>
      <w:tr w14:paraId="5ABBFAB2">
        <w:tblPrEx>
          <w:tblCellMar>
            <w:top w:w="0" w:type="dxa"/>
            <w:left w:w="108" w:type="dxa"/>
            <w:bottom w:w="0" w:type="dxa"/>
            <w:right w:w="108" w:type="dxa"/>
          </w:tblCellMar>
        </w:tblPrEx>
        <w:trPr>
          <w:trHeight w:val="718" w:hRule="atLeast"/>
        </w:trPr>
        <w:tc>
          <w:tcPr>
            <w:tcW w:w="4981" w:type="dxa"/>
            <w:noWrap w:val="0"/>
            <w:vAlign w:val="center"/>
          </w:tcPr>
          <w:p w14:paraId="3775E407">
            <w:pPr>
              <w:wordWrap w:val="0"/>
              <w:topLinePunct/>
              <w:adjustRightInd w:val="0"/>
              <w:snapToGrid w:val="0"/>
              <w:spacing w:line="360" w:lineRule="auto"/>
              <w:rPr>
                <w:rFonts w:ascii="宋体" w:hAnsi="宋体" w:cs="宋体"/>
                <w:snapToGrid w:val="0"/>
                <w:color w:val="auto"/>
                <w:szCs w:val="24"/>
                <w:highlight w:val="none"/>
              </w:rPr>
            </w:pPr>
            <w:r>
              <w:rPr>
                <w:rFonts w:hint="eastAsia" w:ascii="宋体" w:hAnsi="宋体" w:cs="宋体"/>
                <w:snapToGrid w:val="0"/>
                <w:color w:val="auto"/>
                <w:szCs w:val="24"/>
                <w:highlight w:val="none"/>
              </w:rPr>
              <w:t>开户银行：</w:t>
            </w:r>
          </w:p>
        </w:tc>
        <w:tc>
          <w:tcPr>
            <w:tcW w:w="4981" w:type="dxa"/>
            <w:noWrap w:val="0"/>
            <w:vAlign w:val="center"/>
          </w:tcPr>
          <w:p w14:paraId="05EFCE42">
            <w:pPr>
              <w:wordWrap w:val="0"/>
              <w:topLinePunct/>
              <w:adjustRightInd w:val="0"/>
              <w:snapToGrid w:val="0"/>
              <w:spacing w:line="360" w:lineRule="auto"/>
              <w:rPr>
                <w:rFonts w:ascii="宋体" w:hAnsi="宋体" w:cs="宋体"/>
                <w:snapToGrid w:val="0"/>
                <w:color w:val="auto"/>
                <w:szCs w:val="24"/>
                <w:highlight w:val="none"/>
              </w:rPr>
            </w:pPr>
            <w:r>
              <w:rPr>
                <w:rFonts w:hint="eastAsia" w:ascii="宋体" w:hAnsi="宋体" w:cs="宋体"/>
                <w:snapToGrid w:val="0"/>
                <w:color w:val="auto"/>
                <w:szCs w:val="24"/>
                <w:highlight w:val="none"/>
              </w:rPr>
              <w:t>开户银行：</w:t>
            </w:r>
          </w:p>
        </w:tc>
      </w:tr>
      <w:tr w14:paraId="183B2420">
        <w:tblPrEx>
          <w:tblCellMar>
            <w:top w:w="0" w:type="dxa"/>
            <w:left w:w="108" w:type="dxa"/>
            <w:bottom w:w="0" w:type="dxa"/>
            <w:right w:w="108" w:type="dxa"/>
          </w:tblCellMar>
        </w:tblPrEx>
        <w:trPr>
          <w:trHeight w:val="718" w:hRule="atLeast"/>
        </w:trPr>
        <w:tc>
          <w:tcPr>
            <w:tcW w:w="4981" w:type="dxa"/>
            <w:noWrap w:val="0"/>
            <w:vAlign w:val="center"/>
          </w:tcPr>
          <w:p w14:paraId="43DBF2D1">
            <w:pPr>
              <w:wordWrap w:val="0"/>
              <w:topLinePunct/>
              <w:adjustRightInd w:val="0"/>
              <w:snapToGrid w:val="0"/>
              <w:spacing w:line="360" w:lineRule="auto"/>
              <w:rPr>
                <w:rFonts w:ascii="宋体" w:hAnsi="宋体" w:cs="宋体"/>
                <w:snapToGrid w:val="0"/>
                <w:color w:val="auto"/>
                <w:szCs w:val="24"/>
                <w:highlight w:val="none"/>
              </w:rPr>
            </w:pPr>
            <w:r>
              <w:rPr>
                <w:rFonts w:hint="eastAsia" w:ascii="宋体" w:hAnsi="宋体" w:cs="宋体"/>
                <w:snapToGrid w:val="0"/>
                <w:color w:val="auto"/>
                <w:szCs w:val="24"/>
                <w:highlight w:val="none"/>
              </w:rPr>
              <w:t>账号：</w:t>
            </w:r>
          </w:p>
        </w:tc>
        <w:tc>
          <w:tcPr>
            <w:tcW w:w="4981" w:type="dxa"/>
            <w:noWrap w:val="0"/>
            <w:vAlign w:val="center"/>
          </w:tcPr>
          <w:p w14:paraId="318C69CB">
            <w:pPr>
              <w:wordWrap w:val="0"/>
              <w:topLinePunct/>
              <w:adjustRightInd w:val="0"/>
              <w:snapToGrid w:val="0"/>
              <w:spacing w:line="360" w:lineRule="auto"/>
              <w:rPr>
                <w:rFonts w:ascii="宋体" w:hAnsi="宋体" w:cs="宋体"/>
                <w:snapToGrid w:val="0"/>
                <w:color w:val="auto"/>
                <w:szCs w:val="24"/>
                <w:highlight w:val="none"/>
              </w:rPr>
            </w:pPr>
            <w:r>
              <w:rPr>
                <w:rFonts w:hint="eastAsia" w:ascii="宋体" w:hAnsi="宋体" w:cs="宋体"/>
                <w:snapToGrid w:val="0"/>
                <w:color w:val="auto"/>
                <w:szCs w:val="24"/>
                <w:highlight w:val="none"/>
              </w:rPr>
              <w:t>账号：</w:t>
            </w:r>
          </w:p>
        </w:tc>
      </w:tr>
      <w:tr w14:paraId="5410EE7A">
        <w:tblPrEx>
          <w:tblCellMar>
            <w:top w:w="0" w:type="dxa"/>
            <w:left w:w="108" w:type="dxa"/>
            <w:bottom w:w="0" w:type="dxa"/>
            <w:right w:w="108" w:type="dxa"/>
          </w:tblCellMar>
        </w:tblPrEx>
        <w:trPr>
          <w:trHeight w:val="718" w:hRule="atLeast"/>
        </w:trPr>
        <w:tc>
          <w:tcPr>
            <w:tcW w:w="4981" w:type="dxa"/>
            <w:noWrap w:val="0"/>
            <w:vAlign w:val="center"/>
          </w:tcPr>
          <w:p w14:paraId="6684DE37">
            <w:pPr>
              <w:wordWrap w:val="0"/>
              <w:topLinePunct/>
              <w:adjustRightInd w:val="0"/>
              <w:snapToGrid w:val="0"/>
              <w:spacing w:line="360" w:lineRule="auto"/>
              <w:rPr>
                <w:rFonts w:ascii="宋体" w:hAnsi="宋体" w:cs="宋体"/>
                <w:snapToGrid w:val="0"/>
                <w:color w:val="auto"/>
                <w:szCs w:val="24"/>
                <w:highlight w:val="none"/>
              </w:rPr>
            </w:pPr>
            <w:r>
              <w:rPr>
                <w:rFonts w:hint="eastAsia" w:ascii="宋体" w:hAnsi="宋体" w:cs="宋体"/>
                <w:snapToGrid w:val="0"/>
                <w:color w:val="auto"/>
                <w:szCs w:val="24"/>
                <w:highlight w:val="none"/>
              </w:rPr>
              <w:t xml:space="preserve">电话： </w:t>
            </w:r>
          </w:p>
        </w:tc>
        <w:tc>
          <w:tcPr>
            <w:tcW w:w="4981" w:type="dxa"/>
            <w:noWrap w:val="0"/>
            <w:vAlign w:val="center"/>
          </w:tcPr>
          <w:p w14:paraId="28415537">
            <w:pPr>
              <w:wordWrap w:val="0"/>
              <w:topLinePunct/>
              <w:adjustRightInd w:val="0"/>
              <w:snapToGrid w:val="0"/>
              <w:spacing w:line="360" w:lineRule="auto"/>
              <w:rPr>
                <w:rFonts w:ascii="宋体" w:hAnsi="宋体" w:cs="宋体"/>
                <w:snapToGrid w:val="0"/>
                <w:color w:val="auto"/>
                <w:szCs w:val="24"/>
                <w:highlight w:val="none"/>
              </w:rPr>
            </w:pPr>
            <w:r>
              <w:rPr>
                <w:rFonts w:hint="eastAsia" w:ascii="宋体" w:hAnsi="宋体" w:cs="宋体"/>
                <w:snapToGrid w:val="0"/>
                <w:color w:val="auto"/>
                <w:szCs w:val="24"/>
                <w:highlight w:val="none"/>
              </w:rPr>
              <w:t xml:space="preserve">电话： </w:t>
            </w:r>
          </w:p>
        </w:tc>
      </w:tr>
      <w:tr w14:paraId="66327647">
        <w:tblPrEx>
          <w:tblCellMar>
            <w:top w:w="0" w:type="dxa"/>
            <w:left w:w="108" w:type="dxa"/>
            <w:bottom w:w="0" w:type="dxa"/>
            <w:right w:w="108" w:type="dxa"/>
          </w:tblCellMar>
        </w:tblPrEx>
        <w:trPr>
          <w:trHeight w:val="724" w:hRule="atLeast"/>
        </w:trPr>
        <w:tc>
          <w:tcPr>
            <w:tcW w:w="4981" w:type="dxa"/>
            <w:noWrap w:val="0"/>
            <w:vAlign w:val="center"/>
          </w:tcPr>
          <w:p w14:paraId="364BD320">
            <w:pPr>
              <w:wordWrap w:val="0"/>
              <w:topLinePunct/>
              <w:adjustRightInd w:val="0"/>
              <w:snapToGrid w:val="0"/>
              <w:spacing w:line="360" w:lineRule="auto"/>
              <w:rPr>
                <w:rFonts w:ascii="宋体" w:hAnsi="宋体" w:cs="宋体"/>
                <w:snapToGrid w:val="0"/>
                <w:color w:val="auto"/>
                <w:szCs w:val="24"/>
                <w:highlight w:val="none"/>
              </w:rPr>
            </w:pPr>
            <w:r>
              <w:rPr>
                <w:rFonts w:hint="eastAsia" w:ascii="宋体" w:hAnsi="宋体" w:cs="宋体"/>
                <w:snapToGrid w:val="0"/>
                <w:color w:val="auto"/>
                <w:szCs w:val="24"/>
                <w:highlight w:val="none"/>
              </w:rPr>
              <w:t>传真：</w:t>
            </w:r>
          </w:p>
        </w:tc>
        <w:tc>
          <w:tcPr>
            <w:tcW w:w="4981" w:type="dxa"/>
            <w:noWrap w:val="0"/>
            <w:vAlign w:val="center"/>
          </w:tcPr>
          <w:p w14:paraId="6EB5A4F2">
            <w:pPr>
              <w:wordWrap w:val="0"/>
              <w:topLinePunct/>
              <w:adjustRightInd w:val="0"/>
              <w:snapToGrid w:val="0"/>
              <w:spacing w:line="360" w:lineRule="auto"/>
              <w:rPr>
                <w:rFonts w:ascii="宋体" w:hAnsi="宋体" w:cs="宋体"/>
                <w:snapToGrid w:val="0"/>
                <w:color w:val="auto"/>
                <w:szCs w:val="24"/>
                <w:highlight w:val="none"/>
              </w:rPr>
            </w:pPr>
            <w:r>
              <w:rPr>
                <w:rFonts w:hint="eastAsia" w:ascii="宋体" w:hAnsi="宋体" w:cs="宋体"/>
                <w:snapToGrid w:val="0"/>
                <w:color w:val="auto"/>
                <w:szCs w:val="24"/>
                <w:highlight w:val="none"/>
              </w:rPr>
              <w:t>传真：</w:t>
            </w:r>
          </w:p>
        </w:tc>
      </w:tr>
      <w:tr w14:paraId="28DFB680">
        <w:tblPrEx>
          <w:tblCellMar>
            <w:top w:w="0" w:type="dxa"/>
            <w:left w:w="108" w:type="dxa"/>
            <w:bottom w:w="0" w:type="dxa"/>
            <w:right w:w="108" w:type="dxa"/>
          </w:tblCellMar>
        </w:tblPrEx>
        <w:trPr>
          <w:trHeight w:val="724" w:hRule="atLeast"/>
        </w:trPr>
        <w:tc>
          <w:tcPr>
            <w:tcW w:w="4981" w:type="dxa"/>
            <w:noWrap w:val="0"/>
            <w:vAlign w:val="center"/>
          </w:tcPr>
          <w:p w14:paraId="358DF410">
            <w:pPr>
              <w:wordWrap w:val="0"/>
              <w:topLinePunct/>
              <w:adjustRightInd w:val="0"/>
              <w:snapToGrid w:val="0"/>
              <w:spacing w:line="360" w:lineRule="auto"/>
              <w:rPr>
                <w:rFonts w:ascii="宋体" w:hAnsi="宋体" w:cs="宋体"/>
                <w:snapToGrid w:val="0"/>
                <w:color w:val="auto"/>
                <w:szCs w:val="24"/>
                <w:highlight w:val="none"/>
              </w:rPr>
            </w:pPr>
            <w:r>
              <w:rPr>
                <w:rFonts w:hint="eastAsia" w:ascii="宋体" w:hAnsi="宋体" w:cs="宋体"/>
                <w:snapToGrid w:val="0"/>
                <w:color w:val="auto"/>
                <w:szCs w:val="24"/>
                <w:highlight w:val="none"/>
              </w:rPr>
              <w:t>签约日期：XX年XX月XX日</w:t>
            </w:r>
          </w:p>
        </w:tc>
        <w:tc>
          <w:tcPr>
            <w:tcW w:w="4981" w:type="dxa"/>
            <w:noWrap w:val="0"/>
            <w:vAlign w:val="center"/>
          </w:tcPr>
          <w:p w14:paraId="55876A26">
            <w:pPr>
              <w:wordWrap w:val="0"/>
              <w:topLinePunct/>
              <w:adjustRightInd w:val="0"/>
              <w:snapToGrid w:val="0"/>
              <w:spacing w:line="360" w:lineRule="auto"/>
              <w:rPr>
                <w:rFonts w:ascii="宋体" w:hAnsi="宋体" w:cs="宋体"/>
                <w:snapToGrid w:val="0"/>
                <w:color w:val="auto"/>
                <w:szCs w:val="24"/>
                <w:highlight w:val="none"/>
              </w:rPr>
            </w:pPr>
            <w:r>
              <w:rPr>
                <w:rFonts w:hint="eastAsia" w:ascii="宋体" w:hAnsi="宋体" w:cs="宋体"/>
                <w:snapToGrid w:val="0"/>
                <w:color w:val="auto"/>
                <w:szCs w:val="24"/>
                <w:highlight w:val="none"/>
              </w:rPr>
              <w:t>签约日期：XX年XX月XX日</w:t>
            </w:r>
          </w:p>
        </w:tc>
      </w:tr>
    </w:tbl>
    <w:p w14:paraId="1C2B9A7B">
      <w:bookmarkStart w:id="89" w:name="_GoBack"/>
      <w:bookmarkEnd w:id="8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3A7800"/>
    <w:multiLevelType w:val="singleLevel"/>
    <w:tmpl w:val="FA3A78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5B518F"/>
    <w:rsid w:val="1B5B5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2"/>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rFonts w:eastAsia="仿宋"/>
      <w:b/>
      <w:bCs/>
      <w:kern w:val="44"/>
      <w:sz w:val="44"/>
      <w:szCs w:val="44"/>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_Style 3"/>
    <w:basedOn w:val="1"/>
    <w:qFormat/>
    <w:uiPriority w:val="0"/>
    <w:rPr>
      <w:rFonts w:eastAsia="宋体"/>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2026-02-28T02:56:00Z</dcterms:created>
  <dc:creator>Users</dc:creator>
  <cp:lastModifiedBy>Users</cp:lastModifiedBy>
  <dcterms:modified xsi:type="dcterms:W3CDTF">2026-02-28T02:56:06Z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5872C0F383CB40A19B92717F42EB6693_11</vt:lpwstr>
  </property>
  <property fmtid="{D5CDD505-2E9C-101B-9397-08002B2CF9AE}" pid="4" name="KSOTemplateDocerSaveRecord">
    <vt:lpwstr>eyJoZGlkIjoiOGU4N2MwYzgyZjM4YjdlMGM4YjU3MmE0MmE3ZWE5MTMiLCJ1c2VySWQiOiIyNjkzNTMyNTIifQ==</vt:lpwstr>
  </property>
</Properties>
</file>