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958BE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  <w:highlight w:val="none"/>
        </w:rPr>
      </w:pPr>
      <w:bookmarkStart w:id="0" w:name="_Toc129880039"/>
      <w:r>
        <w:rPr>
          <w:rFonts w:hint="eastAsia" w:ascii="宋体" w:hAnsi="宋体" w:eastAsia="宋体" w:cs="Times New Roman"/>
          <w:b/>
          <w:sz w:val="30"/>
          <w:szCs w:val="30"/>
          <w:highlight w:val="none"/>
        </w:rPr>
        <w:t>第八部分 采购需求</w:t>
      </w:r>
      <w:bookmarkEnd w:id="0"/>
    </w:p>
    <w:p w14:paraId="4D624BC3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  <w:highlight w:val="none"/>
        </w:rPr>
      </w:pPr>
      <w:r>
        <w:rPr>
          <w:rFonts w:hint="eastAsia" w:ascii="宋体" w:hAnsi="宋体" w:eastAsia="宋体" w:cs="Times New Roman"/>
          <w:b/>
          <w:sz w:val="24"/>
          <w:highlight w:val="none"/>
        </w:rPr>
        <w:t>货物需求一览表</w:t>
      </w:r>
    </w:p>
    <w:tbl>
      <w:tblPr>
        <w:tblStyle w:val="3"/>
        <w:tblW w:w="79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2585"/>
      </w:tblGrid>
      <w:tr w14:paraId="76D0D6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 w14:paraId="24E58C73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 w14:paraId="67D886B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 w14:paraId="50283D6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 w14:paraId="37725D8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交货期</w:t>
            </w:r>
          </w:p>
        </w:tc>
        <w:tc>
          <w:tcPr>
            <w:tcW w:w="2585" w:type="dxa"/>
            <w:noWrap w:val="0"/>
            <w:vAlign w:val="center"/>
          </w:tcPr>
          <w:p w14:paraId="3036107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项目现场（交货地点）</w:t>
            </w:r>
          </w:p>
        </w:tc>
      </w:tr>
      <w:tr w14:paraId="25F9D4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 w14:paraId="54773C22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 w14:paraId="42484F5D">
            <w:pPr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  <w:highlight w:val="none"/>
              </w:rPr>
              <w:t>液氮自动化存储系统</w:t>
            </w:r>
          </w:p>
        </w:tc>
        <w:tc>
          <w:tcPr>
            <w:tcW w:w="635" w:type="dxa"/>
            <w:noWrap w:val="0"/>
            <w:vAlign w:val="center"/>
          </w:tcPr>
          <w:p w14:paraId="0CE1E7BC">
            <w:pPr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3套</w:t>
            </w:r>
          </w:p>
        </w:tc>
        <w:tc>
          <w:tcPr>
            <w:tcW w:w="1320" w:type="dxa"/>
            <w:noWrap w:val="0"/>
            <w:vAlign w:val="center"/>
          </w:tcPr>
          <w:p w14:paraId="28E788F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合同签订后150个日历日内</w:t>
            </w:r>
          </w:p>
        </w:tc>
        <w:tc>
          <w:tcPr>
            <w:tcW w:w="2585" w:type="dxa"/>
            <w:noWrap w:val="0"/>
            <w:vAlign w:val="center"/>
          </w:tcPr>
          <w:p w14:paraId="2130EE02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中国科学院昆明植物研究所指定地点</w:t>
            </w:r>
          </w:p>
        </w:tc>
      </w:tr>
    </w:tbl>
    <w:p w14:paraId="0F2C05D6">
      <w:pPr>
        <w:rPr>
          <w:rFonts w:hint="eastAsia" w:ascii="Bookman Old Style" w:hAnsi="Bookman Old Style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注：投标人须对上述投标内容中完整的一包进行投标，</w:t>
      </w:r>
      <w:r>
        <w:rPr>
          <w:rFonts w:hint="eastAsia" w:ascii="Bookman Old Style" w:hAnsi="Bookman Old Style" w:eastAsia="宋体" w:cs="Times New Roman"/>
          <w:sz w:val="24"/>
          <w:highlight w:val="none"/>
        </w:rPr>
        <w:t>不完整的投标将视为非响应性投标予以拒绝。</w:t>
      </w:r>
    </w:p>
    <w:p w14:paraId="74C5F87D">
      <w:pPr>
        <w:adjustRightInd w:val="0"/>
        <w:snapToGrid w:val="0"/>
        <w:rPr>
          <w:rFonts w:hint="eastAsia" w:ascii="宋体" w:hAnsi="宋体" w:eastAsia="宋体" w:cs="Times New Roman"/>
          <w:szCs w:val="21"/>
          <w:highlight w:val="none"/>
        </w:rPr>
      </w:pPr>
    </w:p>
    <w:p w14:paraId="0BCD28FC">
      <w:pPr>
        <w:adjustRightInd w:val="0"/>
        <w:snapToGrid w:val="0"/>
        <w:rPr>
          <w:rFonts w:hint="eastAsia" w:ascii="宋体" w:hAnsi="宋体" w:eastAsia="宋体" w:cs="Times New Roman"/>
          <w:szCs w:val="21"/>
          <w:highlight w:val="none"/>
        </w:rPr>
      </w:pPr>
    </w:p>
    <w:p w14:paraId="3CD9F22C">
      <w:pPr>
        <w:adjustRightInd w:val="0"/>
        <w:snapToGrid w:val="0"/>
        <w:rPr>
          <w:rFonts w:hint="eastAsia" w:ascii="宋体" w:hAnsi="宋体" w:eastAsia="宋体" w:cs="Times New Roman"/>
          <w:szCs w:val="21"/>
          <w:highlight w:val="none"/>
        </w:rPr>
      </w:pPr>
    </w:p>
    <w:p w14:paraId="6202E141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  <w:highlight w:val="none"/>
        </w:rPr>
      </w:pPr>
      <w:r>
        <w:rPr>
          <w:rFonts w:ascii="宋体" w:hAnsi="宋体" w:eastAsia="宋体" w:cs="Times New Roman"/>
          <w:b/>
          <w:sz w:val="30"/>
          <w:szCs w:val="30"/>
          <w:highlight w:val="none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  <w:highlight w:val="none"/>
        </w:rPr>
        <w:t>一、总则</w:t>
      </w:r>
    </w:p>
    <w:p w14:paraId="69FDE5F2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  <w:highlight w:val="none"/>
        </w:rPr>
      </w:pPr>
      <w:r>
        <w:rPr>
          <w:rFonts w:ascii="宋体" w:hAnsi="宋体" w:eastAsia="宋体" w:cs="Times New Roman"/>
          <w:b/>
          <w:sz w:val="28"/>
          <w:szCs w:val="28"/>
          <w:highlight w:val="none"/>
        </w:rPr>
        <w:t>1</w:t>
      </w:r>
      <w:r>
        <w:rPr>
          <w:rFonts w:hint="eastAsia" w:ascii="宋体" w:hAnsi="宋体" w:eastAsia="宋体" w:cs="Times New Roman"/>
          <w:b/>
          <w:sz w:val="28"/>
          <w:szCs w:val="28"/>
          <w:highlight w:val="none"/>
        </w:rPr>
        <w:t>、投标要求</w:t>
      </w:r>
    </w:p>
    <w:p w14:paraId="032EDB38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ascii="宋体" w:hAnsi="宋体" w:eastAsia="宋体" w:cs="Times New Roman"/>
          <w:sz w:val="24"/>
          <w:highlight w:val="none"/>
        </w:rPr>
        <w:t xml:space="preserve">1.1 </w:t>
      </w:r>
      <w:r>
        <w:rPr>
          <w:rFonts w:hint="eastAsia" w:ascii="宋体" w:hAnsi="宋体" w:eastAsia="宋体" w:cs="Times New Roman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66D917F3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1369D78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 xml:space="preserve">1.3 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投标人提供的</w:t>
      </w:r>
      <w:r>
        <w:rPr>
          <w:rFonts w:hint="eastAsia" w:ascii="宋体" w:hAnsi="Times New Roman" w:eastAsia="宋体" w:cs="Times New Roman"/>
          <w:sz w:val="24"/>
          <w:highlight w:val="none"/>
        </w:rPr>
        <w:t>产品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样品，必须是“原件”而非复印件，</w:t>
      </w:r>
      <w:r>
        <w:rPr>
          <w:rFonts w:hint="eastAsia" w:ascii="宋体" w:hAnsi="Times New Roman" w:eastAsia="宋体" w:cs="Times New Roman"/>
          <w:sz w:val="24"/>
          <w:highlight w:val="none"/>
        </w:rPr>
        <w:t>图表、简图、电路图以及印刷电路板图等都应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清晰易读。买方有权</w:t>
      </w:r>
      <w:r>
        <w:rPr>
          <w:rFonts w:hint="eastAsia" w:ascii="宋体" w:hAnsi="Times New Roman" w:eastAsia="宋体" w:cs="Times New Roman"/>
          <w:sz w:val="24"/>
          <w:highlight w:val="none"/>
        </w:rPr>
        <w:t>不付任何附加费用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复制这些资料</w:t>
      </w:r>
      <w:r>
        <w:rPr>
          <w:rFonts w:hint="eastAsia" w:ascii="宋体" w:hAnsi="Times New Roman" w:eastAsia="宋体" w:cs="Times New Roman"/>
          <w:sz w:val="24"/>
          <w:highlight w:val="none"/>
        </w:rPr>
        <w:t>以供参考。</w:t>
      </w:r>
    </w:p>
    <w:p w14:paraId="112B9979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  <w:highlight w:val="none"/>
        </w:rPr>
      </w:pPr>
      <w:r>
        <w:rPr>
          <w:rFonts w:hint="eastAsia" w:ascii="宋体" w:hAnsi="Times New Roman" w:eastAsia="宋体" w:cs="Times New Roman"/>
          <w:sz w:val="24"/>
          <w:highlight w:val="none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579E47BD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b/>
          <w:sz w:val="28"/>
          <w:szCs w:val="28"/>
          <w:highlight w:val="none"/>
        </w:rPr>
        <w:t>2、评标标准</w:t>
      </w:r>
    </w:p>
    <w:p w14:paraId="151FB4F7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  <w:highlight w:val="none"/>
        </w:rPr>
      </w:pPr>
      <w:r>
        <w:rPr>
          <w:rFonts w:ascii="宋体" w:hAnsi="宋体" w:eastAsia="宋体" w:cs="Times New Roman"/>
          <w:sz w:val="24"/>
          <w:highlight w:val="none"/>
        </w:rPr>
        <w:t>2.</w:t>
      </w:r>
      <w:r>
        <w:rPr>
          <w:rFonts w:hint="eastAsia" w:ascii="宋体" w:hAnsi="宋体" w:eastAsia="宋体" w:cs="Times New Roman"/>
          <w:sz w:val="24"/>
          <w:highlight w:val="none"/>
        </w:rPr>
        <w:t xml:space="preserve">1 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除招标文件中指定的附件和专用工具外，</w:t>
      </w:r>
      <w:r>
        <w:rPr>
          <w:rFonts w:hint="eastAsia" w:ascii="宋体" w:hAnsi="Times New Roman" w:eastAsia="宋体" w:cs="Times New Roman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和消耗品</w:t>
      </w:r>
      <w:r>
        <w:rPr>
          <w:rFonts w:hint="eastAsia" w:ascii="宋体" w:hAnsi="Times New Roman" w:eastAsia="宋体" w:cs="Times New Roman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3C8E103C">
      <w:pPr>
        <w:spacing w:line="360" w:lineRule="auto"/>
        <w:ind w:left="554" w:hanging="554" w:hangingChars="231"/>
        <w:rPr>
          <w:rFonts w:hint="eastAsia" w:ascii="Times New Roman" w:hAnsi="Times New Roman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 xml:space="preserve">2.2 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对于标书</w:t>
      </w:r>
      <w:r>
        <w:rPr>
          <w:rFonts w:hint="eastAsia" w:ascii="宋体" w:hAnsi="Times New Roman" w:eastAsia="宋体" w:cs="Times New Roman"/>
          <w:sz w:val="24"/>
          <w:highlight w:val="none"/>
        </w:rPr>
        <w:t>技术规范中已列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 w:hAnsi="Times New Roman" w:eastAsia="宋体" w:cs="Times New Roman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39DABF1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 w:eastAsia="宋体" w:cs="Times New Roman"/>
          <w:b/>
          <w:sz w:val="24"/>
          <w:highlight w:val="none"/>
        </w:rPr>
        <w:t>60</w:t>
      </w:r>
      <w:r>
        <w:rPr>
          <w:rFonts w:hint="eastAsia" w:ascii="宋体" w:hAnsi="宋体" w:eastAsia="宋体" w:cs="Times New Roman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4BEC23EC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2</w:t>
      </w:r>
      <w:r>
        <w:rPr>
          <w:rFonts w:ascii="宋体" w:hAnsi="宋体" w:eastAsia="宋体" w:cs="Times New Roman"/>
          <w:sz w:val="24"/>
          <w:highlight w:val="none"/>
        </w:rPr>
        <w:t>.</w:t>
      </w:r>
      <w:r>
        <w:rPr>
          <w:rFonts w:hint="eastAsia" w:ascii="宋体" w:hAnsi="宋体" w:eastAsia="宋体" w:cs="Times New Roman"/>
          <w:sz w:val="24"/>
          <w:highlight w:val="none"/>
        </w:rPr>
        <w:t>4</w:t>
      </w:r>
      <w:r>
        <w:rPr>
          <w:rFonts w:ascii="宋体" w:hAnsi="宋体" w:eastAsia="宋体" w:cs="Times New Roman"/>
          <w:sz w:val="24"/>
          <w:highlight w:val="none"/>
        </w:rPr>
        <w:t xml:space="preserve"> </w:t>
      </w:r>
      <w:r>
        <w:rPr>
          <w:rFonts w:hint="eastAsia" w:ascii="宋体" w:hAnsi="宋体" w:eastAsia="宋体" w:cs="Times New Roman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37AC375C">
      <w:pPr>
        <w:spacing w:line="360" w:lineRule="auto"/>
        <w:ind w:left="554" w:hanging="554" w:hangingChars="231"/>
        <w:rPr>
          <w:rFonts w:ascii="宋体" w:hAnsi="宋体" w:eastAsia="宋体" w:cs="Times New Roman"/>
          <w:sz w:val="24"/>
          <w:highlight w:val="none"/>
        </w:rPr>
      </w:pPr>
      <w:r>
        <w:rPr>
          <w:rFonts w:ascii="宋体" w:hAnsi="宋体" w:eastAsia="宋体" w:cs="Times New Roman"/>
          <w:sz w:val="24"/>
          <w:highlight w:val="none"/>
        </w:rPr>
        <w:t>2.</w:t>
      </w:r>
      <w:r>
        <w:rPr>
          <w:rFonts w:hint="eastAsia" w:ascii="宋体" w:hAnsi="宋体" w:eastAsia="宋体" w:cs="Times New Roman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473441E8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b/>
          <w:sz w:val="28"/>
          <w:szCs w:val="28"/>
          <w:highlight w:val="none"/>
        </w:rPr>
        <w:t>3、工作条件</w:t>
      </w:r>
    </w:p>
    <w:p w14:paraId="465E9210">
      <w:pPr>
        <w:spacing w:after="312" w:afterLines="100" w:line="360" w:lineRule="auto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 w:eastAsia="宋体" w:cs="Times New Roman"/>
          <w:sz w:val="24"/>
          <w:highlight w:val="none"/>
        </w:rPr>
        <w:t xml:space="preserve"> </w:t>
      </w:r>
    </w:p>
    <w:p w14:paraId="0E08D113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3.1  适于在气温为摄氏</w:t>
      </w:r>
      <w:r>
        <w:rPr>
          <w:rFonts w:ascii="宋体" w:hAnsi="宋体" w:eastAsia="宋体" w:cs="Times New Roman"/>
          <w:b/>
          <w:sz w:val="24"/>
          <w:highlight w:val="none"/>
        </w:rPr>
        <w:t>-40</w:t>
      </w:r>
      <w:r>
        <w:rPr>
          <w:rFonts w:hint="eastAsia" w:ascii="宋体" w:hAnsi="宋体" w:eastAsia="宋体" w:cs="Times New Roman"/>
          <w:b/>
          <w:sz w:val="24"/>
          <w:highlight w:val="none"/>
        </w:rPr>
        <w:t>℃～＋</w:t>
      </w:r>
      <w:r>
        <w:rPr>
          <w:rFonts w:ascii="宋体" w:hAnsi="宋体" w:eastAsia="宋体" w:cs="Times New Roman"/>
          <w:b/>
          <w:sz w:val="24"/>
          <w:highlight w:val="none"/>
        </w:rPr>
        <w:t>50</w:t>
      </w:r>
      <w:r>
        <w:rPr>
          <w:rFonts w:hint="eastAsia" w:ascii="宋体" w:hAnsi="宋体" w:eastAsia="宋体" w:cs="Times New Roman"/>
          <w:b/>
          <w:sz w:val="24"/>
          <w:highlight w:val="none"/>
        </w:rPr>
        <w:t>℃</w:t>
      </w:r>
      <w:r>
        <w:rPr>
          <w:rFonts w:hint="eastAsia" w:ascii="宋体" w:hAnsi="宋体" w:eastAsia="宋体" w:cs="Times New Roman"/>
          <w:sz w:val="24"/>
          <w:highlight w:val="none"/>
        </w:rPr>
        <w:t>和相对湿度为</w:t>
      </w:r>
      <w:r>
        <w:rPr>
          <w:rFonts w:ascii="宋体" w:hAnsi="宋体" w:eastAsia="宋体" w:cs="Times New Roman"/>
          <w:b/>
          <w:sz w:val="24"/>
          <w:highlight w:val="none"/>
        </w:rPr>
        <w:t>90</w:t>
      </w:r>
      <w:r>
        <w:rPr>
          <w:rFonts w:hint="eastAsia" w:ascii="宋体" w:hAnsi="宋体" w:eastAsia="宋体" w:cs="Times New Roman"/>
          <w:b/>
          <w:sz w:val="24"/>
          <w:highlight w:val="none"/>
        </w:rPr>
        <w:t>％</w:t>
      </w:r>
      <w:r>
        <w:rPr>
          <w:rFonts w:hint="eastAsia" w:ascii="宋体" w:hAnsi="宋体" w:eastAsia="宋体" w:cs="Times New Roman"/>
          <w:sz w:val="24"/>
          <w:highlight w:val="none"/>
        </w:rPr>
        <w:t>的环境条件下运输和贮存。</w:t>
      </w:r>
    </w:p>
    <w:p w14:paraId="7E8AFFE7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3.2  适于在电源</w:t>
      </w:r>
      <w:r>
        <w:rPr>
          <w:rFonts w:ascii="宋体" w:hAnsi="宋体" w:eastAsia="宋体" w:cs="Times New Roman"/>
          <w:b/>
          <w:sz w:val="24"/>
          <w:highlight w:val="none"/>
        </w:rPr>
        <w:t>220V</w:t>
      </w:r>
      <w:r>
        <w:rPr>
          <w:rFonts w:hint="eastAsia" w:ascii="宋体" w:hAnsi="宋体" w:eastAsia="宋体" w:cs="Times New Roman"/>
          <w:b/>
          <w:sz w:val="24"/>
          <w:highlight w:val="none"/>
        </w:rPr>
        <w:t>（</w:t>
      </w:r>
      <w:r>
        <w:rPr>
          <w:rFonts w:ascii="宋体" w:hAnsi="宋体" w:eastAsia="宋体" w:cs="Times New Roman"/>
          <w:b/>
          <w:sz w:val="24"/>
          <w:highlight w:val="none"/>
        </w:rPr>
        <w:sym w:font="Symbol" w:char="F0B1"/>
      </w:r>
      <w:r>
        <w:rPr>
          <w:rFonts w:ascii="宋体" w:hAnsi="宋体" w:eastAsia="宋体" w:cs="Times New Roman"/>
          <w:b/>
          <w:sz w:val="24"/>
          <w:highlight w:val="none"/>
        </w:rPr>
        <w:t>10</w:t>
      </w:r>
      <w:r>
        <w:rPr>
          <w:rFonts w:hint="eastAsia" w:ascii="宋体" w:hAnsi="宋体" w:eastAsia="宋体" w:cs="Times New Roman"/>
          <w:b/>
          <w:sz w:val="24"/>
          <w:highlight w:val="none"/>
        </w:rPr>
        <w:t>％）</w:t>
      </w:r>
      <w:r>
        <w:rPr>
          <w:rFonts w:ascii="宋体" w:hAnsi="宋体" w:eastAsia="宋体" w:cs="Times New Roman"/>
          <w:b/>
          <w:sz w:val="24"/>
          <w:highlight w:val="none"/>
        </w:rPr>
        <w:t>/50Hz</w:t>
      </w:r>
      <w:r>
        <w:rPr>
          <w:rFonts w:hint="eastAsia" w:ascii="宋体" w:hAnsi="宋体" w:eastAsia="宋体" w:cs="Times New Roman"/>
          <w:sz w:val="24"/>
          <w:highlight w:val="none"/>
        </w:rPr>
        <w:t>、气温摄氏</w:t>
      </w:r>
      <w:r>
        <w:rPr>
          <w:rFonts w:hint="eastAsia" w:ascii="宋体" w:hAnsi="宋体" w:eastAsia="宋体" w:cs="Times New Roman"/>
          <w:b/>
          <w:sz w:val="24"/>
          <w:highlight w:val="none"/>
        </w:rPr>
        <w:t>+1</w:t>
      </w:r>
      <w:r>
        <w:rPr>
          <w:rFonts w:ascii="宋体" w:hAnsi="宋体" w:eastAsia="宋体" w:cs="Times New Roman"/>
          <w:b/>
          <w:sz w:val="24"/>
          <w:highlight w:val="none"/>
        </w:rPr>
        <w:t>5</w:t>
      </w:r>
      <w:r>
        <w:rPr>
          <w:rFonts w:hint="eastAsia" w:ascii="宋体" w:hAnsi="宋体" w:eastAsia="宋体" w:cs="Times New Roman"/>
          <w:b/>
          <w:sz w:val="24"/>
          <w:highlight w:val="none"/>
        </w:rPr>
        <w:t>℃～＋3</w:t>
      </w:r>
      <w:r>
        <w:rPr>
          <w:rFonts w:ascii="宋体" w:hAnsi="宋体" w:eastAsia="宋体" w:cs="Times New Roman"/>
          <w:b/>
          <w:sz w:val="24"/>
          <w:highlight w:val="none"/>
        </w:rPr>
        <w:t>0</w:t>
      </w:r>
      <w:r>
        <w:rPr>
          <w:rFonts w:hint="eastAsia" w:ascii="宋体" w:hAnsi="宋体" w:eastAsia="宋体" w:cs="Times New Roman"/>
          <w:b/>
          <w:sz w:val="24"/>
          <w:highlight w:val="none"/>
        </w:rPr>
        <w:t>℃</w:t>
      </w:r>
      <w:r>
        <w:rPr>
          <w:rFonts w:hint="eastAsia" w:ascii="宋体" w:hAnsi="宋体" w:eastAsia="宋体" w:cs="Times New Roman"/>
          <w:sz w:val="24"/>
          <w:highlight w:val="none"/>
        </w:rPr>
        <w:t>和相对湿度小于</w:t>
      </w:r>
      <w:r>
        <w:rPr>
          <w:rFonts w:ascii="宋体" w:hAnsi="宋体" w:eastAsia="宋体" w:cs="Times New Roman"/>
          <w:b/>
          <w:sz w:val="24"/>
          <w:highlight w:val="none"/>
        </w:rPr>
        <w:t>8</w:t>
      </w:r>
      <w:r>
        <w:rPr>
          <w:rFonts w:hint="eastAsia" w:ascii="宋体" w:hAnsi="宋体" w:eastAsia="宋体" w:cs="Times New Roman"/>
          <w:b/>
          <w:sz w:val="24"/>
          <w:highlight w:val="none"/>
        </w:rPr>
        <w:t>0％</w:t>
      </w:r>
      <w:r>
        <w:rPr>
          <w:rFonts w:hint="eastAsia" w:ascii="宋体" w:hAnsi="宋体" w:eastAsia="宋体" w:cs="Times New Roman"/>
          <w:sz w:val="24"/>
          <w:highlight w:val="none"/>
        </w:rPr>
        <w:t>的环境条件下运行。</w:t>
      </w:r>
      <w:r>
        <w:rPr>
          <w:rFonts w:hint="eastAsia" w:ascii="宋体" w:hAnsi="宋体" w:eastAsia="宋体" w:cs="Times New Roman"/>
          <w:b/>
          <w:sz w:val="24"/>
          <w:highlight w:val="none"/>
        </w:rPr>
        <w:t>能够连续正常工作。</w:t>
      </w:r>
    </w:p>
    <w:p w14:paraId="76595AD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 w:hAnsi="Times New Roman" w:eastAsia="宋体" w:cs="Times New Roman"/>
          <w:sz w:val="24"/>
          <w:highlight w:val="none"/>
        </w:rPr>
        <w:t>提供适当的转</w:t>
      </w:r>
      <w:r>
        <w:rPr>
          <w:rFonts w:hint="eastAsia" w:ascii="宋体" w:hAnsi="宋体" w:eastAsia="宋体" w:cs="Times New Roman"/>
          <w:sz w:val="24"/>
          <w:highlight w:val="none"/>
        </w:rPr>
        <w:t>换插座。</w:t>
      </w:r>
    </w:p>
    <w:p w14:paraId="26E058F7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32437A5D">
      <w:pPr>
        <w:rPr>
          <w:rFonts w:hint="eastAsia" w:ascii="Times New Roman" w:hAnsi="Times New Roman" w:eastAsia="黑体" w:cs="Times New Roman"/>
          <w:b/>
          <w:bCs/>
          <w:kern w:val="44"/>
          <w:sz w:val="24"/>
          <w:highlight w:val="none"/>
        </w:rPr>
      </w:pPr>
    </w:p>
    <w:p w14:paraId="2BBB178F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b/>
          <w:sz w:val="28"/>
          <w:szCs w:val="28"/>
          <w:highlight w:val="none"/>
        </w:rPr>
        <w:t>4、验收标准</w:t>
      </w:r>
    </w:p>
    <w:p w14:paraId="338B8DE5">
      <w:pPr>
        <w:spacing w:after="312" w:afterLines="100" w:line="360" w:lineRule="auto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除非另有说明，所有仪器、设备和系统按下列要求进行验收：</w:t>
      </w:r>
      <w:r>
        <w:rPr>
          <w:rFonts w:ascii="宋体" w:hAnsi="宋体" w:eastAsia="宋体" w:cs="Times New Roman"/>
          <w:sz w:val="24"/>
          <w:highlight w:val="none"/>
        </w:rPr>
        <w:t xml:space="preserve"> </w:t>
      </w:r>
    </w:p>
    <w:p w14:paraId="7D779C15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4.1  仪器设备运抵安装现场后，买方将与卖方共同开箱验收</w:t>
      </w:r>
      <w:r>
        <w:rPr>
          <w:rFonts w:ascii="宋体" w:hAnsi="宋体" w:eastAsia="宋体" w:cs="Times New Roman"/>
          <w:sz w:val="24"/>
          <w:highlight w:val="none"/>
        </w:rPr>
        <w:t xml:space="preserve">, </w:t>
      </w:r>
      <w:r>
        <w:rPr>
          <w:rFonts w:hint="eastAsia" w:ascii="宋体" w:hAnsi="宋体" w:eastAsia="宋体" w:cs="Times New Roman"/>
          <w:sz w:val="24"/>
          <w:highlight w:val="none"/>
        </w:rPr>
        <w:t>如卖方届时不派人来</w:t>
      </w:r>
      <w:r>
        <w:rPr>
          <w:rFonts w:ascii="宋体" w:hAnsi="宋体" w:eastAsia="宋体" w:cs="Times New Roman"/>
          <w:sz w:val="24"/>
          <w:highlight w:val="none"/>
        </w:rPr>
        <w:t xml:space="preserve">, </w:t>
      </w:r>
      <w:r>
        <w:rPr>
          <w:rFonts w:hint="eastAsia" w:ascii="宋体" w:hAnsi="宋体" w:eastAsia="宋体" w:cs="Times New Roman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 w:eastAsia="宋体" w:cs="Times New Roman"/>
          <w:sz w:val="24"/>
          <w:highlight w:val="none"/>
        </w:rPr>
        <w:t xml:space="preserve">, </w:t>
      </w:r>
      <w:r>
        <w:rPr>
          <w:rFonts w:hint="eastAsia" w:ascii="宋体" w:hAnsi="宋体" w:eastAsia="宋体" w:cs="Times New Roman"/>
          <w:sz w:val="24"/>
          <w:highlight w:val="none"/>
        </w:rPr>
        <w:t>买方有权要求卖方负责更换。</w:t>
      </w:r>
    </w:p>
    <w:p w14:paraId="7230AE58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 xml:space="preserve">4.2 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E5BDC6F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 xml:space="preserve">4.3  </w:t>
      </w:r>
      <w:r>
        <w:rPr>
          <w:rFonts w:ascii="宋体" w:hAnsi="宋体" w:eastAsia="宋体" w:cs="Times New Roman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2CF956FD">
      <w:pPr>
        <w:pStyle w:val="2"/>
        <w:spacing w:line="360" w:lineRule="auto"/>
        <w:ind w:left="410" w:hanging="410" w:hangingChars="170"/>
        <w:rPr>
          <w:rFonts w:hint="eastAsia" w:hAnsi="宋体" w:eastAsia="宋体" w:cs="Times New Roman"/>
          <w:b/>
          <w:sz w:val="24"/>
          <w:szCs w:val="24"/>
          <w:highlight w:val="none"/>
        </w:rPr>
      </w:pPr>
    </w:p>
    <w:p w14:paraId="415E9811">
      <w:pPr>
        <w:adjustRightInd w:val="0"/>
        <w:snapToGrid w:val="0"/>
        <w:spacing w:line="360" w:lineRule="auto"/>
        <w:rPr>
          <w:rFonts w:hint="eastAsia" w:ascii="Times New Roman" w:hAnsi="宋体" w:eastAsia="宋体" w:cs="Times New Roman"/>
          <w:b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>5、本采购需求书中标注“*”号技术条款的为实质性要求，不满足其投标将视为无效投标被拒绝。</w:t>
      </w:r>
    </w:p>
    <w:p w14:paraId="22FF57FD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  <w:highlight w:val="none"/>
        </w:rPr>
      </w:pPr>
    </w:p>
    <w:p w14:paraId="79EA33AC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  <w:highlight w:val="none"/>
        </w:rPr>
      </w:pPr>
      <w:r>
        <w:rPr>
          <w:rFonts w:hint="eastAsia" w:ascii="宋体" w:hAnsi="宋体" w:eastAsia="宋体" w:cs="Times New Roman"/>
          <w:b/>
          <w:sz w:val="24"/>
          <w:highlight w:val="none"/>
        </w:rPr>
        <w:t>6、如在具体规格要求中有本总则不一致之处，以具体规格中的要求为准。</w:t>
      </w:r>
    </w:p>
    <w:p w14:paraId="01B0741D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  <w:highlight w:val="none"/>
        </w:rPr>
      </w:pPr>
      <w:r>
        <w:rPr>
          <w:rFonts w:ascii="宋体" w:hAnsi="宋体" w:eastAsia="宋体" w:cs="Times New Roman"/>
          <w:b/>
          <w:sz w:val="28"/>
          <w:highlight w:val="none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  <w:highlight w:val="none"/>
        </w:rPr>
        <w:t>二、具体规格要求</w:t>
      </w:r>
    </w:p>
    <w:p w14:paraId="2F06C52A">
      <w:pPr>
        <w:spacing w:after="156" w:afterLines="50" w:line="360" w:lineRule="auto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/>
          <w:sz w:val="24"/>
          <w:highlight w:val="none"/>
        </w:rPr>
        <w:t>一、</w:t>
      </w:r>
      <w:bookmarkStart w:id="1" w:name="_Toc175513259"/>
      <w:r>
        <w:rPr>
          <w:rFonts w:hint="eastAsia" w:ascii="Times New Roman" w:hAnsi="Times New Roman" w:eastAsia="宋体" w:cs="宋体"/>
          <w:b/>
          <w:sz w:val="24"/>
          <w:highlight w:val="none"/>
        </w:rPr>
        <w:t>项目描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述和内容概要</w:t>
      </w:r>
      <w:bookmarkEnd w:id="1"/>
    </w:p>
    <w:p w14:paraId="129152A2">
      <w:pPr>
        <w:spacing w:after="156" w:afterLines="50" w:line="360" w:lineRule="auto"/>
        <w:ind w:firstLine="420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液氮自动化存储系统主要用于细胞、组织、血液、核酸、蛋白等动物生物样品在液氮环境中自动化、无人化、智能化存储管理。</w:t>
      </w:r>
    </w:p>
    <w:p w14:paraId="19D8C313">
      <w:pPr>
        <w:spacing w:after="156" w:afterLines="50" w:line="360" w:lineRule="auto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二、</w:t>
      </w:r>
      <w:bookmarkStart w:id="2" w:name="_Toc175513264"/>
      <w:bookmarkStart w:id="3" w:name="_Toc103094061"/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项目技术</w:t>
      </w:r>
      <w:bookmarkEnd w:id="2"/>
      <w:bookmarkEnd w:id="3"/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规格</w:t>
      </w:r>
    </w:p>
    <w:p w14:paraId="191445A6">
      <w:pPr>
        <w:spacing w:after="156" w:afterLines="50" w:line="360" w:lineRule="auto"/>
        <w:ind w:firstLine="420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*1. 自动化要求。采用机械手臂挑管方式，实现自动化整盒存取和自动化单支挑管存取。每套设备均能独立自动化完成样品入库、转运、单支存取、出库、碎片或盘库整理、信息溯源、数据统计等操作，也可并联使用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（要求提供挑管方式原理图或实物照片）。</w:t>
      </w:r>
    </w:p>
    <w:p w14:paraId="7A051259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*2. 存储量要求。使用SBS板架存储，设备数量≥3套，按2mlSBS冻存管计算总存储量≥18万管。</w:t>
      </w:r>
    </w:p>
    <w:p w14:paraId="1E02F784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*3. 挑管区域要求。挑管区位于液氮存储罐外部（独立于液氮存储罐），避免挑管失败的情况下样品掉入存储区，以便出现掉管、卡管等异常情况时人工快速紧急处理。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（要求提供挑管区原理图或实物照片）。</w:t>
      </w:r>
    </w:p>
    <w:p w14:paraId="38EC3C01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*4. 场地要求。基于实际安装场地的客观情况，在宽长高：3.6米*10米*3米的立柱走廊空间中实现主体设备布置与安装。</w:t>
      </w:r>
      <w:r>
        <w:rPr>
          <w:rFonts w:ascii="Times New Roman" w:hAnsi="Times New Roman" w:eastAsia="宋体" w:cs="宋体"/>
          <w:bCs/>
          <w:color w:val="000000"/>
          <w:sz w:val="24"/>
          <w:highlight w:val="none"/>
        </w:rPr>
        <w:t xml:space="preserve"> </w:t>
      </w:r>
    </w:p>
    <w:p w14:paraId="5054682E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#5. 无人化要求。样品存取全过程工作人员无需进入库区，通过无人化转运系统在密闭空间内实现样品无人化、自动化存取操作，无人化转运系统可以是AGV、RGV样品转运机器人、轨道、样品物流传输系统等任一方式。</w:t>
      </w:r>
    </w:p>
    <w:p w14:paraId="31DF3DED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6. 温度要求。</w:t>
      </w:r>
    </w:p>
    <w:p w14:paraId="17AF3F35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6.1长期存储区温度≤-180℃</w:t>
      </w:r>
    </w:p>
    <w:p w14:paraId="388EF233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6.2挑管区温度≤-150℃。</w:t>
      </w:r>
    </w:p>
    <w:p w14:paraId="0855D156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#6.3样品全程在≤-150℃温度冷链下完成出入库。</w:t>
      </w:r>
    </w:p>
    <w:p w14:paraId="1BAED9EC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6.4设备内至少包含3个温度探头，分别测量储存区顶层温度、底层温度、挑管区温度和一个独立的第三方温度探头接入孔。</w:t>
      </w:r>
    </w:p>
    <w:p w14:paraId="6355B304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#7.</w:t>
      </w:r>
      <w:r>
        <w:rPr>
          <w:rFonts w:hint="eastAsia" w:ascii="Times New Roman" w:hAnsi="Times New Roman" w:eastAsia="宋体" w:cs="Times New Roman"/>
          <w:color w:val="000000"/>
          <w:highlight w:val="none"/>
        </w:rPr>
        <w:t xml:space="preserve"> </w:t>
      </w: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挑管技术机械设计/结构。采用非六轴式机械臂，实现自动化整盒存取和自动化单支挑管存取。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（要求提供机械臂结构图进行佐证）。</w:t>
      </w:r>
    </w:p>
    <w:p w14:paraId="2A08DD47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8. 出入库速度。</w:t>
      </w:r>
    </w:p>
    <w:p w14:paraId="158D1B08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#8.1单次存入或出库2盒SBS冻存盒，完成从传递窗到进入设备存储区全流程运行时间≤3分钟。（作为验收条款）</w:t>
      </w:r>
    </w:p>
    <w:p w14:paraId="2FAAD7FB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8.2 完成10盒入库时间≤20分钟，完成10盒出库时间≤20分钟。（作为验收条款）</w:t>
      </w:r>
    </w:p>
    <w:p w14:paraId="708FC25D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#9. 密闭性要求。转运罐与设备密闭对接，避免频繁出入库湿气进入设备结霜结冰。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（要求提供转运罐与设备密闭对接的原理图或实物图进行佐证）。</w:t>
      </w:r>
    </w:p>
    <w:p w14:paraId="6E30DD2C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10. 能耗要求。</w:t>
      </w:r>
    </w:p>
    <w:p w14:paraId="3F24896D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10.1每套设备静态液氮消耗量≤25L/天。（作为验收条款）</w:t>
      </w:r>
    </w:p>
    <w:p w14:paraId="2C3A1272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#10.2设备一次液氮加注后，可维持罐内所有区域温度处于-150℃以下温度静态时间≥20天，以满足样品长时间存储续航需要。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（要求提供第三方检测机构出具的同型号设备盖章的检测报告，并作为验收条件）。</w:t>
      </w:r>
    </w:p>
    <w:p w14:paraId="69DA25FE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11. 监测与应急。</w:t>
      </w:r>
    </w:p>
    <w:p w14:paraId="447A748E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11.1样品转运容器区域、样品存放区域、样品单支挑管区域区域配备4K高清监控摄像头，可实时查看系统内部操作状态。</w:t>
      </w:r>
    </w:p>
    <w:p w14:paraId="3A3101E2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11.2 设备具有液氮液位监测和自动补充系统，可实时测量罐内液位高度，可自动换算每天液氮消耗量。</w:t>
      </w:r>
    </w:p>
    <w:p w14:paraId="453ADA3F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11.3挑管时掉管情况下可实现人工紧急干预取出，且处理过程样品全程处于≤-150℃低温环境中。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（要求提供挑管区域原理图或实物图进行佐证，并提供人工紧急干预实施步骤加盖制造商公章）。</w:t>
      </w:r>
    </w:p>
    <w:p w14:paraId="460C4D12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11.4 设备故障情况</w:t>
      </w:r>
      <w:r>
        <w:rPr>
          <w:rFonts w:ascii="Times New Roman" w:hAnsi="Times New Roman" w:eastAsia="宋体" w:cs="Times New Roman"/>
          <w:color w:val="000000"/>
          <w:kern w:val="0"/>
          <w:sz w:val="24"/>
          <w:highlight w:val="none"/>
        </w:rPr>
        <w:t>或极端情况下（如地震、火灾），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highlight w:val="none"/>
        </w:rPr>
        <w:t>可</w:t>
      </w:r>
      <w:r>
        <w:rPr>
          <w:rFonts w:ascii="Times New Roman" w:hAnsi="Times New Roman" w:eastAsia="宋体" w:cs="Times New Roman"/>
          <w:color w:val="000000"/>
          <w:kern w:val="0"/>
          <w:sz w:val="24"/>
          <w:highlight w:val="none"/>
        </w:rPr>
        <w:t>使用人工的手段将所有样品连同板架一同取出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highlight w:val="none"/>
        </w:rPr>
        <w:t>转移</w:t>
      </w: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。</w:t>
      </w: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（要求提供设备预留人工转移样品通道原理图或实物图进行佐证）。</w:t>
      </w:r>
    </w:p>
    <w:p w14:paraId="76E1E7E2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11.5 设备具有自动报警功能，当系统发生运行错误或故障情况时，系统实时自动报警和三色灯警示提醒。</w:t>
      </w:r>
    </w:p>
    <w:p w14:paraId="7FB1F28A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12. 管理系统。</w:t>
      </w:r>
    </w:p>
    <w:p w14:paraId="0C8C7289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12.1系统可同时控制库内所有液氮自动化设备、传递窗、样品转运系统、转运罐等；系统可远程运维库内所有存储设备以及环境监测控制设备。</w:t>
      </w:r>
    </w:p>
    <w:p w14:paraId="37ED500B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12.2系统可根据用户角色设置权限，</w:t>
      </w:r>
      <w:r>
        <w:rPr>
          <w:rFonts w:ascii="Times New Roman" w:hAnsi="Times New Roman" w:eastAsia="宋体" w:cs="Times New Roman"/>
          <w:color w:val="000000"/>
          <w:kern w:val="0"/>
          <w:sz w:val="24"/>
          <w:highlight w:val="none"/>
        </w:rPr>
        <w:t>仅有授权的人员可以获得解锁，确保样品的安全存取。</w:t>
      </w:r>
    </w:p>
    <w:p w14:paraId="70196360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#12.3 控制接口、软件接口及通讯接口免费开放，便于客户后期整体管理。需要和其他软件对接时，制造商需无偿提供软件对接服务。</w:t>
      </w:r>
    </w:p>
    <w:p w14:paraId="57B464E4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</w:p>
    <w:p w14:paraId="5D74CBEB">
      <w:pPr>
        <w:spacing w:after="156" w:afterLines="50" w:line="360" w:lineRule="auto"/>
        <w:ind w:left="1"/>
        <w:rPr>
          <w:rFonts w:ascii="Times New Roman" w:hAnsi="Times New Roman" w:eastAsia="宋体" w:cs="宋体"/>
          <w:b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/>
          <w:color w:val="000000"/>
          <w:sz w:val="24"/>
          <w:highlight w:val="none"/>
        </w:rPr>
        <w:t>三、辅助设备配置</w:t>
      </w:r>
    </w:p>
    <w:p w14:paraId="66BB8193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1液氮转运罐≥3个。可与自动化存储设备、样品物流转运系统及样品库智能传递窗对接，实现样品在转运过程的全冷链保护。</w:t>
      </w:r>
    </w:p>
    <w:p w14:paraId="745F8A4C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2液氮转运罐自动加液工作站≥1个。可在库内自动完成转运罐加注液氮，无需人员进入库区操作。加注液氮后可持续工作≥4小时。</w:t>
      </w:r>
    </w:p>
    <w:p w14:paraId="4B3BCEDB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3传递窗≥1个。可与自动化存储设备、样品物流转运系统及转运罐对接，样品存取全过程工作人员无需进入存储库区。</w:t>
      </w:r>
    </w:p>
    <w:p w14:paraId="7DE25F7D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4无人化转运系统≥1个。充满电后续航≥6小时。</w:t>
      </w:r>
    </w:p>
    <w:p w14:paraId="6AADB6EC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5液氮补给罐≥4个。容量≥230L。</w:t>
      </w:r>
    </w:p>
    <w:p w14:paraId="681F7436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6 UPS≥1个。设备断电情况下UPS供电能维持设备运转时间≥30min。</w:t>
      </w:r>
    </w:p>
    <w:p w14:paraId="3B748C7D">
      <w:pPr>
        <w:spacing w:after="156" w:afterLines="50" w:line="360" w:lineRule="auto"/>
        <w:ind w:left="1" w:firstLine="419"/>
        <w:rPr>
          <w:rFonts w:ascii="Times New Roman" w:hAnsi="Times New Roman" w:eastAsia="宋体" w:cs="Times New Roman"/>
          <w:color w:val="000000"/>
          <w:sz w:val="24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32"/>
          <w:highlight w:val="none"/>
        </w:rPr>
        <w:t>7 SBS冻存管二维码扫描仪</w:t>
      </w: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≥</w:t>
      </w:r>
      <w:r>
        <w:rPr>
          <w:rFonts w:hint="eastAsia" w:ascii="Times New Roman" w:hAnsi="Times New Roman" w:eastAsia="宋体" w:cs="Times New Roman"/>
          <w:color w:val="000000"/>
          <w:sz w:val="24"/>
          <w:szCs w:val="32"/>
          <w:highlight w:val="none"/>
        </w:rPr>
        <w:t>1个。支持单个冻存管、整盒冻存管扫描，用于样品入库前处理。</w:t>
      </w:r>
    </w:p>
    <w:p w14:paraId="6EC7DEB3">
      <w:pPr>
        <w:spacing w:after="156" w:afterLines="50" w:line="360" w:lineRule="auto"/>
        <w:ind w:left="1" w:firstLine="419"/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32"/>
          <w:highlight w:val="none"/>
        </w:rPr>
        <w:t>8 SBS冻存管自动开盖仪</w:t>
      </w: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≥</w:t>
      </w:r>
      <w:r>
        <w:rPr>
          <w:rFonts w:hint="eastAsia" w:ascii="Times New Roman" w:hAnsi="Times New Roman" w:eastAsia="宋体" w:cs="Times New Roman"/>
          <w:color w:val="000000"/>
          <w:sz w:val="24"/>
          <w:szCs w:val="32"/>
          <w:highlight w:val="none"/>
        </w:rPr>
        <w:t>1个。单个冻存管、整排冻存管开盖，用于样品入库前处理。</w:t>
      </w:r>
    </w:p>
    <w:p w14:paraId="19C9F694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9 除湿设备≥1个。可根据库区湿度自动启动或终止除湿，控制库区湿度在20%-40%之间。</w:t>
      </w:r>
    </w:p>
    <w:p w14:paraId="6B0CA520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10温度、湿度、氧气浓度监测报警装置≥2套。可对库区温度湿度氧气浓度实时监控，数据超标时及时报警提醒。</w:t>
      </w:r>
    </w:p>
    <w:p w14:paraId="66FA732C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11管理系统实时显示屏≥2个。尺寸不小于85英寸，分辨率不低于4K。</w:t>
      </w:r>
    </w:p>
    <w:p w14:paraId="114C57AE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000000"/>
          <w:sz w:val="24"/>
          <w:highlight w:val="none"/>
        </w:rPr>
        <w:t>12提供设备总存储量的30%冻存盒、冻存管。耗材使用SBS板架存储，兼容市面上主流耗材品牌，兼容2ml、1ml、0.75ml等各种规格耗材。</w:t>
      </w:r>
    </w:p>
    <w:p w14:paraId="236E1FF6">
      <w:pPr>
        <w:spacing w:after="156" w:afterLines="50" w:line="360" w:lineRule="auto"/>
        <w:ind w:left="1" w:firstLine="419"/>
        <w:rPr>
          <w:rFonts w:ascii="Times New Roman" w:hAnsi="Times New Roman" w:eastAsia="宋体" w:cs="宋体"/>
          <w:bCs/>
          <w:color w:val="000000"/>
          <w:sz w:val="24"/>
          <w:highlight w:val="none"/>
        </w:rPr>
      </w:pPr>
    </w:p>
    <w:p w14:paraId="7FEFB8E2">
      <w:pPr>
        <w:spacing w:after="156" w:afterLines="50" w:line="360" w:lineRule="auto"/>
        <w:rPr>
          <w:rFonts w:ascii="Times New Roman" w:hAnsi="Times New Roman" w:eastAsia="宋体" w:cs="Times New Roman"/>
          <w:b/>
          <w:bCs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4"/>
          <w:highlight w:val="none"/>
        </w:rPr>
        <w:t>四、售后及服务</w:t>
      </w:r>
    </w:p>
    <w:p w14:paraId="4EEDB3D9">
      <w:pPr>
        <w:adjustRightInd w:val="0"/>
        <w:snapToGrid w:val="0"/>
        <w:spacing w:line="360" w:lineRule="auto"/>
        <w:ind w:firstLine="424" w:firstLineChars="177"/>
        <w:rPr>
          <w:rFonts w:ascii="Times New Roman" w:hAnsi="Times New Roman" w:eastAsia="宋体" w:cs="Times New Roman"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1. 整个项目从验收完成后提供3年整机质保，质保到期后按厂家售后规定执行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。</w:t>
      </w:r>
    </w:p>
    <w:p w14:paraId="5BF08E69">
      <w:pPr>
        <w:adjustRightInd w:val="0"/>
        <w:snapToGrid w:val="0"/>
        <w:spacing w:line="360" w:lineRule="auto"/>
        <w:ind w:firstLine="424" w:firstLineChars="177"/>
        <w:rPr>
          <w:rFonts w:ascii="Times New Roman" w:hAnsi="Times New Roman" w:eastAsia="宋体" w:cs="Times New Roman"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2. 质保期内投标人提供技术人员于客户单位驻守，保证设备硬件、软件、库区成熟稳定运行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。</w:t>
      </w:r>
    </w:p>
    <w:p w14:paraId="10132CB7">
      <w:pPr>
        <w:adjustRightInd w:val="0"/>
        <w:snapToGrid w:val="0"/>
        <w:spacing w:line="360" w:lineRule="auto"/>
        <w:ind w:firstLine="424" w:firstLineChars="177"/>
        <w:rPr>
          <w:rFonts w:ascii="Times New Roman" w:hAnsi="Times New Roman" w:eastAsia="宋体" w:cs="Times New Roman"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 xml:space="preserve">3. 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维修人员接到报修通知后须在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2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小时内响应，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8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小时内提供有效故障解决方案在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12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个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小时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内到达现场并及时进行维修处理。</w:t>
      </w:r>
    </w:p>
    <w:p w14:paraId="60DAEE28">
      <w:pPr>
        <w:adjustRightInd w:val="0"/>
        <w:snapToGrid w:val="0"/>
        <w:spacing w:line="360" w:lineRule="auto"/>
        <w:ind w:firstLine="424" w:firstLineChars="177"/>
        <w:rPr>
          <w:rFonts w:ascii="Times New Roman" w:hAnsi="Times New Roman" w:eastAsia="宋体" w:cs="Times New Roman"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4. 免费负责用户液氮自动化系统及辅助设备安装场地的完善服务，提供系统运行所需环境。</w:t>
      </w:r>
    </w:p>
    <w:p w14:paraId="428C394A">
      <w:pPr>
        <w:adjustRightInd w:val="0"/>
        <w:snapToGrid w:val="0"/>
        <w:spacing w:line="360" w:lineRule="auto"/>
        <w:ind w:firstLine="424" w:firstLineChars="177"/>
        <w:rPr>
          <w:rFonts w:hint="eastAsia" w:ascii="Times New Roman" w:hAnsi="Times New Roman" w:eastAsia="宋体" w:cs="Times New Roman"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5. 免费负责用户设备迁移安装调试。</w:t>
      </w:r>
    </w:p>
    <w:p w14:paraId="35622CA0">
      <w:pPr>
        <w:adjustRightInd w:val="0"/>
        <w:snapToGrid w:val="0"/>
        <w:spacing w:line="360" w:lineRule="auto"/>
        <w:ind w:firstLine="424" w:firstLineChars="177"/>
        <w:rPr>
          <w:rFonts w:hint="eastAsia" w:ascii="Times New Roman" w:hAnsi="Times New Roman" w:eastAsia="宋体" w:cs="Times New Roman"/>
          <w:color w:val="000000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6.投标人对其提供产品的使用和操作应尽培训义务。供应商须在质保期内编制系统运行手册，并做好设备运维档案的归档与更新工作，确保用户能及时、准确了解系统状态和历史维护信息。技术培训应由制造商委派专业技术人员进行。投标人应对采购人至少提供2次免费培训，每次培训时间不少于4小时。培训教员的培训费、旅费、食宿费等费用和培训场地费及培训资料费均应由投标人支付。</w:t>
      </w:r>
    </w:p>
    <w:p w14:paraId="3B289FB5">
      <w:bookmarkStart w:id="4" w:name="_GoBack"/>
      <w:bookmarkEnd w:id="4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D07C85"/>
    <w:rsid w:val="0FD0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99"/>
    <w:pPr>
      <w:widowControl w:val="0"/>
      <w:jc w:val="both"/>
    </w:pPr>
    <w:rPr>
      <w:rFonts w:ascii="宋体" w:hAnsi="Courier New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2025-12-01T14:32:00Z</dcterms:created>
  <dc:creator>唐添慧</dc:creator>
  <cp:lastModifiedBy>唐添慧</cp:lastModifiedBy>
  <dcterms:modified xsi:type="dcterms:W3CDTF">2025-12-01T14:33:02Z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AFFFEABA081349B88AD5799538212315_11</vt:lpwstr>
  </property>
  <property fmtid="{D5CDD505-2E9C-101B-9397-08002B2CF9AE}" pid="4" name="KSOTemplateDocerSaveRecord">
    <vt:lpwstr>eyJoZGlkIjoiN2M0NzAwOGIxMzMzNDNjMzg0ZTYyYzNmMjJjNTY1ODEiLCJ1c2VySWQiOiI0MjExOTU4ODYifQ==</vt:lpwstr>
  </property>
</Properties>
</file>