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仿宋_GB2312" w:hAnsi="仿宋_GB2312" w:eastAsia="仿宋_GB2312" w:cs="仿宋_GB2312"/>
          <w:b/>
          <w:sz w:val="32"/>
          <w:szCs w:val="32"/>
          <w:highlight w:val="none"/>
        </w:rPr>
      </w:pPr>
    </w:p>
    <w:p>
      <w:pPr>
        <w:spacing w:line="360" w:lineRule="auto"/>
        <w:ind w:firstLine="260" w:firstLineChars="50"/>
        <w:jc w:val="center"/>
        <w:rPr>
          <w:rFonts w:hint="eastAsia" w:ascii="仿宋_GB2312" w:hAnsi="仿宋_GB2312" w:eastAsia="仿宋_GB2312" w:cs="仿宋_GB2312"/>
          <w:b/>
          <w:sz w:val="52"/>
          <w:szCs w:val="52"/>
          <w:highlight w:val="none"/>
        </w:rPr>
      </w:pPr>
    </w:p>
    <w:p>
      <w:pPr>
        <w:spacing w:line="360" w:lineRule="auto"/>
        <w:ind w:firstLine="260" w:firstLineChars="50"/>
        <w:jc w:val="center"/>
        <w:rPr>
          <w:rFonts w:hint="eastAsia" w:ascii="仿宋_GB2312" w:hAnsi="仿宋_GB2312" w:eastAsia="仿宋_GB2312" w:cs="仿宋_GB2312"/>
          <w:b/>
          <w:sz w:val="52"/>
          <w:szCs w:val="52"/>
          <w:highlight w:val="none"/>
        </w:rPr>
      </w:pPr>
    </w:p>
    <w:p>
      <w:pPr>
        <w:spacing w:line="360" w:lineRule="auto"/>
        <w:ind w:firstLine="260" w:firstLineChars="50"/>
        <w:jc w:val="center"/>
        <w:rPr>
          <w:rFonts w:hint="eastAsia" w:ascii="仿宋_GB2312" w:hAnsi="仿宋_GB2312" w:eastAsia="仿宋_GB2312" w:cs="仿宋_GB2312"/>
          <w:b/>
          <w:sz w:val="52"/>
          <w:szCs w:val="52"/>
          <w:highlight w:val="none"/>
        </w:rPr>
      </w:pPr>
    </w:p>
    <w:p>
      <w:pPr>
        <w:spacing w:line="360" w:lineRule="auto"/>
        <w:ind w:firstLine="260" w:firstLineChars="50"/>
        <w:jc w:val="center"/>
        <w:rPr>
          <w:rFonts w:hint="eastAsia" w:ascii="仿宋_GB2312" w:hAnsi="仿宋_GB2312" w:eastAsia="仿宋_GB2312" w:cs="仿宋_GB2312"/>
          <w:b/>
          <w:sz w:val="52"/>
          <w:szCs w:val="52"/>
          <w:highlight w:val="none"/>
        </w:rPr>
      </w:pPr>
      <w:r>
        <w:rPr>
          <w:rFonts w:hint="eastAsia" w:ascii="仿宋_GB2312" w:hAnsi="仿宋_GB2312" w:eastAsia="仿宋_GB2312" w:cs="仿宋_GB2312"/>
          <w:b/>
          <w:sz w:val="52"/>
          <w:szCs w:val="52"/>
          <w:highlight w:val="none"/>
        </w:rPr>
        <w:t>辽宁省政府采购项目</w:t>
      </w:r>
    </w:p>
    <w:p>
      <w:pPr>
        <w:spacing w:line="360" w:lineRule="auto"/>
        <w:ind w:firstLine="120" w:firstLineChars="50"/>
        <w:jc w:val="center"/>
        <w:rPr>
          <w:rFonts w:hint="eastAsia" w:ascii="仿宋_GB2312" w:hAnsi="仿宋_GB2312" w:eastAsia="仿宋_GB2312" w:cs="仿宋_GB2312"/>
          <w:b/>
          <w:sz w:val="24"/>
          <w:highlight w:val="none"/>
        </w:rPr>
      </w:pPr>
    </w:p>
    <w:p>
      <w:pPr>
        <w:spacing w:line="360" w:lineRule="auto"/>
        <w:ind w:firstLine="240" w:firstLineChars="50"/>
        <w:jc w:val="center"/>
        <w:rPr>
          <w:rFonts w:hint="eastAsia" w:ascii="仿宋_GB2312" w:hAnsi="仿宋_GB2312" w:eastAsia="仿宋_GB2312" w:cs="仿宋_GB2312"/>
          <w:b/>
          <w:sz w:val="48"/>
          <w:szCs w:val="48"/>
          <w:highlight w:val="none"/>
        </w:rPr>
      </w:pPr>
      <w:r>
        <w:rPr>
          <w:rFonts w:hint="eastAsia" w:ascii="仿宋_GB2312" w:hAnsi="仿宋_GB2312" w:eastAsia="仿宋_GB2312" w:cs="仿宋_GB2312"/>
          <w:b/>
          <w:sz w:val="48"/>
          <w:szCs w:val="48"/>
          <w:highlight w:val="none"/>
        </w:rPr>
        <w:t>工程类竞争性磋商</w:t>
      </w:r>
    </w:p>
    <w:p>
      <w:pPr>
        <w:spacing w:line="360" w:lineRule="auto"/>
        <w:ind w:firstLine="120" w:firstLineChars="50"/>
        <w:jc w:val="center"/>
        <w:rPr>
          <w:rFonts w:hint="eastAsia" w:ascii="仿宋_GB2312" w:hAnsi="仿宋_GB2312" w:eastAsia="仿宋_GB2312" w:cs="仿宋_GB2312"/>
          <w:b/>
          <w:sz w:val="24"/>
          <w:highlight w:val="none"/>
        </w:rPr>
      </w:pPr>
    </w:p>
    <w:p>
      <w:pPr>
        <w:spacing w:line="360" w:lineRule="auto"/>
        <w:ind w:firstLine="240" w:firstLineChars="50"/>
        <w:jc w:val="center"/>
        <w:rPr>
          <w:rFonts w:hint="eastAsia" w:ascii="仿宋_GB2312" w:hAnsi="仿宋_GB2312" w:eastAsia="仿宋_GB2312" w:cs="仿宋_GB2312"/>
          <w:b/>
          <w:sz w:val="48"/>
          <w:szCs w:val="48"/>
          <w:highlight w:val="none"/>
        </w:rPr>
      </w:pPr>
      <w:r>
        <w:rPr>
          <w:rFonts w:hint="eastAsia" w:ascii="仿宋_GB2312" w:hAnsi="仿宋_GB2312" w:eastAsia="仿宋_GB2312" w:cs="仿宋_GB2312"/>
          <w:b/>
          <w:sz w:val="48"/>
          <w:szCs w:val="48"/>
          <w:highlight w:val="none"/>
        </w:rPr>
        <w:t>采购文件</w:t>
      </w:r>
    </w:p>
    <w:p>
      <w:pPr>
        <w:spacing w:line="480" w:lineRule="exact"/>
        <w:jc w:val="center"/>
        <w:rPr>
          <w:rFonts w:hint="eastAsia" w:ascii="仿宋_GB2312" w:hAnsi="仿宋_GB2312" w:eastAsia="仿宋_GB2312" w:cs="仿宋_GB2312"/>
          <w:b/>
          <w:sz w:val="24"/>
          <w:highlight w:val="none"/>
        </w:rPr>
      </w:pPr>
    </w:p>
    <w:p>
      <w:pPr>
        <w:spacing w:line="480" w:lineRule="exact"/>
        <w:jc w:val="center"/>
        <w:rPr>
          <w:rFonts w:hint="eastAsia" w:ascii="仿宋_GB2312" w:hAnsi="仿宋_GB2312" w:eastAsia="仿宋_GB2312" w:cs="仿宋_GB2312"/>
          <w:b/>
          <w:sz w:val="24"/>
          <w:highlight w:val="none"/>
        </w:rPr>
      </w:pPr>
    </w:p>
    <w:p>
      <w:pPr>
        <w:spacing w:line="480" w:lineRule="exact"/>
        <w:jc w:val="center"/>
        <w:rPr>
          <w:rFonts w:hint="eastAsia" w:ascii="仿宋_GB2312" w:hAnsi="仿宋_GB2312" w:eastAsia="仿宋_GB2312" w:cs="仿宋_GB2312"/>
          <w:b/>
          <w:sz w:val="24"/>
          <w:highlight w:val="none"/>
        </w:rPr>
      </w:pPr>
    </w:p>
    <w:p>
      <w:pPr>
        <w:spacing w:line="480" w:lineRule="exact"/>
        <w:rPr>
          <w:rFonts w:hint="eastAsia" w:ascii="仿宋_GB2312" w:hAnsi="仿宋_GB2312" w:eastAsia="仿宋_GB2312" w:cs="仿宋_GB2312"/>
          <w:b/>
          <w:sz w:val="24"/>
          <w:highlight w:val="none"/>
        </w:rPr>
      </w:pPr>
    </w:p>
    <w:p>
      <w:pPr>
        <w:spacing w:line="480" w:lineRule="exact"/>
        <w:jc w:val="center"/>
        <w:rPr>
          <w:rFonts w:hint="eastAsia" w:ascii="仿宋_GB2312" w:hAnsi="仿宋_GB2312" w:eastAsia="仿宋_GB2312" w:cs="仿宋_GB2312"/>
          <w:b/>
          <w:sz w:val="24"/>
          <w:highlight w:val="none"/>
        </w:rPr>
      </w:pPr>
    </w:p>
    <w:p>
      <w:pPr>
        <w:spacing w:line="480" w:lineRule="exact"/>
        <w:jc w:val="center"/>
        <w:rPr>
          <w:rFonts w:hint="eastAsia" w:ascii="仿宋_GB2312" w:hAnsi="仿宋_GB2312" w:eastAsia="仿宋_GB2312" w:cs="仿宋_GB2312"/>
          <w:b/>
          <w:sz w:val="24"/>
          <w:highlight w:val="none"/>
        </w:rPr>
      </w:pPr>
    </w:p>
    <w:p>
      <w:pPr>
        <w:spacing w:line="480" w:lineRule="exact"/>
        <w:jc w:val="center"/>
        <w:rPr>
          <w:rFonts w:hint="eastAsia" w:ascii="仿宋_GB2312" w:hAnsi="仿宋_GB2312" w:eastAsia="仿宋_GB2312" w:cs="仿宋_GB2312"/>
          <w:b/>
          <w:sz w:val="24"/>
          <w:highlight w:val="none"/>
        </w:rPr>
      </w:pPr>
    </w:p>
    <w:p>
      <w:pPr>
        <w:adjustRightInd w:val="0"/>
        <w:snapToGrid w:val="0"/>
        <w:spacing w:line="360" w:lineRule="auto"/>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2"/>
          <w:szCs w:val="32"/>
          <w:highlight w:val="none"/>
        </w:rPr>
        <w:t>项目名称：</w:t>
      </w:r>
      <w:r>
        <w:rPr>
          <w:rFonts w:hint="eastAsia" w:ascii="仿宋_GB2312" w:hAnsi="仿宋_GB2312" w:eastAsia="仿宋_GB2312" w:cs="仿宋_GB2312"/>
          <w:b/>
          <w:sz w:val="32"/>
          <w:szCs w:val="32"/>
          <w:highlight w:val="none"/>
          <w:lang w:eastAsia="zh-CN"/>
        </w:rPr>
        <w:t>九连城镇庙岭村仓储物流库房工程</w:t>
      </w:r>
    </w:p>
    <w:p>
      <w:pPr>
        <w:adjustRightInd w:val="0"/>
        <w:snapToGrid w:val="0"/>
        <w:spacing w:line="360" w:lineRule="auto"/>
        <w:rPr>
          <w:rFonts w:hint="default"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2"/>
          <w:szCs w:val="32"/>
          <w:highlight w:val="none"/>
        </w:rPr>
        <w:t>项目编号：</w:t>
      </w:r>
      <w:r>
        <w:rPr>
          <w:rFonts w:hint="eastAsia" w:ascii="仿宋_GB2312" w:hAnsi="仿宋_GB2312" w:eastAsia="仿宋_GB2312" w:cs="仿宋_GB2312"/>
          <w:b/>
          <w:sz w:val="32"/>
          <w:szCs w:val="32"/>
          <w:highlight w:val="none"/>
          <w:lang w:eastAsia="zh-CN"/>
        </w:rPr>
        <w:t>JH23-210604-00088</w:t>
      </w:r>
    </w:p>
    <w:p>
      <w:pPr>
        <w:adjustRightInd w:val="0"/>
        <w:snapToGrid w:val="0"/>
        <w:spacing w:line="360" w:lineRule="auto"/>
        <w:rPr>
          <w:rFonts w:hint="eastAsia" w:ascii="仿宋_GB2312" w:hAnsi="仿宋_GB2312" w:eastAsia="仿宋_GB2312" w:cs="仿宋_GB2312"/>
          <w:b/>
          <w:sz w:val="36"/>
          <w:szCs w:val="36"/>
          <w:highlight w:val="none"/>
        </w:rPr>
        <w:sectPr>
          <w:headerReference r:id="rId3" w:type="even"/>
          <w:footerReference r:id="rId4" w:type="even"/>
          <w:pgSz w:w="11906" w:h="16838"/>
          <w:pgMar w:top="1440" w:right="1800" w:bottom="1440" w:left="1800" w:header="851" w:footer="992" w:gutter="0"/>
          <w:pgNumType w:fmt="decimal"/>
          <w:cols w:space="720" w:num="1"/>
          <w:titlePg/>
          <w:docGrid w:type="linesAndChars" w:linePitch="312" w:charSpace="0"/>
        </w:sectPr>
      </w:pPr>
      <w:r>
        <w:rPr>
          <w:rFonts w:hint="eastAsia" w:ascii="仿宋_GB2312" w:hAnsi="仿宋_GB2312" w:eastAsia="仿宋_GB2312" w:cs="仿宋_GB2312"/>
          <w:b/>
          <w:sz w:val="32"/>
          <w:szCs w:val="32"/>
          <w:highlight w:val="none"/>
        </w:rPr>
        <w:t>编制单位：丹东鑫泰工程造价咨询有限责任公司</w:t>
      </w:r>
    </w:p>
    <w:p>
      <w:pPr>
        <w:pStyle w:val="49"/>
        <w:jc w:val="center"/>
        <w:rPr>
          <w:rFonts w:hint="eastAsia" w:ascii="仿宋_GB2312" w:hAnsi="仿宋_GB2312" w:eastAsia="仿宋_GB2312" w:cs="仿宋_GB2312"/>
          <w:color w:val="auto"/>
          <w:sz w:val="44"/>
          <w:szCs w:val="44"/>
          <w:highlight w:val="none"/>
          <w:lang w:val="zh-CN"/>
        </w:rPr>
      </w:pPr>
      <w:bookmarkStart w:id="0" w:name="_Toc3605"/>
      <w:r>
        <w:rPr>
          <w:rFonts w:hint="eastAsia" w:ascii="仿宋_GB2312" w:hAnsi="仿宋_GB2312" w:eastAsia="仿宋_GB2312" w:cs="仿宋_GB2312"/>
          <w:color w:val="auto"/>
          <w:sz w:val="44"/>
          <w:szCs w:val="44"/>
          <w:highlight w:val="none"/>
          <w:lang w:val="zh-CN"/>
        </w:rPr>
        <w:t>目  录</w:t>
      </w:r>
      <w:bookmarkEnd w:id="0"/>
    </w:p>
    <w:p>
      <w:pPr>
        <w:pStyle w:val="20"/>
        <w:tabs>
          <w:tab w:val="right" w:leader="dot" w:pos="8296"/>
        </w:tabs>
        <w:spacing w:line="360" w:lineRule="auto"/>
        <w:ind w:firstLine="561"/>
        <w:rPr>
          <w:rFonts w:hint="eastAsia" w:ascii="仿宋_GB2312" w:hAnsi="仿宋_GB2312" w:eastAsia="仿宋_GB2312" w:cs="仿宋_GB2312"/>
          <w:sz w:val="28"/>
          <w:szCs w:val="28"/>
          <w:highlight w:val="none"/>
        </w:rPr>
      </w:pPr>
      <w:r>
        <w:rPr>
          <w:rFonts w:hint="eastAsia" w:ascii="仿宋_GB2312" w:hAnsi="仿宋_GB2312" w:eastAsia="仿宋_GB2312" w:cs="仿宋_GB2312"/>
          <w:b/>
          <w:bCs/>
          <w:sz w:val="28"/>
          <w:szCs w:val="28"/>
          <w:highlight w:val="none"/>
        </w:rPr>
        <w:fldChar w:fldCharType="begin"/>
      </w:r>
      <w:r>
        <w:rPr>
          <w:rFonts w:hint="eastAsia" w:ascii="仿宋_GB2312" w:hAnsi="仿宋_GB2312" w:eastAsia="仿宋_GB2312" w:cs="仿宋_GB2312"/>
          <w:b/>
          <w:bCs/>
          <w:sz w:val="28"/>
          <w:szCs w:val="28"/>
          <w:highlight w:val="none"/>
        </w:rPr>
        <w:instrText xml:space="preserve">TOC \o "1-1" \h \u </w:instrText>
      </w:r>
      <w:r>
        <w:rPr>
          <w:rFonts w:hint="eastAsia" w:ascii="仿宋_GB2312" w:hAnsi="仿宋_GB2312" w:eastAsia="仿宋_GB2312" w:cs="仿宋_GB2312"/>
          <w:b/>
          <w:bCs/>
          <w:sz w:val="28"/>
          <w:szCs w:val="28"/>
          <w:highlight w:val="none"/>
        </w:rPr>
        <w:fldChar w:fldCharType="separate"/>
      </w:r>
    </w:p>
    <w:p>
      <w:pPr>
        <w:pStyle w:val="20"/>
        <w:tabs>
          <w:tab w:val="right" w:leader="dot" w:pos="8296"/>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highlight w:val="none"/>
        </w:rPr>
        <w:fldChar w:fldCharType="begin"/>
      </w:r>
      <w:r>
        <w:rPr>
          <w:rFonts w:hint="eastAsia" w:ascii="仿宋_GB2312" w:hAnsi="仿宋_GB2312" w:eastAsia="仿宋_GB2312" w:cs="仿宋_GB2312"/>
          <w:highlight w:val="none"/>
        </w:rPr>
        <w:instrText xml:space="preserve"> HYPERLINK \l "_Toc115433461" </w:instrText>
      </w:r>
      <w:r>
        <w:rPr>
          <w:rFonts w:hint="eastAsia" w:ascii="仿宋_GB2312" w:hAnsi="仿宋_GB2312" w:eastAsia="仿宋_GB2312" w:cs="仿宋_GB2312"/>
          <w:highlight w:val="none"/>
        </w:rPr>
        <w:fldChar w:fldCharType="separate"/>
      </w:r>
      <w:r>
        <w:rPr>
          <w:rStyle w:val="32"/>
          <w:rFonts w:hint="eastAsia" w:ascii="仿宋_GB2312" w:hAnsi="仿宋_GB2312" w:eastAsia="仿宋_GB2312" w:cs="仿宋_GB2312"/>
          <w:bCs/>
          <w:sz w:val="28"/>
          <w:szCs w:val="28"/>
          <w:highlight w:val="none"/>
        </w:rPr>
        <w:t>采购公告</w:t>
      </w:r>
      <w:r>
        <w:rPr>
          <w:rFonts w:hint="eastAsia" w:ascii="仿宋_GB2312" w:hAnsi="仿宋_GB2312" w:eastAsia="仿宋_GB2312" w:cs="仿宋_GB2312"/>
          <w:sz w:val="28"/>
          <w:szCs w:val="28"/>
          <w:highlight w:val="none"/>
        </w:rPr>
        <w:tab/>
      </w:r>
      <w:r>
        <w:rPr>
          <w:rFonts w:hint="eastAsia" w:ascii="仿宋_GB2312" w:hAnsi="仿宋_GB2312" w:eastAsia="仿宋_GB2312" w:cs="仿宋_GB2312"/>
          <w:sz w:val="28"/>
          <w:szCs w:val="28"/>
          <w:highlight w:val="none"/>
        </w:rPr>
        <w:fldChar w:fldCharType="begin"/>
      </w:r>
      <w:r>
        <w:rPr>
          <w:rFonts w:hint="eastAsia" w:ascii="仿宋_GB2312" w:hAnsi="仿宋_GB2312" w:eastAsia="仿宋_GB2312" w:cs="仿宋_GB2312"/>
          <w:sz w:val="28"/>
          <w:szCs w:val="28"/>
          <w:highlight w:val="none"/>
        </w:rPr>
        <w:instrText xml:space="preserve"> PAGEREF _Toc115433461 \h </w:instrText>
      </w:r>
      <w:r>
        <w:rPr>
          <w:rFonts w:hint="eastAsia" w:ascii="仿宋_GB2312" w:hAnsi="仿宋_GB2312" w:eastAsia="仿宋_GB2312" w:cs="仿宋_GB2312"/>
          <w:sz w:val="28"/>
          <w:szCs w:val="28"/>
          <w:highlight w:val="none"/>
        </w:rPr>
        <w:fldChar w:fldCharType="separate"/>
      </w:r>
      <w:r>
        <w:rPr>
          <w:rFonts w:hint="eastAsia" w:ascii="仿宋_GB2312" w:hAnsi="仿宋_GB2312" w:eastAsia="仿宋_GB2312" w:cs="仿宋_GB2312"/>
          <w:sz w:val="28"/>
          <w:szCs w:val="28"/>
          <w:highlight w:val="none"/>
        </w:rPr>
        <w:t>3</w:t>
      </w:r>
      <w:r>
        <w:rPr>
          <w:rFonts w:hint="eastAsia" w:ascii="仿宋_GB2312" w:hAnsi="仿宋_GB2312" w:eastAsia="仿宋_GB2312" w:cs="仿宋_GB2312"/>
          <w:sz w:val="28"/>
          <w:szCs w:val="28"/>
          <w:highlight w:val="none"/>
        </w:rPr>
        <w:fldChar w:fldCharType="end"/>
      </w:r>
      <w:r>
        <w:rPr>
          <w:rFonts w:hint="eastAsia" w:ascii="仿宋_GB2312" w:hAnsi="仿宋_GB2312" w:eastAsia="仿宋_GB2312" w:cs="仿宋_GB2312"/>
          <w:sz w:val="28"/>
          <w:szCs w:val="28"/>
          <w:highlight w:val="none"/>
        </w:rPr>
        <w:fldChar w:fldCharType="end"/>
      </w:r>
    </w:p>
    <w:p>
      <w:pPr>
        <w:pStyle w:val="20"/>
        <w:tabs>
          <w:tab w:val="right" w:leader="dot" w:pos="8296"/>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highlight w:val="none"/>
        </w:rPr>
        <w:fldChar w:fldCharType="begin"/>
      </w:r>
      <w:r>
        <w:rPr>
          <w:rFonts w:hint="eastAsia" w:ascii="仿宋_GB2312" w:hAnsi="仿宋_GB2312" w:eastAsia="仿宋_GB2312" w:cs="仿宋_GB2312"/>
          <w:highlight w:val="none"/>
        </w:rPr>
        <w:instrText xml:space="preserve"> HYPERLINK \l "_Toc115433462" </w:instrText>
      </w:r>
      <w:r>
        <w:rPr>
          <w:rFonts w:hint="eastAsia" w:ascii="仿宋_GB2312" w:hAnsi="仿宋_GB2312" w:eastAsia="仿宋_GB2312" w:cs="仿宋_GB2312"/>
          <w:highlight w:val="none"/>
        </w:rPr>
        <w:fldChar w:fldCharType="separate"/>
      </w:r>
      <w:r>
        <w:rPr>
          <w:rStyle w:val="32"/>
          <w:rFonts w:hint="eastAsia" w:ascii="仿宋_GB2312" w:hAnsi="仿宋_GB2312" w:eastAsia="仿宋_GB2312" w:cs="仿宋_GB2312"/>
          <w:sz w:val="28"/>
          <w:szCs w:val="28"/>
          <w:highlight w:val="none"/>
        </w:rPr>
        <w:t>第一章 供应商须知</w:t>
      </w:r>
      <w:r>
        <w:rPr>
          <w:rFonts w:hint="eastAsia" w:ascii="仿宋_GB2312" w:hAnsi="仿宋_GB2312" w:eastAsia="仿宋_GB2312" w:cs="仿宋_GB2312"/>
          <w:sz w:val="28"/>
          <w:szCs w:val="28"/>
          <w:highlight w:val="none"/>
        </w:rPr>
        <w:tab/>
      </w:r>
      <w:r>
        <w:rPr>
          <w:rFonts w:hint="eastAsia" w:ascii="仿宋_GB2312" w:hAnsi="仿宋_GB2312" w:eastAsia="仿宋_GB2312" w:cs="仿宋_GB2312"/>
          <w:sz w:val="28"/>
          <w:szCs w:val="28"/>
          <w:highlight w:val="none"/>
        </w:rPr>
        <w:fldChar w:fldCharType="begin"/>
      </w:r>
      <w:r>
        <w:rPr>
          <w:rFonts w:hint="eastAsia" w:ascii="仿宋_GB2312" w:hAnsi="仿宋_GB2312" w:eastAsia="仿宋_GB2312" w:cs="仿宋_GB2312"/>
          <w:sz w:val="28"/>
          <w:szCs w:val="28"/>
          <w:highlight w:val="none"/>
        </w:rPr>
        <w:instrText xml:space="preserve"> PAGEREF _Toc115433462 \h </w:instrText>
      </w:r>
      <w:r>
        <w:rPr>
          <w:rFonts w:hint="eastAsia" w:ascii="仿宋_GB2312" w:hAnsi="仿宋_GB2312" w:eastAsia="仿宋_GB2312" w:cs="仿宋_GB2312"/>
          <w:sz w:val="28"/>
          <w:szCs w:val="28"/>
          <w:highlight w:val="none"/>
        </w:rPr>
        <w:fldChar w:fldCharType="separate"/>
      </w:r>
      <w:r>
        <w:rPr>
          <w:rFonts w:hint="eastAsia" w:ascii="仿宋_GB2312" w:hAnsi="仿宋_GB2312" w:eastAsia="仿宋_GB2312" w:cs="仿宋_GB2312"/>
          <w:sz w:val="28"/>
          <w:szCs w:val="28"/>
          <w:highlight w:val="none"/>
        </w:rPr>
        <w:t>6</w:t>
      </w:r>
      <w:r>
        <w:rPr>
          <w:rFonts w:hint="eastAsia" w:ascii="仿宋_GB2312" w:hAnsi="仿宋_GB2312" w:eastAsia="仿宋_GB2312" w:cs="仿宋_GB2312"/>
          <w:sz w:val="28"/>
          <w:szCs w:val="28"/>
          <w:highlight w:val="none"/>
        </w:rPr>
        <w:fldChar w:fldCharType="end"/>
      </w:r>
      <w:r>
        <w:rPr>
          <w:rFonts w:hint="eastAsia" w:ascii="仿宋_GB2312" w:hAnsi="仿宋_GB2312" w:eastAsia="仿宋_GB2312" w:cs="仿宋_GB2312"/>
          <w:sz w:val="28"/>
          <w:szCs w:val="28"/>
          <w:highlight w:val="none"/>
        </w:rPr>
        <w:fldChar w:fldCharType="end"/>
      </w:r>
    </w:p>
    <w:p>
      <w:pPr>
        <w:pStyle w:val="20"/>
        <w:tabs>
          <w:tab w:val="right" w:leader="dot" w:pos="8296"/>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highlight w:val="none"/>
        </w:rPr>
        <w:fldChar w:fldCharType="begin"/>
      </w:r>
      <w:r>
        <w:rPr>
          <w:rFonts w:hint="eastAsia" w:ascii="仿宋_GB2312" w:hAnsi="仿宋_GB2312" w:eastAsia="仿宋_GB2312" w:cs="仿宋_GB2312"/>
          <w:highlight w:val="none"/>
        </w:rPr>
        <w:instrText xml:space="preserve"> HYPERLINK \l "_Toc115433463" </w:instrText>
      </w:r>
      <w:r>
        <w:rPr>
          <w:rFonts w:hint="eastAsia" w:ascii="仿宋_GB2312" w:hAnsi="仿宋_GB2312" w:eastAsia="仿宋_GB2312" w:cs="仿宋_GB2312"/>
          <w:highlight w:val="none"/>
        </w:rPr>
        <w:fldChar w:fldCharType="separate"/>
      </w:r>
      <w:r>
        <w:rPr>
          <w:rStyle w:val="32"/>
          <w:rFonts w:hint="eastAsia" w:ascii="仿宋_GB2312" w:hAnsi="仿宋_GB2312" w:eastAsia="仿宋_GB2312" w:cs="仿宋_GB2312"/>
          <w:sz w:val="28"/>
          <w:szCs w:val="28"/>
          <w:highlight w:val="none"/>
        </w:rPr>
        <w:t>第二章 响应文件内容及格式</w:t>
      </w:r>
      <w:r>
        <w:rPr>
          <w:rFonts w:hint="eastAsia" w:ascii="仿宋_GB2312" w:hAnsi="仿宋_GB2312" w:eastAsia="仿宋_GB2312" w:cs="仿宋_GB2312"/>
          <w:sz w:val="28"/>
          <w:szCs w:val="28"/>
          <w:highlight w:val="none"/>
        </w:rPr>
        <w:tab/>
      </w:r>
      <w:r>
        <w:rPr>
          <w:rFonts w:hint="eastAsia" w:ascii="仿宋_GB2312" w:hAnsi="仿宋_GB2312" w:eastAsia="仿宋_GB2312" w:cs="仿宋_GB2312"/>
          <w:sz w:val="28"/>
          <w:szCs w:val="28"/>
          <w:highlight w:val="none"/>
        </w:rPr>
        <w:fldChar w:fldCharType="begin"/>
      </w:r>
      <w:r>
        <w:rPr>
          <w:rFonts w:hint="eastAsia" w:ascii="仿宋_GB2312" w:hAnsi="仿宋_GB2312" w:eastAsia="仿宋_GB2312" w:cs="仿宋_GB2312"/>
          <w:sz w:val="28"/>
          <w:szCs w:val="28"/>
          <w:highlight w:val="none"/>
        </w:rPr>
        <w:instrText xml:space="preserve"> PAGEREF _Toc115433463 \h </w:instrText>
      </w:r>
      <w:r>
        <w:rPr>
          <w:rFonts w:hint="eastAsia" w:ascii="仿宋_GB2312" w:hAnsi="仿宋_GB2312" w:eastAsia="仿宋_GB2312" w:cs="仿宋_GB2312"/>
          <w:sz w:val="28"/>
          <w:szCs w:val="28"/>
          <w:highlight w:val="none"/>
        </w:rPr>
        <w:fldChar w:fldCharType="separate"/>
      </w:r>
      <w:r>
        <w:rPr>
          <w:rFonts w:hint="eastAsia" w:ascii="仿宋_GB2312" w:hAnsi="仿宋_GB2312" w:eastAsia="仿宋_GB2312" w:cs="仿宋_GB2312"/>
          <w:sz w:val="28"/>
          <w:szCs w:val="28"/>
          <w:highlight w:val="none"/>
        </w:rPr>
        <w:t>21</w:t>
      </w:r>
      <w:r>
        <w:rPr>
          <w:rFonts w:hint="eastAsia" w:ascii="仿宋_GB2312" w:hAnsi="仿宋_GB2312" w:eastAsia="仿宋_GB2312" w:cs="仿宋_GB2312"/>
          <w:sz w:val="28"/>
          <w:szCs w:val="28"/>
          <w:highlight w:val="none"/>
        </w:rPr>
        <w:fldChar w:fldCharType="end"/>
      </w:r>
      <w:r>
        <w:rPr>
          <w:rFonts w:hint="eastAsia" w:ascii="仿宋_GB2312" w:hAnsi="仿宋_GB2312" w:eastAsia="仿宋_GB2312" w:cs="仿宋_GB2312"/>
          <w:sz w:val="28"/>
          <w:szCs w:val="28"/>
          <w:highlight w:val="none"/>
        </w:rPr>
        <w:fldChar w:fldCharType="end"/>
      </w:r>
    </w:p>
    <w:p>
      <w:pPr>
        <w:pStyle w:val="20"/>
        <w:tabs>
          <w:tab w:val="right" w:leader="dot" w:pos="8296"/>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highlight w:val="none"/>
        </w:rPr>
        <w:fldChar w:fldCharType="begin"/>
      </w:r>
      <w:r>
        <w:rPr>
          <w:rFonts w:hint="eastAsia" w:ascii="仿宋_GB2312" w:hAnsi="仿宋_GB2312" w:eastAsia="仿宋_GB2312" w:cs="仿宋_GB2312"/>
          <w:highlight w:val="none"/>
        </w:rPr>
        <w:instrText xml:space="preserve"> HYPERLINK \l "_Toc115433464" </w:instrText>
      </w:r>
      <w:r>
        <w:rPr>
          <w:rFonts w:hint="eastAsia" w:ascii="仿宋_GB2312" w:hAnsi="仿宋_GB2312" w:eastAsia="仿宋_GB2312" w:cs="仿宋_GB2312"/>
          <w:highlight w:val="none"/>
        </w:rPr>
        <w:fldChar w:fldCharType="separate"/>
      </w:r>
      <w:r>
        <w:rPr>
          <w:rStyle w:val="32"/>
          <w:rFonts w:hint="eastAsia" w:ascii="仿宋_GB2312" w:hAnsi="仿宋_GB2312" w:eastAsia="仿宋_GB2312" w:cs="仿宋_GB2312"/>
          <w:sz w:val="28"/>
          <w:szCs w:val="28"/>
          <w:highlight w:val="none"/>
        </w:rPr>
        <w:t>第三章 工程需求</w:t>
      </w:r>
      <w:r>
        <w:rPr>
          <w:rFonts w:hint="eastAsia" w:ascii="仿宋_GB2312" w:hAnsi="仿宋_GB2312" w:eastAsia="仿宋_GB2312" w:cs="仿宋_GB2312"/>
          <w:sz w:val="28"/>
          <w:szCs w:val="28"/>
          <w:highlight w:val="none"/>
        </w:rPr>
        <w:tab/>
      </w:r>
      <w:r>
        <w:rPr>
          <w:rFonts w:hint="eastAsia" w:ascii="仿宋_GB2312" w:hAnsi="仿宋_GB2312" w:eastAsia="仿宋_GB2312" w:cs="仿宋_GB2312"/>
          <w:sz w:val="28"/>
          <w:szCs w:val="28"/>
          <w:highlight w:val="none"/>
        </w:rPr>
        <w:fldChar w:fldCharType="begin"/>
      </w:r>
      <w:r>
        <w:rPr>
          <w:rFonts w:hint="eastAsia" w:ascii="仿宋_GB2312" w:hAnsi="仿宋_GB2312" w:eastAsia="仿宋_GB2312" w:cs="仿宋_GB2312"/>
          <w:sz w:val="28"/>
          <w:szCs w:val="28"/>
          <w:highlight w:val="none"/>
        </w:rPr>
        <w:instrText xml:space="preserve"> PAGEREF _Toc115433464 \h </w:instrText>
      </w:r>
      <w:r>
        <w:rPr>
          <w:rFonts w:hint="eastAsia" w:ascii="仿宋_GB2312" w:hAnsi="仿宋_GB2312" w:eastAsia="仿宋_GB2312" w:cs="仿宋_GB2312"/>
          <w:sz w:val="28"/>
          <w:szCs w:val="28"/>
          <w:highlight w:val="none"/>
        </w:rPr>
        <w:fldChar w:fldCharType="separate"/>
      </w:r>
      <w:r>
        <w:rPr>
          <w:rFonts w:hint="eastAsia" w:ascii="仿宋_GB2312" w:hAnsi="仿宋_GB2312" w:eastAsia="仿宋_GB2312" w:cs="仿宋_GB2312"/>
          <w:sz w:val="28"/>
          <w:szCs w:val="28"/>
          <w:highlight w:val="none"/>
        </w:rPr>
        <w:t>49</w:t>
      </w:r>
      <w:r>
        <w:rPr>
          <w:rFonts w:hint="eastAsia" w:ascii="仿宋_GB2312" w:hAnsi="仿宋_GB2312" w:eastAsia="仿宋_GB2312" w:cs="仿宋_GB2312"/>
          <w:sz w:val="28"/>
          <w:szCs w:val="28"/>
          <w:highlight w:val="none"/>
        </w:rPr>
        <w:fldChar w:fldCharType="end"/>
      </w:r>
      <w:r>
        <w:rPr>
          <w:rFonts w:hint="eastAsia" w:ascii="仿宋_GB2312" w:hAnsi="仿宋_GB2312" w:eastAsia="仿宋_GB2312" w:cs="仿宋_GB2312"/>
          <w:sz w:val="28"/>
          <w:szCs w:val="28"/>
          <w:highlight w:val="none"/>
        </w:rPr>
        <w:fldChar w:fldCharType="end"/>
      </w:r>
    </w:p>
    <w:p>
      <w:pPr>
        <w:pStyle w:val="20"/>
        <w:tabs>
          <w:tab w:val="right" w:leader="dot" w:pos="8296"/>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highlight w:val="none"/>
        </w:rPr>
        <w:fldChar w:fldCharType="begin"/>
      </w:r>
      <w:r>
        <w:rPr>
          <w:rFonts w:hint="eastAsia" w:ascii="仿宋_GB2312" w:hAnsi="仿宋_GB2312" w:eastAsia="仿宋_GB2312" w:cs="仿宋_GB2312"/>
          <w:highlight w:val="none"/>
        </w:rPr>
        <w:instrText xml:space="preserve"> HYPERLINK \l "_Toc115433465" </w:instrText>
      </w:r>
      <w:r>
        <w:rPr>
          <w:rFonts w:hint="eastAsia" w:ascii="仿宋_GB2312" w:hAnsi="仿宋_GB2312" w:eastAsia="仿宋_GB2312" w:cs="仿宋_GB2312"/>
          <w:highlight w:val="none"/>
        </w:rPr>
        <w:fldChar w:fldCharType="separate"/>
      </w:r>
      <w:r>
        <w:rPr>
          <w:rStyle w:val="32"/>
          <w:rFonts w:hint="eastAsia" w:ascii="仿宋_GB2312" w:hAnsi="仿宋_GB2312" w:eastAsia="仿宋_GB2312" w:cs="仿宋_GB2312"/>
          <w:sz w:val="28"/>
          <w:szCs w:val="28"/>
          <w:highlight w:val="none"/>
        </w:rPr>
        <w:t>第四章 磋商内容、磋商过程中可能实质性变动的内容</w:t>
      </w:r>
      <w:r>
        <w:rPr>
          <w:rFonts w:hint="eastAsia" w:ascii="仿宋_GB2312" w:hAnsi="仿宋_GB2312" w:eastAsia="仿宋_GB2312" w:cs="仿宋_GB2312"/>
          <w:sz w:val="28"/>
          <w:szCs w:val="28"/>
          <w:highlight w:val="none"/>
        </w:rPr>
        <w:tab/>
      </w:r>
      <w:r>
        <w:rPr>
          <w:rFonts w:hint="eastAsia" w:ascii="仿宋_GB2312" w:hAnsi="仿宋_GB2312" w:eastAsia="仿宋_GB2312" w:cs="仿宋_GB2312"/>
          <w:sz w:val="28"/>
          <w:szCs w:val="28"/>
          <w:highlight w:val="none"/>
        </w:rPr>
        <w:fldChar w:fldCharType="begin"/>
      </w:r>
      <w:r>
        <w:rPr>
          <w:rFonts w:hint="eastAsia" w:ascii="仿宋_GB2312" w:hAnsi="仿宋_GB2312" w:eastAsia="仿宋_GB2312" w:cs="仿宋_GB2312"/>
          <w:sz w:val="28"/>
          <w:szCs w:val="28"/>
          <w:highlight w:val="none"/>
        </w:rPr>
        <w:instrText xml:space="preserve"> PAGEREF _Toc115433465 \h </w:instrText>
      </w:r>
      <w:r>
        <w:rPr>
          <w:rFonts w:hint="eastAsia" w:ascii="仿宋_GB2312" w:hAnsi="仿宋_GB2312" w:eastAsia="仿宋_GB2312" w:cs="仿宋_GB2312"/>
          <w:sz w:val="28"/>
          <w:szCs w:val="28"/>
          <w:highlight w:val="none"/>
        </w:rPr>
        <w:fldChar w:fldCharType="separate"/>
      </w:r>
      <w:r>
        <w:rPr>
          <w:rFonts w:hint="eastAsia" w:ascii="仿宋_GB2312" w:hAnsi="仿宋_GB2312" w:eastAsia="仿宋_GB2312" w:cs="仿宋_GB2312"/>
          <w:sz w:val="28"/>
          <w:szCs w:val="28"/>
          <w:highlight w:val="none"/>
        </w:rPr>
        <w:t>50</w:t>
      </w:r>
      <w:r>
        <w:rPr>
          <w:rFonts w:hint="eastAsia" w:ascii="仿宋_GB2312" w:hAnsi="仿宋_GB2312" w:eastAsia="仿宋_GB2312" w:cs="仿宋_GB2312"/>
          <w:sz w:val="28"/>
          <w:szCs w:val="28"/>
          <w:highlight w:val="none"/>
        </w:rPr>
        <w:fldChar w:fldCharType="end"/>
      </w:r>
      <w:r>
        <w:rPr>
          <w:rFonts w:hint="eastAsia" w:ascii="仿宋_GB2312" w:hAnsi="仿宋_GB2312" w:eastAsia="仿宋_GB2312" w:cs="仿宋_GB2312"/>
          <w:sz w:val="28"/>
          <w:szCs w:val="28"/>
          <w:highlight w:val="none"/>
        </w:rPr>
        <w:fldChar w:fldCharType="end"/>
      </w:r>
    </w:p>
    <w:p>
      <w:pPr>
        <w:pStyle w:val="20"/>
        <w:tabs>
          <w:tab w:val="right" w:leader="dot" w:pos="8296"/>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highlight w:val="none"/>
        </w:rPr>
        <w:fldChar w:fldCharType="begin"/>
      </w:r>
      <w:r>
        <w:rPr>
          <w:rFonts w:hint="eastAsia" w:ascii="仿宋_GB2312" w:hAnsi="仿宋_GB2312" w:eastAsia="仿宋_GB2312" w:cs="仿宋_GB2312"/>
          <w:highlight w:val="none"/>
        </w:rPr>
        <w:instrText xml:space="preserve"> HYPERLINK \l "_Toc115433466" </w:instrText>
      </w:r>
      <w:r>
        <w:rPr>
          <w:rFonts w:hint="eastAsia" w:ascii="仿宋_GB2312" w:hAnsi="仿宋_GB2312" w:eastAsia="仿宋_GB2312" w:cs="仿宋_GB2312"/>
          <w:highlight w:val="none"/>
        </w:rPr>
        <w:fldChar w:fldCharType="separate"/>
      </w:r>
      <w:r>
        <w:rPr>
          <w:rStyle w:val="32"/>
          <w:rFonts w:hint="eastAsia" w:ascii="仿宋_GB2312" w:hAnsi="仿宋_GB2312" w:eastAsia="仿宋_GB2312" w:cs="仿宋_GB2312"/>
          <w:sz w:val="28"/>
          <w:szCs w:val="28"/>
          <w:highlight w:val="none"/>
        </w:rPr>
        <w:t>第五章 评审办法</w:t>
      </w:r>
      <w:r>
        <w:rPr>
          <w:rFonts w:hint="eastAsia" w:ascii="仿宋_GB2312" w:hAnsi="仿宋_GB2312" w:eastAsia="仿宋_GB2312" w:cs="仿宋_GB2312"/>
          <w:sz w:val="28"/>
          <w:szCs w:val="28"/>
          <w:highlight w:val="none"/>
        </w:rPr>
        <w:tab/>
      </w:r>
      <w:r>
        <w:rPr>
          <w:rFonts w:hint="eastAsia" w:ascii="仿宋_GB2312" w:hAnsi="仿宋_GB2312" w:eastAsia="仿宋_GB2312" w:cs="仿宋_GB2312"/>
          <w:sz w:val="28"/>
          <w:szCs w:val="28"/>
          <w:highlight w:val="none"/>
        </w:rPr>
        <w:fldChar w:fldCharType="begin"/>
      </w:r>
      <w:r>
        <w:rPr>
          <w:rFonts w:hint="eastAsia" w:ascii="仿宋_GB2312" w:hAnsi="仿宋_GB2312" w:eastAsia="仿宋_GB2312" w:cs="仿宋_GB2312"/>
          <w:sz w:val="28"/>
          <w:szCs w:val="28"/>
          <w:highlight w:val="none"/>
        </w:rPr>
        <w:instrText xml:space="preserve"> PAGEREF _Toc115433466 \h </w:instrText>
      </w:r>
      <w:r>
        <w:rPr>
          <w:rFonts w:hint="eastAsia" w:ascii="仿宋_GB2312" w:hAnsi="仿宋_GB2312" w:eastAsia="仿宋_GB2312" w:cs="仿宋_GB2312"/>
          <w:sz w:val="28"/>
          <w:szCs w:val="28"/>
          <w:highlight w:val="none"/>
        </w:rPr>
        <w:fldChar w:fldCharType="separate"/>
      </w:r>
      <w:r>
        <w:rPr>
          <w:rFonts w:hint="eastAsia" w:ascii="仿宋_GB2312" w:hAnsi="仿宋_GB2312" w:eastAsia="仿宋_GB2312" w:cs="仿宋_GB2312"/>
          <w:sz w:val="28"/>
          <w:szCs w:val="28"/>
          <w:highlight w:val="none"/>
        </w:rPr>
        <w:t>51</w:t>
      </w:r>
      <w:r>
        <w:rPr>
          <w:rFonts w:hint="eastAsia" w:ascii="仿宋_GB2312" w:hAnsi="仿宋_GB2312" w:eastAsia="仿宋_GB2312" w:cs="仿宋_GB2312"/>
          <w:sz w:val="28"/>
          <w:szCs w:val="28"/>
          <w:highlight w:val="none"/>
        </w:rPr>
        <w:fldChar w:fldCharType="end"/>
      </w:r>
      <w:r>
        <w:rPr>
          <w:rFonts w:hint="eastAsia" w:ascii="仿宋_GB2312" w:hAnsi="仿宋_GB2312" w:eastAsia="仿宋_GB2312" w:cs="仿宋_GB2312"/>
          <w:sz w:val="28"/>
          <w:szCs w:val="28"/>
          <w:highlight w:val="none"/>
        </w:rPr>
        <w:fldChar w:fldCharType="end"/>
      </w:r>
    </w:p>
    <w:p>
      <w:pPr>
        <w:pStyle w:val="20"/>
        <w:tabs>
          <w:tab w:val="right" w:leader="dot" w:pos="8296"/>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highlight w:val="none"/>
        </w:rPr>
        <w:fldChar w:fldCharType="begin"/>
      </w:r>
      <w:r>
        <w:rPr>
          <w:rFonts w:hint="eastAsia" w:ascii="仿宋_GB2312" w:hAnsi="仿宋_GB2312" w:eastAsia="仿宋_GB2312" w:cs="仿宋_GB2312"/>
          <w:highlight w:val="none"/>
        </w:rPr>
        <w:instrText xml:space="preserve"> HYPERLINK \l "_Toc115433467" </w:instrText>
      </w:r>
      <w:r>
        <w:rPr>
          <w:rFonts w:hint="eastAsia" w:ascii="仿宋_GB2312" w:hAnsi="仿宋_GB2312" w:eastAsia="仿宋_GB2312" w:cs="仿宋_GB2312"/>
          <w:highlight w:val="none"/>
        </w:rPr>
        <w:fldChar w:fldCharType="separate"/>
      </w:r>
      <w:r>
        <w:rPr>
          <w:rStyle w:val="32"/>
          <w:rFonts w:hint="eastAsia" w:ascii="仿宋_GB2312" w:hAnsi="仿宋_GB2312" w:eastAsia="仿宋_GB2312" w:cs="仿宋_GB2312"/>
          <w:sz w:val="28"/>
          <w:szCs w:val="28"/>
          <w:highlight w:val="none"/>
        </w:rPr>
        <w:t>第六章 合同条款</w:t>
      </w:r>
      <w:r>
        <w:rPr>
          <w:rFonts w:hint="eastAsia" w:ascii="仿宋_GB2312" w:hAnsi="仿宋_GB2312" w:eastAsia="仿宋_GB2312" w:cs="仿宋_GB2312"/>
          <w:sz w:val="28"/>
          <w:szCs w:val="28"/>
          <w:highlight w:val="none"/>
        </w:rPr>
        <w:tab/>
      </w:r>
      <w:r>
        <w:rPr>
          <w:rFonts w:hint="eastAsia" w:ascii="仿宋_GB2312" w:hAnsi="仿宋_GB2312" w:eastAsia="仿宋_GB2312" w:cs="仿宋_GB2312"/>
          <w:sz w:val="28"/>
          <w:szCs w:val="28"/>
          <w:highlight w:val="none"/>
        </w:rPr>
        <w:fldChar w:fldCharType="begin"/>
      </w:r>
      <w:r>
        <w:rPr>
          <w:rFonts w:hint="eastAsia" w:ascii="仿宋_GB2312" w:hAnsi="仿宋_GB2312" w:eastAsia="仿宋_GB2312" w:cs="仿宋_GB2312"/>
          <w:sz w:val="28"/>
          <w:szCs w:val="28"/>
          <w:highlight w:val="none"/>
        </w:rPr>
        <w:instrText xml:space="preserve"> PAGEREF _Toc115433467 \h </w:instrText>
      </w:r>
      <w:r>
        <w:rPr>
          <w:rFonts w:hint="eastAsia" w:ascii="仿宋_GB2312" w:hAnsi="仿宋_GB2312" w:eastAsia="仿宋_GB2312" w:cs="仿宋_GB2312"/>
          <w:sz w:val="28"/>
          <w:szCs w:val="28"/>
          <w:highlight w:val="none"/>
        </w:rPr>
        <w:fldChar w:fldCharType="separate"/>
      </w:r>
      <w:r>
        <w:rPr>
          <w:rFonts w:hint="eastAsia" w:ascii="仿宋_GB2312" w:hAnsi="仿宋_GB2312" w:eastAsia="仿宋_GB2312" w:cs="仿宋_GB2312"/>
          <w:sz w:val="28"/>
          <w:szCs w:val="28"/>
          <w:highlight w:val="none"/>
        </w:rPr>
        <w:t>58</w:t>
      </w:r>
      <w:r>
        <w:rPr>
          <w:rFonts w:hint="eastAsia" w:ascii="仿宋_GB2312" w:hAnsi="仿宋_GB2312" w:eastAsia="仿宋_GB2312" w:cs="仿宋_GB2312"/>
          <w:sz w:val="28"/>
          <w:szCs w:val="28"/>
          <w:highlight w:val="none"/>
        </w:rPr>
        <w:fldChar w:fldCharType="end"/>
      </w:r>
      <w:r>
        <w:rPr>
          <w:rFonts w:hint="eastAsia" w:ascii="仿宋_GB2312" w:hAnsi="仿宋_GB2312" w:eastAsia="仿宋_GB2312" w:cs="仿宋_GB2312"/>
          <w:sz w:val="28"/>
          <w:szCs w:val="28"/>
          <w:highlight w:val="none"/>
        </w:rPr>
        <w:fldChar w:fldCharType="end"/>
      </w:r>
    </w:p>
    <w:p>
      <w:pPr>
        <w:pStyle w:val="20"/>
        <w:tabs>
          <w:tab w:val="right" w:leader="dot" w:pos="8296"/>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highlight w:val="none"/>
        </w:rPr>
        <w:fldChar w:fldCharType="begin"/>
      </w:r>
      <w:r>
        <w:rPr>
          <w:rFonts w:hint="eastAsia" w:ascii="仿宋_GB2312" w:hAnsi="仿宋_GB2312" w:eastAsia="仿宋_GB2312" w:cs="仿宋_GB2312"/>
          <w:highlight w:val="none"/>
        </w:rPr>
        <w:instrText xml:space="preserve"> HYPERLINK \l "_Toc115433468" </w:instrText>
      </w:r>
      <w:r>
        <w:rPr>
          <w:rFonts w:hint="eastAsia" w:ascii="仿宋_GB2312" w:hAnsi="仿宋_GB2312" w:eastAsia="仿宋_GB2312" w:cs="仿宋_GB2312"/>
          <w:highlight w:val="none"/>
        </w:rPr>
        <w:fldChar w:fldCharType="separate"/>
      </w:r>
      <w:r>
        <w:rPr>
          <w:rStyle w:val="32"/>
          <w:rFonts w:hint="eastAsia" w:ascii="仿宋_GB2312" w:hAnsi="仿宋_GB2312" w:eastAsia="仿宋_GB2312" w:cs="仿宋_GB2312"/>
          <w:sz w:val="28"/>
          <w:szCs w:val="28"/>
          <w:highlight w:val="none"/>
        </w:rPr>
        <w:t>第七章 工程量清单</w:t>
      </w:r>
      <w:r>
        <w:rPr>
          <w:rFonts w:hint="eastAsia" w:ascii="仿宋_GB2312" w:hAnsi="仿宋_GB2312" w:eastAsia="仿宋_GB2312" w:cs="仿宋_GB2312"/>
          <w:sz w:val="28"/>
          <w:szCs w:val="28"/>
          <w:highlight w:val="none"/>
        </w:rPr>
        <w:tab/>
      </w:r>
      <w:r>
        <w:rPr>
          <w:rFonts w:hint="eastAsia" w:ascii="仿宋_GB2312" w:hAnsi="仿宋_GB2312" w:eastAsia="仿宋_GB2312" w:cs="仿宋_GB2312"/>
          <w:sz w:val="28"/>
          <w:szCs w:val="28"/>
          <w:highlight w:val="none"/>
        </w:rPr>
        <w:fldChar w:fldCharType="begin"/>
      </w:r>
      <w:r>
        <w:rPr>
          <w:rFonts w:hint="eastAsia" w:ascii="仿宋_GB2312" w:hAnsi="仿宋_GB2312" w:eastAsia="仿宋_GB2312" w:cs="仿宋_GB2312"/>
          <w:sz w:val="28"/>
          <w:szCs w:val="28"/>
          <w:highlight w:val="none"/>
        </w:rPr>
        <w:instrText xml:space="preserve"> PAGEREF _Toc115433468 \h </w:instrText>
      </w:r>
      <w:r>
        <w:rPr>
          <w:rFonts w:hint="eastAsia" w:ascii="仿宋_GB2312" w:hAnsi="仿宋_GB2312" w:eastAsia="仿宋_GB2312" w:cs="仿宋_GB2312"/>
          <w:sz w:val="28"/>
          <w:szCs w:val="28"/>
          <w:highlight w:val="none"/>
        </w:rPr>
        <w:fldChar w:fldCharType="separate"/>
      </w:r>
      <w:r>
        <w:rPr>
          <w:rFonts w:hint="eastAsia" w:ascii="仿宋_GB2312" w:hAnsi="仿宋_GB2312" w:eastAsia="仿宋_GB2312" w:cs="仿宋_GB2312"/>
          <w:sz w:val="28"/>
          <w:szCs w:val="28"/>
          <w:highlight w:val="none"/>
        </w:rPr>
        <w:t>93</w:t>
      </w:r>
      <w:r>
        <w:rPr>
          <w:rFonts w:hint="eastAsia" w:ascii="仿宋_GB2312" w:hAnsi="仿宋_GB2312" w:eastAsia="仿宋_GB2312" w:cs="仿宋_GB2312"/>
          <w:sz w:val="28"/>
          <w:szCs w:val="28"/>
          <w:highlight w:val="none"/>
        </w:rPr>
        <w:fldChar w:fldCharType="end"/>
      </w:r>
      <w:r>
        <w:rPr>
          <w:rFonts w:hint="eastAsia" w:ascii="仿宋_GB2312" w:hAnsi="仿宋_GB2312" w:eastAsia="仿宋_GB2312" w:cs="仿宋_GB2312"/>
          <w:sz w:val="28"/>
          <w:szCs w:val="28"/>
          <w:highlight w:val="none"/>
        </w:rPr>
        <w:fldChar w:fldCharType="end"/>
      </w:r>
    </w:p>
    <w:p>
      <w:pPr>
        <w:pStyle w:val="55"/>
        <w:tabs>
          <w:tab w:val="right" w:leader="dot" w:pos="8306"/>
        </w:tabs>
        <w:spacing w:line="36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Cs/>
          <w:sz w:val="28"/>
          <w:szCs w:val="28"/>
          <w:highlight w:val="none"/>
        </w:rPr>
        <w:fldChar w:fldCharType="end"/>
      </w:r>
      <w:bookmarkStart w:id="1" w:name="_Toc6931"/>
      <w:bookmarkStart w:id="2" w:name="_Toc4485617"/>
    </w:p>
    <w:p>
      <w:pPr>
        <w:pStyle w:val="55"/>
        <w:tabs>
          <w:tab w:val="right" w:leader="dot" w:pos="8306"/>
        </w:tabs>
        <w:spacing w:line="360" w:lineRule="auto"/>
        <w:jc w:val="center"/>
        <w:rPr>
          <w:rFonts w:hint="eastAsia" w:ascii="仿宋_GB2312" w:hAnsi="仿宋_GB2312" w:eastAsia="仿宋_GB2312" w:cs="仿宋_GB2312"/>
          <w:b/>
          <w:bCs/>
          <w:sz w:val="24"/>
          <w:szCs w:val="24"/>
          <w:highlight w:val="none"/>
        </w:rPr>
      </w:pPr>
    </w:p>
    <w:p>
      <w:pPr>
        <w:pStyle w:val="55"/>
        <w:tabs>
          <w:tab w:val="right" w:leader="dot" w:pos="8306"/>
        </w:tabs>
        <w:spacing w:line="360" w:lineRule="auto"/>
        <w:jc w:val="center"/>
        <w:rPr>
          <w:rFonts w:hint="eastAsia" w:ascii="仿宋_GB2312" w:hAnsi="仿宋_GB2312" w:eastAsia="仿宋_GB2312" w:cs="仿宋_GB2312"/>
          <w:b/>
          <w:bCs/>
          <w:sz w:val="24"/>
          <w:szCs w:val="24"/>
          <w:highlight w:val="none"/>
        </w:rPr>
      </w:pPr>
    </w:p>
    <w:p>
      <w:pPr>
        <w:pStyle w:val="55"/>
        <w:tabs>
          <w:tab w:val="right" w:leader="dot" w:pos="8306"/>
        </w:tabs>
        <w:spacing w:line="360" w:lineRule="auto"/>
        <w:jc w:val="center"/>
        <w:rPr>
          <w:rFonts w:hint="eastAsia" w:ascii="仿宋_GB2312" w:hAnsi="仿宋_GB2312" w:eastAsia="仿宋_GB2312" w:cs="仿宋_GB2312"/>
          <w:b/>
          <w:bCs/>
          <w:sz w:val="24"/>
          <w:szCs w:val="24"/>
          <w:highlight w:val="none"/>
        </w:rPr>
      </w:pPr>
    </w:p>
    <w:p>
      <w:pPr>
        <w:pStyle w:val="55"/>
        <w:tabs>
          <w:tab w:val="right" w:leader="dot" w:pos="8306"/>
        </w:tabs>
        <w:spacing w:line="360" w:lineRule="auto"/>
        <w:jc w:val="center"/>
        <w:rPr>
          <w:rFonts w:hint="eastAsia" w:ascii="仿宋_GB2312" w:hAnsi="仿宋_GB2312" w:eastAsia="仿宋_GB2312" w:cs="仿宋_GB2312"/>
          <w:b/>
          <w:bCs/>
          <w:sz w:val="24"/>
          <w:szCs w:val="24"/>
          <w:highlight w:val="none"/>
        </w:rPr>
      </w:pPr>
    </w:p>
    <w:p>
      <w:pPr>
        <w:pStyle w:val="55"/>
        <w:tabs>
          <w:tab w:val="right" w:leader="dot" w:pos="8306"/>
        </w:tabs>
        <w:spacing w:line="360" w:lineRule="auto"/>
        <w:jc w:val="center"/>
        <w:rPr>
          <w:rFonts w:hint="eastAsia" w:ascii="仿宋_GB2312" w:hAnsi="仿宋_GB2312" w:eastAsia="仿宋_GB2312" w:cs="仿宋_GB2312"/>
          <w:b/>
          <w:bCs/>
          <w:sz w:val="24"/>
          <w:szCs w:val="24"/>
          <w:highlight w:val="none"/>
        </w:rPr>
      </w:pPr>
    </w:p>
    <w:p>
      <w:pPr>
        <w:widowControl/>
        <w:jc w:val="left"/>
        <w:rPr>
          <w:rFonts w:hint="eastAsia" w:ascii="仿宋_GB2312" w:hAnsi="仿宋_GB2312" w:eastAsia="仿宋_GB2312" w:cs="仿宋_GB2312"/>
          <w:b/>
          <w:bCs/>
          <w:kern w:val="0"/>
          <w:sz w:val="24"/>
          <w:highlight w:val="none"/>
        </w:rPr>
      </w:pPr>
      <w:r>
        <w:rPr>
          <w:rFonts w:hint="eastAsia" w:ascii="仿宋_GB2312" w:hAnsi="仿宋_GB2312" w:eastAsia="仿宋_GB2312" w:cs="仿宋_GB2312"/>
          <w:b/>
          <w:bCs/>
          <w:sz w:val="24"/>
          <w:highlight w:val="none"/>
        </w:rPr>
        <w:br w:type="page"/>
      </w:r>
    </w:p>
    <w:bookmarkEnd w:id="1"/>
    <w:p>
      <w:pPr>
        <w:pStyle w:val="3"/>
        <w:adjustRightInd w:val="0"/>
        <w:snapToGrid w:val="0"/>
        <w:spacing w:before="0" w:after="0" w:line="360" w:lineRule="auto"/>
        <w:jc w:val="center"/>
        <w:rPr>
          <w:rFonts w:hint="eastAsia" w:ascii="仿宋_GB2312" w:hAnsi="仿宋_GB2312" w:eastAsia="仿宋_GB2312" w:cs="仿宋_GB2312"/>
          <w:bCs/>
          <w:highlight w:val="none"/>
          <w:lang w:val="en-US" w:eastAsia="zh-CN"/>
        </w:rPr>
      </w:pPr>
      <w:bookmarkStart w:id="3" w:name="_Toc115433461"/>
      <w:r>
        <w:rPr>
          <w:rFonts w:hint="eastAsia" w:ascii="仿宋_GB2312" w:hAnsi="仿宋_GB2312" w:eastAsia="仿宋_GB2312" w:cs="仿宋_GB2312"/>
          <w:bCs/>
          <w:highlight w:val="none"/>
          <w:lang w:val="en-US" w:eastAsia="zh-CN"/>
        </w:rPr>
        <w:t>九连城镇庙岭村仓储物流库房工程</w:t>
      </w:r>
    </w:p>
    <w:p>
      <w:pPr>
        <w:pStyle w:val="3"/>
        <w:adjustRightInd w:val="0"/>
        <w:snapToGrid w:val="0"/>
        <w:spacing w:before="0" w:after="0" w:line="360" w:lineRule="auto"/>
        <w:jc w:val="center"/>
        <w:rPr>
          <w:rFonts w:hint="eastAsia" w:ascii="仿宋_GB2312" w:hAnsi="仿宋_GB2312" w:eastAsia="仿宋_GB2312" w:cs="仿宋_GB2312"/>
          <w:b w:val="0"/>
          <w:bCs/>
          <w:highlight w:val="none"/>
        </w:rPr>
      </w:pPr>
      <w:r>
        <w:rPr>
          <w:rFonts w:hint="eastAsia" w:ascii="仿宋_GB2312" w:hAnsi="仿宋_GB2312" w:eastAsia="仿宋_GB2312" w:cs="仿宋_GB2312"/>
          <w:bCs/>
          <w:highlight w:val="none"/>
        </w:rPr>
        <w:t>竞争性磋商公告</w:t>
      </w:r>
      <w:bookmarkEnd w:id="3"/>
    </w:p>
    <w:p>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u w:val="single"/>
          <w:lang w:eastAsia="zh-CN"/>
        </w:rPr>
        <w:t>九连城镇庙岭村仓储物流库房工程</w:t>
      </w:r>
      <w:r>
        <w:rPr>
          <w:rFonts w:hint="eastAsia" w:ascii="仿宋_GB2312" w:hAnsi="仿宋_GB2312" w:eastAsia="仿宋_GB2312" w:cs="仿宋_GB2312"/>
          <w:szCs w:val="21"/>
          <w:highlight w:val="none"/>
        </w:rPr>
        <w:t>采购项目的潜在供应商应在</w:t>
      </w:r>
      <w:r>
        <w:rPr>
          <w:rFonts w:hint="eastAsia" w:ascii="仿宋_GB2312" w:hAnsi="仿宋_GB2312" w:eastAsia="仿宋_GB2312" w:cs="仿宋_GB2312"/>
          <w:szCs w:val="21"/>
          <w:highlight w:val="none"/>
          <w:u w:val="single"/>
          <w:lang w:val="en-US" w:eastAsia="zh-CN"/>
        </w:rPr>
        <w:t>线上</w:t>
      </w:r>
      <w:r>
        <w:rPr>
          <w:rFonts w:hint="eastAsia" w:ascii="仿宋_GB2312" w:hAnsi="仿宋_GB2312" w:eastAsia="仿宋_GB2312" w:cs="仿宋_GB2312"/>
          <w:szCs w:val="21"/>
          <w:highlight w:val="none"/>
        </w:rPr>
        <w:t>获取采购文件，并于</w:t>
      </w:r>
      <w:r>
        <w:rPr>
          <w:rFonts w:hint="eastAsia" w:ascii="仿宋_GB2312" w:hAnsi="仿宋_GB2312" w:eastAsia="仿宋_GB2312" w:cs="仿宋_GB2312"/>
          <w:szCs w:val="21"/>
          <w:highlight w:val="none"/>
          <w:u w:val="single"/>
          <w:lang w:eastAsia="zh-CN"/>
        </w:rPr>
        <w:t>2023年</w:t>
      </w:r>
      <w:r>
        <w:rPr>
          <w:rFonts w:hint="eastAsia" w:ascii="仿宋_GB2312" w:hAnsi="仿宋_GB2312" w:eastAsia="仿宋_GB2312" w:cs="仿宋_GB2312"/>
          <w:szCs w:val="21"/>
          <w:highlight w:val="none"/>
          <w:u w:val="single"/>
          <w:lang w:val="en-US" w:eastAsia="zh-CN"/>
        </w:rPr>
        <w:t>11</w:t>
      </w:r>
      <w:r>
        <w:rPr>
          <w:rFonts w:hint="eastAsia" w:ascii="仿宋_GB2312" w:hAnsi="仿宋_GB2312" w:eastAsia="仿宋_GB2312" w:cs="仿宋_GB2312"/>
          <w:szCs w:val="21"/>
          <w:highlight w:val="none"/>
          <w:u w:val="single"/>
          <w:lang w:eastAsia="zh-CN"/>
        </w:rPr>
        <w:t>月</w:t>
      </w:r>
      <w:r>
        <w:rPr>
          <w:rFonts w:hint="eastAsia" w:ascii="仿宋_GB2312" w:hAnsi="仿宋_GB2312" w:eastAsia="仿宋_GB2312" w:cs="仿宋_GB2312"/>
          <w:szCs w:val="21"/>
          <w:highlight w:val="none"/>
          <w:u w:val="single"/>
          <w:lang w:val="en-US" w:eastAsia="zh-CN"/>
        </w:rPr>
        <w:t>22</w:t>
      </w:r>
      <w:r>
        <w:rPr>
          <w:rFonts w:hint="eastAsia" w:ascii="仿宋_GB2312" w:hAnsi="仿宋_GB2312" w:eastAsia="仿宋_GB2312" w:cs="仿宋_GB2312"/>
          <w:szCs w:val="21"/>
          <w:highlight w:val="none"/>
          <w:u w:val="single"/>
          <w:lang w:eastAsia="zh-CN"/>
        </w:rPr>
        <w:t>日</w:t>
      </w:r>
      <w:r>
        <w:rPr>
          <w:rFonts w:hint="eastAsia" w:ascii="仿宋_GB2312" w:hAnsi="仿宋_GB2312" w:eastAsia="仿宋_GB2312" w:cs="仿宋_GB2312"/>
          <w:szCs w:val="21"/>
          <w:highlight w:val="none"/>
          <w:u w:val="single"/>
          <w:lang w:val="en-US" w:eastAsia="zh-CN"/>
        </w:rPr>
        <w:t>13</w:t>
      </w:r>
      <w:r>
        <w:rPr>
          <w:rFonts w:hint="eastAsia" w:ascii="仿宋_GB2312" w:hAnsi="仿宋_GB2312" w:eastAsia="仿宋_GB2312" w:cs="仿宋_GB2312"/>
          <w:szCs w:val="21"/>
          <w:highlight w:val="none"/>
          <w:u w:val="single"/>
          <w:lang w:eastAsia="zh-CN"/>
        </w:rPr>
        <w:t>点30分</w:t>
      </w:r>
      <w:r>
        <w:rPr>
          <w:rFonts w:hint="eastAsia" w:ascii="仿宋_GB2312" w:hAnsi="仿宋_GB2312" w:eastAsia="仿宋_GB2312" w:cs="仿宋_GB2312"/>
          <w:bCs/>
          <w:szCs w:val="21"/>
          <w:highlight w:val="none"/>
        </w:rPr>
        <w:t>（北京时间）前提交响应文件</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szCs w:val="21"/>
          <w:highlight w:val="none"/>
        </w:rPr>
      </w:pP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szCs w:val="21"/>
          <w:highlight w:val="none"/>
        </w:rPr>
      </w:pPr>
      <w:bookmarkStart w:id="4" w:name="_Toc35393798"/>
      <w:bookmarkStart w:id="5" w:name="_Toc35393629"/>
      <w:bookmarkStart w:id="6" w:name="_Toc28359089"/>
      <w:bookmarkStart w:id="7" w:name="_Toc28359012"/>
      <w:r>
        <w:rPr>
          <w:rFonts w:hint="eastAsia" w:ascii="仿宋_GB2312" w:hAnsi="仿宋_GB2312" w:eastAsia="仿宋_GB2312" w:cs="仿宋_GB2312"/>
          <w:szCs w:val="21"/>
          <w:highlight w:val="none"/>
        </w:rPr>
        <w:t>一、项目基本情况</w:t>
      </w:r>
      <w:bookmarkEnd w:id="4"/>
      <w:bookmarkEnd w:id="5"/>
      <w:bookmarkEnd w:id="6"/>
      <w:bookmarkEnd w:id="7"/>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项目编号：</w:t>
      </w:r>
      <w:r>
        <w:rPr>
          <w:rFonts w:hint="eastAsia" w:ascii="仿宋_GB2312" w:hAnsi="仿宋_GB2312" w:eastAsia="仿宋_GB2312" w:cs="仿宋_GB2312"/>
          <w:szCs w:val="21"/>
          <w:highlight w:val="none"/>
          <w:lang w:eastAsia="zh-CN"/>
        </w:rPr>
        <w:t>JH23-210604-00088</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b/>
          <w:sz w:val="32"/>
          <w:szCs w:val="32"/>
          <w:highlight w:val="none"/>
          <w:lang w:eastAsia="zh-CN"/>
        </w:rPr>
      </w:pPr>
      <w:r>
        <w:rPr>
          <w:rFonts w:hint="eastAsia" w:ascii="仿宋_GB2312" w:hAnsi="仿宋_GB2312" w:eastAsia="仿宋_GB2312" w:cs="仿宋_GB2312"/>
          <w:szCs w:val="21"/>
          <w:highlight w:val="none"/>
        </w:rPr>
        <w:t>项目名称：</w:t>
      </w:r>
      <w:r>
        <w:rPr>
          <w:rFonts w:hint="eastAsia" w:ascii="仿宋_GB2312" w:hAnsi="仿宋_GB2312" w:eastAsia="仿宋_GB2312" w:cs="仿宋_GB2312"/>
          <w:szCs w:val="21"/>
          <w:highlight w:val="none"/>
          <w:lang w:eastAsia="zh-CN"/>
        </w:rPr>
        <w:t>九连城镇庙岭村仓储物流库房工程</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采购方式：竞争性磋商</w:t>
      </w:r>
    </w:p>
    <w:p>
      <w:pPr>
        <w:keepNext w:val="0"/>
        <w:keepLines w:val="0"/>
        <w:pageBreakBefore w:val="0"/>
        <w:tabs>
          <w:tab w:val="center" w:pos="4363"/>
        </w:tabs>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预算金额：人民币</w:t>
      </w:r>
      <w:r>
        <w:rPr>
          <w:rFonts w:hint="eastAsia" w:ascii="仿宋_GB2312" w:hAnsi="仿宋_GB2312" w:eastAsia="仿宋_GB2312" w:cs="仿宋_GB2312"/>
          <w:szCs w:val="21"/>
          <w:highlight w:val="none"/>
          <w:lang w:val="en-US" w:eastAsia="zh-CN"/>
        </w:rPr>
        <w:t>998,166.37</w:t>
      </w:r>
      <w:r>
        <w:rPr>
          <w:rFonts w:hint="eastAsia" w:ascii="仿宋_GB2312" w:hAnsi="仿宋_GB2312" w:eastAsia="仿宋_GB2312" w:cs="仿宋_GB2312"/>
          <w:szCs w:val="21"/>
          <w:highlight w:val="none"/>
        </w:rPr>
        <w:t>元</w:t>
      </w:r>
      <w:r>
        <w:rPr>
          <w:rFonts w:hint="eastAsia" w:ascii="仿宋_GB2312" w:hAnsi="仿宋_GB2312" w:eastAsia="仿宋_GB2312" w:cs="仿宋_GB2312"/>
          <w:szCs w:val="21"/>
          <w:highlight w:val="none"/>
        </w:rPr>
        <w:tab/>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最高限价：人民币</w:t>
      </w:r>
      <w:r>
        <w:rPr>
          <w:rFonts w:hint="eastAsia" w:ascii="仿宋_GB2312" w:hAnsi="仿宋_GB2312" w:eastAsia="仿宋_GB2312" w:cs="仿宋_GB2312"/>
          <w:szCs w:val="21"/>
          <w:highlight w:val="none"/>
          <w:lang w:val="en-US" w:eastAsia="zh-CN"/>
        </w:rPr>
        <w:t>998,166.37</w:t>
      </w:r>
      <w:r>
        <w:rPr>
          <w:rFonts w:hint="eastAsia" w:ascii="仿宋_GB2312" w:hAnsi="仿宋_GB2312" w:eastAsia="仿宋_GB2312" w:cs="仿宋_GB2312"/>
          <w:szCs w:val="21"/>
          <w:highlight w:val="none"/>
        </w:rPr>
        <w:t>元</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b/>
          <w:sz w:val="32"/>
          <w:szCs w:val="32"/>
          <w:highlight w:val="none"/>
        </w:rPr>
      </w:pPr>
      <w:r>
        <w:rPr>
          <w:rFonts w:hint="eastAsia" w:ascii="仿宋_GB2312" w:hAnsi="仿宋_GB2312" w:eastAsia="仿宋_GB2312" w:cs="仿宋_GB2312"/>
          <w:szCs w:val="21"/>
          <w:highlight w:val="none"/>
        </w:rPr>
        <w:t>采购需求：</w:t>
      </w:r>
      <w:r>
        <w:rPr>
          <w:rFonts w:hint="eastAsia" w:ascii="仿宋_GB2312" w:hAnsi="仿宋_GB2312" w:eastAsia="仿宋_GB2312" w:cs="仿宋_GB2312"/>
          <w:szCs w:val="21"/>
          <w:highlight w:val="none"/>
          <w:lang w:val="en-US" w:eastAsia="zh-CN"/>
        </w:rPr>
        <w:t>本项目为九连城镇庙岭村仓储物流库房工程，工程地点在九连城镇庙岭村。主要内容为</w:t>
      </w:r>
      <w:r>
        <w:rPr>
          <w:rFonts w:hint="eastAsia" w:ascii="仿宋_GB2312" w:hAnsi="仿宋_GB2312" w:eastAsia="仿宋_GB2312" w:cs="仿宋_GB2312"/>
          <w:szCs w:val="21"/>
          <w:highlight w:val="none"/>
        </w:rPr>
        <w:t>新建仓储物流库房532.9m²，砖混结构一层。</w:t>
      </w:r>
      <w:r>
        <w:rPr>
          <w:rFonts w:hint="eastAsia" w:ascii="仿宋_GB2312" w:hAnsi="仿宋_GB2312" w:eastAsia="仿宋_GB2312" w:cs="仿宋_GB2312"/>
          <w:szCs w:val="21"/>
          <w:highlight w:val="none"/>
          <w:lang w:eastAsia="zh-CN"/>
        </w:rPr>
        <w:t>（具体详见工程量清单）。</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合同履行期限：</w:t>
      </w:r>
      <w:r>
        <w:rPr>
          <w:rFonts w:hint="eastAsia" w:ascii="仿宋_GB2312" w:hAnsi="仿宋_GB2312" w:eastAsia="仿宋_GB2312" w:cs="仿宋_GB2312"/>
          <w:szCs w:val="21"/>
          <w:highlight w:val="none"/>
          <w:lang w:eastAsia="zh-CN"/>
        </w:rPr>
        <w:t>自签订合同之日起60日历日内施工完毕。</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需落实的政府采购政策内容：中小微企业（含监狱企业）、促进残疾人就业的相关规定。</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本项目（否）接受联合体。</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szCs w:val="21"/>
          <w:highlight w:val="none"/>
        </w:rPr>
      </w:pPr>
      <w:bookmarkStart w:id="8" w:name="_Toc28359013"/>
      <w:bookmarkStart w:id="9" w:name="_Toc28359090"/>
      <w:bookmarkStart w:id="10" w:name="_Toc35393630"/>
      <w:bookmarkStart w:id="11" w:name="_Toc35393799"/>
      <w:r>
        <w:rPr>
          <w:rFonts w:hint="eastAsia" w:ascii="仿宋_GB2312" w:hAnsi="仿宋_GB2312" w:eastAsia="仿宋_GB2312" w:cs="仿宋_GB2312"/>
          <w:szCs w:val="21"/>
          <w:highlight w:val="none"/>
        </w:rPr>
        <w:t>二、供应商的资格要求：</w:t>
      </w:r>
      <w:bookmarkEnd w:id="8"/>
      <w:bookmarkEnd w:id="9"/>
      <w:bookmarkEnd w:id="10"/>
      <w:bookmarkEnd w:id="11"/>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1.满足《中华人民共和国政府采购法》第二十二条规定；</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bookmarkStart w:id="12" w:name="_Toc28359091"/>
      <w:bookmarkStart w:id="13" w:name="_Toc28359014"/>
      <w:r>
        <w:rPr>
          <w:rFonts w:hint="eastAsia" w:ascii="仿宋_GB2312" w:hAnsi="仿宋_GB2312" w:eastAsia="仿宋_GB2312" w:cs="仿宋_GB2312"/>
          <w:szCs w:val="21"/>
          <w:highlight w:val="none"/>
        </w:rPr>
        <w:t>2.落实政府采购政策需满足的资格要求：本项目专门面向中小企业采购，供应商应为中小微企业、监狱企业、残疾人福利性单位。</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3.本项目的特定资格要求：</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（1）供应商应具备国家行政主管部门认定的</w:t>
      </w:r>
      <w:r>
        <w:rPr>
          <w:rFonts w:hint="eastAsia" w:ascii="仿宋_GB2312" w:hAnsi="仿宋_GB2312" w:eastAsia="仿宋_GB2312" w:cs="仿宋_GB2312"/>
          <w:szCs w:val="21"/>
          <w:highlight w:val="none"/>
          <w:lang w:eastAsia="zh-CN"/>
        </w:rPr>
        <w:t>建筑工程</w:t>
      </w:r>
      <w:r>
        <w:rPr>
          <w:rFonts w:hint="eastAsia" w:ascii="仿宋_GB2312" w:hAnsi="仿宋_GB2312" w:eastAsia="仿宋_GB2312" w:cs="仿宋_GB2312"/>
          <w:szCs w:val="21"/>
          <w:highlight w:val="none"/>
        </w:rPr>
        <w:t xml:space="preserve">施工总承包叁级及以上资质，具有有效的安全生产许可证，并在人员、设备、资金等方面具有相应的施工能力； </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（2）拟投入本项目的项目经理应具备</w:t>
      </w:r>
      <w:r>
        <w:rPr>
          <w:rFonts w:hint="eastAsia" w:ascii="仿宋_GB2312" w:hAnsi="仿宋_GB2312" w:eastAsia="仿宋_GB2312" w:cs="仿宋_GB2312"/>
          <w:szCs w:val="21"/>
          <w:highlight w:val="none"/>
          <w:lang w:eastAsia="zh-CN"/>
        </w:rPr>
        <w:t>建筑工程专业</w:t>
      </w:r>
      <w:r>
        <w:rPr>
          <w:rFonts w:hint="eastAsia" w:ascii="仿宋_GB2312" w:hAnsi="仿宋_GB2312" w:eastAsia="仿宋_GB2312" w:cs="仿宋_GB2312"/>
          <w:szCs w:val="21"/>
          <w:highlight w:val="none"/>
        </w:rPr>
        <w:t xml:space="preserve">二级及以上注册建造师执业资格，并具备有效的安全生产考核B类合格证书； </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（3）</w:t>
      </w:r>
      <w:r>
        <w:rPr>
          <w:rFonts w:hint="eastAsia" w:ascii="仿宋_GB2312" w:hAnsi="仿宋_GB2312" w:eastAsia="仿宋_GB2312" w:cs="仿宋_GB2312"/>
          <w:szCs w:val="21"/>
          <w:highlight w:val="none"/>
          <w:lang w:eastAsia="zh-CN"/>
        </w:rPr>
        <w:t>供应商在“信用中国”网站（http：//www.creditchina.gov.cn/）没有被列入失信被执行人、重大税收违法案件当事人名单、政府采购严重违法失信行为记录名单。 在“中国政府采购网”网站（http：//www.ccgp.gov.cn/） 没有被列入政府采购严重违法失信行为记录名单 。</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三、政府采购供应商入库须知</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bookmarkStart w:id="14" w:name="_Toc35393631"/>
      <w:bookmarkStart w:id="15" w:name="_Toc35393800"/>
      <w:r>
        <w:rPr>
          <w:rFonts w:hint="eastAsia" w:ascii="仿宋_GB2312" w:hAnsi="仿宋_GB2312" w:eastAsia="仿宋_GB2312" w:cs="仿宋_GB2312"/>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四、获取采购文件</w:t>
      </w:r>
      <w:bookmarkEnd w:id="12"/>
      <w:bookmarkEnd w:id="13"/>
      <w:bookmarkEnd w:id="14"/>
      <w:bookmarkEnd w:id="15"/>
    </w:p>
    <w:p>
      <w:pPr>
        <w:keepNext w:val="0"/>
        <w:keepLines w:val="0"/>
        <w:pageBreakBefore w:val="0"/>
        <w:kinsoku/>
        <w:wordWrap/>
        <w:overflowPunct/>
        <w:topLinePunct w:val="0"/>
        <w:autoSpaceDE/>
        <w:autoSpaceDN/>
        <w:bidi w:val="0"/>
        <w:adjustRightInd w:val="0"/>
        <w:snapToGrid w:val="0"/>
        <w:spacing w:line="360" w:lineRule="auto"/>
        <w:ind w:firstLine="540"/>
        <w:textAlignment w:val="auto"/>
        <w:rPr>
          <w:rFonts w:hint="eastAsia" w:ascii="仿宋_GB2312" w:hAnsi="仿宋_GB2312" w:eastAsia="仿宋_GB2312" w:cs="仿宋_GB2312"/>
          <w:szCs w:val="21"/>
          <w:highlight w:val="none"/>
        </w:rPr>
      </w:pPr>
      <w:bookmarkStart w:id="16" w:name="_Toc35393801"/>
      <w:bookmarkStart w:id="17" w:name="_Toc28359092"/>
      <w:bookmarkStart w:id="18" w:name="_Toc28359015"/>
      <w:bookmarkStart w:id="19" w:name="_Toc35393632"/>
      <w:r>
        <w:rPr>
          <w:rFonts w:hint="eastAsia" w:ascii="仿宋_GB2312" w:hAnsi="仿宋_GB2312" w:eastAsia="仿宋_GB2312" w:cs="仿宋_GB2312"/>
          <w:szCs w:val="21"/>
          <w:highlight w:val="none"/>
        </w:rPr>
        <w:t xml:space="preserve">时间： </w:t>
      </w:r>
      <w:r>
        <w:rPr>
          <w:rFonts w:hint="eastAsia" w:ascii="仿宋_GB2312" w:hAnsi="仿宋_GB2312" w:eastAsia="仿宋_GB2312" w:cs="仿宋_GB2312"/>
          <w:szCs w:val="21"/>
          <w:highlight w:val="none"/>
          <w:u w:val="single"/>
        </w:rPr>
        <w:t>202</w:t>
      </w:r>
      <w:r>
        <w:rPr>
          <w:rFonts w:hint="eastAsia" w:ascii="仿宋_GB2312" w:hAnsi="仿宋_GB2312" w:eastAsia="仿宋_GB2312" w:cs="仿宋_GB2312"/>
          <w:szCs w:val="21"/>
          <w:highlight w:val="none"/>
          <w:u w:val="single"/>
          <w:lang w:val="en-US" w:eastAsia="zh-CN"/>
        </w:rPr>
        <w:t>3</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11</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10</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rPr>
        <w:t xml:space="preserve">至 </w:t>
      </w:r>
      <w:r>
        <w:rPr>
          <w:rFonts w:hint="eastAsia" w:ascii="仿宋_GB2312" w:hAnsi="仿宋_GB2312" w:eastAsia="仿宋_GB2312" w:cs="仿宋_GB2312"/>
          <w:szCs w:val="21"/>
          <w:highlight w:val="none"/>
          <w:u w:val="single"/>
        </w:rPr>
        <w:t>202</w:t>
      </w:r>
      <w:r>
        <w:rPr>
          <w:rFonts w:hint="eastAsia" w:ascii="仿宋_GB2312" w:hAnsi="仿宋_GB2312" w:eastAsia="仿宋_GB2312" w:cs="仿宋_GB2312"/>
          <w:szCs w:val="21"/>
          <w:highlight w:val="none"/>
          <w:u w:val="single"/>
          <w:lang w:val="en-US" w:eastAsia="zh-CN"/>
        </w:rPr>
        <w:t>3</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11</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16</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rPr>
        <w:t>，每天上午</w:t>
      </w:r>
      <w:r>
        <w:rPr>
          <w:rFonts w:hint="eastAsia" w:ascii="仿宋_GB2312" w:hAnsi="仿宋_GB2312" w:eastAsia="仿宋_GB2312" w:cs="仿宋_GB2312"/>
          <w:szCs w:val="21"/>
          <w:highlight w:val="none"/>
          <w:u w:val="single"/>
        </w:rPr>
        <w:t xml:space="preserve">8：30 </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rPr>
        <w:t xml:space="preserve">11：30 </w:t>
      </w:r>
      <w:r>
        <w:rPr>
          <w:rFonts w:hint="eastAsia" w:ascii="仿宋_GB2312" w:hAnsi="仿宋_GB2312" w:eastAsia="仿宋_GB2312" w:cs="仿宋_GB2312"/>
          <w:szCs w:val="21"/>
          <w:highlight w:val="none"/>
        </w:rPr>
        <w:t>，下午</w:t>
      </w:r>
      <w:r>
        <w:rPr>
          <w:rFonts w:hint="eastAsia" w:ascii="仿宋_GB2312" w:hAnsi="仿宋_GB2312" w:eastAsia="仿宋_GB2312" w:cs="仿宋_GB2312"/>
          <w:szCs w:val="21"/>
          <w:highlight w:val="none"/>
          <w:u w:val="single"/>
        </w:rPr>
        <w:t xml:space="preserve">11：30 </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rPr>
        <w:t xml:space="preserve">16：30 </w:t>
      </w:r>
      <w:r>
        <w:rPr>
          <w:rFonts w:hint="eastAsia" w:ascii="仿宋_GB2312" w:hAnsi="仿宋_GB2312" w:eastAsia="仿宋_GB2312" w:cs="仿宋_GB2312"/>
          <w:szCs w:val="21"/>
          <w:highlight w:val="none"/>
        </w:rPr>
        <w:t>（北京时间，法定节假日除外 ）</w:t>
      </w:r>
    </w:p>
    <w:p>
      <w:pPr>
        <w:keepNext w:val="0"/>
        <w:keepLines w:val="0"/>
        <w:pageBreakBefore w:val="0"/>
        <w:kinsoku/>
        <w:wordWrap/>
        <w:overflowPunct/>
        <w:topLinePunct w:val="0"/>
        <w:autoSpaceDE/>
        <w:autoSpaceDN/>
        <w:bidi w:val="0"/>
        <w:adjustRightInd w:val="0"/>
        <w:snapToGrid w:val="0"/>
        <w:spacing w:line="360" w:lineRule="auto"/>
        <w:ind w:firstLine="54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地点：线上获取。</w:t>
      </w:r>
    </w:p>
    <w:p>
      <w:pPr>
        <w:keepNext w:val="0"/>
        <w:keepLines w:val="0"/>
        <w:pageBreakBefore w:val="0"/>
        <w:kinsoku/>
        <w:wordWrap/>
        <w:overflowPunct/>
        <w:topLinePunct w:val="0"/>
        <w:autoSpaceDE/>
        <w:autoSpaceDN/>
        <w:bidi w:val="0"/>
        <w:adjustRightInd w:val="0"/>
        <w:snapToGrid w:val="0"/>
        <w:spacing w:line="360" w:lineRule="auto"/>
        <w:ind w:firstLine="54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方式：在线下载。</w:t>
      </w:r>
    </w:p>
    <w:p>
      <w:pPr>
        <w:keepNext w:val="0"/>
        <w:keepLines w:val="0"/>
        <w:pageBreakBefore w:val="0"/>
        <w:kinsoku/>
        <w:wordWrap/>
        <w:overflowPunct/>
        <w:topLinePunct w:val="0"/>
        <w:autoSpaceDE/>
        <w:autoSpaceDN/>
        <w:bidi w:val="0"/>
        <w:adjustRightInd w:val="0"/>
        <w:snapToGrid w:val="0"/>
        <w:spacing w:line="360" w:lineRule="auto"/>
        <w:ind w:firstLine="54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售价：免费。</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五、响应文件提交</w:t>
      </w:r>
      <w:bookmarkEnd w:id="16"/>
      <w:bookmarkEnd w:id="17"/>
      <w:bookmarkEnd w:id="18"/>
      <w:bookmarkEnd w:id="19"/>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iCs/>
          <w:szCs w:val="21"/>
          <w:highlight w:val="none"/>
          <w:u w:val="single"/>
        </w:rPr>
      </w:pPr>
      <w:r>
        <w:rPr>
          <w:rFonts w:hint="eastAsia" w:ascii="仿宋_GB2312" w:hAnsi="仿宋_GB2312" w:eastAsia="仿宋_GB2312" w:cs="仿宋_GB2312"/>
          <w:szCs w:val="21"/>
          <w:highlight w:val="none"/>
        </w:rPr>
        <w:t>截止时间：</w:t>
      </w:r>
      <w:r>
        <w:rPr>
          <w:rFonts w:hint="eastAsia" w:ascii="仿宋_GB2312" w:hAnsi="仿宋_GB2312" w:eastAsia="仿宋_GB2312" w:cs="仿宋_GB2312"/>
          <w:szCs w:val="21"/>
          <w:highlight w:val="none"/>
          <w:u w:val="single"/>
          <w:lang w:eastAsia="zh-CN"/>
        </w:rPr>
        <w:t>2023年</w:t>
      </w:r>
      <w:r>
        <w:rPr>
          <w:rFonts w:hint="eastAsia" w:ascii="仿宋_GB2312" w:hAnsi="仿宋_GB2312" w:eastAsia="仿宋_GB2312" w:cs="仿宋_GB2312"/>
          <w:szCs w:val="21"/>
          <w:highlight w:val="none"/>
          <w:u w:val="single"/>
          <w:lang w:val="en-US" w:eastAsia="zh-CN"/>
        </w:rPr>
        <w:t>11</w:t>
      </w:r>
      <w:r>
        <w:rPr>
          <w:rFonts w:hint="eastAsia" w:ascii="仿宋_GB2312" w:hAnsi="仿宋_GB2312" w:eastAsia="仿宋_GB2312" w:cs="仿宋_GB2312"/>
          <w:szCs w:val="21"/>
          <w:highlight w:val="none"/>
          <w:u w:val="single"/>
          <w:lang w:eastAsia="zh-CN"/>
        </w:rPr>
        <w:t>月</w:t>
      </w:r>
      <w:r>
        <w:rPr>
          <w:rFonts w:hint="eastAsia" w:ascii="仿宋_GB2312" w:hAnsi="仿宋_GB2312" w:eastAsia="仿宋_GB2312" w:cs="仿宋_GB2312"/>
          <w:szCs w:val="21"/>
          <w:highlight w:val="none"/>
          <w:u w:val="single"/>
          <w:lang w:val="en-US" w:eastAsia="zh-CN"/>
        </w:rPr>
        <w:t>22</w:t>
      </w:r>
      <w:r>
        <w:rPr>
          <w:rFonts w:hint="eastAsia" w:ascii="仿宋_GB2312" w:hAnsi="仿宋_GB2312" w:eastAsia="仿宋_GB2312" w:cs="仿宋_GB2312"/>
          <w:szCs w:val="21"/>
          <w:highlight w:val="none"/>
          <w:u w:val="single"/>
          <w:lang w:eastAsia="zh-CN"/>
        </w:rPr>
        <w:t>日</w:t>
      </w:r>
      <w:r>
        <w:rPr>
          <w:rFonts w:hint="eastAsia" w:ascii="仿宋_GB2312" w:hAnsi="仿宋_GB2312" w:eastAsia="仿宋_GB2312" w:cs="仿宋_GB2312"/>
          <w:szCs w:val="21"/>
          <w:highlight w:val="none"/>
          <w:u w:val="single"/>
          <w:lang w:val="en-US" w:eastAsia="zh-CN"/>
        </w:rPr>
        <w:t>13</w:t>
      </w:r>
      <w:r>
        <w:rPr>
          <w:rFonts w:hint="eastAsia" w:ascii="仿宋_GB2312" w:hAnsi="仿宋_GB2312" w:eastAsia="仿宋_GB2312" w:cs="仿宋_GB2312"/>
          <w:szCs w:val="21"/>
          <w:highlight w:val="none"/>
          <w:u w:val="single"/>
          <w:lang w:eastAsia="zh-CN"/>
        </w:rPr>
        <w:t>点30分</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szCs w:val="21"/>
          <w:highlight w:val="none"/>
        </w:rPr>
        <w:t>北京时间）</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bCs/>
          <w:szCs w:val="21"/>
          <w:highlight w:val="none"/>
          <w:u w:val="single"/>
        </w:rPr>
      </w:pPr>
      <w:r>
        <w:rPr>
          <w:rFonts w:hint="eastAsia" w:ascii="仿宋_GB2312" w:hAnsi="仿宋_GB2312" w:eastAsia="仿宋_GB2312" w:cs="仿宋_GB2312"/>
          <w:szCs w:val="21"/>
          <w:highlight w:val="none"/>
        </w:rPr>
        <w:t>地点：</w:t>
      </w:r>
      <w:bookmarkStart w:id="20" w:name="_Toc35393802"/>
      <w:bookmarkStart w:id="21" w:name="_Toc28359016"/>
      <w:bookmarkStart w:id="22" w:name="_Toc28359093"/>
      <w:bookmarkStart w:id="23" w:name="_Toc35393633"/>
      <w:r>
        <w:rPr>
          <w:rFonts w:hint="eastAsia" w:ascii="仿宋_GB2312" w:hAnsi="仿宋_GB2312" w:eastAsia="仿宋_GB2312" w:cs="仿宋_GB2312"/>
          <w:szCs w:val="21"/>
          <w:highlight w:val="none"/>
        </w:rPr>
        <w:t>辽宁政府采购网</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六、开启</w:t>
      </w:r>
      <w:bookmarkEnd w:id="20"/>
      <w:bookmarkEnd w:id="21"/>
      <w:bookmarkEnd w:id="22"/>
      <w:bookmarkEnd w:id="23"/>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bCs/>
          <w:szCs w:val="21"/>
          <w:highlight w:val="none"/>
          <w:u w:val="single"/>
        </w:rPr>
      </w:pPr>
      <w:r>
        <w:rPr>
          <w:rFonts w:hint="eastAsia" w:ascii="仿宋_GB2312" w:hAnsi="仿宋_GB2312" w:eastAsia="仿宋_GB2312" w:cs="仿宋_GB2312"/>
          <w:szCs w:val="21"/>
          <w:highlight w:val="none"/>
        </w:rPr>
        <w:t>时间：</w:t>
      </w:r>
      <w:r>
        <w:rPr>
          <w:rFonts w:hint="eastAsia" w:ascii="仿宋_GB2312" w:hAnsi="仿宋_GB2312" w:eastAsia="仿宋_GB2312" w:cs="仿宋_GB2312"/>
          <w:szCs w:val="21"/>
          <w:highlight w:val="none"/>
          <w:u w:val="single"/>
          <w:lang w:eastAsia="zh-CN"/>
        </w:rPr>
        <w:t>2023年</w:t>
      </w:r>
      <w:r>
        <w:rPr>
          <w:rFonts w:hint="eastAsia" w:ascii="仿宋_GB2312" w:hAnsi="仿宋_GB2312" w:eastAsia="仿宋_GB2312" w:cs="仿宋_GB2312"/>
          <w:szCs w:val="21"/>
          <w:highlight w:val="none"/>
          <w:u w:val="single"/>
          <w:lang w:val="en-US" w:eastAsia="zh-CN"/>
        </w:rPr>
        <w:t>11</w:t>
      </w:r>
      <w:r>
        <w:rPr>
          <w:rFonts w:hint="eastAsia" w:ascii="仿宋_GB2312" w:hAnsi="仿宋_GB2312" w:eastAsia="仿宋_GB2312" w:cs="仿宋_GB2312"/>
          <w:szCs w:val="21"/>
          <w:highlight w:val="none"/>
          <w:u w:val="single"/>
          <w:lang w:eastAsia="zh-CN"/>
        </w:rPr>
        <w:t>月</w:t>
      </w:r>
      <w:r>
        <w:rPr>
          <w:rFonts w:hint="eastAsia" w:ascii="仿宋_GB2312" w:hAnsi="仿宋_GB2312" w:eastAsia="仿宋_GB2312" w:cs="仿宋_GB2312"/>
          <w:szCs w:val="21"/>
          <w:highlight w:val="none"/>
          <w:u w:val="single"/>
          <w:lang w:val="en-US" w:eastAsia="zh-CN"/>
        </w:rPr>
        <w:t>22</w:t>
      </w:r>
      <w:r>
        <w:rPr>
          <w:rFonts w:hint="eastAsia" w:ascii="仿宋_GB2312" w:hAnsi="仿宋_GB2312" w:eastAsia="仿宋_GB2312" w:cs="仿宋_GB2312"/>
          <w:szCs w:val="21"/>
          <w:highlight w:val="none"/>
          <w:u w:val="single"/>
          <w:lang w:eastAsia="zh-CN"/>
        </w:rPr>
        <w:t>日</w:t>
      </w:r>
      <w:r>
        <w:rPr>
          <w:rFonts w:hint="eastAsia" w:ascii="仿宋_GB2312" w:hAnsi="仿宋_GB2312" w:eastAsia="仿宋_GB2312" w:cs="仿宋_GB2312"/>
          <w:szCs w:val="21"/>
          <w:highlight w:val="none"/>
          <w:u w:val="single"/>
          <w:lang w:val="en-US" w:eastAsia="zh-CN"/>
        </w:rPr>
        <w:t>13</w:t>
      </w:r>
      <w:r>
        <w:rPr>
          <w:rFonts w:hint="eastAsia" w:ascii="仿宋_GB2312" w:hAnsi="仿宋_GB2312" w:eastAsia="仿宋_GB2312" w:cs="仿宋_GB2312"/>
          <w:szCs w:val="21"/>
          <w:highlight w:val="none"/>
          <w:u w:val="single"/>
          <w:lang w:eastAsia="zh-CN"/>
        </w:rPr>
        <w:t>点30分</w:t>
      </w:r>
      <w:r>
        <w:rPr>
          <w:rFonts w:hint="eastAsia" w:ascii="仿宋_GB2312" w:hAnsi="仿宋_GB2312" w:eastAsia="仿宋_GB2312" w:cs="仿宋_GB2312"/>
          <w:bCs/>
          <w:szCs w:val="21"/>
          <w:highlight w:val="none"/>
        </w:rPr>
        <w:t>（北京时间）</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地点：</w:t>
      </w:r>
      <w:bookmarkStart w:id="24" w:name="_Toc28359094"/>
      <w:bookmarkStart w:id="25" w:name="_Toc35393634"/>
      <w:bookmarkStart w:id="26" w:name="_Toc28359017"/>
      <w:bookmarkStart w:id="27" w:name="_Toc35393803"/>
      <w:r>
        <w:rPr>
          <w:rFonts w:hint="eastAsia" w:ascii="仿宋_GB2312" w:hAnsi="仿宋_GB2312" w:eastAsia="仿宋_GB2312" w:cs="仿宋_GB2312"/>
          <w:szCs w:val="21"/>
          <w:highlight w:val="none"/>
          <w:lang w:val="en-US" w:eastAsia="zh-CN"/>
        </w:rPr>
        <w:t>丹东市公共资源交易中心一楼开标室三（丹东市新城区银河大街100-1号）</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七、公告期限</w:t>
      </w:r>
      <w:bookmarkEnd w:id="24"/>
      <w:bookmarkEnd w:id="25"/>
      <w:bookmarkEnd w:id="26"/>
      <w:bookmarkEnd w:id="27"/>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自本公告发布之日起3个工作日。</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八、质疑与投诉</w:t>
      </w:r>
    </w:p>
    <w:p>
      <w:pPr>
        <w:keepNext w:val="0"/>
        <w:keepLines w:val="0"/>
        <w:pageBreakBefore w:val="0"/>
        <w:widowControl/>
        <w:kinsoku/>
        <w:wordWrap/>
        <w:overflowPunct/>
        <w:topLinePunct w:val="0"/>
        <w:autoSpaceDE/>
        <w:autoSpaceDN/>
        <w:bidi w:val="0"/>
        <w:adjustRightInd w:val="0"/>
        <w:snapToGrid w:val="0"/>
        <w:spacing w:line="360" w:lineRule="auto"/>
        <w:ind w:firstLine="539"/>
        <w:jc w:val="left"/>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供应商认为自己的权益受到损害的，可以在知道或者应知其权益受到损害之日起七个工作日内，向采购代理机构或采购人提出质疑。</w:t>
      </w:r>
    </w:p>
    <w:p>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1、接收质疑函方式：书面纸质质疑函</w:t>
      </w:r>
    </w:p>
    <w:p>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2、质疑函内容、格式：应符合《政府采购质疑和投诉办法》相关规定和财政部制定的《政府采购质疑函范本》格式，详见辽宁政府采购网。</w:t>
      </w:r>
    </w:p>
    <w:p>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质疑供应商对采购人、采购代理机构的答复不满意，或者采购人、采购代理机构未在规定时间内作出答复的，可以在答复期满后15个工作日内向本级财政部门提起投诉。</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szCs w:val="21"/>
          <w:highlight w:val="none"/>
        </w:rPr>
      </w:pPr>
      <w:bookmarkStart w:id="28" w:name="_Toc35393635"/>
      <w:bookmarkStart w:id="29" w:name="_Toc35393804"/>
      <w:r>
        <w:rPr>
          <w:rFonts w:hint="eastAsia" w:ascii="仿宋_GB2312" w:hAnsi="仿宋_GB2312" w:eastAsia="仿宋_GB2312" w:cs="仿宋_GB2312"/>
          <w:szCs w:val="21"/>
          <w:highlight w:val="none"/>
        </w:rPr>
        <w:t>九、其他补充事宜</w:t>
      </w:r>
      <w:bookmarkEnd w:id="28"/>
      <w:bookmarkEnd w:id="29"/>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kern w:val="2"/>
          <w:sz w:val="21"/>
          <w:szCs w:val="21"/>
          <w:highlight w:val="none"/>
          <w:lang w:val="en-US" w:eastAsia="zh-CN" w:bidi="ar-SA"/>
        </w:rPr>
      </w:pPr>
      <w:bookmarkStart w:id="30" w:name="_Toc28359018"/>
      <w:bookmarkStart w:id="31" w:name="_Toc28359095"/>
      <w:bookmarkStart w:id="32" w:name="_Toc35393805"/>
      <w:bookmarkStart w:id="33" w:name="_Toc35393636"/>
      <w:r>
        <w:rPr>
          <w:rFonts w:hint="eastAsia" w:ascii="仿宋_GB2312" w:hAnsi="仿宋_GB2312" w:eastAsia="仿宋_GB2312" w:cs="仿宋_GB2312"/>
          <w:kern w:val="2"/>
          <w:sz w:val="21"/>
          <w:szCs w:val="21"/>
          <w:highlight w:val="none"/>
          <w:lang w:val="en-US" w:eastAsia="zh-CN" w:bidi="ar-SA"/>
        </w:rPr>
        <w:t>1、本项目为全流程电子化采购项目，参加辽宁省政府采购活动的供应商，请详阅辽宁政府采购网“首页-办事指南”中公布的“辽宁政府采购网新版系统供应商操作手册”和“辽宁政府采购网供应商制作电子标书操作手册”。供应商自行办理政府采购CA数字证书并学习电子（投标）响应文件制作教程，系统操作问题请咨询技术支持电话（400-128-8588），CA 办理问题请咨询CA认证机构。采购代理机构不负责解答该部分问题。供应商因自身操作问题导致的一切不良后果由供应商自身负责。</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kern w:val="2"/>
          <w:sz w:val="21"/>
          <w:szCs w:val="21"/>
          <w:highlight w:val="none"/>
          <w:lang w:val="en-US" w:eastAsia="zh-CN" w:bidi="ar-SA"/>
        </w:rPr>
        <w:t>2、供应商除在电子评审系统上传投标（响应）文件外，应在递交投标（响应）文件截止时间前提交按采购文件规定的（U盘）形式存储的可加密备份文件，并承诺备份文件与电子评审系统中上传的投标（响应）文件内容、格式一致，备系统突发故障使用。供应商仅提交备份文件的，投标（响应）无效。详见辽宁政府采购网《关于完善政府采购电子评审业务流程等有关事项的通知》 辽财采函[2021] 363号。</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kern w:val="2"/>
          <w:sz w:val="21"/>
          <w:szCs w:val="21"/>
          <w:highlight w:val="none"/>
          <w:lang w:val="en-US" w:eastAsia="zh-CN" w:bidi="ar-SA"/>
        </w:rPr>
        <w:t>3、开标时，供应商应自行携带笔记本电脑及CA锁现场进行响应文件解密，也可由供应商自行远程解密，解密时间不得超过30分钟。代理机构不提供解密设备及解密环节的相关服务。因政府采购系统原因，采购代理机构将酌情延长解密时间。</w:t>
      </w:r>
    </w:p>
    <w:p>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kern w:val="2"/>
          <w:sz w:val="21"/>
          <w:szCs w:val="21"/>
          <w:highlight w:val="none"/>
          <w:lang w:val="en-US" w:eastAsia="zh-CN" w:bidi="ar-SA"/>
        </w:rPr>
        <w:t>4、响应文件提交截止时间前将电子响应文件上传至辽宁政府采购网，备份文件递交至丹东市公共资源交易中心一楼开标室三（丹东市新城区银河大街100-1号）</w:t>
      </w:r>
      <w:r>
        <w:rPr>
          <w:rFonts w:hint="eastAsia" w:ascii="仿宋_GB2312" w:hAnsi="仿宋_GB2312" w:eastAsia="仿宋_GB2312" w:cs="仿宋_GB2312"/>
          <w:szCs w:val="21"/>
          <w:highlight w:val="none"/>
        </w:rPr>
        <w:t>。</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十、凡对本次采购提出询问，请按以下方式联系。</w:t>
      </w:r>
      <w:bookmarkEnd w:id="30"/>
      <w:bookmarkEnd w:id="31"/>
      <w:bookmarkEnd w:id="32"/>
      <w:bookmarkEnd w:id="33"/>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1.采购人信息</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名称：</w:t>
      </w:r>
      <w:r>
        <w:rPr>
          <w:rFonts w:hint="eastAsia" w:ascii="仿宋_GB2312" w:hAnsi="仿宋_GB2312" w:eastAsia="仿宋_GB2312" w:cs="仿宋_GB2312"/>
          <w:kern w:val="0"/>
          <w:szCs w:val="21"/>
          <w:highlight w:val="none"/>
          <w:u w:val="single"/>
        </w:rPr>
        <w:t>丹东市振安区九连城镇人民政府</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地址：</w:t>
      </w:r>
      <w:r>
        <w:rPr>
          <w:rFonts w:hint="eastAsia" w:ascii="仿宋_GB2312" w:hAnsi="仿宋_GB2312" w:eastAsia="仿宋_GB2312" w:cs="仿宋_GB2312"/>
          <w:kern w:val="0"/>
          <w:szCs w:val="21"/>
          <w:highlight w:val="none"/>
          <w:u w:val="single"/>
        </w:rPr>
        <w:t>丹东市振安区九连城镇九连城街1183号</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联系方式：</w:t>
      </w:r>
      <w:r>
        <w:rPr>
          <w:rFonts w:hint="eastAsia" w:ascii="仿宋_GB2312" w:hAnsi="仿宋_GB2312" w:eastAsia="仿宋_GB2312" w:cs="仿宋_GB2312"/>
          <w:kern w:val="0"/>
          <w:szCs w:val="21"/>
          <w:highlight w:val="none"/>
          <w:u w:val="single"/>
        </w:rPr>
        <w:t xml:space="preserve">0415-2593930    </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2.采购代理机构信息</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名称：</w:t>
      </w:r>
      <w:r>
        <w:rPr>
          <w:rFonts w:hint="eastAsia" w:ascii="仿宋_GB2312" w:hAnsi="仿宋_GB2312" w:eastAsia="仿宋_GB2312" w:cs="仿宋_GB2312"/>
          <w:szCs w:val="21"/>
          <w:highlight w:val="none"/>
          <w:u w:val="single"/>
        </w:rPr>
        <w:t>丹东鑫泰工程造价咨询有限责任公司</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地址：</w:t>
      </w:r>
      <w:r>
        <w:rPr>
          <w:rFonts w:hint="eastAsia" w:ascii="仿宋_GB2312" w:hAnsi="仿宋_GB2312" w:eastAsia="仿宋_GB2312" w:cs="仿宋_GB2312"/>
          <w:szCs w:val="21"/>
          <w:highlight w:val="none"/>
          <w:u w:val="single"/>
        </w:rPr>
        <w:t>丹东市元宝区虹桥小区21号楼南侧1-5层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联系方式：</w:t>
      </w:r>
      <w:r>
        <w:rPr>
          <w:rFonts w:hint="eastAsia" w:ascii="仿宋_GB2312" w:hAnsi="仿宋_GB2312" w:eastAsia="仿宋_GB2312" w:cs="仿宋_GB2312"/>
          <w:szCs w:val="21"/>
          <w:highlight w:val="none"/>
          <w:u w:val="single"/>
        </w:rPr>
        <w:t xml:space="preserve"> 0415-2883107</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邮箱地址：</w:t>
      </w:r>
      <w:r>
        <w:rPr>
          <w:rFonts w:hint="eastAsia" w:ascii="仿宋_GB2312" w:hAnsi="仿宋_GB2312" w:eastAsia="仿宋_GB2312" w:cs="仿宋_GB2312"/>
          <w:szCs w:val="21"/>
          <w:highlight w:val="none"/>
          <w:u w:val="single"/>
        </w:rPr>
        <w:t>xintaizhaobiao@163.com</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开户名：</w:t>
      </w:r>
      <w:r>
        <w:rPr>
          <w:rFonts w:hint="eastAsia" w:ascii="仿宋_GB2312" w:hAnsi="仿宋_GB2312" w:eastAsia="仿宋_GB2312" w:cs="仿宋_GB2312"/>
          <w:szCs w:val="21"/>
          <w:highlight w:val="none"/>
          <w:u w:val="single"/>
        </w:rPr>
        <w:t>丹东鑫泰工程造价咨询有限责任公司</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开户行：</w:t>
      </w:r>
      <w:r>
        <w:rPr>
          <w:rFonts w:hint="eastAsia" w:ascii="仿宋_GB2312" w:hAnsi="仿宋_GB2312" w:eastAsia="仿宋_GB2312" w:cs="仿宋_GB2312"/>
          <w:szCs w:val="21"/>
          <w:highlight w:val="none"/>
          <w:u w:val="single"/>
          <w:lang w:eastAsia="zh-CN"/>
        </w:rPr>
        <w:t>中国农业银行股份有限公司丹东临江支行</w:t>
      </w:r>
      <w:r>
        <w:rPr>
          <w:rFonts w:hint="eastAsia" w:ascii="仿宋_GB2312" w:hAnsi="仿宋_GB2312" w:eastAsia="仿宋_GB2312" w:cs="仿宋_GB2312"/>
          <w:szCs w:val="21"/>
          <w:highlight w:val="none"/>
          <w:u w:val="single"/>
        </w:rPr>
        <w:t> </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账  号：</w:t>
      </w:r>
      <w:r>
        <w:rPr>
          <w:rFonts w:hint="eastAsia" w:ascii="仿宋_GB2312" w:hAnsi="仿宋_GB2312" w:eastAsia="仿宋_GB2312" w:cs="仿宋_GB2312"/>
          <w:szCs w:val="21"/>
          <w:highlight w:val="none"/>
          <w:u w:val="single"/>
          <w:lang w:eastAsia="zh-CN"/>
        </w:rPr>
        <w:t>06511301040000113</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3.项目联系方式</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项目联系人：</w:t>
      </w:r>
      <w:r>
        <w:rPr>
          <w:rFonts w:hint="eastAsia" w:ascii="仿宋_GB2312" w:hAnsi="仿宋_GB2312" w:eastAsia="仿宋_GB2312" w:cs="仿宋_GB2312"/>
          <w:iCs/>
          <w:szCs w:val="21"/>
          <w:highlight w:val="none"/>
          <w:u w:val="single"/>
        </w:rPr>
        <w:t>丁婷婷</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电　话：</w:t>
      </w:r>
      <w:r>
        <w:rPr>
          <w:rFonts w:hint="eastAsia" w:ascii="仿宋_GB2312" w:hAnsi="仿宋_GB2312" w:eastAsia="仿宋_GB2312" w:cs="仿宋_GB2312"/>
          <w:szCs w:val="21"/>
          <w:highlight w:val="none"/>
          <w:u w:val="single"/>
        </w:rPr>
        <w:t>　0415-2883107　</w:t>
      </w:r>
    </w:p>
    <w:p>
      <w:pPr>
        <w:keepNext w:val="0"/>
        <w:keepLines w:val="0"/>
        <w:pageBreakBefore w:val="0"/>
        <w:widowControl/>
        <w:kinsoku/>
        <w:wordWrap/>
        <w:overflowPunct/>
        <w:topLinePunct w:val="0"/>
        <w:autoSpaceDE/>
        <w:autoSpaceDN/>
        <w:bidi w:val="0"/>
        <w:snapToGrid w:val="0"/>
        <w:jc w:val="left"/>
        <w:textAlignment w:val="auto"/>
        <w:rPr>
          <w:rFonts w:hint="eastAsia" w:ascii="仿宋_GB2312" w:hAnsi="仿宋_GB2312" w:eastAsia="仿宋_GB2312" w:cs="仿宋_GB2312"/>
          <w:b/>
          <w:kern w:val="44"/>
          <w:sz w:val="44"/>
          <w:szCs w:val="20"/>
          <w:highlight w:val="none"/>
        </w:rPr>
      </w:pPr>
      <w:r>
        <w:rPr>
          <w:rFonts w:hint="eastAsia" w:ascii="仿宋_GB2312" w:hAnsi="仿宋_GB2312" w:eastAsia="仿宋_GB2312" w:cs="仿宋_GB2312"/>
          <w:b/>
          <w:kern w:val="44"/>
          <w:sz w:val="44"/>
          <w:szCs w:val="20"/>
          <w:highlight w:val="none"/>
        </w:rPr>
        <w:br w:type="page"/>
      </w:r>
    </w:p>
    <w:p>
      <w:pPr>
        <w:pStyle w:val="3"/>
        <w:adjustRightInd w:val="0"/>
        <w:snapToGrid w:val="0"/>
        <w:spacing w:before="0" w:after="0" w:line="360" w:lineRule="auto"/>
        <w:rPr>
          <w:rFonts w:hint="eastAsia" w:ascii="仿宋_GB2312" w:hAnsi="仿宋_GB2312" w:eastAsia="仿宋_GB2312" w:cs="仿宋_GB2312"/>
          <w:highlight w:val="none"/>
        </w:rPr>
      </w:pPr>
      <w:bookmarkStart w:id="34" w:name="_Toc115433462"/>
      <w:r>
        <w:rPr>
          <w:rFonts w:hint="eastAsia" w:ascii="仿宋_GB2312" w:hAnsi="仿宋_GB2312" w:eastAsia="仿宋_GB2312" w:cs="仿宋_GB2312"/>
          <w:highlight w:val="none"/>
        </w:rPr>
        <w:t>第一章 供应商须知</w:t>
      </w:r>
      <w:bookmarkEnd w:id="2"/>
      <w:bookmarkEnd w:id="34"/>
    </w:p>
    <w:p>
      <w:pPr>
        <w:pStyle w:val="2"/>
        <w:adjustRightInd w:val="0"/>
        <w:snapToGrid w:val="0"/>
        <w:spacing w:before="0" w:after="0" w:line="360" w:lineRule="auto"/>
        <w:jc w:val="center"/>
        <w:rPr>
          <w:rFonts w:hint="eastAsia" w:ascii="仿宋_GB2312" w:hAnsi="仿宋_GB2312" w:eastAsia="仿宋_GB2312" w:cs="仿宋_GB2312"/>
          <w:highlight w:val="none"/>
        </w:rPr>
      </w:pPr>
      <w:bookmarkStart w:id="35" w:name="_Toc4485618"/>
      <w:bookmarkStart w:id="36" w:name="_Toc533340139"/>
      <w:r>
        <w:rPr>
          <w:rFonts w:hint="eastAsia" w:ascii="仿宋_GB2312" w:hAnsi="仿宋_GB2312" w:eastAsia="仿宋_GB2312" w:cs="仿宋_GB2312"/>
          <w:highlight w:val="none"/>
        </w:rPr>
        <w:t>一 供应商须知表</w:t>
      </w:r>
      <w:bookmarkEnd w:id="35"/>
      <w:bookmarkEnd w:id="36"/>
    </w:p>
    <w:tbl>
      <w:tblPr>
        <w:tblStyle w:val="25"/>
        <w:tblW w:w="9360" w:type="dxa"/>
        <w:jc w:val="center"/>
        <w:tblLayout w:type="fixed"/>
        <w:tblCellMar>
          <w:top w:w="0" w:type="dxa"/>
          <w:left w:w="108" w:type="dxa"/>
          <w:bottom w:w="0" w:type="dxa"/>
          <w:right w:w="108" w:type="dxa"/>
        </w:tblCellMar>
      </w:tblPr>
      <w:tblGrid>
        <w:gridCol w:w="892"/>
        <w:gridCol w:w="2104"/>
        <w:gridCol w:w="6364"/>
      </w:tblGrid>
      <w:tr>
        <w:tblPrEx>
          <w:tblCellMar>
            <w:top w:w="0" w:type="dxa"/>
            <w:left w:w="108" w:type="dxa"/>
            <w:bottom w:w="0" w:type="dxa"/>
            <w:right w:w="108" w:type="dxa"/>
          </w:tblCellMar>
        </w:tblPrEx>
        <w:trPr>
          <w:trHeight w:val="493" w:hRule="atLeast"/>
          <w:tblHeader/>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bookmarkStart w:id="37" w:name="sys_招标项目基本内容及要求：Block"/>
            <w:bookmarkEnd w:id="37"/>
            <w:bookmarkStart w:id="38" w:name="招标项目基本内容及要求其他：Block"/>
            <w:bookmarkEnd w:id="38"/>
            <w:bookmarkStart w:id="39" w:name="招标项目基本内容及要求：Block"/>
            <w:bookmarkEnd w:id="39"/>
            <w:bookmarkStart w:id="40" w:name="sys_招标项目基本内容及要求其他：Block"/>
            <w:bookmarkEnd w:id="40"/>
            <w:r>
              <w:rPr>
                <w:rFonts w:hint="eastAsia" w:ascii="仿宋_GB2312" w:hAnsi="仿宋_GB2312" w:eastAsia="仿宋_GB2312" w:cs="仿宋_GB2312"/>
                <w:kern w:val="0"/>
                <w:szCs w:val="21"/>
                <w:highlight w:val="none"/>
              </w:rPr>
              <w:t>条款号</w:t>
            </w:r>
          </w:p>
        </w:tc>
        <w:tc>
          <w:tcPr>
            <w:tcW w:w="210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项   目</w:t>
            </w:r>
          </w:p>
        </w:tc>
        <w:tc>
          <w:tcPr>
            <w:tcW w:w="636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内     容</w:t>
            </w:r>
          </w:p>
        </w:tc>
      </w:tr>
      <w:tr>
        <w:tblPrEx>
          <w:tblCellMar>
            <w:top w:w="0" w:type="dxa"/>
            <w:left w:w="108" w:type="dxa"/>
            <w:bottom w:w="0" w:type="dxa"/>
            <w:right w:w="108" w:type="dxa"/>
          </w:tblCellMar>
        </w:tblPrEx>
        <w:trPr>
          <w:trHeight w:val="1286"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w:t>
            </w:r>
          </w:p>
        </w:tc>
        <w:tc>
          <w:tcPr>
            <w:tcW w:w="210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采购人</w:t>
            </w:r>
          </w:p>
        </w:tc>
        <w:tc>
          <w:tcPr>
            <w:tcW w:w="6364"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_GB2312" w:hAnsi="仿宋_GB2312" w:eastAsia="仿宋_GB2312" w:cs="仿宋_GB2312"/>
                <w:kern w:val="0"/>
                <w:szCs w:val="21"/>
                <w:highlight w:val="none"/>
                <w:u w:val="single"/>
                <w:lang w:val="en-US" w:eastAsia="zh-CN"/>
              </w:rPr>
            </w:pPr>
            <w:r>
              <w:rPr>
                <w:rFonts w:hint="eastAsia" w:ascii="仿宋_GB2312" w:hAnsi="仿宋_GB2312" w:eastAsia="仿宋_GB2312" w:cs="仿宋_GB2312"/>
                <w:kern w:val="0"/>
                <w:szCs w:val="21"/>
                <w:highlight w:val="none"/>
              </w:rPr>
              <w:t>名  称：</w:t>
            </w:r>
            <w:r>
              <w:rPr>
                <w:rFonts w:hint="eastAsia" w:ascii="仿宋_GB2312" w:hAnsi="仿宋_GB2312" w:eastAsia="仿宋_GB2312" w:cs="仿宋_GB2312"/>
                <w:kern w:val="0"/>
                <w:szCs w:val="21"/>
                <w:highlight w:val="none"/>
                <w:u w:val="single"/>
                <w:lang w:val="en-US" w:eastAsia="zh-CN"/>
              </w:rPr>
              <w:t>丹东市振安区九连城镇人民政府</w:t>
            </w:r>
          </w:p>
          <w:p>
            <w:pPr>
              <w:widowControl/>
              <w:jc w:val="left"/>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地  址：</w:t>
            </w:r>
            <w:r>
              <w:rPr>
                <w:rFonts w:hint="eastAsia" w:ascii="仿宋_GB2312" w:hAnsi="仿宋_GB2312" w:eastAsia="仿宋_GB2312" w:cs="仿宋_GB2312"/>
                <w:szCs w:val="21"/>
                <w:highlight w:val="none"/>
                <w:u w:val="single"/>
                <w:lang w:val="en-US" w:eastAsia="zh-CN"/>
              </w:rPr>
              <w:t>丹东市振安区九连城镇九连城街1183号</w:t>
            </w:r>
          </w:p>
          <w:p>
            <w:pPr>
              <w:widowControl/>
              <w:jc w:val="left"/>
              <w:rPr>
                <w:rFonts w:hint="default" w:ascii="仿宋_GB2312" w:hAnsi="仿宋_GB2312" w:eastAsia="仿宋_GB2312" w:cs="仿宋_GB2312"/>
                <w:kern w:val="0"/>
                <w:szCs w:val="21"/>
                <w:highlight w:val="none"/>
                <w:u w:val="single"/>
                <w:lang w:val="en-US" w:eastAsia="zh-CN"/>
              </w:rPr>
            </w:pPr>
            <w:r>
              <w:rPr>
                <w:rFonts w:hint="eastAsia" w:ascii="仿宋_GB2312" w:hAnsi="仿宋_GB2312" w:eastAsia="仿宋_GB2312" w:cs="仿宋_GB2312"/>
                <w:kern w:val="0"/>
                <w:szCs w:val="21"/>
                <w:highlight w:val="none"/>
              </w:rPr>
              <w:t>联系人：</w:t>
            </w:r>
            <w:r>
              <w:rPr>
                <w:rFonts w:hint="eastAsia" w:ascii="仿宋_GB2312" w:hAnsi="仿宋_GB2312" w:eastAsia="仿宋_GB2312" w:cs="仿宋_GB2312"/>
                <w:kern w:val="0"/>
                <w:szCs w:val="21"/>
                <w:highlight w:val="none"/>
                <w:u w:val="single"/>
                <w:lang w:val="en-US" w:eastAsia="zh-CN"/>
              </w:rPr>
              <w:t>宋刚</w:t>
            </w:r>
          </w:p>
          <w:p>
            <w:pPr>
              <w:widowControl/>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  话：</w:t>
            </w:r>
            <w:r>
              <w:rPr>
                <w:rFonts w:hint="eastAsia" w:ascii="仿宋_GB2312" w:hAnsi="仿宋_GB2312" w:eastAsia="仿宋_GB2312" w:cs="仿宋_GB2312"/>
                <w:szCs w:val="21"/>
                <w:highlight w:val="none"/>
                <w:u w:val="single"/>
                <w:lang w:eastAsia="zh-CN"/>
              </w:rPr>
              <w:t>0415-2593930</w:t>
            </w:r>
            <w:r>
              <w:rPr>
                <w:rFonts w:hint="eastAsia" w:ascii="仿宋_GB2312" w:hAnsi="仿宋_GB2312" w:eastAsia="仿宋_GB2312" w:cs="仿宋_GB2312"/>
                <w:szCs w:val="21"/>
                <w:highlight w:val="none"/>
                <w:u w:val="single"/>
              </w:rPr>
              <w:t xml:space="preserve">  </w:t>
            </w:r>
          </w:p>
        </w:tc>
      </w:tr>
      <w:tr>
        <w:tblPrEx>
          <w:tblCellMar>
            <w:top w:w="0" w:type="dxa"/>
            <w:left w:w="108" w:type="dxa"/>
            <w:bottom w:w="0" w:type="dxa"/>
            <w:right w:w="108" w:type="dxa"/>
          </w:tblCellMar>
        </w:tblPrEx>
        <w:trPr>
          <w:trHeight w:val="300"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1.2</w:t>
            </w:r>
          </w:p>
        </w:tc>
        <w:tc>
          <w:tcPr>
            <w:tcW w:w="210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采购代理机构</w:t>
            </w:r>
          </w:p>
        </w:tc>
        <w:tc>
          <w:tcPr>
            <w:tcW w:w="6364"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名  称：</w:t>
            </w:r>
            <w:r>
              <w:rPr>
                <w:rFonts w:hint="eastAsia" w:ascii="仿宋_GB2312" w:hAnsi="仿宋_GB2312" w:eastAsia="仿宋_GB2312" w:cs="仿宋_GB2312"/>
                <w:kern w:val="0"/>
                <w:szCs w:val="21"/>
                <w:highlight w:val="none"/>
                <w:u w:val="single"/>
              </w:rPr>
              <w:t xml:space="preserve">丹东鑫泰工程造价咨询有限责任公司 </w:t>
            </w:r>
          </w:p>
          <w:p>
            <w:pPr>
              <w:widowControl/>
              <w:jc w:val="left"/>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地  址：</w:t>
            </w:r>
            <w:r>
              <w:rPr>
                <w:rFonts w:hint="eastAsia" w:ascii="仿宋_GB2312" w:hAnsi="仿宋_GB2312" w:eastAsia="仿宋_GB2312" w:cs="仿宋_GB2312"/>
                <w:kern w:val="0"/>
                <w:szCs w:val="21"/>
                <w:highlight w:val="none"/>
                <w:u w:val="single"/>
              </w:rPr>
              <w:t>丹东市元宝区虹桥小区21号楼南侧1-5层</w:t>
            </w:r>
          </w:p>
          <w:p>
            <w:pPr>
              <w:widowControl/>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联系人：</w:t>
            </w:r>
            <w:r>
              <w:rPr>
                <w:rFonts w:hint="eastAsia" w:ascii="仿宋_GB2312" w:hAnsi="仿宋_GB2312" w:eastAsia="仿宋_GB2312" w:cs="仿宋_GB2312"/>
                <w:kern w:val="0"/>
                <w:szCs w:val="21"/>
                <w:highlight w:val="none"/>
                <w:u w:val="single"/>
              </w:rPr>
              <w:t>丁婷婷</w:t>
            </w:r>
          </w:p>
          <w:p>
            <w:pPr>
              <w:widowControl/>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  话：</w:t>
            </w:r>
            <w:r>
              <w:rPr>
                <w:rFonts w:hint="eastAsia" w:ascii="仿宋_GB2312" w:hAnsi="仿宋_GB2312" w:eastAsia="仿宋_GB2312" w:cs="仿宋_GB2312"/>
                <w:kern w:val="0"/>
                <w:szCs w:val="21"/>
                <w:highlight w:val="none"/>
                <w:u w:val="single"/>
              </w:rPr>
              <w:t xml:space="preserve">0415-2883107   </w:t>
            </w:r>
          </w:p>
        </w:tc>
      </w:tr>
      <w:tr>
        <w:tblPrEx>
          <w:tblCellMar>
            <w:top w:w="0" w:type="dxa"/>
            <w:left w:w="108" w:type="dxa"/>
            <w:bottom w:w="0" w:type="dxa"/>
            <w:right w:w="108" w:type="dxa"/>
          </w:tblCellMar>
        </w:tblPrEx>
        <w:trPr>
          <w:trHeight w:val="3214"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1.3.4</w:t>
            </w:r>
          </w:p>
        </w:tc>
        <w:tc>
          <w:tcPr>
            <w:tcW w:w="210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合格供应商还要满足的其它资格条件</w:t>
            </w:r>
          </w:p>
        </w:tc>
        <w:tc>
          <w:tcPr>
            <w:tcW w:w="6364"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（1）供应商应具备国家行政主管部门认定的</w:t>
            </w:r>
            <w:r>
              <w:rPr>
                <w:rFonts w:hint="eastAsia" w:ascii="仿宋_GB2312" w:hAnsi="仿宋_GB2312" w:eastAsia="仿宋_GB2312" w:cs="仿宋_GB2312"/>
                <w:szCs w:val="21"/>
                <w:highlight w:val="none"/>
                <w:lang w:eastAsia="zh-CN"/>
              </w:rPr>
              <w:t>建筑工程</w:t>
            </w:r>
            <w:r>
              <w:rPr>
                <w:rFonts w:hint="eastAsia" w:ascii="仿宋_GB2312" w:hAnsi="仿宋_GB2312" w:eastAsia="仿宋_GB2312" w:cs="仿宋_GB2312"/>
                <w:szCs w:val="21"/>
                <w:highlight w:val="none"/>
              </w:rPr>
              <w:t xml:space="preserve">施工总承包叁级及以上资质，具有有效的安全生产许可证，并在人员、设备、资金等方面具有相应的施工能力； </w:t>
            </w:r>
          </w:p>
          <w:p>
            <w:pPr>
              <w:widowControl/>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（2）拟投入本项目的项目经理应具备</w:t>
            </w:r>
            <w:r>
              <w:rPr>
                <w:rFonts w:hint="eastAsia" w:ascii="仿宋_GB2312" w:hAnsi="仿宋_GB2312" w:eastAsia="仿宋_GB2312" w:cs="仿宋_GB2312"/>
                <w:szCs w:val="21"/>
                <w:highlight w:val="none"/>
                <w:lang w:eastAsia="zh-CN"/>
              </w:rPr>
              <w:t>建筑工程专业</w:t>
            </w:r>
            <w:r>
              <w:rPr>
                <w:rFonts w:hint="eastAsia" w:ascii="仿宋_GB2312" w:hAnsi="仿宋_GB2312" w:eastAsia="仿宋_GB2312" w:cs="仿宋_GB2312"/>
                <w:szCs w:val="21"/>
                <w:highlight w:val="none"/>
              </w:rPr>
              <w:t>二级及以上注册建造师执业资格，并具备有效的安全生产考核B类合格证书；</w:t>
            </w:r>
          </w:p>
          <w:p>
            <w:pPr>
              <w:widowControl/>
              <w:jc w:val="left"/>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szCs w:val="21"/>
                <w:highlight w:val="none"/>
              </w:rPr>
              <w:t>（3）</w:t>
            </w:r>
            <w:r>
              <w:rPr>
                <w:rFonts w:hint="eastAsia" w:ascii="仿宋_GB2312" w:hAnsi="仿宋_GB2312" w:eastAsia="仿宋_GB2312" w:cs="仿宋_GB2312"/>
                <w:szCs w:val="21"/>
                <w:highlight w:val="none"/>
                <w:lang w:eastAsia="zh-CN"/>
              </w:rPr>
              <w:t>供应商在“信用中国”网站（http：//www.creditchina.gov.cn/）没有被列入失信被执行人、重大税收违法案件当事人名单、政府采购严重违法失信行为记录名单。 在“中国政府采购网”网站（http：//www.ccgp.gov.cn/） 没有被列入政府采购严重违法失信行为记录名单 。</w:t>
            </w:r>
          </w:p>
        </w:tc>
      </w:tr>
      <w:tr>
        <w:tblPrEx>
          <w:tblCellMar>
            <w:top w:w="0" w:type="dxa"/>
            <w:left w:w="108" w:type="dxa"/>
            <w:bottom w:w="0" w:type="dxa"/>
            <w:right w:w="108" w:type="dxa"/>
          </w:tblCellMar>
        </w:tblPrEx>
        <w:trPr>
          <w:trHeight w:val="300"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1.3.5</w:t>
            </w:r>
          </w:p>
        </w:tc>
        <w:tc>
          <w:tcPr>
            <w:tcW w:w="2104"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t>是否为专门面向</w:t>
            </w:r>
            <w:r>
              <w:rPr>
                <w:rFonts w:hint="eastAsia" w:ascii="仿宋_GB2312" w:hAnsi="仿宋_GB2312" w:eastAsia="仿宋_GB2312" w:cs="仿宋_GB2312"/>
                <w:szCs w:val="21"/>
                <w:highlight w:val="none"/>
              </w:rPr>
              <w:t>中小企业</w:t>
            </w:r>
            <w:r>
              <w:rPr>
                <w:rFonts w:hint="eastAsia" w:ascii="仿宋_GB2312" w:hAnsi="仿宋_GB2312" w:eastAsia="仿宋_GB2312" w:cs="仿宋_GB2312"/>
                <w:kern w:val="0"/>
                <w:szCs w:val="21"/>
                <w:highlight w:val="none"/>
              </w:rPr>
              <w:t>采购</w:t>
            </w:r>
          </w:p>
        </w:tc>
        <w:tc>
          <w:tcPr>
            <w:tcW w:w="6364" w:type="dxa"/>
            <w:tcBorders>
              <w:top w:val="single" w:color="auto" w:sz="4" w:space="0"/>
              <w:left w:val="single" w:color="auto" w:sz="4" w:space="0"/>
              <w:bottom w:val="single" w:color="auto" w:sz="4" w:space="0"/>
              <w:right w:val="single" w:color="auto" w:sz="4" w:space="0"/>
            </w:tcBorders>
            <w:vAlign w:val="center"/>
          </w:tcPr>
          <w:p>
            <w:pPr>
              <w:rPr>
                <w:rFonts w:hint="eastAsia"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是</w:t>
            </w:r>
          </w:p>
          <w:p>
            <w:pPr>
              <w:rPr>
                <w:rFonts w:hint="eastAsia" w:ascii="仿宋_GB2312" w:hAnsi="仿宋_GB2312" w:eastAsia="仿宋_GB2312" w:cs="仿宋_GB2312"/>
                <w:highlight w:val="none"/>
                <w:lang w:val="en-US" w:eastAsia="zh-CN"/>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否</w:t>
            </w:r>
          </w:p>
        </w:tc>
      </w:tr>
      <w:tr>
        <w:tblPrEx>
          <w:tblCellMar>
            <w:top w:w="0" w:type="dxa"/>
            <w:left w:w="108" w:type="dxa"/>
            <w:bottom w:w="0" w:type="dxa"/>
            <w:right w:w="108" w:type="dxa"/>
          </w:tblCellMar>
        </w:tblPrEx>
        <w:trPr>
          <w:trHeight w:val="300"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1.3.6</w:t>
            </w:r>
          </w:p>
        </w:tc>
        <w:tc>
          <w:tcPr>
            <w:tcW w:w="2104"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hint="eastAsia" w:ascii="仿宋_GB2312" w:hAnsi="仿宋_GB2312" w:eastAsia="仿宋_GB2312" w:cs="仿宋_GB2312"/>
                <w:b/>
                <w:kern w:val="0"/>
                <w:szCs w:val="21"/>
                <w:highlight w:val="none"/>
              </w:rPr>
            </w:pPr>
            <w:r>
              <w:rPr>
                <w:rFonts w:hint="eastAsia" w:ascii="仿宋_GB2312" w:hAnsi="仿宋_GB2312" w:eastAsia="仿宋_GB2312" w:cs="仿宋_GB2312"/>
                <w:szCs w:val="21"/>
                <w:highlight w:val="none"/>
              </w:rPr>
              <w:t>是否有政府强制采购的节能产品</w:t>
            </w:r>
          </w:p>
        </w:tc>
        <w:tc>
          <w:tcPr>
            <w:tcW w:w="6364" w:type="dxa"/>
            <w:tcBorders>
              <w:top w:val="single" w:color="auto" w:sz="4" w:space="0"/>
              <w:left w:val="single" w:color="auto" w:sz="4" w:space="0"/>
              <w:bottom w:val="single" w:color="auto" w:sz="4" w:space="0"/>
              <w:right w:val="single" w:color="auto" w:sz="4" w:space="0"/>
            </w:tcBorders>
            <w:vAlign w:val="center"/>
          </w:tcPr>
          <w:p>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有，具体产品为</w:t>
            </w:r>
          </w:p>
          <w:p>
            <w:pPr>
              <w:rPr>
                <w:rFonts w:hint="eastAsia"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没有</w:t>
            </w:r>
          </w:p>
        </w:tc>
      </w:tr>
      <w:tr>
        <w:tblPrEx>
          <w:tblCellMar>
            <w:top w:w="0" w:type="dxa"/>
            <w:left w:w="108" w:type="dxa"/>
            <w:bottom w:w="0" w:type="dxa"/>
            <w:right w:w="108" w:type="dxa"/>
          </w:tblCellMar>
        </w:tblPrEx>
        <w:trPr>
          <w:trHeight w:val="485"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1.4</w:t>
            </w:r>
          </w:p>
        </w:tc>
        <w:tc>
          <w:tcPr>
            <w:tcW w:w="2104"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hint="eastAsia" w:ascii="仿宋_GB2312" w:hAnsi="仿宋_GB2312" w:eastAsia="仿宋_GB2312" w:cs="仿宋_GB2312"/>
                <w:szCs w:val="21"/>
                <w:highlight w:val="none"/>
              </w:rPr>
            </w:pPr>
            <w:r>
              <w:rPr>
                <w:rFonts w:hint="eastAsia" w:ascii="仿宋_GB2312" w:hAnsi="仿宋_GB2312" w:eastAsia="仿宋_GB2312" w:cs="仿宋_GB2312"/>
                <w:bCs/>
                <w:kern w:val="0"/>
                <w:szCs w:val="21"/>
                <w:highlight w:val="none"/>
              </w:rPr>
              <w:t>是否允许联合体参加政府采购活动</w:t>
            </w:r>
          </w:p>
        </w:tc>
        <w:tc>
          <w:tcPr>
            <w:tcW w:w="6364" w:type="dxa"/>
            <w:tcBorders>
              <w:top w:val="single" w:color="auto" w:sz="4" w:space="0"/>
              <w:left w:val="single" w:color="auto" w:sz="4" w:space="0"/>
              <w:bottom w:val="single" w:color="auto" w:sz="4" w:space="0"/>
              <w:right w:val="single" w:color="auto" w:sz="4" w:space="0"/>
            </w:tcBorders>
            <w:vAlign w:val="center"/>
          </w:tcPr>
          <w:p>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是</w:t>
            </w:r>
          </w:p>
          <w:p>
            <w:pPr>
              <w:rPr>
                <w:rFonts w:hint="eastAsia"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否</w:t>
            </w:r>
          </w:p>
        </w:tc>
      </w:tr>
      <w:tr>
        <w:tblPrEx>
          <w:tblCellMar>
            <w:top w:w="0" w:type="dxa"/>
            <w:left w:w="108" w:type="dxa"/>
            <w:bottom w:w="0" w:type="dxa"/>
            <w:right w:w="108" w:type="dxa"/>
          </w:tblCellMar>
        </w:tblPrEx>
        <w:trPr>
          <w:trHeight w:val="300"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1.4.8</w:t>
            </w:r>
          </w:p>
        </w:tc>
        <w:tc>
          <w:tcPr>
            <w:tcW w:w="2104"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hint="eastAsia" w:ascii="仿宋_GB2312" w:hAnsi="仿宋_GB2312" w:eastAsia="仿宋_GB2312" w:cs="仿宋_GB2312"/>
                <w:szCs w:val="21"/>
                <w:highlight w:val="none"/>
              </w:rPr>
            </w:pPr>
            <w:r>
              <w:rPr>
                <w:rFonts w:hint="eastAsia" w:ascii="仿宋_GB2312" w:hAnsi="仿宋_GB2312" w:eastAsia="仿宋_GB2312" w:cs="仿宋_GB2312"/>
                <w:bCs/>
                <w:kern w:val="0"/>
                <w:szCs w:val="21"/>
                <w:highlight w:val="none"/>
              </w:rPr>
              <w:t>联合体的其他资格要求</w:t>
            </w:r>
          </w:p>
        </w:tc>
        <w:tc>
          <w:tcPr>
            <w:tcW w:w="6364" w:type="dxa"/>
            <w:tcBorders>
              <w:top w:val="single" w:color="auto" w:sz="4" w:space="0"/>
              <w:left w:val="single" w:color="auto" w:sz="4" w:space="0"/>
              <w:bottom w:val="single" w:color="auto" w:sz="4" w:space="0"/>
              <w:right w:val="single" w:color="auto" w:sz="4" w:space="0"/>
            </w:tcBorders>
            <w:vAlign w:val="center"/>
          </w:tcPr>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无</w:t>
            </w:r>
          </w:p>
        </w:tc>
      </w:tr>
      <w:tr>
        <w:tblPrEx>
          <w:tblCellMar>
            <w:top w:w="0" w:type="dxa"/>
            <w:left w:w="108" w:type="dxa"/>
            <w:bottom w:w="0" w:type="dxa"/>
            <w:right w:w="108" w:type="dxa"/>
          </w:tblCellMar>
        </w:tblPrEx>
        <w:trPr>
          <w:trHeight w:val="936"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2.2</w:t>
            </w:r>
          </w:p>
        </w:tc>
        <w:tc>
          <w:tcPr>
            <w:tcW w:w="2104"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t>项目预算金额、最高限价</w:t>
            </w:r>
          </w:p>
        </w:tc>
        <w:tc>
          <w:tcPr>
            <w:tcW w:w="6364" w:type="dxa"/>
            <w:tcBorders>
              <w:top w:val="single" w:color="auto" w:sz="4" w:space="0"/>
              <w:left w:val="single" w:color="auto" w:sz="4" w:space="0"/>
              <w:bottom w:val="single" w:color="auto" w:sz="4" w:space="0"/>
              <w:right w:val="single" w:color="auto" w:sz="4" w:space="0"/>
            </w:tcBorders>
            <w:vAlign w:val="center"/>
          </w:tcPr>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预算金额：</w:t>
            </w:r>
            <w:r>
              <w:rPr>
                <w:rFonts w:hint="eastAsia" w:ascii="仿宋_GB2312" w:hAnsi="仿宋_GB2312" w:eastAsia="仿宋_GB2312" w:cs="仿宋_GB2312"/>
                <w:bCs/>
                <w:kern w:val="0"/>
                <w:szCs w:val="21"/>
                <w:highlight w:val="none"/>
                <w:u w:val="single"/>
                <w:lang w:eastAsia="zh-CN"/>
              </w:rPr>
              <w:t>998,166.37</w:t>
            </w:r>
            <w:r>
              <w:rPr>
                <w:rFonts w:hint="eastAsia" w:ascii="仿宋_GB2312" w:hAnsi="仿宋_GB2312" w:eastAsia="仿宋_GB2312" w:cs="仿宋_GB2312"/>
                <w:bCs/>
                <w:kern w:val="0"/>
                <w:szCs w:val="21"/>
                <w:highlight w:val="none"/>
              </w:rPr>
              <w:t>元</w:t>
            </w:r>
          </w:p>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最高限价：</w:t>
            </w:r>
            <w:r>
              <w:rPr>
                <w:rFonts w:hint="eastAsia" w:ascii="仿宋_GB2312" w:hAnsi="仿宋_GB2312" w:eastAsia="仿宋_GB2312" w:cs="仿宋_GB2312"/>
                <w:bCs/>
                <w:kern w:val="0"/>
                <w:szCs w:val="21"/>
                <w:highlight w:val="none"/>
                <w:u w:val="single"/>
                <w:lang w:eastAsia="zh-CN"/>
              </w:rPr>
              <w:t>998,166.37</w:t>
            </w:r>
            <w:r>
              <w:rPr>
                <w:rFonts w:hint="eastAsia" w:ascii="仿宋_GB2312" w:hAnsi="仿宋_GB2312" w:eastAsia="仿宋_GB2312" w:cs="仿宋_GB2312"/>
                <w:bCs/>
                <w:kern w:val="0"/>
                <w:szCs w:val="21"/>
                <w:highlight w:val="none"/>
              </w:rPr>
              <w:t>元</w:t>
            </w:r>
          </w:p>
        </w:tc>
      </w:tr>
      <w:tr>
        <w:tblPrEx>
          <w:tblCellMar>
            <w:top w:w="0" w:type="dxa"/>
            <w:left w:w="108" w:type="dxa"/>
            <w:bottom w:w="0" w:type="dxa"/>
            <w:right w:w="108" w:type="dxa"/>
          </w:tblCellMar>
        </w:tblPrEx>
        <w:trPr>
          <w:trHeight w:val="300"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w:t>
            </w:r>
          </w:p>
        </w:tc>
        <w:tc>
          <w:tcPr>
            <w:tcW w:w="2104"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计量单位</w:t>
            </w:r>
          </w:p>
        </w:tc>
        <w:tc>
          <w:tcPr>
            <w:tcW w:w="6364" w:type="dxa"/>
            <w:tcBorders>
              <w:top w:val="single" w:color="auto" w:sz="4" w:space="0"/>
              <w:left w:val="single" w:color="auto" w:sz="4" w:space="0"/>
              <w:bottom w:val="single" w:color="auto" w:sz="4" w:space="0"/>
              <w:right w:val="single" w:color="auto" w:sz="4" w:space="0"/>
            </w:tcBorders>
            <w:vAlign w:val="center"/>
          </w:tcPr>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bCs/>
                <w:kern w:val="0"/>
                <w:szCs w:val="21"/>
                <w:highlight w:val="none"/>
              </w:rPr>
              <w:t>中华人民共和国法定计量单位</w:t>
            </w:r>
          </w:p>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sym w:font="Wingdings 2" w:char="00A3"/>
            </w:r>
            <w:r>
              <w:rPr>
                <w:rFonts w:hint="eastAsia" w:ascii="仿宋_GB2312" w:hAnsi="仿宋_GB2312" w:eastAsia="仿宋_GB2312" w:cs="仿宋_GB2312"/>
                <w:bCs/>
                <w:kern w:val="0"/>
                <w:szCs w:val="21"/>
                <w:highlight w:val="none"/>
              </w:rPr>
              <w:t>其他：</w:t>
            </w:r>
          </w:p>
        </w:tc>
      </w:tr>
      <w:tr>
        <w:tblPrEx>
          <w:tblCellMar>
            <w:top w:w="0" w:type="dxa"/>
            <w:left w:w="108" w:type="dxa"/>
            <w:bottom w:w="0" w:type="dxa"/>
            <w:right w:w="108" w:type="dxa"/>
          </w:tblCellMar>
        </w:tblPrEx>
        <w:trPr>
          <w:trHeight w:val="300"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6.1</w:t>
            </w:r>
          </w:p>
        </w:tc>
        <w:tc>
          <w:tcPr>
            <w:tcW w:w="2104"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hint="eastAsia"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现场考察、磋商前答疑会</w:t>
            </w:r>
          </w:p>
        </w:tc>
        <w:tc>
          <w:tcPr>
            <w:tcW w:w="6364" w:type="dxa"/>
            <w:tcBorders>
              <w:top w:val="single" w:color="auto" w:sz="4" w:space="0"/>
              <w:left w:val="single" w:color="auto" w:sz="4" w:space="0"/>
              <w:bottom w:val="single" w:color="auto" w:sz="4" w:space="0"/>
              <w:right w:val="single" w:color="auto" w:sz="4" w:space="0"/>
            </w:tcBorders>
            <w:vAlign w:val="center"/>
          </w:tcPr>
          <w:p>
            <w:pPr>
              <w:rPr>
                <w:rFonts w:hint="eastAsia"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不组织</w:t>
            </w:r>
          </w:p>
          <w:p>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组织，时  间：</w:t>
            </w:r>
          </w:p>
          <w:p>
            <w:pPr>
              <w:widowControl/>
              <w:ind w:left="-105" w:leftChars="-50" w:firstLine="949" w:firstLineChars="45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地  点：</w:t>
            </w:r>
          </w:p>
          <w:p>
            <w:pPr>
              <w:ind w:left="-105" w:leftChars="-50" w:firstLine="949" w:firstLineChars="45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联系人：</w:t>
            </w:r>
          </w:p>
          <w:p>
            <w:pPr>
              <w:ind w:left="-105" w:leftChars="-50" w:firstLine="949" w:firstLineChars="45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  话：</w:t>
            </w:r>
          </w:p>
          <w:p>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组织，采购文件提供期限截止后以书面形式通知。</w:t>
            </w:r>
          </w:p>
        </w:tc>
      </w:tr>
      <w:tr>
        <w:tblPrEx>
          <w:tblCellMar>
            <w:top w:w="0" w:type="dxa"/>
            <w:left w:w="108" w:type="dxa"/>
            <w:bottom w:w="0" w:type="dxa"/>
            <w:right w:w="108" w:type="dxa"/>
          </w:tblCellMar>
        </w:tblPrEx>
        <w:trPr>
          <w:trHeight w:val="300"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11.3</w:t>
            </w:r>
          </w:p>
        </w:tc>
        <w:tc>
          <w:tcPr>
            <w:tcW w:w="2104"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样品或演示</w:t>
            </w:r>
          </w:p>
        </w:tc>
        <w:tc>
          <w:tcPr>
            <w:tcW w:w="6364" w:type="dxa"/>
            <w:tcBorders>
              <w:top w:val="single" w:color="auto" w:sz="4" w:space="0"/>
              <w:left w:val="single" w:color="auto" w:sz="4" w:space="0"/>
              <w:bottom w:val="single" w:color="auto" w:sz="4" w:space="0"/>
              <w:right w:val="single" w:color="auto" w:sz="4" w:space="0"/>
            </w:tcBorders>
            <w:vAlign w:val="center"/>
          </w:tcPr>
          <w:p>
            <w:pPr>
              <w:rPr>
                <w:rFonts w:hint="eastAsia"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不</w:t>
            </w:r>
            <w:r>
              <w:rPr>
                <w:rFonts w:hint="eastAsia" w:ascii="仿宋_GB2312" w:hAnsi="仿宋_GB2312" w:eastAsia="仿宋_GB2312" w:cs="仿宋_GB2312"/>
                <w:bCs/>
                <w:kern w:val="0"/>
                <w:szCs w:val="21"/>
                <w:highlight w:val="none"/>
              </w:rPr>
              <w:t>需要提供样品</w:t>
            </w:r>
          </w:p>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bCs/>
                <w:kern w:val="0"/>
                <w:szCs w:val="21"/>
                <w:highlight w:val="none"/>
              </w:rPr>
              <w:t>需要提供样品</w:t>
            </w:r>
          </w:p>
          <w:p>
            <w:pPr>
              <w:ind w:firstLine="210" w:firstLineChars="100"/>
              <w:rPr>
                <w:rFonts w:hint="eastAsia"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t>1、递交</w:t>
            </w:r>
            <w:r>
              <w:rPr>
                <w:rFonts w:hint="eastAsia" w:ascii="仿宋_GB2312" w:hAnsi="仿宋_GB2312" w:eastAsia="仿宋_GB2312" w:cs="仿宋_GB2312"/>
                <w:bCs/>
                <w:kern w:val="0"/>
                <w:szCs w:val="21"/>
                <w:highlight w:val="none"/>
              </w:rPr>
              <w:t>样品的截止时间：</w:t>
            </w:r>
            <w:r>
              <w:rPr>
                <w:rFonts w:hint="eastAsia" w:ascii="仿宋_GB2312" w:hAnsi="仿宋_GB2312" w:eastAsia="仿宋_GB2312" w:cs="仿宋_GB2312"/>
                <w:kern w:val="0"/>
                <w:szCs w:val="21"/>
                <w:highlight w:val="none"/>
              </w:rPr>
              <w:t>年月日时</w:t>
            </w:r>
            <w:r>
              <w:rPr>
                <w:rFonts w:hint="eastAsia" w:ascii="仿宋_GB2312" w:hAnsi="仿宋_GB2312" w:eastAsia="仿宋_GB2312" w:cs="仿宋_GB2312"/>
                <w:bCs/>
                <w:kern w:val="0"/>
                <w:szCs w:val="21"/>
                <w:highlight w:val="none"/>
              </w:rPr>
              <w:t>（北京时间）</w:t>
            </w:r>
          </w:p>
          <w:p>
            <w:pPr>
              <w:ind w:firstLine="525" w:firstLineChars="25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递交样品地点：</w:t>
            </w:r>
          </w:p>
          <w:p>
            <w:pPr>
              <w:ind w:firstLine="525" w:firstLineChars="25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递交样品联系人：</w:t>
            </w:r>
          </w:p>
          <w:p>
            <w:pPr>
              <w:ind w:firstLine="525" w:firstLineChars="25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递交样品联系电话：</w:t>
            </w:r>
          </w:p>
          <w:p>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2、样品制作的标准和要求：</w:t>
            </w:r>
          </w:p>
          <w:p>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3、随样品提交相关检测报告要求：</w:t>
            </w:r>
          </w:p>
          <w:p>
            <w:pPr>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（包含是否要求提供、检测机构要求、检测内容等）</w:t>
            </w:r>
          </w:p>
          <w:p>
            <w:pPr>
              <w:numPr>
                <w:ilvl w:val="0"/>
                <w:numId w:val="1"/>
              </w:num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样品的封存及退回：成交供应商的样品将由采购人进行保管、封存，并作为履约验收的参考。未成交的供应商提供的样品，应当由采购人进行保管、封存，成交结果公告之日起七个工作日后，由未成交供应商自行领回或经未成交供应商同意后自行处理。</w:t>
            </w:r>
          </w:p>
          <w:p>
            <w:pPr>
              <w:rPr>
                <w:rFonts w:hint="eastAsia"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不</w:t>
            </w:r>
            <w:r>
              <w:rPr>
                <w:rFonts w:hint="eastAsia" w:ascii="仿宋_GB2312" w:hAnsi="仿宋_GB2312" w:eastAsia="仿宋_GB2312" w:cs="仿宋_GB2312"/>
                <w:bCs/>
                <w:kern w:val="0"/>
                <w:szCs w:val="21"/>
                <w:highlight w:val="none"/>
              </w:rPr>
              <w:t>需要提供演示</w:t>
            </w:r>
          </w:p>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需要</w:t>
            </w:r>
            <w:r>
              <w:rPr>
                <w:rFonts w:hint="eastAsia" w:ascii="仿宋_GB2312" w:hAnsi="仿宋_GB2312" w:eastAsia="仿宋_GB2312" w:cs="仿宋_GB2312"/>
                <w:bCs/>
                <w:kern w:val="0"/>
                <w:szCs w:val="21"/>
                <w:highlight w:val="none"/>
              </w:rPr>
              <w:t>提供演示</w:t>
            </w:r>
          </w:p>
          <w:p>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1、演示时间：</w:t>
            </w:r>
          </w:p>
          <w:p>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演示地点：</w:t>
            </w:r>
          </w:p>
          <w:p>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演示顺序：</w:t>
            </w:r>
          </w:p>
          <w:p>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2、演示要求：（内容、设备等要求）</w:t>
            </w:r>
          </w:p>
        </w:tc>
      </w:tr>
      <w:tr>
        <w:tblPrEx>
          <w:tblCellMar>
            <w:top w:w="0" w:type="dxa"/>
            <w:left w:w="108" w:type="dxa"/>
            <w:bottom w:w="0" w:type="dxa"/>
            <w:right w:w="108" w:type="dxa"/>
          </w:tblCellMar>
        </w:tblPrEx>
        <w:trPr>
          <w:trHeight w:val="579"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12.1</w:t>
            </w:r>
          </w:p>
        </w:tc>
        <w:tc>
          <w:tcPr>
            <w:tcW w:w="2104"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响应报价货币要求</w:t>
            </w:r>
          </w:p>
        </w:tc>
        <w:tc>
          <w:tcPr>
            <w:tcW w:w="6364" w:type="dxa"/>
            <w:tcBorders>
              <w:top w:val="single" w:color="auto" w:sz="4" w:space="0"/>
              <w:left w:val="single" w:color="auto" w:sz="4" w:space="0"/>
              <w:bottom w:val="single" w:color="auto" w:sz="4" w:space="0"/>
              <w:right w:val="single" w:color="auto" w:sz="4" w:space="0"/>
            </w:tcBorders>
            <w:vAlign w:val="center"/>
          </w:tcPr>
          <w:p>
            <w:pPr>
              <w:rPr>
                <w:rFonts w:hint="eastAsia"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所有响应文件中均按</w:t>
            </w:r>
            <w:r>
              <w:rPr>
                <w:rFonts w:hint="eastAsia" w:ascii="仿宋_GB2312" w:hAnsi="仿宋_GB2312" w:eastAsia="仿宋_GB2312" w:cs="仿宋_GB2312"/>
                <w:kern w:val="0"/>
                <w:szCs w:val="21"/>
                <w:highlight w:val="none"/>
                <w:u w:val="single"/>
              </w:rPr>
              <w:t xml:space="preserve">  人民币  </w:t>
            </w:r>
            <w:r>
              <w:rPr>
                <w:rFonts w:hint="eastAsia" w:ascii="仿宋_GB2312" w:hAnsi="仿宋_GB2312" w:eastAsia="仿宋_GB2312" w:cs="仿宋_GB2312"/>
                <w:kern w:val="0"/>
                <w:szCs w:val="21"/>
                <w:highlight w:val="none"/>
              </w:rPr>
              <w:t xml:space="preserve"> 货币进行报价。</w:t>
            </w:r>
          </w:p>
          <w:p>
            <w:pPr>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其它：</w:t>
            </w:r>
          </w:p>
        </w:tc>
      </w:tr>
      <w:tr>
        <w:tblPrEx>
          <w:tblCellMar>
            <w:top w:w="0" w:type="dxa"/>
            <w:left w:w="108" w:type="dxa"/>
            <w:bottom w:w="0" w:type="dxa"/>
            <w:right w:w="108" w:type="dxa"/>
          </w:tblCellMar>
        </w:tblPrEx>
        <w:trPr>
          <w:trHeight w:val="614" w:hRule="atLeast"/>
          <w:jc w:val="center"/>
        </w:trPr>
        <w:tc>
          <w:tcPr>
            <w:tcW w:w="892" w:type="dxa"/>
            <w:tcBorders>
              <w:top w:val="single" w:color="auto" w:sz="4" w:space="0"/>
              <w:left w:val="single" w:color="auto" w:sz="8" w:space="0"/>
              <w:bottom w:val="single" w:color="auto" w:sz="8"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13.1</w:t>
            </w:r>
          </w:p>
        </w:tc>
        <w:tc>
          <w:tcPr>
            <w:tcW w:w="2104" w:type="dxa"/>
            <w:tcBorders>
              <w:top w:val="single" w:color="auto" w:sz="4" w:space="0"/>
              <w:left w:val="single" w:color="auto" w:sz="4" w:space="0"/>
              <w:bottom w:val="single" w:color="auto" w:sz="8" w:space="0"/>
              <w:right w:val="single" w:color="auto" w:sz="8" w:space="0"/>
            </w:tcBorders>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磋商保证金</w:t>
            </w:r>
          </w:p>
        </w:tc>
        <w:tc>
          <w:tcPr>
            <w:tcW w:w="6364" w:type="dxa"/>
            <w:tcBorders>
              <w:top w:val="single" w:color="auto" w:sz="4" w:space="0"/>
              <w:left w:val="nil"/>
              <w:bottom w:val="single" w:color="auto" w:sz="8" w:space="0"/>
              <w:right w:val="single" w:color="auto" w:sz="8" w:space="0"/>
            </w:tcBorders>
            <w:vAlign w:val="center"/>
          </w:tcPr>
          <w:p>
            <w:pPr>
              <w:ind w:firstLine="10" w:firstLineChars="5"/>
              <w:rPr>
                <w:rFonts w:hint="eastAsia"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本项目不收取磋商保证金</w:t>
            </w:r>
          </w:p>
          <w:p>
            <w:pPr>
              <w:ind w:firstLine="10" w:firstLineChars="5"/>
              <w:rPr>
                <w:rFonts w:hint="eastAsia"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□本项目收取磋商保证金</w:t>
            </w:r>
          </w:p>
        </w:tc>
      </w:tr>
      <w:tr>
        <w:tblPrEx>
          <w:tblCellMar>
            <w:top w:w="0" w:type="dxa"/>
            <w:left w:w="108" w:type="dxa"/>
            <w:bottom w:w="0" w:type="dxa"/>
            <w:right w:w="108" w:type="dxa"/>
          </w:tblCellMar>
        </w:tblPrEx>
        <w:trPr>
          <w:trHeight w:val="614" w:hRule="atLeast"/>
          <w:jc w:val="center"/>
        </w:trPr>
        <w:tc>
          <w:tcPr>
            <w:tcW w:w="892" w:type="dxa"/>
            <w:tcBorders>
              <w:top w:val="single" w:color="auto" w:sz="4" w:space="0"/>
              <w:left w:val="single" w:color="auto" w:sz="8" w:space="0"/>
              <w:bottom w:val="single" w:color="auto" w:sz="8"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15.1</w:t>
            </w:r>
          </w:p>
        </w:tc>
        <w:tc>
          <w:tcPr>
            <w:tcW w:w="2104" w:type="dxa"/>
            <w:tcBorders>
              <w:top w:val="single" w:color="auto" w:sz="4" w:space="0"/>
              <w:left w:val="single" w:color="auto" w:sz="4" w:space="0"/>
              <w:bottom w:val="single" w:color="auto" w:sz="8" w:space="0"/>
              <w:right w:val="single" w:color="auto" w:sz="8" w:space="0"/>
            </w:tcBorders>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响应有效期</w:t>
            </w:r>
          </w:p>
        </w:tc>
        <w:tc>
          <w:tcPr>
            <w:tcW w:w="6364" w:type="dxa"/>
            <w:tcBorders>
              <w:top w:val="single" w:color="auto" w:sz="4" w:space="0"/>
              <w:left w:val="nil"/>
              <w:bottom w:val="single" w:color="auto" w:sz="8" w:space="0"/>
              <w:right w:val="single" w:color="auto" w:sz="8" w:space="0"/>
            </w:tcBorders>
            <w:vAlign w:val="center"/>
          </w:tcPr>
          <w:p>
            <w:pPr>
              <w:pStyle w:val="9"/>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u w:val="single"/>
              </w:rPr>
              <w:t xml:space="preserve">  90  </w:t>
            </w:r>
            <w:r>
              <w:rPr>
                <w:rFonts w:hint="eastAsia" w:ascii="仿宋_GB2312" w:hAnsi="仿宋_GB2312" w:eastAsia="仿宋_GB2312" w:cs="仿宋_GB2312"/>
                <w:kern w:val="0"/>
                <w:szCs w:val="21"/>
                <w:highlight w:val="none"/>
              </w:rPr>
              <w:t>日历日</w:t>
            </w:r>
          </w:p>
        </w:tc>
      </w:tr>
      <w:tr>
        <w:tblPrEx>
          <w:tblCellMar>
            <w:top w:w="0" w:type="dxa"/>
            <w:left w:w="108" w:type="dxa"/>
            <w:bottom w:w="0" w:type="dxa"/>
            <w:right w:w="108" w:type="dxa"/>
          </w:tblCellMar>
        </w:tblPrEx>
        <w:trPr>
          <w:trHeight w:val="606" w:hRule="atLeast"/>
          <w:jc w:val="center"/>
        </w:trPr>
        <w:tc>
          <w:tcPr>
            <w:tcW w:w="892" w:type="dxa"/>
            <w:tcBorders>
              <w:top w:val="nil"/>
              <w:left w:val="single" w:color="auto" w:sz="8"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16.1</w:t>
            </w:r>
          </w:p>
        </w:tc>
        <w:tc>
          <w:tcPr>
            <w:tcW w:w="2104" w:type="dxa"/>
            <w:tcBorders>
              <w:top w:val="nil"/>
              <w:left w:val="single" w:color="auto" w:sz="4" w:space="0"/>
              <w:bottom w:val="single" w:color="auto" w:sz="4" w:space="0"/>
              <w:right w:val="single" w:color="auto" w:sz="8" w:space="0"/>
            </w:tcBorders>
            <w:vAlign w:val="center"/>
          </w:tcPr>
          <w:p>
            <w:pPr>
              <w:widowControl/>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响应文件份数</w:t>
            </w:r>
          </w:p>
        </w:tc>
        <w:tc>
          <w:tcPr>
            <w:tcW w:w="6364" w:type="dxa"/>
            <w:tcBorders>
              <w:top w:val="nil"/>
              <w:left w:val="nil"/>
              <w:bottom w:val="single" w:color="auto" w:sz="4" w:space="0"/>
              <w:right w:val="single" w:color="auto" w:sz="8" w:space="0"/>
            </w:tcBorders>
            <w:vAlign w:val="center"/>
          </w:tcPr>
          <w:p>
            <w:pPr>
              <w:widowControl/>
              <w:rPr>
                <w:rFonts w:hint="default" w:ascii="仿宋_GB2312" w:hAnsi="仿宋_GB2312" w:eastAsia="仿宋_GB2312" w:cs="仿宋_GB2312"/>
                <w:kern w:val="0"/>
                <w:szCs w:val="21"/>
                <w:highlight w:val="none"/>
                <w:lang w:val="en-US"/>
              </w:rPr>
            </w:pPr>
            <w:r>
              <w:rPr>
                <w:rFonts w:hint="eastAsia" w:ascii="仿宋_GB2312" w:hAnsi="仿宋_GB2312" w:eastAsia="仿宋_GB2312" w:cs="仿宋_GB2312"/>
                <w:kern w:val="2"/>
                <w:sz w:val="21"/>
                <w:szCs w:val="21"/>
                <w:highlight w:val="none"/>
                <w:lang w:val="en-US" w:eastAsia="zh-CN" w:bidi="ar-SA"/>
              </w:rPr>
              <w:t>本项目不需要递交纸质响应文件，供应商应在递交响应文件截止时间前提交按采购文件规定的以（U盘）形式存储的可加密备份文件 1 份。</w:t>
            </w:r>
          </w:p>
        </w:tc>
      </w:tr>
      <w:tr>
        <w:tblPrEx>
          <w:tblCellMar>
            <w:top w:w="0" w:type="dxa"/>
            <w:left w:w="108" w:type="dxa"/>
            <w:bottom w:w="0" w:type="dxa"/>
            <w:right w:w="108" w:type="dxa"/>
          </w:tblCellMar>
        </w:tblPrEx>
        <w:trPr>
          <w:trHeight w:val="606" w:hRule="atLeast"/>
          <w:jc w:val="center"/>
        </w:trPr>
        <w:tc>
          <w:tcPr>
            <w:tcW w:w="892" w:type="dxa"/>
            <w:tcBorders>
              <w:top w:val="nil"/>
              <w:left w:val="single" w:color="auto" w:sz="8"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18.1</w:t>
            </w:r>
          </w:p>
        </w:tc>
        <w:tc>
          <w:tcPr>
            <w:tcW w:w="2104" w:type="dxa"/>
            <w:tcBorders>
              <w:top w:val="nil"/>
              <w:left w:val="single" w:color="auto" w:sz="4" w:space="0"/>
              <w:bottom w:val="single" w:color="auto" w:sz="4" w:space="0"/>
              <w:right w:val="single" w:color="auto" w:sz="8" w:space="0"/>
            </w:tcBorders>
            <w:vAlign w:val="center"/>
          </w:tcPr>
          <w:p>
            <w:pPr>
              <w:widowControl/>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递交响应文件截止时间、地点：</w:t>
            </w:r>
          </w:p>
        </w:tc>
        <w:tc>
          <w:tcPr>
            <w:tcW w:w="6364" w:type="dxa"/>
            <w:tcBorders>
              <w:top w:val="nil"/>
              <w:left w:val="nil"/>
              <w:bottom w:val="single" w:color="auto" w:sz="4" w:space="0"/>
              <w:right w:val="single" w:color="auto" w:sz="8" w:space="0"/>
            </w:tcBorders>
            <w:vAlign w:val="center"/>
          </w:tcPr>
          <w:p>
            <w:pPr>
              <w:widowControl/>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详见采购公告，以采购公告规定时间、地点为准。</w:t>
            </w:r>
          </w:p>
        </w:tc>
      </w:tr>
      <w:tr>
        <w:tblPrEx>
          <w:tblCellMar>
            <w:top w:w="0" w:type="dxa"/>
            <w:left w:w="108" w:type="dxa"/>
            <w:bottom w:w="0" w:type="dxa"/>
            <w:right w:w="108" w:type="dxa"/>
          </w:tblCellMar>
        </w:tblPrEx>
        <w:trPr>
          <w:trHeight w:val="606" w:hRule="atLeast"/>
          <w:jc w:val="center"/>
        </w:trPr>
        <w:tc>
          <w:tcPr>
            <w:tcW w:w="892" w:type="dxa"/>
            <w:tcBorders>
              <w:top w:val="nil"/>
              <w:left w:val="single" w:color="auto" w:sz="8"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20.1</w:t>
            </w:r>
          </w:p>
        </w:tc>
        <w:tc>
          <w:tcPr>
            <w:tcW w:w="2104" w:type="dxa"/>
            <w:tcBorders>
              <w:top w:val="nil"/>
              <w:left w:val="single" w:color="auto" w:sz="4" w:space="0"/>
              <w:bottom w:val="single" w:color="auto" w:sz="4" w:space="0"/>
              <w:right w:val="single" w:color="auto" w:sz="8" w:space="0"/>
            </w:tcBorders>
            <w:vAlign w:val="center"/>
          </w:tcPr>
          <w:p>
            <w:pPr>
              <w:widowControl/>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磋商会议时间、</w:t>
            </w:r>
          </w:p>
          <w:p>
            <w:pPr>
              <w:widowControl/>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地点：</w:t>
            </w:r>
          </w:p>
        </w:tc>
        <w:tc>
          <w:tcPr>
            <w:tcW w:w="6364" w:type="dxa"/>
            <w:tcBorders>
              <w:top w:val="nil"/>
              <w:left w:val="nil"/>
              <w:bottom w:val="single" w:color="auto" w:sz="4" w:space="0"/>
              <w:right w:val="single" w:color="auto" w:sz="8" w:space="0"/>
            </w:tcBorders>
            <w:vAlign w:val="center"/>
          </w:tcPr>
          <w:p>
            <w:pPr>
              <w:widowControl/>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详见采购公告，以采购公告规定时间、地点为准。</w:t>
            </w:r>
          </w:p>
        </w:tc>
      </w:tr>
      <w:tr>
        <w:tblPrEx>
          <w:tblCellMar>
            <w:top w:w="0" w:type="dxa"/>
            <w:left w:w="108" w:type="dxa"/>
            <w:bottom w:w="0" w:type="dxa"/>
            <w:right w:w="108" w:type="dxa"/>
          </w:tblCellMar>
        </w:tblPrEx>
        <w:trPr>
          <w:trHeight w:val="606" w:hRule="atLeast"/>
          <w:jc w:val="center"/>
        </w:trPr>
        <w:tc>
          <w:tcPr>
            <w:tcW w:w="892" w:type="dxa"/>
            <w:tcBorders>
              <w:top w:val="nil"/>
              <w:left w:val="single" w:color="auto" w:sz="8"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21.2</w:t>
            </w:r>
          </w:p>
        </w:tc>
        <w:tc>
          <w:tcPr>
            <w:tcW w:w="2104" w:type="dxa"/>
            <w:tcBorders>
              <w:top w:val="nil"/>
              <w:left w:val="single" w:color="auto" w:sz="4" w:space="0"/>
              <w:bottom w:val="single" w:color="auto" w:sz="4" w:space="0"/>
              <w:right w:val="single" w:color="auto" w:sz="8"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磋商小组组成</w:t>
            </w:r>
          </w:p>
        </w:tc>
        <w:tc>
          <w:tcPr>
            <w:tcW w:w="6364" w:type="dxa"/>
            <w:tcBorders>
              <w:top w:val="nil"/>
              <w:left w:val="nil"/>
              <w:bottom w:val="single" w:color="auto" w:sz="4" w:space="0"/>
              <w:right w:val="single" w:color="auto" w:sz="8" w:space="0"/>
            </w:tcBorders>
            <w:vAlign w:val="center"/>
          </w:tcPr>
          <w:p>
            <w:pPr>
              <w:widowControl/>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磋商小组由采购人代表</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0</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人，评审专家</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3</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人组成，共</w:t>
            </w:r>
            <w:r>
              <w:rPr>
                <w:rFonts w:hint="eastAsia" w:ascii="仿宋_GB2312" w:hAnsi="仿宋_GB2312" w:eastAsia="仿宋_GB2312" w:cs="仿宋_GB2312"/>
                <w:kern w:val="0"/>
                <w:szCs w:val="21"/>
                <w:highlight w:val="none"/>
                <w:u w:val="single"/>
              </w:rPr>
              <w:t xml:space="preserve"> 3 </w:t>
            </w:r>
            <w:r>
              <w:rPr>
                <w:rFonts w:hint="eastAsia" w:ascii="仿宋_GB2312" w:hAnsi="仿宋_GB2312" w:eastAsia="仿宋_GB2312" w:cs="仿宋_GB2312"/>
                <w:kern w:val="0"/>
                <w:szCs w:val="21"/>
                <w:highlight w:val="none"/>
              </w:rPr>
              <w:t>人。</w:t>
            </w:r>
          </w:p>
        </w:tc>
      </w:tr>
      <w:tr>
        <w:tblPrEx>
          <w:tblCellMar>
            <w:top w:w="0" w:type="dxa"/>
            <w:left w:w="108" w:type="dxa"/>
            <w:bottom w:w="0" w:type="dxa"/>
            <w:right w:w="108" w:type="dxa"/>
          </w:tblCellMar>
        </w:tblPrEx>
        <w:trPr>
          <w:trHeight w:val="606"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29.2</w:t>
            </w:r>
          </w:p>
        </w:tc>
        <w:tc>
          <w:tcPr>
            <w:tcW w:w="210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评审办法</w:t>
            </w:r>
          </w:p>
        </w:tc>
        <w:tc>
          <w:tcPr>
            <w:tcW w:w="6364" w:type="dxa"/>
            <w:tcBorders>
              <w:top w:val="single" w:color="auto" w:sz="4" w:space="0"/>
              <w:left w:val="single" w:color="auto" w:sz="4" w:space="0"/>
              <w:bottom w:val="single" w:color="auto" w:sz="4" w:space="0"/>
              <w:right w:val="single" w:color="auto" w:sz="4" w:space="0"/>
            </w:tcBorders>
            <w:vAlign w:val="center"/>
          </w:tcPr>
          <w:p>
            <w:pPr>
              <w:widowControl/>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综合评分法</w:t>
            </w:r>
          </w:p>
        </w:tc>
      </w:tr>
      <w:tr>
        <w:tblPrEx>
          <w:tblCellMar>
            <w:top w:w="0" w:type="dxa"/>
            <w:left w:w="108" w:type="dxa"/>
            <w:bottom w:w="0" w:type="dxa"/>
            <w:right w:w="108" w:type="dxa"/>
          </w:tblCellMar>
        </w:tblPrEx>
        <w:trPr>
          <w:trHeight w:val="606"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31.2</w:t>
            </w:r>
          </w:p>
        </w:tc>
        <w:tc>
          <w:tcPr>
            <w:tcW w:w="210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推荐成交候选供应商的数量</w:t>
            </w:r>
          </w:p>
        </w:tc>
        <w:tc>
          <w:tcPr>
            <w:tcW w:w="6364" w:type="dxa"/>
            <w:tcBorders>
              <w:top w:val="single" w:color="auto" w:sz="4" w:space="0"/>
              <w:left w:val="single" w:color="auto" w:sz="4" w:space="0"/>
              <w:bottom w:val="single" w:color="auto" w:sz="4" w:space="0"/>
              <w:right w:val="single" w:color="auto" w:sz="4" w:space="0"/>
            </w:tcBorders>
            <w:vAlign w:val="center"/>
          </w:tcPr>
          <w:p>
            <w:pPr>
              <w:widowControl/>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u w:val="single"/>
              </w:rPr>
              <w:t xml:space="preserve">  3家  </w:t>
            </w:r>
          </w:p>
        </w:tc>
      </w:tr>
      <w:tr>
        <w:tblPrEx>
          <w:tblCellMar>
            <w:top w:w="0" w:type="dxa"/>
            <w:left w:w="108" w:type="dxa"/>
            <w:bottom w:w="0" w:type="dxa"/>
            <w:right w:w="108" w:type="dxa"/>
          </w:tblCellMar>
        </w:tblPrEx>
        <w:trPr>
          <w:trHeight w:val="606"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33</w:t>
            </w:r>
          </w:p>
        </w:tc>
        <w:tc>
          <w:tcPr>
            <w:tcW w:w="210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确定成交供应商的方式</w:t>
            </w:r>
          </w:p>
        </w:tc>
        <w:tc>
          <w:tcPr>
            <w:tcW w:w="6364" w:type="dxa"/>
            <w:tcBorders>
              <w:top w:val="single" w:color="auto" w:sz="4" w:space="0"/>
              <w:left w:val="single" w:color="auto" w:sz="4" w:space="0"/>
              <w:bottom w:val="single" w:color="auto" w:sz="4" w:space="0"/>
              <w:right w:val="single" w:color="auto" w:sz="4" w:space="0"/>
            </w:tcBorders>
            <w:vAlign w:val="center"/>
          </w:tcPr>
          <w:p>
            <w:pPr>
              <w:widowControl/>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成交供应商数量：</w:t>
            </w:r>
            <w:r>
              <w:rPr>
                <w:rFonts w:hint="eastAsia" w:ascii="仿宋_GB2312" w:hAnsi="仿宋_GB2312" w:eastAsia="仿宋_GB2312" w:cs="仿宋_GB2312"/>
                <w:kern w:val="0"/>
                <w:szCs w:val="21"/>
                <w:highlight w:val="none"/>
                <w:u w:val="single"/>
              </w:rPr>
              <w:t xml:space="preserve">  1家  </w:t>
            </w:r>
          </w:p>
          <w:p>
            <w:pPr>
              <w:widowControl/>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采购人委托磋商小组直接确定成交供应商</w:t>
            </w:r>
          </w:p>
          <w:p>
            <w:pPr>
              <w:widowControl/>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采购人确定成交供应商</w:t>
            </w:r>
          </w:p>
        </w:tc>
      </w:tr>
      <w:tr>
        <w:tblPrEx>
          <w:tblCellMar>
            <w:top w:w="0" w:type="dxa"/>
            <w:left w:w="108" w:type="dxa"/>
            <w:bottom w:w="0" w:type="dxa"/>
            <w:right w:w="108" w:type="dxa"/>
          </w:tblCellMar>
        </w:tblPrEx>
        <w:trPr>
          <w:trHeight w:val="606"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37.1</w:t>
            </w:r>
          </w:p>
        </w:tc>
        <w:tc>
          <w:tcPr>
            <w:tcW w:w="2104"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履约保证金</w:t>
            </w:r>
          </w:p>
        </w:tc>
        <w:tc>
          <w:tcPr>
            <w:tcW w:w="6364" w:type="dxa"/>
            <w:tcBorders>
              <w:top w:val="single" w:color="auto" w:sz="4" w:space="0"/>
              <w:left w:val="single" w:color="auto" w:sz="4" w:space="0"/>
              <w:bottom w:val="single" w:color="auto" w:sz="4" w:space="0"/>
              <w:right w:val="single" w:color="auto" w:sz="4" w:space="0"/>
            </w:tcBorders>
            <w:vAlign w:val="center"/>
          </w:tcPr>
          <w:p>
            <w:pPr>
              <w:shd w:val="clear" w:color="auto" w:fill="FFFFFF"/>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■本项目不收取履约保证金</w:t>
            </w:r>
          </w:p>
          <w:p>
            <w:pPr>
              <w:shd w:val="clear" w:color="auto" w:fill="FFFFFF"/>
              <w:jc w:val="left"/>
              <w:rPr>
                <w:rFonts w:hint="eastAsia"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szCs w:val="21"/>
                <w:highlight w:val="none"/>
              </w:rPr>
              <w:t>本项目收取履约保证金</w:t>
            </w:r>
          </w:p>
        </w:tc>
      </w:tr>
      <w:tr>
        <w:tblPrEx>
          <w:tblCellMar>
            <w:top w:w="0" w:type="dxa"/>
            <w:left w:w="108" w:type="dxa"/>
            <w:bottom w:w="0" w:type="dxa"/>
            <w:right w:w="108" w:type="dxa"/>
          </w:tblCellMar>
        </w:tblPrEx>
        <w:trPr>
          <w:trHeight w:val="606" w:hRule="atLeast"/>
          <w:jc w:val="center"/>
        </w:trPr>
        <w:tc>
          <w:tcPr>
            <w:tcW w:w="892" w:type="dxa"/>
            <w:tcBorders>
              <w:top w:val="nil"/>
              <w:left w:val="single" w:color="auto" w:sz="8" w:space="0"/>
              <w:bottom w:val="single" w:color="auto" w:sz="8"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38</w:t>
            </w:r>
          </w:p>
        </w:tc>
        <w:tc>
          <w:tcPr>
            <w:tcW w:w="2104" w:type="dxa"/>
            <w:tcBorders>
              <w:top w:val="nil"/>
              <w:left w:val="single" w:color="auto" w:sz="4" w:space="0"/>
              <w:bottom w:val="single" w:color="auto" w:sz="8" w:space="0"/>
              <w:right w:val="single" w:color="auto" w:sz="8"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采购代理服务费</w:t>
            </w:r>
          </w:p>
        </w:tc>
        <w:tc>
          <w:tcPr>
            <w:tcW w:w="6364" w:type="dxa"/>
            <w:tcBorders>
              <w:top w:val="nil"/>
              <w:left w:val="nil"/>
              <w:bottom w:val="single" w:color="auto" w:sz="8" w:space="0"/>
              <w:right w:val="single" w:color="auto" w:sz="8" w:space="0"/>
            </w:tcBorders>
            <w:vAlign w:val="center"/>
          </w:tcPr>
          <w:p>
            <w:pPr>
              <w:shd w:val="clear" w:color="auto" w:fill="FFFFFF"/>
              <w:jc w:val="left"/>
              <w:rPr>
                <w:rFonts w:hint="eastAsia" w:ascii="仿宋_GB2312" w:hAnsi="仿宋_GB2312" w:eastAsia="仿宋_GB2312" w:cs="仿宋_GB2312"/>
                <w:szCs w:val="21"/>
                <w:highlight w:val="none"/>
                <w:shd w:val="clear" w:color="auto" w:fill="FFFFFF"/>
              </w:rPr>
            </w:pPr>
            <w:r>
              <w:rPr>
                <w:rFonts w:hint="eastAsia" w:ascii="仿宋_GB2312" w:hAnsi="仿宋_GB2312" w:eastAsia="仿宋_GB2312" w:cs="仿宋_GB2312"/>
                <w:szCs w:val="21"/>
                <w:highlight w:val="none"/>
                <w:shd w:val="clear" w:color="auto" w:fill="FFFFFF"/>
              </w:rPr>
              <w:sym w:font="Wingdings 2" w:char="00A3"/>
            </w:r>
            <w:r>
              <w:rPr>
                <w:rFonts w:hint="eastAsia" w:ascii="仿宋_GB2312" w:hAnsi="仿宋_GB2312" w:eastAsia="仿宋_GB2312" w:cs="仿宋_GB2312"/>
                <w:szCs w:val="21"/>
                <w:highlight w:val="none"/>
                <w:shd w:val="clear" w:color="auto" w:fill="FFFFFF"/>
              </w:rPr>
              <w:t>本项目不收取</w:t>
            </w:r>
            <w:r>
              <w:rPr>
                <w:rFonts w:hint="eastAsia" w:ascii="仿宋_GB2312" w:hAnsi="仿宋_GB2312" w:eastAsia="仿宋_GB2312" w:cs="仿宋_GB2312"/>
                <w:kern w:val="0"/>
                <w:szCs w:val="21"/>
                <w:highlight w:val="none"/>
                <w:shd w:val="clear" w:color="auto" w:fill="FFFFFF"/>
              </w:rPr>
              <w:t>采购代理服务费</w:t>
            </w:r>
          </w:p>
          <w:p>
            <w:pPr>
              <w:shd w:val="clear" w:color="auto" w:fill="FFFFFF"/>
              <w:jc w:val="left"/>
              <w:rPr>
                <w:rFonts w:hint="eastAsia" w:ascii="仿宋_GB2312" w:hAnsi="仿宋_GB2312" w:eastAsia="仿宋_GB2312" w:cs="仿宋_GB2312"/>
                <w:szCs w:val="21"/>
                <w:highlight w:val="none"/>
                <w:shd w:val="clear" w:color="auto" w:fill="FFFFFF"/>
              </w:rPr>
            </w:pPr>
            <w:r>
              <w:rPr>
                <w:rFonts w:hint="eastAsia" w:ascii="仿宋_GB2312" w:hAnsi="仿宋_GB2312" w:eastAsia="仿宋_GB2312" w:cs="仿宋_GB2312"/>
                <w:highlight w:val="none"/>
                <w:shd w:val="clear" w:color="auto" w:fill="FFFFFF"/>
              </w:rPr>
              <w:t>■</w:t>
            </w:r>
            <w:r>
              <w:rPr>
                <w:rFonts w:hint="eastAsia" w:ascii="仿宋_GB2312" w:hAnsi="仿宋_GB2312" w:eastAsia="仿宋_GB2312" w:cs="仿宋_GB2312"/>
                <w:szCs w:val="21"/>
                <w:highlight w:val="none"/>
                <w:shd w:val="clear" w:color="auto" w:fill="FFFFFF"/>
              </w:rPr>
              <w:t>本项目收取</w:t>
            </w:r>
            <w:r>
              <w:rPr>
                <w:rFonts w:hint="eastAsia" w:ascii="仿宋_GB2312" w:hAnsi="仿宋_GB2312" w:eastAsia="仿宋_GB2312" w:cs="仿宋_GB2312"/>
                <w:kern w:val="0"/>
                <w:szCs w:val="21"/>
                <w:highlight w:val="none"/>
                <w:shd w:val="clear" w:color="auto" w:fill="FFFFFF"/>
              </w:rPr>
              <w:t>采购代理服务费</w:t>
            </w:r>
          </w:p>
          <w:p>
            <w:pPr>
              <w:widowControl/>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本项目采购代理服务费由</w:t>
            </w:r>
            <w:r>
              <w:rPr>
                <w:rFonts w:hint="eastAsia" w:ascii="仿宋_GB2312" w:hAnsi="仿宋_GB2312" w:eastAsia="仿宋_GB2312" w:cs="仿宋_GB2312"/>
                <w:b/>
                <w:kern w:val="0"/>
                <w:szCs w:val="21"/>
                <w:highlight w:val="none"/>
                <w:u w:val="single"/>
              </w:rPr>
              <w:t xml:space="preserve"> 成交供应商</w:t>
            </w:r>
            <w:r>
              <w:rPr>
                <w:rFonts w:hint="eastAsia" w:ascii="仿宋_GB2312" w:hAnsi="仿宋_GB2312" w:eastAsia="仿宋_GB2312" w:cs="仿宋_GB2312"/>
                <w:kern w:val="0"/>
                <w:szCs w:val="21"/>
                <w:highlight w:val="none"/>
              </w:rPr>
              <w:t>向采购代理机构予以支付。</w:t>
            </w:r>
          </w:p>
          <w:p>
            <w:pPr>
              <w:widowControl/>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支付标准：</w:t>
            </w:r>
            <w:r>
              <w:rPr>
                <w:rFonts w:hint="eastAsia" w:ascii="仿宋_GB2312" w:hAnsi="仿宋_GB2312" w:eastAsia="仿宋_GB2312" w:cs="仿宋_GB2312"/>
                <w:kern w:val="0"/>
                <w:szCs w:val="21"/>
                <w:highlight w:val="none"/>
                <w:u w:val="single"/>
              </w:rPr>
              <w:t xml:space="preserve">参照国家发改委发改价格【2011】534号文件的规定计取 。       </w:t>
            </w:r>
          </w:p>
          <w:p>
            <w:pPr>
              <w:widowControl/>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支付形式：</w:t>
            </w:r>
            <w:r>
              <w:rPr>
                <w:rFonts w:hint="eastAsia" w:ascii="仿宋_GB2312" w:hAnsi="仿宋_GB2312" w:eastAsia="仿宋_GB2312" w:cs="仿宋_GB2312"/>
                <w:kern w:val="0"/>
                <w:szCs w:val="21"/>
                <w:highlight w:val="none"/>
                <w:u w:val="single"/>
              </w:rPr>
              <w:t xml:space="preserve">现金或电汇形式                          </w:t>
            </w:r>
          </w:p>
          <w:p>
            <w:pPr>
              <w:widowControl/>
              <w:ind w:firstLine="210" w:firstLineChars="10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支付时间：</w:t>
            </w:r>
            <w:r>
              <w:rPr>
                <w:rFonts w:hint="eastAsia" w:ascii="仿宋_GB2312" w:hAnsi="仿宋_GB2312" w:eastAsia="仿宋_GB2312" w:cs="仿宋_GB2312"/>
                <w:kern w:val="0"/>
                <w:szCs w:val="21"/>
                <w:highlight w:val="none"/>
                <w:u w:val="single"/>
              </w:rPr>
              <w:t>在领取成交通知书的同时向采购代理机构一次性支付服务费。</w:t>
            </w:r>
          </w:p>
          <w:p>
            <w:pPr>
              <w:widowControl/>
              <w:ind w:firstLine="211" w:firstLineChars="100"/>
              <w:rPr>
                <w:rFonts w:hint="eastAsia" w:ascii="仿宋_GB2312" w:hAnsi="仿宋_GB2312" w:eastAsia="仿宋_GB2312" w:cs="仿宋_GB2312"/>
                <w:b/>
                <w:bCs/>
                <w:kern w:val="0"/>
                <w:szCs w:val="21"/>
                <w:highlight w:val="none"/>
                <w:u w:val="single"/>
              </w:rPr>
            </w:pPr>
            <w:r>
              <w:rPr>
                <w:rFonts w:hint="eastAsia" w:ascii="仿宋_GB2312" w:hAnsi="仿宋_GB2312" w:eastAsia="仿宋_GB2312" w:cs="仿宋_GB2312"/>
                <w:b/>
                <w:bCs/>
                <w:kern w:val="0"/>
                <w:szCs w:val="21"/>
                <w:highlight w:val="none"/>
              </w:rPr>
              <w:t>代理费汇入单位：</w:t>
            </w:r>
            <w:r>
              <w:rPr>
                <w:rFonts w:hint="eastAsia" w:ascii="仿宋_GB2312" w:hAnsi="仿宋_GB2312" w:eastAsia="仿宋_GB2312" w:cs="仿宋_GB2312"/>
                <w:b/>
                <w:bCs/>
                <w:kern w:val="0"/>
                <w:szCs w:val="21"/>
                <w:highlight w:val="none"/>
                <w:u w:val="single"/>
              </w:rPr>
              <w:t>丹东鑫泰工程造价咨询有限责任公司</w:t>
            </w:r>
          </w:p>
          <w:p>
            <w:pPr>
              <w:widowControl/>
              <w:ind w:firstLine="211" w:firstLineChars="100"/>
              <w:rPr>
                <w:rFonts w:hint="eastAsia" w:ascii="仿宋_GB2312" w:hAnsi="仿宋_GB2312" w:eastAsia="仿宋_GB2312" w:cs="仿宋_GB2312"/>
                <w:b/>
                <w:bCs/>
                <w:kern w:val="0"/>
                <w:szCs w:val="21"/>
                <w:highlight w:val="none"/>
                <w:lang w:eastAsia="zh-CN"/>
              </w:rPr>
            </w:pPr>
            <w:r>
              <w:rPr>
                <w:rFonts w:hint="eastAsia" w:ascii="仿宋_GB2312" w:hAnsi="仿宋_GB2312" w:eastAsia="仿宋_GB2312" w:cs="仿宋_GB2312"/>
                <w:b/>
                <w:bCs/>
                <w:kern w:val="0"/>
                <w:szCs w:val="21"/>
                <w:highlight w:val="none"/>
              </w:rPr>
              <w:t>开户行：</w:t>
            </w:r>
            <w:r>
              <w:rPr>
                <w:rFonts w:hint="eastAsia" w:ascii="仿宋_GB2312" w:hAnsi="仿宋_GB2312" w:eastAsia="仿宋_GB2312" w:cs="仿宋_GB2312"/>
                <w:b/>
                <w:bCs/>
                <w:szCs w:val="21"/>
                <w:highlight w:val="none"/>
                <w:u w:val="single"/>
                <w:lang w:eastAsia="zh-CN"/>
              </w:rPr>
              <w:t>中国农业银行股份有限公司丹东临江支行</w:t>
            </w:r>
          </w:p>
          <w:p>
            <w:pPr>
              <w:widowControl/>
              <w:ind w:firstLine="211" w:firstLineChars="100"/>
              <w:rPr>
                <w:rFonts w:hint="eastAsia" w:ascii="仿宋_GB2312" w:hAnsi="仿宋_GB2312" w:eastAsia="仿宋_GB2312" w:cs="仿宋_GB2312"/>
                <w:b/>
                <w:bCs/>
                <w:kern w:val="0"/>
                <w:szCs w:val="21"/>
                <w:highlight w:val="none"/>
                <w:u w:val="single"/>
                <w:lang w:eastAsia="zh-CN"/>
              </w:rPr>
            </w:pPr>
            <w:r>
              <w:rPr>
                <w:rFonts w:hint="eastAsia" w:ascii="仿宋_GB2312" w:hAnsi="仿宋_GB2312" w:eastAsia="仿宋_GB2312" w:cs="仿宋_GB2312"/>
                <w:b/>
                <w:bCs/>
                <w:kern w:val="0"/>
                <w:szCs w:val="21"/>
                <w:highlight w:val="none"/>
              </w:rPr>
              <w:t>账  号：</w:t>
            </w:r>
            <w:r>
              <w:rPr>
                <w:rFonts w:hint="eastAsia" w:ascii="仿宋_GB2312" w:hAnsi="仿宋_GB2312" w:eastAsia="仿宋_GB2312" w:cs="仿宋_GB2312"/>
                <w:b/>
                <w:bCs/>
                <w:kern w:val="0"/>
                <w:szCs w:val="21"/>
                <w:highlight w:val="none"/>
                <w:u w:val="single"/>
                <w:lang w:eastAsia="zh-CN"/>
              </w:rPr>
              <w:t>06511301040000113</w:t>
            </w:r>
          </w:p>
          <w:p>
            <w:pPr>
              <w:widowControl/>
              <w:jc w:val="distribute"/>
              <w:rPr>
                <w:rFonts w:hint="eastAsia"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电汇形式汇入采购代理服务费必须从成交</w:t>
            </w:r>
            <w:r>
              <w:rPr>
                <w:rFonts w:hint="eastAsia" w:ascii="仿宋_GB2312" w:hAnsi="仿宋_GB2312" w:eastAsia="仿宋_GB2312" w:cs="仿宋_GB2312"/>
                <w:szCs w:val="21"/>
                <w:highlight w:val="none"/>
                <w:lang w:val="en-US" w:eastAsia="zh-CN"/>
              </w:rPr>
              <w:t>供应</w:t>
            </w:r>
            <w:r>
              <w:rPr>
                <w:rFonts w:hint="eastAsia" w:ascii="仿宋_GB2312" w:hAnsi="仿宋_GB2312" w:eastAsia="仿宋_GB2312" w:cs="仿宋_GB2312"/>
                <w:szCs w:val="21"/>
                <w:highlight w:val="none"/>
              </w:rPr>
              <w:t>商的基本账户汇出。</w:t>
            </w:r>
          </w:p>
        </w:tc>
      </w:tr>
      <w:tr>
        <w:tblPrEx>
          <w:tblCellMar>
            <w:top w:w="0" w:type="dxa"/>
            <w:left w:w="108" w:type="dxa"/>
            <w:bottom w:w="0" w:type="dxa"/>
            <w:right w:w="108" w:type="dxa"/>
          </w:tblCellMar>
        </w:tblPrEx>
        <w:trPr>
          <w:trHeight w:val="672" w:hRule="atLeast"/>
          <w:jc w:val="center"/>
        </w:trPr>
        <w:tc>
          <w:tcPr>
            <w:tcW w:w="892" w:type="dxa"/>
            <w:tcBorders>
              <w:top w:val="single" w:color="auto" w:sz="4" w:space="0"/>
              <w:left w:val="single" w:color="auto" w:sz="8"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41.3</w:t>
            </w:r>
          </w:p>
        </w:tc>
        <w:tc>
          <w:tcPr>
            <w:tcW w:w="2104" w:type="dxa"/>
            <w:tcBorders>
              <w:top w:val="single" w:color="auto" w:sz="4" w:space="0"/>
              <w:left w:val="single" w:color="auto" w:sz="4" w:space="0"/>
              <w:bottom w:val="single" w:color="auto" w:sz="4" w:space="0"/>
              <w:right w:val="single" w:color="auto" w:sz="8" w:space="0"/>
            </w:tcBorders>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质疑</w:t>
            </w:r>
          </w:p>
        </w:tc>
        <w:tc>
          <w:tcPr>
            <w:tcW w:w="6364" w:type="dxa"/>
            <w:tcBorders>
              <w:top w:val="single" w:color="auto" w:sz="4" w:space="0"/>
              <w:left w:val="nil"/>
              <w:bottom w:val="single" w:color="auto" w:sz="4" w:space="0"/>
              <w:right w:val="single" w:color="auto" w:sz="8" w:space="0"/>
            </w:tcBorders>
            <w:vAlign w:val="center"/>
          </w:tcPr>
          <w:p>
            <w:pPr>
              <w:widowControl/>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一、供应商认为自己的权益受到损害的，可以在知道或者应知其权益受到损害之日起七个工作日内，向采购代理机构提出质疑。</w:t>
            </w:r>
          </w:p>
          <w:p>
            <w:pPr>
              <w:widowControl/>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1、接收质疑函的方式：接收加盖单位公章的书面纸质疑函</w:t>
            </w:r>
          </w:p>
          <w:p>
            <w:pPr>
              <w:widowControl/>
              <w:ind w:firstLine="420" w:firstLineChars="20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szCs w:val="21"/>
                <w:highlight w:val="none"/>
              </w:rPr>
              <w:t>联系单位：</w:t>
            </w:r>
            <w:r>
              <w:rPr>
                <w:rFonts w:hint="eastAsia" w:ascii="仿宋_GB2312" w:hAnsi="仿宋_GB2312" w:eastAsia="仿宋_GB2312" w:cs="仿宋_GB2312"/>
                <w:kern w:val="0"/>
                <w:szCs w:val="21"/>
                <w:highlight w:val="none"/>
                <w:u w:val="single"/>
              </w:rPr>
              <w:t xml:space="preserve">丹东鑫泰工程造价咨询有限责任公司  </w:t>
            </w:r>
          </w:p>
          <w:p>
            <w:pPr>
              <w:widowControl/>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 系 人：</w:t>
            </w:r>
            <w:r>
              <w:rPr>
                <w:rFonts w:hint="eastAsia" w:ascii="仿宋_GB2312" w:hAnsi="仿宋_GB2312" w:eastAsia="仿宋_GB2312" w:cs="仿宋_GB2312"/>
                <w:szCs w:val="21"/>
                <w:highlight w:val="none"/>
                <w:u w:val="single"/>
              </w:rPr>
              <w:t>丁婷婷</w:t>
            </w:r>
          </w:p>
          <w:p>
            <w:pPr>
              <w:widowControl/>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联系电话：</w:t>
            </w:r>
            <w:r>
              <w:rPr>
                <w:rFonts w:hint="eastAsia" w:ascii="仿宋_GB2312" w:hAnsi="仿宋_GB2312" w:eastAsia="仿宋_GB2312" w:cs="仿宋_GB2312"/>
                <w:kern w:val="0"/>
                <w:szCs w:val="21"/>
                <w:highlight w:val="none"/>
                <w:u w:val="single"/>
              </w:rPr>
              <w:t xml:space="preserve"> 0415-2883107                    </w:t>
            </w:r>
          </w:p>
          <w:p>
            <w:pPr>
              <w:widowControl/>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通讯地址：</w:t>
            </w:r>
            <w:r>
              <w:rPr>
                <w:rFonts w:hint="eastAsia" w:ascii="仿宋_GB2312" w:hAnsi="仿宋_GB2312" w:eastAsia="仿宋_GB2312" w:cs="仿宋_GB2312"/>
                <w:kern w:val="0"/>
                <w:szCs w:val="21"/>
                <w:highlight w:val="none"/>
                <w:u w:val="single"/>
              </w:rPr>
              <w:t>丹东市元宝区虹桥小区21号楼南侧1-5层</w:t>
            </w:r>
          </w:p>
          <w:p>
            <w:pPr>
              <w:widowControl/>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2、质疑函的内容、格式：应符合《政府采购质疑和投诉办法》相关规定和财政部门制定的《政府采购质疑函范本》格式。</w:t>
            </w:r>
          </w:p>
          <w:p>
            <w:pPr>
              <w:pStyle w:val="9"/>
              <w:rPr>
                <w:rFonts w:hint="eastAsia"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二、供应商应在法定质疑期内一次性针对同一采购程序环节提出质疑，否则针对再次提出质疑将不予接收。（采购程序环节分为：采购公告、采购文件、采购过程、成交结果）</w:t>
            </w:r>
          </w:p>
        </w:tc>
      </w:tr>
      <w:tr>
        <w:tblPrEx>
          <w:tblCellMar>
            <w:top w:w="0" w:type="dxa"/>
            <w:left w:w="108" w:type="dxa"/>
            <w:bottom w:w="0" w:type="dxa"/>
            <w:right w:w="108" w:type="dxa"/>
          </w:tblCellMar>
        </w:tblPrEx>
        <w:trPr>
          <w:trHeight w:val="672" w:hRule="atLeast"/>
          <w:jc w:val="center"/>
        </w:trPr>
        <w:tc>
          <w:tcPr>
            <w:tcW w:w="892" w:type="dxa"/>
            <w:tcBorders>
              <w:top w:val="single" w:color="auto" w:sz="4" w:space="0"/>
              <w:left w:val="single" w:color="auto" w:sz="8" w:space="0"/>
              <w:bottom w:val="single" w:color="auto" w:sz="4" w:space="0"/>
              <w:right w:val="single" w:color="auto" w:sz="4" w:space="0"/>
            </w:tcBorders>
            <w:vAlign w:val="center"/>
          </w:tcPr>
          <w:p>
            <w:pPr>
              <w:widowControl/>
              <w:jc w:val="center"/>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43</w:t>
            </w:r>
          </w:p>
        </w:tc>
        <w:tc>
          <w:tcPr>
            <w:tcW w:w="2104" w:type="dxa"/>
            <w:tcBorders>
              <w:top w:val="single" w:color="auto" w:sz="4" w:space="0"/>
              <w:left w:val="single" w:color="auto" w:sz="4" w:space="0"/>
              <w:bottom w:val="single" w:color="auto" w:sz="4" w:space="0"/>
              <w:right w:val="single" w:color="auto" w:sz="8" w:space="0"/>
            </w:tcBorders>
            <w:vAlign w:val="center"/>
          </w:tcPr>
          <w:p>
            <w:pPr>
              <w:pStyle w:val="37"/>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 w:val="21"/>
                <w:szCs w:val="21"/>
                <w:highlight w:val="none"/>
                <w:lang w:val="en-US" w:eastAsia="zh-CN" w:bidi="ar-SA"/>
              </w:rPr>
              <w:t>中小企业划分标准</w:t>
            </w:r>
          </w:p>
        </w:tc>
        <w:tc>
          <w:tcPr>
            <w:tcW w:w="6364" w:type="dxa"/>
            <w:tcBorders>
              <w:top w:val="single" w:color="auto" w:sz="4" w:space="0"/>
              <w:left w:val="nil"/>
              <w:bottom w:val="single" w:color="auto" w:sz="4" w:space="0"/>
              <w:right w:val="single" w:color="auto" w:sz="8" w:space="0"/>
            </w:tcBorders>
            <w:vAlign w:val="center"/>
          </w:tcPr>
          <w:p>
            <w:pPr>
              <w:pStyle w:val="37"/>
              <w:jc w:val="both"/>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 w:val="21"/>
                <w:szCs w:val="21"/>
                <w:highlight w:val="none"/>
                <w:lang w:val="en-US" w:eastAsia="zh-CN" w:bidi="ar-SA"/>
              </w:rPr>
              <w:t>1、关于中小企业划分标准详见《关于印发中小企业划型标准规定的通知》（工信部联企业〔2011〕300号）；</w:t>
            </w:r>
          </w:p>
          <w:p>
            <w:pPr>
              <w:pStyle w:val="37"/>
              <w:jc w:val="both"/>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 w:val="21"/>
                <w:szCs w:val="21"/>
                <w:highlight w:val="none"/>
                <w:lang w:val="en-US" w:eastAsia="zh-CN" w:bidi="ar-SA"/>
              </w:rPr>
              <w:t>2、本项目所对应的中小企业划分标准所属行业为“建筑业”。</w:t>
            </w:r>
          </w:p>
        </w:tc>
      </w:tr>
    </w:tbl>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t>注：表格中“</w:t>
      </w:r>
      <w:r>
        <w:rPr>
          <w:rFonts w:hint="eastAsia" w:ascii="仿宋_GB2312" w:hAnsi="仿宋_GB2312" w:eastAsia="仿宋_GB2312" w:cs="仿宋_GB2312"/>
          <w:highlight w:val="none"/>
        </w:rPr>
        <w:sym w:font="Wingdings 2" w:char="0052"/>
      </w:r>
      <w:r>
        <w:rPr>
          <w:rFonts w:hint="eastAsia" w:ascii="仿宋_GB2312" w:hAnsi="仿宋_GB2312" w:eastAsia="仿宋_GB2312" w:cs="仿宋_GB2312"/>
          <w:highlight w:val="none"/>
        </w:rPr>
        <w:t xml:space="preserve">”项或“■”项为被选中项。 </w:t>
      </w:r>
    </w:p>
    <w:p>
      <w:pPr>
        <w:pStyle w:val="2"/>
        <w:adjustRightInd w:val="0"/>
        <w:snapToGrid w:val="0"/>
        <w:spacing w:before="0" w:after="0" w:line="360" w:lineRule="auto"/>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br w:type="page"/>
      </w:r>
      <w:bookmarkStart w:id="41" w:name="_Toc533340140"/>
      <w:bookmarkStart w:id="42" w:name="_Toc4485619"/>
      <w:r>
        <w:rPr>
          <w:rFonts w:hint="eastAsia" w:ascii="仿宋_GB2312" w:hAnsi="仿宋_GB2312" w:eastAsia="仿宋_GB2312" w:cs="仿宋_GB2312"/>
          <w:highlight w:val="none"/>
        </w:rPr>
        <w:t>二 总则</w:t>
      </w:r>
      <w:bookmarkEnd w:id="41"/>
      <w:bookmarkEnd w:id="42"/>
    </w:p>
    <w:p>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1.采购人、采购代理机构及供应商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1.1采购人：是指依法进行政府采购的国家机关、事业单位、团体组织。本项目采购人见供应商须知表1.1条。</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1.2采购代理机构：是指集中采购机构或从事采购代理业务的社会中介机构，本项目的采购代理机构见供应商须知表1.2条。</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★1.3供应商：是指向采购人提供货物、工程或者服务的法人、非法人组织或者自然人。本项目的供应商及其响应货物须满足以下条件：</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1.3.1在中华人民共和国境内注册，能够独立承担民事责任，有生产或供应能力的本国供应商。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1.3.2符合《中华人民共和国政府采购法》第二十二条关于供应商条件的规定，遵守本项目采购人本级和上级财政部门关于政府采购的有关规定。</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1.3.3以采购代理机构认可的方式获得了本项目的采购文件。</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1.3.4符合供应商须知表1.3.4条中规定的其他要求。</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1.3.5若供应商须知表1.3.5条中写明专门面向中小企业采购的，如供应商为非中小企业且所响应产品为非中小企业产品，其响应文件将被认定为</w:t>
      </w:r>
      <w:r>
        <w:rPr>
          <w:rFonts w:hint="eastAsia" w:ascii="仿宋_GB2312" w:hAnsi="仿宋_GB2312" w:eastAsia="仿宋_GB2312" w:cs="仿宋_GB2312"/>
          <w:b/>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1.3.6若供应商须知表1.3.6条中写明采购的产品为财政部、发展改革委、生态环境部等部门发布的品目清单中属于实施政府强制采购品目清单范围的节能产品，如供应商所响应产品不具备依据国家确定的认证机构出具的、处于有效期之内的节能产品认证证书，其响应将被认定为无效响应。</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★1.4如供应商须知表1.4条中允许联合体参加采购活动的，对联合体规定如下：</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1.4.1两个以上供应商可以组成一个联合体，以一个供应商的身份参加采购活动。</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1.4.2联合体各方均应符合《中华人民共和国政府采购法》第二十二条规定的条件。</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1.4.3采购人根据采购项目对供应商的特殊要求，联合体中至少应当有一方符合相关规定。</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1.4.4联合体各方应签订共同参加采购活动协议，明确约定联合体各方承担的工作和相应的责任。</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1.4.5大中型企业、其他自然人、法人或者非法人组织与小型、微型企业组成联合体共同参加采购活动，共同参加采购活动协议中应写明小型、微型企业的协议合同金额占到共同参加采购活动协议响应总金额的比例。</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1.4.6联合体中有同类资质的供应商按照联合体分工承担相同工作的，按照较低的资质等级确定联合体的资质等级。</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1.4.7以联合体形式参加政府采购活动的，联合体各方不得再单独参加或者与其他供应商另外组成联合体参加本项目采购活动，否则相关响应文件将被认定为</w:t>
      </w:r>
      <w:r>
        <w:rPr>
          <w:rFonts w:hint="eastAsia" w:ascii="仿宋_GB2312" w:hAnsi="仿宋_GB2312" w:eastAsia="仿宋_GB2312" w:cs="仿宋_GB2312"/>
          <w:b/>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（1）两个以上的自然人、法人或者其他组织可以组成一个联合体，以一个供应商的身份共同参加政府采购活动。</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（2）联合体成交的，联合体各方应共同与采购人签订采购合同，就采购合同约定的事项对采购人承担连带责任。</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1.4.8对联合体参加采购活动的其他资格要求见供应商须知表1.4.8条。</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★1.5单位负责人为同一人或者存在直接控股、管理关系的不同供应商，其相关响应将被认定为</w:t>
      </w:r>
      <w:r>
        <w:rPr>
          <w:rFonts w:hint="eastAsia" w:ascii="仿宋_GB2312" w:hAnsi="仿宋_GB2312" w:eastAsia="仿宋_GB2312" w:cs="仿宋_GB2312"/>
          <w:b/>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★1.6为本项目提供过整体设计、规范编制或者项目管理、监理、检测等服务的供应商，不得再参加本项目上述服务以外的其他采购活动，否则其响应文件将被认定为</w:t>
      </w:r>
      <w:r>
        <w:rPr>
          <w:rFonts w:hint="eastAsia" w:ascii="仿宋_GB2312" w:hAnsi="仿宋_GB2312" w:eastAsia="仿宋_GB2312" w:cs="仿宋_GB2312"/>
          <w:b/>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★1.7供应商在磋商过程中不得向采购人提供、给予任何有价值的物品，影响其正常决策行为。一经发现，其将被认定为</w:t>
      </w:r>
      <w:r>
        <w:rPr>
          <w:rFonts w:hint="eastAsia" w:ascii="仿宋_GB2312" w:hAnsi="仿宋_GB2312" w:eastAsia="仿宋_GB2312" w:cs="仿宋_GB2312"/>
          <w:b/>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2.资金来源</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2.1本项目的采购人已获得足以支付本次磋商后所签订的合同项下的资金（包括财政性资金和本项目采购中无法与财政性资金分割的非财政性资金）。</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★2.2项目预算金额和分项或分包最高限价见供应商须知表2.2条。</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★2.3供应商报价超过采购文件规定的预算金额或者分项、分包最高限价的，其响应文件将被认定为</w:t>
      </w:r>
      <w:r>
        <w:rPr>
          <w:rFonts w:hint="eastAsia" w:ascii="仿宋_GB2312" w:hAnsi="仿宋_GB2312" w:eastAsia="仿宋_GB2312" w:cs="仿宋_GB2312"/>
          <w:b/>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b/>
          <w:szCs w:val="21"/>
          <w:highlight w:val="none"/>
        </w:rPr>
      </w:pPr>
      <w:bookmarkStart w:id="43" w:name="_Toc266951048"/>
      <w:r>
        <w:rPr>
          <w:rFonts w:hint="eastAsia" w:ascii="仿宋_GB2312" w:hAnsi="仿宋_GB2312" w:eastAsia="仿宋_GB2312" w:cs="仿宋_GB2312"/>
          <w:b/>
          <w:szCs w:val="21"/>
          <w:highlight w:val="none"/>
        </w:rPr>
        <w:t>3.语言文字</w:t>
      </w:r>
      <w:bookmarkEnd w:id="43"/>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除专用术语外，与磋商有关的语言均使用中文。必要时专用术语应附有中文注释。对不同文字文本响应文件的解释发生异议的，以中文文本为准。</w:t>
      </w:r>
    </w:p>
    <w:p>
      <w:pPr>
        <w:adjustRightInd w:val="0"/>
        <w:snapToGrid w:val="0"/>
        <w:spacing w:line="360" w:lineRule="auto"/>
        <w:rPr>
          <w:rFonts w:hint="eastAsia" w:ascii="仿宋_GB2312" w:hAnsi="仿宋_GB2312" w:eastAsia="仿宋_GB2312" w:cs="仿宋_GB2312"/>
          <w:b/>
          <w:szCs w:val="21"/>
          <w:highlight w:val="none"/>
        </w:rPr>
      </w:pPr>
      <w:bookmarkStart w:id="44" w:name="_1.8_计量单位"/>
      <w:bookmarkEnd w:id="44"/>
      <w:bookmarkStart w:id="45" w:name="_Toc266951049"/>
      <w:r>
        <w:rPr>
          <w:rFonts w:hint="eastAsia" w:ascii="仿宋_GB2312" w:hAnsi="仿宋_GB2312" w:eastAsia="仿宋_GB2312" w:cs="仿宋_GB2312"/>
          <w:b/>
          <w:szCs w:val="21"/>
          <w:highlight w:val="none"/>
        </w:rPr>
        <w:t>★4.计量单位</w:t>
      </w:r>
      <w:bookmarkEnd w:id="45"/>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除供应商须知表4条中有特殊要求外，响应文件中所使用的计量单位，应采用中华人民共和国法定计量单位。</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★5.磋商费用</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不论磋商的结果如何，供应商应承担所有与本次政府采购活动有关的费用。</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★6.现场考察、磋商前答疑会</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6.1</w:t>
      </w:r>
      <w:r>
        <w:rPr>
          <w:rFonts w:hint="eastAsia" w:ascii="仿宋_GB2312" w:hAnsi="仿宋_GB2312" w:eastAsia="仿宋_GB2312" w:cs="仿宋_GB2312"/>
          <w:highlight w:val="none"/>
        </w:rPr>
        <w:fldChar w:fldCharType="begin"/>
      </w:r>
      <w:r>
        <w:rPr>
          <w:rFonts w:hint="eastAsia" w:ascii="仿宋_GB2312" w:hAnsi="仿宋_GB2312" w:eastAsia="仿宋_GB2312" w:cs="仿宋_GB2312"/>
          <w:highlight w:val="none"/>
        </w:rPr>
        <w:instrText xml:space="preserve"> HYPERLINK \l "_踏勘现场" </w:instrText>
      </w:r>
      <w:r>
        <w:rPr>
          <w:rFonts w:hint="eastAsia" w:ascii="仿宋_GB2312" w:hAnsi="仿宋_GB2312" w:eastAsia="仿宋_GB2312" w:cs="仿宋_GB2312"/>
          <w:highlight w:val="none"/>
        </w:rPr>
        <w:fldChar w:fldCharType="separate"/>
      </w:r>
      <w:r>
        <w:rPr>
          <w:rFonts w:hint="eastAsia" w:ascii="仿宋_GB2312" w:hAnsi="仿宋_GB2312" w:eastAsia="仿宋_GB2312" w:cs="仿宋_GB2312"/>
          <w:szCs w:val="21"/>
          <w:highlight w:val="none"/>
        </w:rPr>
        <w:t>供应商须知表</w:t>
      </w:r>
      <w:r>
        <w:rPr>
          <w:rFonts w:hint="eastAsia" w:ascii="仿宋_GB2312" w:hAnsi="仿宋_GB2312" w:eastAsia="仿宋_GB2312" w:cs="仿宋_GB2312"/>
          <w:szCs w:val="21"/>
          <w:highlight w:val="none"/>
        </w:rPr>
        <w:fldChar w:fldCharType="end"/>
      </w:r>
      <w:r>
        <w:rPr>
          <w:rFonts w:hint="eastAsia" w:ascii="仿宋_GB2312" w:hAnsi="仿宋_GB2312" w:eastAsia="仿宋_GB2312" w:cs="仿宋_GB2312"/>
          <w:szCs w:val="21"/>
          <w:highlight w:val="none"/>
        </w:rPr>
        <w:t>6.1条规定组织现场考察或磋商前答疑会的，采购人按</w:t>
      </w:r>
      <w:r>
        <w:rPr>
          <w:rFonts w:hint="eastAsia" w:ascii="仿宋_GB2312" w:hAnsi="仿宋_GB2312" w:eastAsia="仿宋_GB2312" w:cs="仿宋_GB2312"/>
          <w:highlight w:val="none"/>
        </w:rPr>
        <w:fldChar w:fldCharType="begin"/>
      </w:r>
      <w:r>
        <w:rPr>
          <w:rFonts w:hint="eastAsia" w:ascii="仿宋_GB2312" w:hAnsi="仿宋_GB2312" w:eastAsia="仿宋_GB2312" w:cs="仿宋_GB2312"/>
          <w:highlight w:val="none"/>
        </w:rPr>
        <w:instrText xml:space="preserve"> HYPERLINK \l "_踏勘现场" </w:instrText>
      </w:r>
      <w:r>
        <w:rPr>
          <w:rFonts w:hint="eastAsia" w:ascii="仿宋_GB2312" w:hAnsi="仿宋_GB2312" w:eastAsia="仿宋_GB2312" w:cs="仿宋_GB2312"/>
          <w:highlight w:val="none"/>
        </w:rPr>
        <w:fldChar w:fldCharType="separate"/>
      </w:r>
      <w:r>
        <w:rPr>
          <w:rFonts w:hint="eastAsia" w:ascii="仿宋_GB2312" w:hAnsi="仿宋_GB2312" w:eastAsia="仿宋_GB2312" w:cs="仿宋_GB2312"/>
          <w:szCs w:val="21"/>
          <w:highlight w:val="none"/>
        </w:rPr>
        <w:t>供应商须知表</w:t>
      </w:r>
      <w:r>
        <w:rPr>
          <w:rFonts w:hint="eastAsia" w:ascii="仿宋_GB2312" w:hAnsi="仿宋_GB2312" w:eastAsia="仿宋_GB2312" w:cs="仿宋_GB2312"/>
          <w:szCs w:val="21"/>
          <w:highlight w:val="none"/>
        </w:rPr>
        <w:fldChar w:fldCharType="end"/>
      </w:r>
      <w:r>
        <w:rPr>
          <w:rFonts w:hint="eastAsia" w:ascii="仿宋_GB2312" w:hAnsi="仿宋_GB2312" w:eastAsia="仿宋_GB2312" w:cs="仿宋_GB2312"/>
          <w:szCs w:val="21"/>
          <w:highlight w:val="none"/>
        </w:rPr>
        <w:t>6.1条规定的时间、地点组织供应商现场考察或磋商前答疑会，或者在领取采购文件期限截止后以书面形式通知所有获取采购文件的潜在供应商。</w:t>
      </w:r>
    </w:p>
    <w:p>
      <w:pPr>
        <w:adjustRightInd w:val="0"/>
        <w:snapToGrid w:val="0"/>
        <w:spacing w:line="360" w:lineRule="auto"/>
        <w:rPr>
          <w:rFonts w:hint="eastAsia" w:ascii="仿宋_GB2312" w:hAnsi="仿宋_GB2312" w:eastAsia="仿宋_GB2312" w:cs="仿宋_GB2312"/>
          <w:szCs w:val="21"/>
          <w:highlight w:val="none"/>
        </w:rPr>
      </w:pPr>
      <w:bookmarkStart w:id="46" w:name="_1.10_投标预备会"/>
      <w:bookmarkEnd w:id="46"/>
      <w:r>
        <w:rPr>
          <w:rFonts w:hint="eastAsia" w:ascii="仿宋_GB2312" w:hAnsi="仿宋_GB2312" w:eastAsia="仿宋_GB2312" w:cs="仿宋_GB2312"/>
          <w:szCs w:val="21"/>
          <w:highlight w:val="none"/>
        </w:rPr>
        <w:t>6.2由于未参加现场考察或磋商前答疑而导致对项目实际情况不了解，影响技术文件编制、</w:t>
      </w:r>
      <w:r>
        <w:rPr>
          <w:rFonts w:hint="eastAsia" w:ascii="仿宋_GB2312" w:hAnsi="仿宋_GB2312" w:eastAsia="仿宋_GB2312" w:cs="仿宋_GB2312"/>
          <w:highlight w:val="none"/>
        </w:rPr>
        <w:fldChar w:fldCharType="begin"/>
      </w:r>
      <w:r>
        <w:rPr>
          <w:rFonts w:hint="eastAsia" w:ascii="仿宋_GB2312" w:hAnsi="仿宋_GB2312" w:eastAsia="仿宋_GB2312" w:cs="仿宋_GB2312"/>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_GB2312" w:hAnsi="仿宋_GB2312" w:eastAsia="仿宋_GB2312" w:cs="仿宋_GB2312"/>
          <w:highlight w:val="none"/>
        </w:rPr>
        <w:fldChar w:fldCharType="separate"/>
      </w:r>
      <w:r>
        <w:rPr>
          <w:rFonts w:hint="eastAsia" w:ascii="仿宋_GB2312" w:hAnsi="仿宋_GB2312" w:eastAsia="仿宋_GB2312" w:cs="仿宋_GB2312"/>
          <w:szCs w:val="21"/>
          <w:highlight w:val="none"/>
        </w:rPr>
        <w:t>响应报价</w:t>
      </w:r>
      <w:r>
        <w:rPr>
          <w:rFonts w:hint="eastAsia" w:ascii="仿宋_GB2312" w:hAnsi="仿宋_GB2312" w:eastAsia="仿宋_GB2312" w:cs="仿宋_GB2312"/>
          <w:szCs w:val="21"/>
          <w:highlight w:val="none"/>
        </w:rPr>
        <w:fldChar w:fldCharType="end"/>
      </w:r>
      <w:r>
        <w:rPr>
          <w:rFonts w:hint="eastAsia" w:ascii="仿宋_GB2312" w:hAnsi="仿宋_GB2312" w:eastAsia="仿宋_GB2312" w:cs="仿宋_GB2312"/>
          <w:szCs w:val="21"/>
          <w:highlight w:val="none"/>
        </w:rPr>
        <w:t>准确性、综合因素响应不全面等问题的，由供应商自行承担相应后果。</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6.3现场考察及磋商前答疑会所发生的费用及一切责任由供应商自行承担。</w:t>
      </w:r>
    </w:p>
    <w:p>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7.适用法律</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的采购人、采购代理机构、供应商、磋商小组的相关行为均受《中华人民共和国政府采购法》、《中华人民共和国政府采购法实施条例》、《政府采购竞争性磋商采购方式暂行办法》及本项目本级和上级财政部门关于政府采购有关规定的约束，其权利受到上述法律法规的保护。</w:t>
      </w:r>
    </w:p>
    <w:p>
      <w:pPr>
        <w:pStyle w:val="2"/>
        <w:adjustRightInd w:val="0"/>
        <w:snapToGrid w:val="0"/>
        <w:spacing w:beforeLines="100" w:afterLines="50" w:line="360" w:lineRule="auto"/>
        <w:jc w:val="center"/>
        <w:rPr>
          <w:rFonts w:hint="eastAsia" w:ascii="仿宋_GB2312" w:hAnsi="仿宋_GB2312" w:eastAsia="仿宋_GB2312" w:cs="仿宋_GB2312"/>
          <w:highlight w:val="none"/>
        </w:rPr>
      </w:pPr>
      <w:bookmarkStart w:id="47" w:name="_Toc4485620"/>
      <w:bookmarkStart w:id="48" w:name="_Toc533340141"/>
      <w:r>
        <w:rPr>
          <w:rFonts w:hint="eastAsia" w:ascii="仿宋_GB2312" w:hAnsi="仿宋_GB2312" w:eastAsia="仿宋_GB2312" w:cs="仿宋_GB2312"/>
          <w:highlight w:val="none"/>
        </w:rPr>
        <w:t xml:space="preserve">三 </w:t>
      </w:r>
      <w:bookmarkEnd w:id="47"/>
      <w:bookmarkEnd w:id="48"/>
      <w:r>
        <w:rPr>
          <w:rFonts w:hint="eastAsia" w:ascii="仿宋_GB2312" w:hAnsi="仿宋_GB2312" w:eastAsia="仿宋_GB2312" w:cs="仿宋_GB2312"/>
          <w:highlight w:val="none"/>
        </w:rPr>
        <w:t>采购文件</w:t>
      </w:r>
    </w:p>
    <w:p>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8.采购文件构成</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8.1采购文件共七章，内容如下:</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采购公告</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第一章 供应商须知</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第二章 响应文件内容及格式</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第三章 工程需求</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第四章 磋商内容、磋商过程中可能实质性变动的内容</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第五章 评审办法</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第六章 合同条款</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第七章 工程量清单</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★8.2供应商应认真阅读采购文件所有的事项、格式、条款等。如供应商没有按照采购文件要求提交资料，或者响应文件没有对采购文件做出实质性响应，可能导致其响应文件被认定为</w:t>
      </w:r>
      <w:r>
        <w:rPr>
          <w:rFonts w:hint="eastAsia" w:ascii="仿宋_GB2312" w:hAnsi="仿宋_GB2312" w:eastAsia="仿宋_GB2312" w:cs="仿宋_GB2312"/>
          <w:b/>
          <w:bCs/>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9.采购文件的澄清与修改</w:t>
      </w:r>
    </w:p>
    <w:p>
      <w:pPr>
        <w:adjustRightInd w:val="0"/>
        <w:snapToGrid w:val="0"/>
        <w:spacing w:line="360" w:lineRule="auto"/>
        <w:rPr>
          <w:rFonts w:hint="eastAsia" w:ascii="仿宋_GB2312" w:hAnsi="仿宋_GB2312" w:eastAsia="仿宋_GB2312" w:cs="仿宋_GB2312"/>
          <w:szCs w:val="21"/>
          <w:highlight w:val="none"/>
          <w:shd w:val="clear" w:color="auto" w:fill="FFFFFF"/>
        </w:rPr>
      </w:pPr>
      <w:r>
        <w:rPr>
          <w:rFonts w:hint="eastAsia" w:ascii="仿宋_GB2312" w:hAnsi="仿宋_GB2312" w:eastAsia="仿宋_GB2312" w:cs="仿宋_GB2312"/>
          <w:szCs w:val="21"/>
          <w:highlight w:val="none"/>
        </w:rPr>
        <w:t>9.1</w:t>
      </w:r>
      <w:r>
        <w:rPr>
          <w:rFonts w:hint="eastAsia" w:ascii="仿宋_GB2312" w:hAnsi="仿宋_GB2312" w:eastAsia="仿宋_GB2312" w:cs="仿宋_GB2312"/>
          <w:szCs w:val="21"/>
          <w:highlight w:val="none"/>
          <w:shd w:val="clear" w:color="auto" w:fill="FFFFFF"/>
        </w:rPr>
        <w:t>采购人、采购代理机构可以对已发出的采购文件进行必要的澄清或者修改。澄清或者修改的内容可能影响响应文件编制的，应当在递交首次响应文件截止时间至少5日前，</w:t>
      </w:r>
      <w:r>
        <w:rPr>
          <w:rFonts w:hint="eastAsia" w:ascii="仿宋_GB2312" w:hAnsi="仿宋_GB2312" w:eastAsia="仿宋_GB2312" w:cs="仿宋_GB2312"/>
          <w:szCs w:val="21"/>
          <w:highlight w:val="none"/>
        </w:rPr>
        <w:t>在原公告发布媒体上发布变更公告</w:t>
      </w:r>
      <w:r>
        <w:rPr>
          <w:rFonts w:hint="eastAsia" w:ascii="仿宋_GB2312" w:hAnsi="仿宋_GB2312" w:eastAsia="仿宋_GB2312" w:cs="仿宋_GB2312"/>
          <w:szCs w:val="21"/>
          <w:highlight w:val="none"/>
          <w:shd w:val="clear" w:color="auto" w:fill="FFFFFF"/>
        </w:rPr>
        <w:t>，以书面形式通知所有接收采购文件的供应商，不足5日的，应当顺延首次递交响应文件截止时间。</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9.2澄清或者修改的内容为采购文件的组成部分，对所有采购文件的收受人具有约束力。供应商在收到上述通知后，应及时向采购代理机构回函确认。</w:t>
      </w:r>
    </w:p>
    <w:p>
      <w:pPr>
        <w:pStyle w:val="2"/>
        <w:adjustRightInd w:val="0"/>
        <w:snapToGrid w:val="0"/>
        <w:spacing w:beforeLines="100" w:afterLines="50" w:line="360" w:lineRule="auto"/>
        <w:jc w:val="center"/>
        <w:rPr>
          <w:rFonts w:hint="eastAsia" w:ascii="仿宋_GB2312" w:hAnsi="仿宋_GB2312" w:eastAsia="仿宋_GB2312" w:cs="仿宋_GB2312"/>
          <w:highlight w:val="none"/>
        </w:rPr>
      </w:pPr>
      <w:bookmarkStart w:id="49" w:name="_Toc4485621"/>
      <w:bookmarkStart w:id="50" w:name="_Toc533340142"/>
      <w:r>
        <w:rPr>
          <w:rFonts w:hint="eastAsia" w:ascii="仿宋_GB2312" w:hAnsi="仿宋_GB2312" w:eastAsia="仿宋_GB2312" w:cs="仿宋_GB2312"/>
          <w:highlight w:val="none"/>
        </w:rPr>
        <w:t>四 响应文件的编制</w:t>
      </w:r>
      <w:bookmarkEnd w:id="49"/>
      <w:bookmarkEnd w:id="50"/>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bCs/>
          <w:szCs w:val="21"/>
          <w:highlight w:val="none"/>
        </w:rPr>
        <w:t>10.</w:t>
      </w:r>
      <w:r>
        <w:rPr>
          <w:rFonts w:hint="eastAsia" w:ascii="仿宋_GB2312" w:hAnsi="仿宋_GB2312" w:eastAsia="仿宋_GB2312" w:cs="仿宋_GB2312"/>
          <w:b/>
          <w:szCs w:val="21"/>
          <w:highlight w:val="none"/>
        </w:rPr>
        <w:t>响应范围</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10.1项目有分包的，供应商可对采购文件其中某一个分包或几个分包进行响应。</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★10.2供应商应当对所响应分包采购文件中“工程需求”所列的采购范围内所有内容进行响应，如仅响应分包中某一部分内容，其该包响应文件将被认定为</w:t>
      </w:r>
      <w:r>
        <w:rPr>
          <w:rFonts w:hint="eastAsia" w:ascii="仿宋_GB2312" w:hAnsi="仿宋_GB2312" w:eastAsia="仿宋_GB2312" w:cs="仿宋_GB2312"/>
          <w:b/>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Style w:val="34"/>
          <w:rFonts w:hint="eastAsia" w:ascii="仿宋_GB2312" w:hAnsi="仿宋_GB2312" w:eastAsia="仿宋_GB2312" w:cs="仿宋_GB2312"/>
          <w:highlight w:val="none"/>
        </w:rPr>
      </w:pPr>
      <w:r>
        <w:rPr>
          <w:rFonts w:hint="eastAsia" w:ascii="仿宋_GB2312" w:hAnsi="仿宋_GB2312" w:eastAsia="仿宋_GB2312" w:cs="仿宋_GB2312"/>
          <w:szCs w:val="21"/>
          <w:highlight w:val="none"/>
        </w:rPr>
        <w:t>10.3无论采购文件第三章工程需求中是否要求，供应商所响应的工程内容均应符合国家强制性标准。</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11.响应文件构成</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★11.1供应商应完整地按采购文件提供的响应文件格式及要求编写响应文件。响应文件应包括资格证明文件、符合性证明文件、其它材料三部分。具体详见第二章 响应文件内容及格式。</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11.2供应商应按采购文件提供的格式编写响应文件。采购文件提供标准格式的按标准格式填列，未提供标准格式的可自行拟定。</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11.3样品或演示要求详见供应商须知表11.3条。</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★12.响应报价</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12.1所有响应均按供应商须知表12.1条中要求货币进行报价。供应商的响应报价应遵守《中华人民共和国价格法》。同时，根据《中华人民共和国政府采购法》第三条的规定，为保证公平竞争，如有工程主体部分的赠与行为，其响应文件将被认定为</w:t>
      </w:r>
      <w:r>
        <w:rPr>
          <w:rFonts w:hint="eastAsia" w:ascii="仿宋_GB2312" w:hAnsi="仿宋_GB2312" w:eastAsia="仿宋_GB2312" w:cs="仿宋_GB2312"/>
          <w:b/>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12.2报价应为响应采购文件“工程需求”中所应包含项目的一切费用。</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12.3供应商应按采购文件要求在相关表格中标明响应内容的单价和总价，并由法定代表人（非法人组织的负责人）或其委托代理人签署。</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12.4供应商提交的最后报价,在合同履行过程中是固定不变的，不得以任何理由予以变更。任何包含价格调整要求的响应，其响应文件将被认定为</w:t>
      </w:r>
      <w:r>
        <w:rPr>
          <w:rFonts w:hint="eastAsia" w:ascii="仿宋_GB2312" w:hAnsi="仿宋_GB2312" w:eastAsia="仿宋_GB2312" w:cs="仿宋_GB2312"/>
          <w:b/>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12.5每一项响应内容只能有一个响应报价。采购人不接受具有附加条件的报价。</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12.6除非采购文件另有规定，报价原则上精确到小数点后两位。</w:t>
      </w:r>
    </w:p>
    <w:p>
      <w:pPr>
        <w:adjustRightInd w:val="0"/>
        <w:snapToGrid w:val="0"/>
        <w:spacing w:line="360" w:lineRule="auto"/>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★13.磋商保证金</w:t>
      </w:r>
    </w:p>
    <w:p>
      <w:pPr>
        <w:adjustRightInd w:val="0"/>
        <w:snapToGrid w:val="0"/>
        <w:spacing w:line="360" w:lineRule="auto"/>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13.1供应商应提交供应商须知表13.1条中规定的磋商保证金，并作为其响应文件的一部分。</w:t>
      </w:r>
    </w:p>
    <w:p>
      <w:pPr>
        <w:adjustRightInd w:val="0"/>
        <w:snapToGrid w:val="0"/>
        <w:spacing w:line="360" w:lineRule="auto"/>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13.2磋商保证金缴纳人、采购文件领取人、提交响应文件登记人和供应商必须为同一组织机构或联合体内不同成员单位，否则将视同未按采购文件规定交纳保证金。</w:t>
      </w:r>
    </w:p>
    <w:p>
      <w:pPr>
        <w:adjustRightInd w:val="0"/>
        <w:snapToGrid w:val="0"/>
        <w:spacing w:line="360" w:lineRule="auto"/>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13.3供应商存在下列情形的，磋商保证金不予退还:</w:t>
      </w:r>
    </w:p>
    <w:p>
      <w:pPr>
        <w:adjustRightInd w:val="0"/>
        <w:snapToGrid w:val="0"/>
        <w:spacing w:line="360" w:lineRule="auto"/>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（1）供应商在提交响应文件截止时间后撤回响应文件的；</w:t>
      </w:r>
    </w:p>
    <w:p>
      <w:pPr>
        <w:adjustRightInd w:val="0"/>
        <w:snapToGrid w:val="0"/>
        <w:spacing w:line="360" w:lineRule="auto"/>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（2）供应商在响应文件中提供虚假材料的；</w:t>
      </w:r>
    </w:p>
    <w:p>
      <w:pPr>
        <w:adjustRightInd w:val="0"/>
        <w:snapToGrid w:val="0"/>
        <w:spacing w:line="360" w:lineRule="auto"/>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（3）成交后除因不可抗力或者采购文件认可的情形以外，不按本须知第36条的规定与采购人签订合同的；</w:t>
      </w:r>
    </w:p>
    <w:p>
      <w:pPr>
        <w:adjustRightInd w:val="0"/>
        <w:snapToGrid w:val="0"/>
        <w:spacing w:line="360" w:lineRule="auto"/>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（4）成交后不按本须知第37条的规定提交履约保证金的;</w:t>
      </w:r>
    </w:p>
    <w:p>
      <w:pPr>
        <w:adjustRightInd w:val="0"/>
        <w:snapToGrid w:val="0"/>
        <w:spacing w:line="360" w:lineRule="auto"/>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（5）成交后不按本须知第38条的规定缴纳采购代理服务费的;</w:t>
      </w:r>
    </w:p>
    <w:p>
      <w:pPr>
        <w:adjustRightInd w:val="0"/>
        <w:snapToGrid w:val="0"/>
        <w:spacing w:line="360" w:lineRule="auto"/>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（6）采购文件规定的其他保证金不予退还情形或存在其他违法违规行为的。</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13.4联合体参加采购活动的，可以由联合体中的一方或者共同提交磋商保证金。以一方名义提交磋商保证金的，对联合体各方均具有约束力。</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13.5磋商保证金的退还</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13.5.1成交供应商应在与采购人签订合同之日起5个工作日内，及时联系保证金收受机构办理磋商保证金退还手续。</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13.5.2未成交供应商的保证金将在成交通知书发出之日暨成交结果公告公布之日起5个工作日内无息退还。供应商应及时联系保证金收受机构办理退还磋商保证金手续。</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13.5.3供应商在递交响应文件截止时间前撤回已提交的响应文件的，供应商应自采购人或者采购代理机构收到供应商书面撤回通知之日起５个工作日内，及时联系保证金收受机构办理磋商保证金退还手续。</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13.5.4 政府采购担保函不予退回。</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13.6 因供应商自身原因导致无法及时退还的，采购人或采购代理机构将不承担相应责任。</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★14.证明响应标的的合格性和符合采购文件规定的技术文件</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14.1供应商应提交证明文件，证明其响应内容符合采购文件规定。该证明文件是响应文件的一部分。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14.2上款所述的证明文件，可以是文字资料、图纸和数据。</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★15.响应有效期</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15.1响应应在供应商须知表15.1条中规定的响应有效期内保持有效。响应有效期不满足要求的响应，其响应文件将被认定为</w:t>
      </w:r>
      <w:r>
        <w:rPr>
          <w:rFonts w:hint="eastAsia" w:ascii="仿宋_GB2312" w:hAnsi="仿宋_GB2312" w:eastAsia="仿宋_GB2312" w:cs="仿宋_GB2312"/>
          <w:b/>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15.2在特殊情况下，采购人或采购代理机构可根据实际情况，在原响应有效期截止之前，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pPr>
        <w:adjustRightInd w:val="0"/>
        <w:snapToGrid w:val="0"/>
        <w:spacing w:line="360" w:lineRule="auto"/>
        <w:rPr>
          <w:rFonts w:hint="eastAsia" w:ascii="仿宋_GB2312" w:hAnsi="仿宋_GB2312" w:eastAsia="仿宋_GB2312" w:cs="仿宋_GB2312"/>
          <w:b/>
          <w:szCs w:val="21"/>
          <w:highlight w:val="none"/>
        </w:rPr>
      </w:pPr>
      <w:bookmarkStart w:id="51" w:name="_Toc4485622"/>
      <w:bookmarkStart w:id="52" w:name="_Toc533340143"/>
      <w:r>
        <w:rPr>
          <w:rFonts w:hint="eastAsia" w:ascii="仿宋_GB2312" w:hAnsi="仿宋_GB2312" w:eastAsia="仿宋_GB2312" w:cs="仿宋_GB2312"/>
          <w:b/>
          <w:szCs w:val="21"/>
          <w:highlight w:val="none"/>
        </w:rPr>
        <w:t>16.响应文件的签署及规定</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16.1供应商应按供应商须知表16.1款中的规定，准备和递交响应文件正本、副本和电子文档。</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★16.2每份响应文件封皮须清楚地标明“正本”或“副本”。若正本和副本不符，以正本为准。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16.3响应文件的正本需打印或用不褪色墨水书写，并由供应商的法定代表人（非法人组织负责人）或经其正式委托代理人按采购文件规定在响应文件上签字或盖章，并加盖单位印章。委托代理人须持有书面的“法定代表人（非法人组织负责人）授权委托书”，并将其附在响应文件中。如对响应文件进行了修改，则应由供应商的法定代表人（非法人组织负责人）或其委托代理人在每一修改处签字。响应文件的副本可采用正本的复印件。</w:t>
      </w:r>
    </w:p>
    <w:p>
      <w:pPr>
        <w:pStyle w:val="2"/>
        <w:adjustRightInd w:val="0"/>
        <w:snapToGrid w:val="0"/>
        <w:spacing w:beforeLines="100" w:afterLines="50" w:line="360" w:lineRule="auto"/>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五 响应文件的递交</w:t>
      </w:r>
      <w:bookmarkEnd w:id="51"/>
      <w:bookmarkEnd w:id="52"/>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★17.响应文件的密封和标记</w:t>
      </w:r>
    </w:p>
    <w:p>
      <w:pPr>
        <w:adjustRightInd w:val="0"/>
        <w:snapToGrid w:val="0"/>
        <w:spacing w:line="360" w:lineRule="auto"/>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17.1供应商应将响应文件密封，将正本和所有的副本、电子文档密封，并进行包封。</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17.2所有包装封皮上均应：</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（1）注明项目名称、项目编号、包号、供应商名称。</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（2）加盖供应商单位公章。</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17.3如果供应商未按上述要求密封，其响应文件将被</w:t>
      </w:r>
      <w:r>
        <w:rPr>
          <w:rFonts w:hint="eastAsia" w:ascii="仿宋_GB2312" w:hAnsi="仿宋_GB2312" w:eastAsia="仿宋_GB2312" w:cs="仿宋_GB2312"/>
          <w:b/>
          <w:szCs w:val="21"/>
          <w:highlight w:val="none"/>
        </w:rPr>
        <w:t>拒绝接收</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★18.递交响应文件截止</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18.1供应商应在供应商须知表18.1条中规定的截止时间前，将响应文件递交到供应商须知表18.1条中规定的地点。</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18.2采购人和采购代理机构有权按本须知的规定，延迟递交响应文件截止时间。在此情况下，采购人、采购代理机构和供应商受递交响应文件截止时间制约的所有权利和义务均应延长至新的截止时间。</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★19.响应文件的接收、修改与撤回</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19.1在递交响应文件截止时间后送达的响应文件,采购人和采购代理机构将</w:t>
      </w:r>
      <w:r>
        <w:rPr>
          <w:rFonts w:hint="eastAsia" w:ascii="仿宋_GB2312" w:hAnsi="仿宋_GB2312" w:eastAsia="仿宋_GB2312" w:cs="仿宋_GB2312"/>
          <w:b/>
          <w:szCs w:val="21"/>
          <w:highlight w:val="none"/>
        </w:rPr>
        <w:t>拒绝接收。</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19.2递交响应文件以后，如果供应商要进行修改或撤回响应文件，须提出书面申请并在提交响应文件截止时间前送达磋商地点，供应商对响应文件的修改或撤回通知应按本须知规定编制、密封、标记。采购人和采购代理机构将予以接收，并视为响应文件的组成部分，否则，修改后的响应文件或撤回行为无效。</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19.3在提交响应文件截止时间之后，除需提交最后报价外，供应商不得对其响应文件做任何修改；</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19.4采购人和采购代理机构对所接收并进行磋商的响应文件概不退回。</w:t>
      </w:r>
    </w:p>
    <w:p>
      <w:pPr>
        <w:pStyle w:val="2"/>
        <w:adjustRightInd w:val="0"/>
        <w:snapToGrid w:val="0"/>
        <w:spacing w:beforeLines="100" w:after="0" w:line="360" w:lineRule="auto"/>
        <w:jc w:val="center"/>
        <w:rPr>
          <w:rFonts w:hint="eastAsia" w:ascii="仿宋_GB2312" w:hAnsi="仿宋_GB2312" w:eastAsia="仿宋_GB2312" w:cs="仿宋_GB2312"/>
          <w:highlight w:val="none"/>
        </w:rPr>
      </w:pPr>
      <w:bookmarkStart w:id="53" w:name="_Toc533340144"/>
      <w:bookmarkStart w:id="54" w:name="_Toc4485623"/>
      <w:r>
        <w:rPr>
          <w:rFonts w:hint="eastAsia" w:ascii="仿宋_GB2312" w:hAnsi="仿宋_GB2312" w:eastAsia="仿宋_GB2312" w:cs="仿宋_GB2312"/>
          <w:highlight w:val="none"/>
        </w:rPr>
        <w:t>六 磋商及评审</w:t>
      </w:r>
      <w:bookmarkEnd w:id="53"/>
      <w:bookmarkEnd w:id="54"/>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★20.磋商会议</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20.1采购人和采购代理机构将按供应商须知表20.1条中规定的时间和地点组织磋商会议并邀请所有供应商代表参加。</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供应商不足3家的，不得继续磋商。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20.2由供应商或其推选的代表检查响应文件的密封情况，确认无误后进行记录。</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20.3供应商代表对磋商会议过程有疑义，以及认为采购人、采购代理机构相关工作人员有需要回避的情形的，应当场提出询问或者回避申请。</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★21.组建磋商小组</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21.1按照《政府采购竞争性磋商采购方式暂行办法》有关规定依法组建磋商小组，负责本项目评审工作。</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highlight w:val="none"/>
        </w:rPr>
        <w:t>21.2磋商小组由采购人代表和评审专家共3人以上单数组成。达到公开招标数额的项目，磋商小组应该由5人以上单数组成。</w:t>
      </w:r>
      <w:r>
        <w:rPr>
          <w:rFonts w:hint="eastAsia" w:ascii="仿宋_GB2312" w:hAnsi="仿宋_GB2312" w:eastAsia="仿宋_GB2312" w:cs="仿宋_GB2312"/>
          <w:szCs w:val="21"/>
          <w:highlight w:val="none"/>
        </w:rPr>
        <w:t>本项目磋商小组组成详见供应商须知表21.2条。</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★22.资格审查</w:t>
      </w:r>
    </w:p>
    <w:p>
      <w:pPr>
        <w:adjustRightInd w:val="0"/>
        <w:snapToGrid w:val="0"/>
        <w:spacing w:line="360" w:lineRule="auto"/>
        <w:rPr>
          <w:rFonts w:hint="eastAsia" w:ascii="仿宋_GB2312" w:hAnsi="仿宋_GB2312" w:eastAsia="仿宋_GB2312" w:cs="仿宋_GB2312"/>
          <w:szCs w:val="21"/>
          <w:highlight w:val="none"/>
          <w:shd w:val="clear" w:color="auto" w:fill="FFFFFF"/>
        </w:rPr>
      </w:pPr>
      <w:r>
        <w:rPr>
          <w:rFonts w:hint="eastAsia" w:ascii="仿宋_GB2312" w:hAnsi="仿宋_GB2312" w:eastAsia="仿宋_GB2312" w:cs="仿宋_GB2312"/>
          <w:highlight w:val="none"/>
        </w:rPr>
        <w:t>22.1磋商小组依据法律法规和采购文件中规定的内容，对供应商的资格（提交的资格证明材料）进行审查。未通过资格审查的供应商不能进入下一阶段评审；通过资格审查的供应商不足3家的</w:t>
      </w:r>
      <w:r>
        <w:rPr>
          <w:rFonts w:hint="eastAsia" w:ascii="仿宋_GB2312" w:hAnsi="仿宋_GB2312" w:eastAsia="仿宋_GB2312" w:cs="仿宋_GB2312"/>
          <w:szCs w:val="21"/>
          <w:highlight w:val="none"/>
          <w:shd w:val="clear" w:color="auto" w:fill="FFFFFF"/>
        </w:rPr>
        <w:t>，不得进入下一阶段评审，但本须知22.2条规定的情形除外。</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22.2采用竞争性磋商采购方式采购的政府购买服务项目（含政府和社会资本合作项目），在采购过程中通过资格审查的供应商（社会资本）只有2家的，竞争性磋商采购活动可以继续进行。</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shd w:val="clear" w:color="auto" w:fill="FFFFFF"/>
        </w:rPr>
        <w:t>22.3</w:t>
      </w:r>
      <w:r>
        <w:rPr>
          <w:rFonts w:hint="eastAsia" w:ascii="仿宋_GB2312" w:hAnsi="仿宋_GB2312" w:eastAsia="仿宋_GB2312" w:cs="仿宋_GB2312"/>
          <w:szCs w:val="21"/>
          <w:highlight w:val="none"/>
        </w:rPr>
        <w:t>采购人或采购代理机构将在递交响应文件截止时间前一个工作日至资格审查结束前的期间内查询供应商的信用记录。供应商存在不良信用记录的，其响应将被认定为</w:t>
      </w:r>
      <w:r>
        <w:rPr>
          <w:rFonts w:hint="eastAsia" w:ascii="仿宋_GB2312" w:hAnsi="仿宋_GB2312" w:eastAsia="仿宋_GB2312" w:cs="仿宋_GB2312"/>
          <w:b/>
          <w:bCs/>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shd w:val="clear" w:color="auto" w:fill="FFFFFF"/>
        </w:rPr>
        <w:t>22.3.1</w:t>
      </w:r>
      <w:r>
        <w:rPr>
          <w:rFonts w:hint="eastAsia" w:ascii="仿宋_GB2312" w:hAnsi="仿宋_GB2312" w:eastAsia="仿宋_GB2312" w:cs="仿宋_GB2312"/>
          <w:szCs w:val="21"/>
          <w:highlight w:val="none"/>
        </w:rPr>
        <w:t>不良信用记录指：供应商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pPr>
        <w:adjustRightInd w:val="0"/>
        <w:snapToGrid w:val="0"/>
        <w:spacing w:line="360" w:lineRule="auto"/>
        <w:ind w:firstLine="420" w:firstLineChars="200"/>
        <w:rPr>
          <w:rFonts w:hint="eastAsia" w:ascii="仿宋_GB2312" w:hAnsi="仿宋_GB2312" w:eastAsia="仿宋_GB2312" w:cs="仿宋_GB2312"/>
          <w:szCs w:val="21"/>
          <w:highlight w:val="none"/>
          <w:shd w:val="clear" w:color="auto" w:fill="FFFFFF"/>
        </w:rPr>
      </w:pPr>
      <w:r>
        <w:rPr>
          <w:rFonts w:hint="eastAsia" w:ascii="仿宋_GB2312" w:hAnsi="仿宋_GB2312" w:eastAsia="仿宋_GB2312" w:cs="仿宋_GB2312"/>
          <w:szCs w:val="21"/>
          <w:highlight w:val="none"/>
        </w:rPr>
        <w:t>以</w:t>
      </w:r>
      <w:r>
        <w:rPr>
          <w:rFonts w:hint="eastAsia" w:ascii="仿宋_GB2312" w:hAnsi="仿宋_GB2312" w:eastAsia="仿宋_GB2312" w:cs="仿宋_GB2312"/>
          <w:szCs w:val="21"/>
          <w:highlight w:val="none"/>
          <w:shd w:val="clear" w:color="auto" w:fill="FFFFFF"/>
        </w:rPr>
        <w:t>联合体形式参加政府采购活动的，联合体任何成员存在以上不良信用记录的，联合体响应文件将被认定为</w:t>
      </w:r>
      <w:r>
        <w:rPr>
          <w:rFonts w:hint="eastAsia" w:ascii="仿宋_GB2312" w:hAnsi="仿宋_GB2312" w:eastAsia="仿宋_GB2312" w:cs="仿宋_GB2312"/>
          <w:b/>
          <w:bCs/>
          <w:szCs w:val="21"/>
          <w:highlight w:val="none"/>
          <w:shd w:val="clear" w:color="auto" w:fill="FFFFFF"/>
        </w:rPr>
        <w:t>无效响应</w:t>
      </w:r>
      <w:r>
        <w:rPr>
          <w:rFonts w:hint="eastAsia" w:ascii="仿宋_GB2312" w:hAnsi="仿宋_GB2312" w:eastAsia="仿宋_GB2312" w:cs="仿宋_GB2312"/>
          <w:szCs w:val="21"/>
          <w:highlight w:val="none"/>
          <w:shd w:val="clear" w:color="auto" w:fill="FFFFFF"/>
        </w:rPr>
        <w:t>。</w:t>
      </w:r>
    </w:p>
    <w:p>
      <w:pPr>
        <w:adjustRightInd w:val="0"/>
        <w:snapToGrid w:val="0"/>
        <w:spacing w:line="360" w:lineRule="auto"/>
        <w:rPr>
          <w:rFonts w:hint="eastAsia" w:ascii="仿宋_GB2312" w:hAnsi="仿宋_GB2312" w:eastAsia="仿宋_GB2312" w:cs="仿宋_GB2312"/>
          <w:szCs w:val="21"/>
          <w:highlight w:val="none"/>
          <w:shd w:val="clear" w:color="auto" w:fill="FFFFFF"/>
        </w:rPr>
      </w:pPr>
      <w:r>
        <w:rPr>
          <w:rFonts w:hint="eastAsia" w:ascii="仿宋_GB2312" w:hAnsi="仿宋_GB2312" w:eastAsia="仿宋_GB2312" w:cs="仿宋_GB2312"/>
          <w:szCs w:val="21"/>
          <w:highlight w:val="none"/>
        </w:rPr>
        <w:t>22.3.2</w:t>
      </w:r>
      <w:r>
        <w:rPr>
          <w:rFonts w:hint="eastAsia" w:ascii="仿宋_GB2312" w:hAnsi="仿宋_GB2312" w:eastAsia="仿宋_GB2312" w:cs="仿宋_GB2312"/>
          <w:szCs w:val="21"/>
          <w:highlight w:val="none"/>
          <w:shd w:val="clear" w:color="auto" w:fill="FFFFFF"/>
        </w:rPr>
        <w:t>查询及记录方式：采购代理机构经办人将查询网页打印并存档备查。供应商不良信用记录以采购人或采购代理机构查询结果为准。</w:t>
      </w:r>
    </w:p>
    <w:p>
      <w:pPr>
        <w:adjustRightInd w:val="0"/>
        <w:snapToGrid w:val="0"/>
        <w:spacing w:line="360" w:lineRule="auto"/>
        <w:ind w:firstLine="420" w:firstLineChars="200"/>
        <w:rPr>
          <w:rFonts w:hint="eastAsia" w:ascii="仿宋_GB2312" w:hAnsi="仿宋_GB2312" w:eastAsia="仿宋_GB2312" w:cs="仿宋_GB2312"/>
          <w:szCs w:val="21"/>
          <w:highlight w:val="none"/>
          <w:shd w:val="clear" w:color="auto" w:fill="FFFFFF"/>
        </w:rPr>
      </w:pPr>
      <w:r>
        <w:rPr>
          <w:rFonts w:hint="eastAsia" w:ascii="仿宋_GB2312" w:hAnsi="仿宋_GB2312" w:eastAsia="仿宋_GB2312" w:cs="仿宋_GB2312"/>
          <w:szCs w:val="21"/>
          <w:highlight w:val="none"/>
          <w:shd w:val="clear" w:color="auto" w:fill="FFFFFF"/>
        </w:rPr>
        <w:t>在本采购文件规定的查询时间之后，网站信息发生的任何变更均不再作为评审依据。</w:t>
      </w:r>
    </w:p>
    <w:p>
      <w:pPr>
        <w:adjustRightInd w:val="0"/>
        <w:snapToGrid w:val="0"/>
        <w:spacing w:line="360" w:lineRule="auto"/>
        <w:ind w:firstLine="420" w:firstLineChars="200"/>
        <w:rPr>
          <w:rFonts w:hint="eastAsia" w:ascii="仿宋_GB2312" w:hAnsi="仿宋_GB2312" w:eastAsia="仿宋_GB2312" w:cs="仿宋_GB2312"/>
          <w:szCs w:val="21"/>
          <w:highlight w:val="none"/>
          <w:shd w:val="clear" w:color="auto" w:fill="FFFFFF"/>
        </w:rPr>
      </w:pPr>
      <w:r>
        <w:rPr>
          <w:rFonts w:hint="eastAsia" w:ascii="仿宋_GB2312" w:hAnsi="仿宋_GB2312" w:eastAsia="仿宋_GB2312" w:cs="仿宋_GB2312"/>
          <w:szCs w:val="21"/>
          <w:highlight w:val="none"/>
          <w:shd w:val="clear" w:color="auto" w:fill="FFFFFF"/>
        </w:rPr>
        <w:t>供应商在自行提供的与网站信息不一致的其他证明材料亦不作为资格审查依据。</w:t>
      </w:r>
    </w:p>
    <w:p>
      <w:pPr>
        <w:adjustRightInd w:val="0"/>
        <w:snapToGrid w:val="0"/>
        <w:spacing w:line="360" w:lineRule="auto"/>
        <w:rPr>
          <w:rFonts w:hint="eastAsia" w:ascii="仿宋_GB2312" w:hAnsi="仿宋_GB2312" w:eastAsia="仿宋_GB2312" w:cs="仿宋_GB2312"/>
          <w:b/>
          <w:szCs w:val="21"/>
          <w:highlight w:val="none"/>
          <w:shd w:val="clear" w:color="auto" w:fill="FFFFFF"/>
        </w:rPr>
      </w:pPr>
      <w:r>
        <w:rPr>
          <w:rFonts w:hint="eastAsia" w:ascii="仿宋_GB2312" w:hAnsi="仿宋_GB2312" w:eastAsia="仿宋_GB2312" w:cs="仿宋_GB2312"/>
          <w:b/>
          <w:szCs w:val="21"/>
          <w:highlight w:val="none"/>
        </w:rPr>
        <w:t>★</w:t>
      </w:r>
      <w:r>
        <w:rPr>
          <w:rFonts w:hint="eastAsia" w:ascii="仿宋_GB2312" w:hAnsi="仿宋_GB2312" w:eastAsia="仿宋_GB2312" w:cs="仿宋_GB2312"/>
          <w:b/>
          <w:szCs w:val="21"/>
          <w:highlight w:val="none"/>
          <w:shd w:val="clear" w:color="auto" w:fill="FFFFFF"/>
        </w:rPr>
        <w:t>23.符合性审查</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highlight w:val="none"/>
        </w:rPr>
        <w:t>23.1</w:t>
      </w:r>
      <w:r>
        <w:rPr>
          <w:rFonts w:hint="eastAsia" w:ascii="仿宋_GB2312" w:hAnsi="仿宋_GB2312" w:eastAsia="仿宋_GB2312" w:cs="仿宋_GB2312"/>
          <w:szCs w:val="21"/>
          <w:highlight w:val="none"/>
          <w:shd w:val="clear" w:color="auto" w:fill="FFFFFF"/>
        </w:rPr>
        <w:t>符合性审查是指依据采购文件的规定，从响应文件的有效性和完整性对采购文件的响应程度进行审查，以确定是否对采购文件的实质性要求做出响应。</w:t>
      </w:r>
      <w:r>
        <w:rPr>
          <w:rFonts w:hint="eastAsia" w:ascii="仿宋_GB2312" w:hAnsi="仿宋_GB2312" w:eastAsia="仿宋_GB2312" w:cs="仿宋_GB2312"/>
          <w:szCs w:val="21"/>
          <w:highlight w:val="none"/>
        </w:rPr>
        <w:t>供应商应按照第二章《响应文件内容及格式》中的相应要求，提交符合性证明材料。未通过符合性审查的供应商不能进入下一阶段评审，其响应将被认定为</w:t>
      </w:r>
      <w:r>
        <w:rPr>
          <w:rFonts w:hint="eastAsia" w:ascii="仿宋_GB2312" w:hAnsi="仿宋_GB2312" w:eastAsia="仿宋_GB2312" w:cs="仿宋_GB2312"/>
          <w:b/>
          <w:bCs/>
          <w:szCs w:val="21"/>
          <w:highlight w:val="none"/>
        </w:rPr>
        <w:t>无效响应</w:t>
      </w:r>
      <w:r>
        <w:rPr>
          <w:rFonts w:hint="eastAsia" w:ascii="仿宋_GB2312" w:hAnsi="仿宋_GB2312" w:eastAsia="仿宋_GB2312" w:cs="仿宋_GB2312"/>
          <w:szCs w:val="21"/>
          <w:highlight w:val="none"/>
        </w:rPr>
        <w:t>；通过符合性审查的供应商数量不足3家的，不得作进一步的比较和评价，本须知第23.2条规定的情形除外。</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24.样品及演示</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24.1供应商须知表11.3条中要求供应商提供样品或演示的，按照供应商须知表24.1条中样品或演示的评审办法以及评审标准进行评审。</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24.2采购活动结束后，对于未成交供应商提供的样品，应当及时退还或者经未成交供应商同意后自行处理；对于成交供应商提供的样品，应当按采购文件规定进行保管、封存，并作为履约验收的参考。具体内容见供应商须知表11.3条。</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25.响应文件的澄清</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25.1</w:t>
      </w:r>
      <w:r>
        <w:rPr>
          <w:rFonts w:hint="eastAsia" w:ascii="仿宋_GB2312" w:hAnsi="仿宋_GB2312" w:eastAsia="仿宋_GB2312" w:cs="仿宋_GB2312"/>
          <w:szCs w:val="21"/>
          <w:highlight w:val="none"/>
          <w:shd w:val="clear" w:color="auto" w:fill="FFFFFF"/>
        </w:rPr>
        <w:t>在磋商期间，磋商小组可以书面要求供应商对其响应文件中含义不明确、同类问题表述不一致或者有明显文字和计算错误的内容</w:t>
      </w:r>
      <w:r>
        <w:rPr>
          <w:rFonts w:hint="eastAsia" w:ascii="仿宋_GB2312" w:hAnsi="仿宋_GB2312" w:eastAsia="仿宋_GB2312" w:cs="仿宋_GB2312"/>
          <w:szCs w:val="21"/>
          <w:highlight w:val="none"/>
        </w:rPr>
        <w:t>作必要的澄清、说明或补正。供应商的澄清、说明或补正应在磋商小组规定的时间内以书面方式进行，并不得超出响应文件范围或者改变响应文件的实质性内容。供应商拒不进行澄清、说明、补正的，或者不能在规定时间内作出书面澄清、说明、补正的，其响应文件将被作为</w:t>
      </w:r>
      <w:r>
        <w:rPr>
          <w:rFonts w:hint="eastAsia" w:ascii="仿宋_GB2312" w:hAnsi="仿宋_GB2312" w:eastAsia="仿宋_GB2312" w:cs="仿宋_GB2312"/>
          <w:b/>
          <w:szCs w:val="21"/>
          <w:highlight w:val="none"/>
        </w:rPr>
        <w:t>无效响应</w:t>
      </w:r>
      <w:r>
        <w:rPr>
          <w:rFonts w:hint="eastAsia" w:ascii="仿宋_GB2312" w:hAnsi="仿宋_GB2312" w:eastAsia="仿宋_GB2312" w:cs="仿宋_GB2312"/>
          <w:szCs w:val="21"/>
          <w:highlight w:val="none"/>
        </w:rPr>
        <w:t>处理。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25.1.1供应商的澄清、说明或者补正应当由法定代表人（或非法人组织负责人）或其授权代表签字或者加盖公章。供应商为自然人的，应当由本人签字并附身份证明。</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25.1.2供应商的澄清、说明或补正将作为响应文件的一部分。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25.2响应文件报价出现前后不一致的，按照下列规定修正：</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（1）响应文件中报价一览表内容与响应文件中相应内容不一致的，以报价一览表为准；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（2）大写金额和小写金额不一致的，以大写金额为准；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（3）单价金额小数点或者百分比有明显错位的，以报价一览表的总价为准，并修改单价；</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（4）总价金额与按单价汇总金额不一致的，以单价金额计算结果为准。</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同时出现两种以上不一致的，按照前款规定的顺序修正。修正后的报价经供应商确认后产生约束力，供应商不确认的，其响应文件将被认定为</w:t>
      </w:r>
      <w:r>
        <w:rPr>
          <w:rFonts w:hint="eastAsia" w:ascii="仿宋_GB2312" w:hAnsi="仿宋_GB2312" w:eastAsia="仿宋_GB2312" w:cs="仿宋_GB2312"/>
          <w:b/>
          <w:szCs w:val="21"/>
          <w:highlight w:val="none"/>
        </w:rPr>
        <w:t>无效响应</w:t>
      </w:r>
      <w:r>
        <w:rPr>
          <w:rFonts w:hint="eastAsia" w:ascii="仿宋_GB2312" w:hAnsi="仿宋_GB2312" w:eastAsia="仿宋_GB2312" w:cs="仿宋_GB2312"/>
          <w:szCs w:val="21"/>
          <w:highlight w:val="none"/>
        </w:rPr>
        <w:t>。</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25.3</w:t>
      </w:r>
      <w:r>
        <w:rPr>
          <w:rFonts w:hint="eastAsia" w:ascii="仿宋_GB2312" w:hAnsi="仿宋_GB2312" w:eastAsia="仿宋_GB2312" w:cs="仿宋_GB2312"/>
          <w:bCs/>
          <w:szCs w:val="21"/>
          <w:highlight w:val="none"/>
        </w:rPr>
        <w:t>磋商小组认为</w:t>
      </w:r>
      <w:r>
        <w:rPr>
          <w:rFonts w:hint="eastAsia" w:ascii="仿宋_GB2312" w:hAnsi="仿宋_GB2312" w:eastAsia="仿宋_GB2312" w:cs="仿宋_GB2312"/>
          <w:szCs w:val="21"/>
          <w:highlight w:val="none"/>
        </w:rPr>
        <w:t>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提交 证明材料的合理时间按第五章 评审办法规定执行。</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★26.磋商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26.1磋商小组将集中根据采购文件规定的程序、评定成交的标准等事项与实质性响应采购文件要求的供应商分别进行磋商。在磋商中，磋商的任何一方不得透露与磋商有关的其他供应商的技术资料、价格和其他信息。</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26.2在磋商过程中，磋商小组可以根据采购文件和磋商情况，</w:t>
      </w:r>
      <w:r>
        <w:rPr>
          <w:rFonts w:hint="eastAsia" w:ascii="仿宋_GB2312" w:hAnsi="仿宋_GB2312" w:eastAsia="仿宋_GB2312" w:cs="仿宋_GB2312"/>
          <w:b/>
          <w:szCs w:val="21"/>
          <w:highlight w:val="none"/>
        </w:rPr>
        <w:t>经采购人代表确认后</w:t>
      </w:r>
      <w:r>
        <w:rPr>
          <w:rFonts w:hint="eastAsia" w:ascii="仿宋_GB2312" w:hAnsi="仿宋_GB2312" w:eastAsia="仿宋_GB2312" w:cs="仿宋_GB2312"/>
          <w:szCs w:val="21"/>
          <w:highlight w:val="none"/>
        </w:rPr>
        <w:t>变动采购需求中的技术、商务要求以及合同草案条例等实质性内容。</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26.3对采购文件作出实质性变动是采购文件的有效组成部分，磋商小组将以书面形式同时通知所有参加磋商的供应商。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26.4供应商应当按照采购文件的变动情况和磋商小组的要求重新提交响应文件，并由其法定代表人或授权代表签字或者加盖公章。由授权代表签字的，应当附法定代表人（或非法人组织负责人）授权书。供应商为自然人的，应当由本人签字并附身份证明。</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★27.最后报价</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27.1磋商结束后，磋商小组将要求所有实质性响应的供应商在规定时间内提交最后报价，且提交最后报价的供应商不少于3家，本须知第27.2条规定的情形除外。</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27.2采用竞争性磋商方式开展采购的“市场竞争不充分的科研项目，以及需要扶持的科技成果转化项目”，提交最后报价的供应商可以为2家。</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27.3最后报价是供应商响应文件的有效组成部分。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27.4已提交响应文件的供应商，在提交最后报价之前，可以根据磋商情况退出磋商，退出磋商不视为撤回响应文件，退出磋商不影响退出磋商的供应商对已经递交的响应文件承担法律、法规和采购文件中规定的相应责任。采购人,采购代理机构应当退还退出磋商的供应商的保证金。</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★28.响应无效</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28.1在比较与评价之前，根据本须知的规定，磋商小组将审查每份响应文件是否实质上响应了采购文件的要求。</w:t>
      </w:r>
    </w:p>
    <w:p>
      <w:pPr>
        <w:adjustRightInd w:val="0"/>
        <w:snapToGrid w:val="0"/>
        <w:spacing w:line="360" w:lineRule="auto"/>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实质性要求是指采购文件中带有★号标识内容（包括本级及其下级编号中所有内容）等文字说明的要求。</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对采购文件的实质性要求进行响应是指与采购文件中带有★号标识内容的文字说明、条款、条件和规格等要求相符。</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如果响应文件没有对采购文件的实质性要求进行响应，将作为</w:t>
      </w:r>
      <w:r>
        <w:rPr>
          <w:rFonts w:hint="eastAsia" w:ascii="仿宋_GB2312" w:hAnsi="仿宋_GB2312" w:eastAsia="仿宋_GB2312" w:cs="仿宋_GB2312"/>
          <w:b/>
          <w:bCs/>
          <w:szCs w:val="21"/>
          <w:highlight w:val="none"/>
        </w:rPr>
        <w:t>无效响应</w:t>
      </w:r>
      <w:r>
        <w:rPr>
          <w:rFonts w:hint="eastAsia" w:ascii="仿宋_GB2312" w:hAnsi="仿宋_GB2312" w:eastAsia="仿宋_GB2312" w:cs="仿宋_GB2312"/>
          <w:szCs w:val="21"/>
          <w:highlight w:val="none"/>
        </w:rPr>
        <w:t>处理，供应商不得再对响应文件进行任何修正从而使其响应成为实质上响应。</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磋商小组决定是否实质性响应只根据采购文件要求、响应文件内容及财政主管部门指定媒体发布的相关信息。</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28.2 如发现下列情况之一的，其响应文件将被认定为无效响应：</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（1）未按采购文件的规定提交磋商保证金的；</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（2）未按照采购文件规定要求签署、盖章的；</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（3）供应商的报价超过了采购文件中规定的预算金额或者最高限价的；</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（4）不具备采购文件中规定的资格要求的；</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（5）不符合法律、法规和采购文件中规定的实质性要求的。</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（6）响应文件含有采购人不能接受的附加条件的；</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（7）属于法律、法规和采购文件中规定的其他无效响应情形的。</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29.比较与评价</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29.1经符合性审查合格的响应文件，磋商小组将根据采购文件确定的评审办法，对其技术部分和商务部分作进一步的比较和评价。</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29.2 评审严格按照采购文件的要求和条件进行。按照供应商须知表29.2条规定的综合评分法进行评审，详细评审标准见采购文件第五章 评审方法。</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综合评分法，是指响应文件满足采购文件全部实质性要求且按评审因素的量化指标评审得分最高的供应商为成交候选供应商的评审方法。</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29.3根据《财政部工业和信息化部关于印发&lt;政府采购促进中小企业发展管理办法&gt;的通知》（财库[2020]46号）、《财政部司法部关于政府采购支持监狱企业发展有关问题的通知》（财库〔2014〕68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最后报价扣除后参与评审。具体详见第五章 评审办法。</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29.4依据财政部、发展改革委、生态环境部等部门发布的品目清单和国家确定的认证机构出具的、处于有效期之内的节能产品、环境标志产品认证证书实施政府优先采购。具体优先采购办法详见第五章 评审办法。</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29.5依据财政部 国务院扶贫办《关于运用政府采购政策支持脱贫攻坚的通知》（财库〔2019〕27 号）的规定，对于聘用建档立卡贫困人员物业公司的项目，在满足价格扣除条件且在响应文件中提交了《聘用建档立卡贫困人员物业公司声明函》的供应商，对其最后报价扣除后参与评审。具体办法详见第五章 评审办法。</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29.6根据财政部、辽宁省财政厅相关规定，对于列入《辽宁省创新产品和服务目录》内的产品、服务实施政府优先采购，具体优先采购办法详见第五章 评审办法。</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★30.终止本次磋商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出现下列情形之一的，采购人或采购代理机构应当终止本次竞争性磋商。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（1）因情况变化，不再符合规定的竞争性磋商采购方式适用情形的；</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（2）出现影响采购公正的违法、违规行为的；</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（3）除本须知27.2条规定的情形外，在采购过程中符合要求的供应商或者报价未超过采购预算或最高限价的供应商不足3家的。</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（4）因重大变故，采购任务取消的。</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31.成交候选供应商的确定原则及标准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31.1除第34条规定外，磋商结束后，除了算数修正和落实政府采购政策需进行的价格扣除外，不对供应商的响应价格进行任何调整。评审结果按照得分由高至低的顺序排序。具体处理办法详见 第五章 评审方法。</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31.2磋商小组将按供应商须知表31.2条中规定的数量推荐成交候选供应商。</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31.3因推荐成交候选供应商名单产生其他问题，由磋商小组集体研究处理。</w:t>
      </w:r>
    </w:p>
    <w:p>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★32.保密原则</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32.1评审将在严格保密的情况下进行。</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32.2有关人员应当遵守评审工作纪律，不得泄露评审文件、评审情况和评审过程中获悉的国家秘密、商业秘密。</w:t>
      </w:r>
    </w:p>
    <w:p>
      <w:pPr>
        <w:pStyle w:val="2"/>
        <w:adjustRightInd w:val="0"/>
        <w:snapToGrid w:val="0"/>
        <w:spacing w:beforeLines="50" w:after="0" w:line="360" w:lineRule="auto"/>
        <w:jc w:val="center"/>
        <w:rPr>
          <w:rFonts w:hint="eastAsia" w:ascii="仿宋_GB2312" w:hAnsi="仿宋_GB2312" w:eastAsia="仿宋_GB2312" w:cs="仿宋_GB2312"/>
          <w:highlight w:val="none"/>
        </w:rPr>
      </w:pPr>
      <w:bookmarkStart w:id="55" w:name="_Toc4485624"/>
      <w:bookmarkStart w:id="56" w:name="_Toc533340145"/>
      <w:r>
        <w:rPr>
          <w:rFonts w:hint="eastAsia" w:ascii="仿宋_GB2312" w:hAnsi="仿宋_GB2312" w:eastAsia="仿宋_GB2312" w:cs="仿宋_GB2312"/>
          <w:highlight w:val="none"/>
        </w:rPr>
        <w:t>七 确定成交</w:t>
      </w:r>
      <w:bookmarkEnd w:id="55"/>
      <w:bookmarkEnd w:id="56"/>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33.确定成交供应商</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人在收到评审报告5个工作日内,从评审报告提出的成交候选供应商中,根据质量和服务均能满足采购文件实质性响应要求且综合得分最高的原则确定成交供应商,也可以书面授权磋商小组直接确定成交供应商。本项目成交供应商确定方式详见供应商须知表33条。</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★34.采购任务取消</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因重大变故采购任务取消时，采购人有权拒绝任何供应商成交，且对受影响的供应商不承担任何责任。</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35.成交通知书</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35.1采购人或者采购代理机构应当在成交供应商确定之日起2个工作日内，在辽宁省政府采购网及其地方分网媒体上公告成交结果，同时向成交供应商发出成交通知书。</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35.2成交通知书是合同的组成部分。</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★36.签订合同</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36.1 成交供应商应当自发出成交通知书之日起 30 日内，按照采购文件确定的合同文本以及采购标的、采购金额、采购数量、技术和服务要求等事项签订政府采购合同。</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36.2除不可抗力等因素外，成交通知书发出后，采购人改变成交结果，或者成交供应商拒绝签订政府采购合同的，应当承担相应的法律责任。</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36.3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确定的合同文本以及采购标的、采购金额、采购数量、技术和服务要求等实质性内容的协议。</w:t>
      </w:r>
    </w:p>
    <w:p>
      <w:pPr>
        <w:adjustRightInd w:val="0"/>
        <w:snapToGrid w:val="0"/>
        <w:spacing w:line="360" w:lineRule="auto"/>
        <w:rPr>
          <w:rFonts w:hint="eastAsia" w:ascii="仿宋_GB2312" w:hAnsi="仿宋_GB2312" w:eastAsia="仿宋_GB2312" w:cs="仿宋_GB2312"/>
          <w:kern w:val="0"/>
          <w:sz w:val="22"/>
          <w:highlight w:val="none"/>
        </w:rPr>
      </w:pPr>
      <w:r>
        <w:rPr>
          <w:rFonts w:hint="eastAsia" w:ascii="仿宋_GB2312" w:hAnsi="仿宋_GB2312" w:eastAsia="仿宋_GB2312" w:cs="仿宋_GB2312"/>
          <w:szCs w:val="21"/>
          <w:highlight w:val="none"/>
        </w:rPr>
        <w:t>36.4 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Pr>
          <w:rFonts w:hint="eastAsia" w:ascii="仿宋_GB2312" w:hAnsi="仿宋_GB2312" w:eastAsia="仿宋_GB2312" w:cs="仿宋_GB2312"/>
          <w:kern w:val="0"/>
          <w:sz w:val="22"/>
          <w:highlight w:val="none"/>
        </w:rPr>
        <w:t>。</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★37.履约保证金</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37.1成交供应商应按照供应商须知表37.1条规定向采购人缴纳履约保证金。</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37.2如果成交供应商没有按照上述履约保证金的规定执行，将视为拒绝签订合同并放弃成交资格，成交供应商的磋商保证金将不予退还。在此情况下，采购人可确定下一成交候选供应商为成交供应商，也可以重新开展采购活动。</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★38.采购代理服务费</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成交供应商须按照供应商须知表38条规定，向采购代理机构支付采购代理服务费。</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39.廉洁自律规定</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39.1采购代理机构工作人员不得以不正当手段获取政府采购代理业务，不得与采购人、供应商恶意串通操纵政府采购活动。</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39.2采购代理机构工作人员不得接受采购人或者供应商组织的宴请、旅游、娱乐，不得收受礼品、现金、有价证券等。</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40.人员回避</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供应商认为采购人及其相关人员有法律法规所列与其他供应商有利害关系的，可以向采购人或采购代理机构书面提出回避申请，并说明理由。</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41.质疑与接收</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41.1供应商认为采购文件、采购过程和成交结果使自己的权益受到损害的，可以根据《中华人民共和国政府采购法》、《中华人民共和国政府采购法实施条例》、《政府采购竞争性磋商采购方式暂行办法》和《政府采购质疑和投诉办法》的有关规定，依法向采购人或其委托的采购代理机构提出质疑。</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41.2质疑供应商应按照财政部门制定的《政府采购质疑函范本》格式（详见辽宁政府采购网）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超出法定质疑期的、重复提出的、分次提出的或内容、形式不符合《政府采购质疑和投诉办法》的，质疑供应商将依法承担不利后果。</w:t>
      </w:r>
    </w:p>
    <w:p>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41.3采购代理机构质疑函接收部门、联系电话和通讯地址, 见供应商须知表41.3条。</w:t>
      </w:r>
    </w:p>
    <w:p>
      <w:pPr>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42.履约验收</w:t>
      </w:r>
    </w:p>
    <w:p>
      <w:pPr>
        <w:spacing w:line="360" w:lineRule="auto"/>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rPr>
        <w:t>本项目采购人及其委托的采购代理机构将严格按照政府采购相关法律法规以及《辽宁省政府采购履约验收管理办法》（辽财采〔2017〕603号）的要求进行验收。</w:t>
      </w:r>
    </w:p>
    <w:p>
      <w:pPr>
        <w:spacing w:line="360" w:lineRule="auto"/>
        <w:rPr>
          <w:rFonts w:hint="eastAsia" w:ascii="仿宋_GB2312" w:hAnsi="仿宋_GB2312" w:eastAsia="仿宋_GB2312" w:cs="仿宋_GB2312"/>
          <w:kern w:val="0"/>
          <w:szCs w:val="21"/>
          <w:highlight w:val="none"/>
        </w:rPr>
      </w:pPr>
    </w:p>
    <w:p>
      <w:pPr>
        <w:spacing w:line="360" w:lineRule="auto"/>
        <w:rPr>
          <w:rFonts w:hint="eastAsia" w:ascii="仿宋_GB2312" w:hAnsi="仿宋_GB2312" w:eastAsia="仿宋_GB2312" w:cs="仿宋_GB2312"/>
          <w:kern w:val="0"/>
          <w:szCs w:val="21"/>
          <w:highlight w:val="none"/>
        </w:rPr>
      </w:pPr>
    </w:p>
    <w:p>
      <w:pPr>
        <w:widowControl/>
        <w:jc w:val="left"/>
        <w:rPr>
          <w:rFonts w:hint="eastAsia" w:ascii="仿宋_GB2312" w:hAnsi="仿宋_GB2312" w:eastAsia="仿宋_GB2312" w:cs="仿宋_GB2312"/>
          <w:kern w:val="0"/>
          <w:szCs w:val="21"/>
          <w:highlight w:val="none"/>
        </w:rPr>
        <w:sectPr>
          <w:footerReference r:id="rId5" w:type="default"/>
          <w:pgSz w:w="11906" w:h="16838"/>
          <w:pgMar w:top="1440" w:right="1800" w:bottom="1440" w:left="1800" w:header="851" w:footer="851" w:gutter="0"/>
          <w:pgNumType w:fmt="decimal"/>
          <w:cols w:space="720" w:num="1"/>
          <w:docGrid w:type="lines" w:linePitch="312" w:charSpace="0"/>
        </w:sectPr>
      </w:pPr>
    </w:p>
    <w:p>
      <w:pPr>
        <w:pStyle w:val="3"/>
        <w:adjustRightInd w:val="0"/>
        <w:snapToGrid w:val="0"/>
        <w:spacing w:before="0" w:after="0" w:line="240" w:lineRule="auto"/>
        <w:rPr>
          <w:rFonts w:hint="eastAsia" w:ascii="仿宋_GB2312" w:hAnsi="仿宋_GB2312" w:eastAsia="仿宋_GB2312" w:cs="仿宋_GB2312"/>
          <w:highlight w:val="none"/>
        </w:rPr>
      </w:pPr>
      <w:bookmarkStart w:id="57" w:name="_Toc4485625"/>
      <w:bookmarkStart w:id="58" w:name="_Toc115433463"/>
      <w:bookmarkStart w:id="59" w:name="_Toc78191843"/>
      <w:r>
        <w:rPr>
          <w:rFonts w:hint="eastAsia" w:ascii="仿宋_GB2312" w:hAnsi="仿宋_GB2312" w:eastAsia="仿宋_GB2312" w:cs="仿宋_GB2312"/>
          <w:highlight w:val="none"/>
        </w:rPr>
        <w:t>第二章 响应文件内容及格式</w:t>
      </w:r>
      <w:bookmarkEnd w:id="57"/>
      <w:bookmarkEnd w:id="58"/>
      <w:bookmarkEnd w:id="59"/>
    </w:p>
    <w:p>
      <w:pPr>
        <w:ind w:firstLine="482" w:firstLineChars="200"/>
        <w:rPr>
          <w:rFonts w:hint="eastAsia" w:ascii="仿宋_GB2312" w:hAnsi="仿宋_GB2312" w:eastAsia="仿宋_GB2312" w:cs="仿宋_GB2312"/>
          <w:highlight w:val="none"/>
        </w:rPr>
      </w:pPr>
      <w:bookmarkStart w:id="60" w:name="sys_投标文件内容及格式：Block"/>
      <w:bookmarkEnd w:id="60"/>
      <w:bookmarkStart w:id="61" w:name="投标文件内容及格式：Block"/>
      <w:bookmarkEnd w:id="61"/>
      <w:r>
        <w:rPr>
          <w:rFonts w:hint="eastAsia" w:ascii="仿宋_GB2312" w:hAnsi="仿宋_GB2312" w:eastAsia="仿宋_GB2312" w:cs="仿宋_GB2312"/>
          <w:b/>
          <w:sz w:val="24"/>
          <w:highlight w:val="none"/>
        </w:rPr>
        <w:t>一、响应文件、电子文档的外封面、封口、封皮及目录</w:t>
      </w:r>
    </w:p>
    <w:tbl>
      <w:tblPr>
        <w:tblStyle w:val="25"/>
        <w:tblW w:w="84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892"/>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77" w:type="dxa"/>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892" w:type="dxa"/>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内容</w:t>
            </w:r>
          </w:p>
        </w:tc>
        <w:tc>
          <w:tcPr>
            <w:tcW w:w="882" w:type="dxa"/>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pPr>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892" w:type="dxa"/>
            <w:vAlign w:val="center"/>
          </w:tcPr>
          <w:p>
            <w:pPr>
              <w:snapToGrid w:val="0"/>
              <w:spacing w:line="3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响应文件的外封面及封口</w:t>
            </w:r>
          </w:p>
        </w:tc>
        <w:tc>
          <w:tcPr>
            <w:tcW w:w="882" w:type="dxa"/>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c>
          <w:tcPr>
            <w:tcW w:w="6892" w:type="dxa"/>
            <w:vAlign w:val="center"/>
          </w:tcPr>
          <w:p>
            <w:pPr>
              <w:snapToGrid w:val="0"/>
              <w:spacing w:line="3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响应文件的封皮</w:t>
            </w:r>
          </w:p>
        </w:tc>
        <w:tc>
          <w:tcPr>
            <w:tcW w:w="882" w:type="dxa"/>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c>
          <w:tcPr>
            <w:tcW w:w="6892" w:type="dxa"/>
            <w:vAlign w:val="center"/>
          </w:tcPr>
          <w:p>
            <w:pPr>
              <w:snapToGrid w:val="0"/>
              <w:spacing w:line="3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响应文件的目录</w:t>
            </w:r>
          </w:p>
        </w:tc>
        <w:tc>
          <w:tcPr>
            <w:tcW w:w="882" w:type="dxa"/>
            <w:vAlign w:val="center"/>
          </w:tcPr>
          <w:p>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r>
    </w:tbl>
    <w:p>
      <w:pPr>
        <w:spacing w:beforeLines="50" w:line="360" w:lineRule="auto"/>
        <w:ind w:firstLine="482" w:firstLineChars="200"/>
        <w:rPr>
          <w:rFonts w:hint="eastAsia" w:ascii="仿宋_GB2312" w:hAnsi="仿宋_GB2312" w:eastAsia="仿宋_GB2312" w:cs="仿宋_GB2312"/>
          <w:b/>
          <w:sz w:val="24"/>
          <w:highlight w:val="none"/>
        </w:rPr>
      </w:pPr>
      <w:r>
        <w:rPr>
          <w:rFonts w:hint="eastAsia" w:ascii="仿宋_GB2312" w:hAnsi="仿宋_GB2312" w:eastAsia="仿宋_GB2312" w:cs="仿宋_GB2312"/>
          <w:b/>
          <w:sz w:val="24"/>
          <w:highlight w:val="none"/>
        </w:rPr>
        <w:t>二、资格证明材料（有一项不符合要求，不能进入下一阶段评审）</w:t>
      </w:r>
    </w:p>
    <w:tbl>
      <w:tblPr>
        <w:tblStyle w:val="25"/>
        <w:tblW w:w="0" w:type="auto"/>
        <w:jc w:val="center"/>
        <w:tblLayout w:type="fixed"/>
        <w:tblCellMar>
          <w:top w:w="0" w:type="dxa"/>
          <w:left w:w="0" w:type="dxa"/>
          <w:bottom w:w="0" w:type="dxa"/>
          <w:right w:w="0" w:type="dxa"/>
        </w:tblCellMar>
      </w:tblPr>
      <w:tblGrid>
        <w:gridCol w:w="662"/>
        <w:gridCol w:w="6887"/>
        <w:gridCol w:w="850"/>
      </w:tblGrid>
      <w:tr>
        <w:tblPrEx>
          <w:tblCellMar>
            <w:top w:w="0" w:type="dxa"/>
            <w:left w:w="0" w:type="dxa"/>
            <w:bottom w:w="0" w:type="dxa"/>
            <w:right w:w="0" w:type="dxa"/>
          </w:tblCellMar>
        </w:tblPrEx>
        <w:trPr>
          <w:trHeight w:val="517" w:hRule="atLeast"/>
          <w:tblHeader/>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bookmarkStart w:id="62" w:name="sys_资格性证明材料：Document"/>
            <w:bookmarkStart w:id="63" w:name="资格性证明材料：Document"/>
            <w:r>
              <w:rPr>
                <w:rFonts w:hint="eastAsia" w:ascii="仿宋_GB2312" w:hAnsi="仿宋_GB2312" w:eastAsia="仿宋_GB2312" w:cs="仿宋_GB2312"/>
                <w:szCs w:val="21"/>
                <w:highlight w:val="none"/>
              </w:rPr>
              <w:t>序号</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资格证明材料</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格式</w:t>
            </w:r>
          </w:p>
        </w:tc>
      </w:tr>
      <w:tr>
        <w:tblPrEx>
          <w:tblCellMar>
            <w:top w:w="0" w:type="dxa"/>
            <w:left w:w="0" w:type="dxa"/>
            <w:bottom w:w="0" w:type="dxa"/>
            <w:right w:w="0" w:type="dxa"/>
          </w:tblCellMar>
        </w:tblPrEx>
        <w:trPr>
          <w:trHeight w:val="716" w:hRule="atLeast"/>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营业执照复印件（符合磋商文件要求并年检有效的复印件）</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p>
        </w:tc>
      </w:tr>
      <w:tr>
        <w:tblPrEx>
          <w:tblCellMar>
            <w:top w:w="0" w:type="dxa"/>
            <w:left w:w="0" w:type="dxa"/>
            <w:bottom w:w="0" w:type="dxa"/>
            <w:right w:w="0" w:type="dxa"/>
          </w:tblCellMar>
        </w:tblPrEx>
        <w:trPr>
          <w:trHeight w:val="860" w:hRule="atLeast"/>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both"/>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kern w:val="2"/>
                <w:sz w:val="21"/>
                <w:szCs w:val="21"/>
                <w:highlight w:val="none"/>
                <w:lang w:val="en-US" w:eastAsia="zh-CN" w:bidi="ar-SA"/>
              </w:rPr>
              <w:t>本项目专门面向中小企业采购，供应商应为中小微企业、监狱企业、残疾人福利性单位，应提供以下任意一种材料：（1）中小企业声明函（2）监狱企业证明文件（3）残疾人福利性单位声明函</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both"/>
              <w:rPr>
                <w:rFonts w:hint="default" w:ascii="仿宋_GB2312" w:hAnsi="仿宋_GB2312" w:eastAsia="仿宋_GB2312" w:cs="仿宋_GB2312"/>
                <w:szCs w:val="21"/>
                <w:highlight w:val="none"/>
                <w:lang w:val="en-US"/>
              </w:rPr>
            </w:pPr>
            <w:r>
              <w:rPr>
                <w:rFonts w:hint="eastAsia" w:ascii="仿宋_GB2312" w:hAnsi="仿宋_GB2312" w:eastAsia="仿宋_GB2312" w:cs="仿宋_GB2312"/>
                <w:szCs w:val="21"/>
                <w:highlight w:val="none"/>
              </w:rPr>
              <w:t>2</w:t>
            </w:r>
            <w:r>
              <w:rPr>
                <w:rFonts w:hint="eastAsia" w:ascii="仿宋_GB2312" w:hAnsi="仿宋_GB2312" w:eastAsia="仿宋_GB2312" w:cs="仿宋_GB2312"/>
                <w:szCs w:val="21"/>
                <w:highlight w:val="none"/>
                <w:lang w:val="en-US" w:eastAsia="zh-CN"/>
              </w:rPr>
              <w:t>5、26</w:t>
            </w:r>
          </w:p>
        </w:tc>
      </w:tr>
      <w:tr>
        <w:tblPrEx>
          <w:tblCellMar>
            <w:top w:w="0" w:type="dxa"/>
            <w:left w:w="0" w:type="dxa"/>
            <w:bottom w:w="0" w:type="dxa"/>
            <w:right w:w="0" w:type="dxa"/>
          </w:tblCellMar>
        </w:tblPrEx>
        <w:trPr>
          <w:trHeight w:val="700" w:hRule="atLeast"/>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资质证书（符合磋商文件要求并年检有效的复印件）</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p>
        </w:tc>
      </w:tr>
      <w:tr>
        <w:tblPrEx>
          <w:tblCellMar>
            <w:top w:w="0" w:type="dxa"/>
            <w:left w:w="0" w:type="dxa"/>
            <w:bottom w:w="0" w:type="dxa"/>
            <w:right w:w="0" w:type="dxa"/>
          </w:tblCellMar>
        </w:tblPrEx>
        <w:trPr>
          <w:trHeight w:val="619" w:hRule="atLeast"/>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安全生产许可证（符合磋商文件要求并年检有效的复印件）</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lang w:val="en-US" w:eastAsia="zh-CN"/>
              </w:rPr>
            </w:pPr>
          </w:p>
        </w:tc>
      </w:tr>
      <w:tr>
        <w:tblPrEx>
          <w:tblCellMar>
            <w:top w:w="0" w:type="dxa"/>
            <w:left w:w="0" w:type="dxa"/>
            <w:bottom w:w="0" w:type="dxa"/>
            <w:right w:w="0" w:type="dxa"/>
          </w:tblCellMar>
        </w:tblPrEx>
        <w:trPr>
          <w:trHeight w:val="619" w:hRule="atLeast"/>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法定代表人（或非法人组织负责人）身份证明书</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4</w:t>
            </w:r>
          </w:p>
        </w:tc>
      </w:tr>
      <w:tr>
        <w:tblPrEx>
          <w:tblCellMar>
            <w:top w:w="0" w:type="dxa"/>
            <w:left w:w="0" w:type="dxa"/>
            <w:bottom w:w="0" w:type="dxa"/>
            <w:right w:w="0" w:type="dxa"/>
          </w:tblCellMar>
        </w:tblPrEx>
        <w:trPr>
          <w:trHeight w:val="751" w:hRule="atLeast"/>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法定代表人（或非法人组织负责人）授权委托书（授权委托人参加磋商的须提供）</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5</w:t>
            </w:r>
          </w:p>
        </w:tc>
      </w:tr>
      <w:tr>
        <w:tblPrEx>
          <w:tblCellMar>
            <w:top w:w="0" w:type="dxa"/>
            <w:left w:w="0" w:type="dxa"/>
            <w:bottom w:w="0" w:type="dxa"/>
            <w:right w:w="0" w:type="dxa"/>
          </w:tblCellMar>
        </w:tblPrEx>
        <w:trPr>
          <w:trHeight w:val="848" w:hRule="atLeast"/>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拟投入本工程项目经理需具有</w:t>
            </w:r>
            <w:r>
              <w:rPr>
                <w:rFonts w:hint="eastAsia" w:ascii="仿宋_GB2312" w:hAnsi="仿宋_GB2312" w:eastAsia="仿宋_GB2312" w:cs="仿宋_GB2312"/>
                <w:szCs w:val="21"/>
                <w:highlight w:val="none"/>
                <w:lang w:val="en-US" w:eastAsia="zh-CN"/>
              </w:rPr>
              <w:t>建筑工程</w:t>
            </w:r>
            <w:r>
              <w:rPr>
                <w:rFonts w:hint="eastAsia" w:ascii="仿宋_GB2312" w:hAnsi="仿宋_GB2312" w:eastAsia="仿宋_GB2312" w:cs="仿宋_GB2312"/>
                <w:szCs w:val="21"/>
                <w:highlight w:val="none"/>
              </w:rPr>
              <w:t>专业注册二级建造师及以上执业资格、项目负责人安全生产考核（B类）合格证书</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p>
        </w:tc>
      </w:tr>
      <w:tr>
        <w:tblPrEx>
          <w:tblCellMar>
            <w:top w:w="0" w:type="dxa"/>
            <w:left w:w="0" w:type="dxa"/>
            <w:bottom w:w="0" w:type="dxa"/>
            <w:right w:w="0" w:type="dxa"/>
          </w:tblCellMar>
        </w:tblPrEx>
        <w:trPr>
          <w:trHeight w:val="476" w:hRule="atLeast"/>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8</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具有良好的商业信誉和健全的财务会计制度的承诺函</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6</w:t>
            </w:r>
          </w:p>
        </w:tc>
      </w:tr>
      <w:tr>
        <w:tblPrEx>
          <w:tblCellMar>
            <w:top w:w="0" w:type="dxa"/>
            <w:left w:w="0" w:type="dxa"/>
            <w:bottom w:w="0" w:type="dxa"/>
            <w:right w:w="0" w:type="dxa"/>
          </w:tblCellMar>
        </w:tblPrEx>
        <w:trPr>
          <w:trHeight w:val="1101" w:hRule="atLeast"/>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9</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磋商会议时间前六个月内任一个月的依法缴纳税收的缴款凭据复印件</w:t>
            </w:r>
          </w:p>
          <w:p>
            <w:pPr>
              <w:widowControl/>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（注：依法免税的供应商，应提供相关证明材料，包括相关法规要求原文及加盖公章的情况说明）</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p>
        </w:tc>
      </w:tr>
      <w:tr>
        <w:tblPrEx>
          <w:tblCellMar>
            <w:top w:w="0" w:type="dxa"/>
            <w:left w:w="0" w:type="dxa"/>
            <w:bottom w:w="0" w:type="dxa"/>
            <w:right w:w="0" w:type="dxa"/>
          </w:tblCellMar>
        </w:tblPrEx>
        <w:trPr>
          <w:trHeight w:val="1392" w:hRule="atLeast"/>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10</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磋商会议时间前六个月内任一个月的依法缴纳社会保障资金的缴款凭据复印件</w:t>
            </w:r>
          </w:p>
          <w:p>
            <w:pPr>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（注：依法不需要缴纳社会保障资金的供应商，应提供相关证明材料，包括相关法规要求原文及加盖公章的情况说明）</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p>
        </w:tc>
      </w:tr>
      <w:tr>
        <w:tblPrEx>
          <w:tblCellMar>
            <w:top w:w="0" w:type="dxa"/>
            <w:left w:w="0" w:type="dxa"/>
            <w:bottom w:w="0" w:type="dxa"/>
            <w:right w:w="0" w:type="dxa"/>
          </w:tblCellMar>
        </w:tblPrEx>
        <w:trPr>
          <w:trHeight w:val="719" w:hRule="atLeast"/>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11</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参加政府采购活动前3年内在经营活动中没有重大违法记录的书面声明</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lang w:val="en-US" w:eastAsia="zh-CN"/>
              </w:rPr>
              <w:t>7</w:t>
            </w:r>
          </w:p>
        </w:tc>
      </w:tr>
      <w:tr>
        <w:tblPrEx>
          <w:tblCellMar>
            <w:top w:w="0" w:type="dxa"/>
            <w:left w:w="0" w:type="dxa"/>
            <w:bottom w:w="0" w:type="dxa"/>
            <w:right w:w="0" w:type="dxa"/>
          </w:tblCellMar>
        </w:tblPrEx>
        <w:trPr>
          <w:trHeight w:val="846" w:hRule="atLeast"/>
          <w:jc w:val="center"/>
        </w:trPr>
        <w:tc>
          <w:tcPr>
            <w:tcW w:w="6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w:t>
            </w:r>
          </w:p>
        </w:tc>
        <w:tc>
          <w:tcPr>
            <w:tcW w:w="6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信用记录（供应商“信用中国”、“中国政府采购网”网站信用信息查询记录网上打印证明材料）</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highlight w:val="none"/>
              </w:rPr>
            </w:pPr>
          </w:p>
        </w:tc>
      </w:tr>
    </w:tbl>
    <w:p>
      <w:pPr>
        <w:rPr>
          <w:rFonts w:hint="eastAsia" w:ascii="仿宋_GB2312" w:hAnsi="仿宋_GB2312" w:eastAsia="仿宋_GB2312" w:cs="仿宋_GB2312"/>
          <w:b/>
          <w:sz w:val="24"/>
          <w:highlight w:val="none"/>
        </w:rPr>
        <w:sectPr>
          <w:footerReference r:id="rId7" w:type="first"/>
          <w:footerReference r:id="rId6" w:type="default"/>
          <w:pgSz w:w="11906" w:h="16838"/>
          <w:pgMar w:top="1440" w:right="1800" w:bottom="1440" w:left="1800" w:header="851" w:footer="992" w:gutter="0"/>
          <w:pgNumType w:fmt="decimal"/>
          <w:cols w:space="720" w:num="1"/>
          <w:titlePg/>
          <w:docGrid w:type="lines" w:linePitch="312" w:charSpace="0"/>
        </w:sectPr>
      </w:pPr>
    </w:p>
    <w:p>
      <w:pPr>
        <w:rPr>
          <w:rFonts w:hint="eastAsia" w:ascii="仿宋_GB2312" w:hAnsi="仿宋_GB2312" w:eastAsia="仿宋_GB2312" w:cs="仿宋_GB2312"/>
          <w:b/>
          <w:sz w:val="24"/>
          <w:highlight w:val="none"/>
        </w:rPr>
      </w:pPr>
      <w:r>
        <w:rPr>
          <w:rFonts w:hint="eastAsia" w:ascii="仿宋_GB2312" w:hAnsi="仿宋_GB2312" w:eastAsia="仿宋_GB2312" w:cs="仿宋_GB2312"/>
          <w:b/>
          <w:sz w:val="24"/>
          <w:highlight w:val="none"/>
        </w:rPr>
        <w:t>三、符合性证明材料（有一项不符合要求，不能进入下一阶段评审）</w:t>
      </w:r>
    </w:p>
    <w:bookmarkEnd w:id="62"/>
    <w:bookmarkEnd w:id="63"/>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6965"/>
        <w:gridCol w:w="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663"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965"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符合性证明材料</w:t>
            </w:r>
          </w:p>
        </w:tc>
        <w:tc>
          <w:tcPr>
            <w:tcW w:w="855"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965" w:type="dxa"/>
            <w:vAlign w:val="center"/>
          </w:tcPr>
          <w:p>
            <w:pPr>
              <w:adjustRightInd w:val="0"/>
              <w:snapToGrid w:val="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响应函</w:t>
            </w:r>
          </w:p>
        </w:tc>
        <w:tc>
          <w:tcPr>
            <w:tcW w:w="855" w:type="dxa"/>
            <w:vAlign w:val="center"/>
          </w:tcPr>
          <w:p>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c>
          <w:tcPr>
            <w:tcW w:w="6965" w:type="dxa"/>
            <w:vAlign w:val="center"/>
          </w:tcPr>
          <w:p>
            <w:pPr>
              <w:adjustRightInd w:val="0"/>
              <w:snapToGrid w:val="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报价一览表</w:t>
            </w:r>
          </w:p>
        </w:tc>
        <w:tc>
          <w:tcPr>
            <w:tcW w:w="855" w:type="dxa"/>
            <w:vAlign w:val="center"/>
          </w:tcPr>
          <w:p>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c>
          <w:tcPr>
            <w:tcW w:w="6965" w:type="dxa"/>
            <w:vAlign w:val="center"/>
          </w:tcPr>
          <w:p>
            <w:pPr>
              <w:adjustRightInd w:val="0"/>
              <w:snapToGrid w:val="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已标价工程量清单</w:t>
            </w:r>
          </w:p>
        </w:tc>
        <w:tc>
          <w:tcPr>
            <w:tcW w:w="855" w:type="dxa"/>
            <w:vAlign w:val="center"/>
          </w:tcPr>
          <w:p>
            <w:pPr>
              <w:adjustRightInd w:val="0"/>
              <w:snapToGrid w:val="0"/>
              <w:jc w:val="center"/>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w:t>
            </w:r>
          </w:p>
        </w:tc>
        <w:tc>
          <w:tcPr>
            <w:tcW w:w="6965" w:type="dxa"/>
            <w:vAlign w:val="center"/>
          </w:tcPr>
          <w:p>
            <w:pPr>
              <w:adjustRightInd w:val="0"/>
              <w:snapToGrid w:val="0"/>
              <w:rPr>
                <w:rFonts w:hint="eastAsia"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供应商关联单位说明</w:t>
            </w:r>
          </w:p>
        </w:tc>
        <w:tc>
          <w:tcPr>
            <w:tcW w:w="855" w:type="dxa"/>
            <w:vAlign w:val="center"/>
          </w:tcPr>
          <w:p>
            <w:pPr>
              <w:adjustRightInd w:val="0"/>
              <w:snapToGrid w:val="0"/>
              <w:jc w:val="center"/>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5</w:t>
            </w:r>
          </w:p>
        </w:tc>
        <w:tc>
          <w:tcPr>
            <w:tcW w:w="6965" w:type="dxa"/>
            <w:vAlign w:val="center"/>
          </w:tcPr>
          <w:p>
            <w:pPr>
              <w:adjustRightInd w:val="0"/>
              <w:snapToGrid w:val="0"/>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承诺函</w:t>
            </w:r>
          </w:p>
        </w:tc>
        <w:tc>
          <w:tcPr>
            <w:tcW w:w="855"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12</w:t>
            </w:r>
          </w:p>
        </w:tc>
      </w:tr>
    </w:tbl>
    <w:p>
      <w:pPr>
        <w:spacing w:beforeLines="50" w:line="360" w:lineRule="exact"/>
        <w:ind w:firstLine="482" w:firstLineChars="200"/>
        <w:jc w:val="left"/>
        <w:rPr>
          <w:rFonts w:hint="eastAsia" w:ascii="仿宋_GB2312" w:hAnsi="仿宋_GB2312" w:eastAsia="仿宋_GB2312" w:cs="仿宋_GB2312"/>
          <w:b/>
          <w:sz w:val="24"/>
          <w:highlight w:val="none"/>
        </w:rPr>
      </w:pPr>
      <w:r>
        <w:rPr>
          <w:rFonts w:hint="eastAsia" w:ascii="仿宋_GB2312" w:hAnsi="仿宋_GB2312" w:eastAsia="仿宋_GB2312" w:cs="仿宋_GB2312"/>
          <w:b/>
          <w:sz w:val="24"/>
          <w:highlight w:val="none"/>
        </w:rPr>
        <w:t>四、其他材料（如有，请提供；如未提供，响应文件不作无效处理）</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886"/>
        <w:gridCol w:w="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78"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886"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其他材料</w:t>
            </w:r>
          </w:p>
        </w:tc>
        <w:tc>
          <w:tcPr>
            <w:tcW w:w="855"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78"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886" w:type="dxa"/>
            <w:vAlign w:val="center"/>
          </w:tcPr>
          <w:p>
            <w:pPr>
              <w:adjustRightInd w:val="0"/>
              <w:snapToGrid w:val="0"/>
              <w:ind w:left="25" w:leftChars="1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施工方案与技术措施（格式自拟）</w:t>
            </w:r>
          </w:p>
        </w:tc>
        <w:tc>
          <w:tcPr>
            <w:tcW w:w="855"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78"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c>
          <w:tcPr>
            <w:tcW w:w="6886" w:type="dxa"/>
            <w:vAlign w:val="center"/>
          </w:tcPr>
          <w:p>
            <w:pPr>
              <w:adjustRightInd w:val="0"/>
              <w:snapToGrid w:val="0"/>
              <w:ind w:left="25" w:leftChars="1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工程进度计划与措施（格式自拟）</w:t>
            </w:r>
          </w:p>
        </w:tc>
        <w:tc>
          <w:tcPr>
            <w:tcW w:w="855"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78"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c>
          <w:tcPr>
            <w:tcW w:w="6886" w:type="dxa"/>
            <w:vAlign w:val="center"/>
          </w:tcPr>
          <w:p>
            <w:pPr>
              <w:adjustRightInd w:val="0"/>
              <w:snapToGrid w:val="0"/>
              <w:ind w:left="25" w:leftChars="1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质量管理体系与措施（格式自拟）</w:t>
            </w:r>
          </w:p>
        </w:tc>
        <w:tc>
          <w:tcPr>
            <w:tcW w:w="855"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w:t>
            </w:r>
          </w:p>
        </w:tc>
        <w:tc>
          <w:tcPr>
            <w:tcW w:w="6886" w:type="dxa"/>
            <w:vAlign w:val="center"/>
          </w:tcPr>
          <w:p>
            <w:pPr>
              <w:adjustRightInd w:val="0"/>
              <w:snapToGrid w:val="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安全文明管理体系与措施（格式自拟）</w:t>
            </w:r>
          </w:p>
        </w:tc>
        <w:tc>
          <w:tcPr>
            <w:tcW w:w="855"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5</w:t>
            </w:r>
          </w:p>
        </w:tc>
        <w:tc>
          <w:tcPr>
            <w:tcW w:w="6886" w:type="dxa"/>
            <w:vAlign w:val="center"/>
          </w:tcPr>
          <w:p>
            <w:pPr>
              <w:adjustRightInd w:val="0"/>
              <w:snapToGrid w:val="0"/>
              <w:ind w:left="25" w:leftChars="1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环境保护管理体系与措施（格式自拟）</w:t>
            </w:r>
          </w:p>
        </w:tc>
        <w:tc>
          <w:tcPr>
            <w:tcW w:w="855"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6</w:t>
            </w:r>
          </w:p>
        </w:tc>
        <w:tc>
          <w:tcPr>
            <w:tcW w:w="6886" w:type="dxa"/>
            <w:vAlign w:val="center"/>
          </w:tcPr>
          <w:p>
            <w:pPr>
              <w:adjustRightInd w:val="0"/>
              <w:snapToGrid w:val="0"/>
              <w:ind w:left="25" w:leftChars="12"/>
              <w:rPr>
                <w:rFonts w:hint="eastAsia" w:ascii="仿宋_GB2312" w:hAnsi="仿宋_GB2312" w:eastAsia="仿宋_GB2312" w:cs="仿宋_GB2312"/>
                <w:bCs/>
                <w:kern w:val="0"/>
                <w:sz w:val="21"/>
                <w:szCs w:val="21"/>
                <w:highlight w:val="none"/>
              </w:rPr>
            </w:pPr>
            <w:r>
              <w:rPr>
                <w:rFonts w:hint="eastAsia" w:ascii="仿宋_GB2312" w:hAnsi="仿宋_GB2312" w:eastAsia="仿宋_GB2312" w:cs="仿宋_GB2312"/>
                <w:bCs/>
                <w:kern w:val="0"/>
                <w:sz w:val="21"/>
                <w:szCs w:val="21"/>
                <w:highlight w:val="none"/>
              </w:rPr>
              <w:t>资源配备计划</w:t>
            </w:r>
            <w:r>
              <w:rPr>
                <w:rFonts w:hint="eastAsia" w:ascii="仿宋_GB2312" w:hAnsi="仿宋_GB2312" w:eastAsia="仿宋_GB2312" w:cs="仿宋_GB2312"/>
                <w:kern w:val="0"/>
                <w:szCs w:val="21"/>
                <w:highlight w:val="none"/>
              </w:rPr>
              <w:t>（格式自拟）</w:t>
            </w:r>
          </w:p>
        </w:tc>
        <w:tc>
          <w:tcPr>
            <w:tcW w:w="855"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r>
              <w:rPr>
                <w:rFonts w:hint="eastAsia" w:ascii="仿宋_GB2312" w:hAnsi="仿宋_GB2312" w:eastAsia="仿宋_GB2312" w:cs="仿宋_GB2312"/>
                <w:kern w:val="0"/>
                <w:szCs w:val="21"/>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7</w:t>
            </w:r>
          </w:p>
        </w:tc>
        <w:tc>
          <w:tcPr>
            <w:tcW w:w="6886" w:type="dxa"/>
            <w:vAlign w:val="center"/>
          </w:tcPr>
          <w:p>
            <w:pPr>
              <w:adjustRightInd w:val="0"/>
              <w:snapToGrid w:val="0"/>
              <w:ind w:left="25" w:leftChars="12"/>
              <w:rPr>
                <w:rFonts w:hint="eastAsia" w:ascii="仿宋_GB2312" w:hAnsi="仿宋_GB2312" w:eastAsia="仿宋_GB2312" w:cs="仿宋_GB2312"/>
                <w:kern w:val="0"/>
                <w:szCs w:val="21"/>
                <w:highlight w:val="none"/>
              </w:rPr>
            </w:pPr>
            <w:r>
              <w:rPr>
                <w:rFonts w:hint="eastAsia" w:ascii="仿宋_GB2312" w:hAnsi="仿宋_GB2312" w:eastAsia="仿宋_GB2312" w:cs="仿宋_GB2312"/>
                <w:bCs/>
                <w:kern w:val="0"/>
                <w:sz w:val="21"/>
                <w:szCs w:val="21"/>
                <w:highlight w:val="none"/>
              </w:rPr>
              <w:t>季节施工措施</w:t>
            </w:r>
            <w:r>
              <w:rPr>
                <w:rFonts w:hint="eastAsia" w:ascii="仿宋_GB2312" w:hAnsi="仿宋_GB2312" w:eastAsia="仿宋_GB2312" w:cs="仿宋_GB2312"/>
                <w:kern w:val="0"/>
                <w:szCs w:val="21"/>
                <w:highlight w:val="none"/>
              </w:rPr>
              <w:t>（格式自拟）</w:t>
            </w:r>
          </w:p>
        </w:tc>
        <w:tc>
          <w:tcPr>
            <w:tcW w:w="855"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lang w:val="en-US" w:eastAsia="zh-CN"/>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lang w:eastAsia="zh-CN"/>
              </w:rPr>
              <w:t>8</w:t>
            </w:r>
          </w:p>
        </w:tc>
        <w:tc>
          <w:tcPr>
            <w:tcW w:w="6886" w:type="dxa"/>
            <w:vAlign w:val="center"/>
          </w:tcPr>
          <w:p>
            <w:pPr>
              <w:adjustRightInd w:val="0"/>
              <w:snapToGrid w:val="0"/>
              <w:ind w:left="25" w:leftChars="1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售后服务承诺及保修措施（格式自拟）</w:t>
            </w:r>
          </w:p>
        </w:tc>
        <w:tc>
          <w:tcPr>
            <w:tcW w:w="855"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rPr>
              <w:t>2</w:t>
            </w:r>
            <w:r>
              <w:rPr>
                <w:rFonts w:hint="eastAsia" w:ascii="仿宋_GB2312" w:hAnsi="仿宋_GB2312" w:eastAsia="仿宋_GB2312" w:cs="仿宋_GB2312"/>
                <w:kern w:val="0"/>
                <w:szCs w:val="21"/>
                <w:highlight w:val="no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lang w:val="en-US" w:eastAsia="zh-CN"/>
              </w:rPr>
              <w:t>9</w:t>
            </w:r>
          </w:p>
        </w:tc>
        <w:tc>
          <w:tcPr>
            <w:tcW w:w="6886" w:type="dxa"/>
            <w:vAlign w:val="center"/>
          </w:tcPr>
          <w:p>
            <w:pPr>
              <w:adjustRightInd w:val="0"/>
              <w:snapToGrid w:val="0"/>
              <w:ind w:left="25" w:leftChars="1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质量保证承诺书（格式自拟）</w:t>
            </w:r>
          </w:p>
        </w:tc>
        <w:tc>
          <w:tcPr>
            <w:tcW w:w="855"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lang w:val="en-US"/>
              </w:rPr>
              <w:t>1</w:t>
            </w:r>
            <w:r>
              <w:rPr>
                <w:rFonts w:hint="eastAsia" w:ascii="仿宋_GB2312" w:hAnsi="仿宋_GB2312" w:eastAsia="仿宋_GB2312" w:cs="仿宋_GB2312"/>
                <w:kern w:val="0"/>
                <w:szCs w:val="21"/>
                <w:highlight w:val="none"/>
                <w:lang w:val="en-US" w:eastAsia="zh-CN"/>
              </w:rPr>
              <w:t>0</w:t>
            </w:r>
          </w:p>
        </w:tc>
        <w:tc>
          <w:tcPr>
            <w:tcW w:w="6886" w:type="dxa"/>
            <w:vAlign w:val="center"/>
          </w:tcPr>
          <w:p>
            <w:pPr>
              <w:adjustRightInd w:val="0"/>
              <w:snapToGrid w:val="0"/>
              <w:ind w:left="25" w:leftChars="1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项目管理机构组成表</w:t>
            </w:r>
          </w:p>
        </w:tc>
        <w:tc>
          <w:tcPr>
            <w:tcW w:w="855"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lang w:val="en-US" w:eastAsia="zh-CN"/>
              </w:rPr>
              <w:t>11</w:t>
            </w:r>
          </w:p>
        </w:tc>
        <w:tc>
          <w:tcPr>
            <w:tcW w:w="6886" w:type="dxa"/>
            <w:vAlign w:val="center"/>
          </w:tcPr>
          <w:p>
            <w:pPr>
              <w:adjustRightInd w:val="0"/>
              <w:snapToGrid w:val="0"/>
              <w:ind w:left="25" w:leftChars="12"/>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主要人员简历表</w:t>
            </w:r>
          </w:p>
        </w:tc>
        <w:tc>
          <w:tcPr>
            <w:tcW w:w="855" w:type="dxa"/>
            <w:vAlign w:val="center"/>
          </w:tcPr>
          <w:p>
            <w:pPr>
              <w:adjustRightInd w:val="0"/>
              <w:snapToGrid w:val="0"/>
              <w:jc w:val="center"/>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Cs w:val="21"/>
                <w:highlight w:val="none"/>
                <w:lang w:val="en-US" w:eastAsia="zh-CN"/>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pPr>
              <w:adjustRightInd w:val="0"/>
              <w:snapToGrid w:val="0"/>
              <w:jc w:val="center"/>
              <w:rPr>
                <w:rFonts w:hint="default"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12</w:t>
            </w:r>
          </w:p>
        </w:tc>
        <w:tc>
          <w:tcPr>
            <w:tcW w:w="6886" w:type="dxa"/>
            <w:vAlign w:val="center"/>
          </w:tcPr>
          <w:p>
            <w:pPr>
              <w:adjustRightInd w:val="0"/>
              <w:snapToGrid w:val="0"/>
              <w:ind w:left="25" w:leftChars="12"/>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供应商基本情况表</w:t>
            </w:r>
          </w:p>
        </w:tc>
        <w:tc>
          <w:tcPr>
            <w:tcW w:w="855" w:type="dxa"/>
            <w:vAlign w:val="center"/>
          </w:tcPr>
          <w:p>
            <w:pPr>
              <w:adjustRightInd w:val="0"/>
              <w:snapToGrid w:val="0"/>
              <w:jc w:val="center"/>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vAlign w:val="center"/>
          </w:tcPr>
          <w:p>
            <w:pPr>
              <w:adjustRightInd w:val="0"/>
              <w:snapToGrid w:val="0"/>
              <w:jc w:val="center"/>
              <w:rPr>
                <w:rFonts w:hint="eastAsia" w:ascii="仿宋_GB2312" w:hAnsi="仿宋_GB2312" w:eastAsia="仿宋_GB2312" w:cs="仿宋_GB2312"/>
                <w:kern w:val="0"/>
                <w:szCs w:val="21"/>
                <w:highlight w:val="none"/>
              </w:rPr>
            </w:pPr>
          </w:p>
        </w:tc>
        <w:tc>
          <w:tcPr>
            <w:tcW w:w="6886" w:type="dxa"/>
            <w:vAlign w:val="center"/>
          </w:tcPr>
          <w:p>
            <w:pPr>
              <w:pStyle w:val="48"/>
              <w:adjustRightInd w:val="0"/>
              <w:snapToGrid w:val="0"/>
              <w:ind w:left="25" w:leftChars="12" w:firstLine="0" w:firstLineChars="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w:t>
            </w:r>
          </w:p>
        </w:tc>
        <w:tc>
          <w:tcPr>
            <w:tcW w:w="855" w:type="dxa"/>
            <w:vAlign w:val="center"/>
          </w:tcPr>
          <w:p>
            <w:pPr>
              <w:adjustRightInd w:val="0"/>
              <w:snapToGrid w:val="0"/>
              <w:jc w:val="center"/>
              <w:rPr>
                <w:rFonts w:hint="eastAsia" w:ascii="仿宋_GB2312" w:hAnsi="仿宋_GB2312" w:eastAsia="仿宋_GB2312" w:cs="仿宋_GB2312"/>
                <w:kern w:val="0"/>
                <w:szCs w:val="21"/>
                <w:highlight w:val="none"/>
              </w:rPr>
            </w:pPr>
          </w:p>
        </w:tc>
      </w:tr>
    </w:tbl>
    <w:p>
      <w:pPr>
        <w:adjustRightInd w:val="0"/>
        <w:snapToGrid w:val="0"/>
        <w:spacing w:line="300" w:lineRule="exact"/>
        <w:ind w:firstLine="482" w:firstLineChars="200"/>
        <w:rPr>
          <w:rFonts w:hint="eastAsia" w:ascii="仿宋_GB2312" w:hAnsi="仿宋_GB2312" w:eastAsia="仿宋_GB2312" w:cs="仿宋_GB2312"/>
          <w:b/>
          <w:sz w:val="24"/>
          <w:highlight w:val="none"/>
        </w:rPr>
      </w:pPr>
      <w:r>
        <w:rPr>
          <w:rFonts w:hint="eastAsia" w:ascii="仿宋_GB2312" w:hAnsi="仿宋_GB2312" w:eastAsia="仿宋_GB2312" w:cs="仿宋_GB2312"/>
          <w:b/>
          <w:sz w:val="24"/>
          <w:highlight w:val="none"/>
        </w:rPr>
        <w:t>重要提示：</w:t>
      </w:r>
    </w:p>
    <w:p>
      <w:pPr>
        <w:adjustRightInd w:val="0"/>
        <w:snapToGrid w:val="0"/>
        <w:spacing w:line="28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1、供应商提供的证明材料，除需要供应商填报或有特殊说明外，均须按要求提供。</w:t>
      </w:r>
    </w:p>
    <w:p>
      <w:pPr>
        <w:adjustRightInd w:val="0"/>
        <w:snapToGrid w:val="0"/>
        <w:spacing w:line="28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2、供应商在编制响应文件时，对于给定格式的文件内容，必须按照给定的标准格式进行填报；对于没有给定标准格式的文件内容，可以由供应商自行设计。</w:t>
      </w:r>
    </w:p>
    <w:p>
      <w:pPr>
        <w:adjustRightInd w:val="0"/>
        <w:snapToGrid w:val="0"/>
        <w:spacing w:line="28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3、响应文件应用中文书写。响应文件中所附或所引用的材料不是中文时，应附中文译本，并加盖单位公章（自然人参与政府采购活动的，无需加盖单位公章，需要签字）。</w:t>
      </w:r>
    </w:p>
    <w:p>
      <w:pPr>
        <w:adjustRightInd w:val="0"/>
        <w:snapToGrid w:val="0"/>
        <w:spacing w:line="280" w:lineRule="exact"/>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4、“资格证明材料”所列内容即为采购项目的资格审查条件，有一项不符合要求，不能进入下一阶段评审。</w:t>
      </w:r>
    </w:p>
    <w:p>
      <w:pPr>
        <w:adjustRightInd w:val="0"/>
        <w:snapToGrid w:val="0"/>
        <w:spacing w:line="280" w:lineRule="exact"/>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5、“符合性证明材料”所列内容即为采购项目的符合性审查条件，有一项不符合要求，不能进入下一阶段评审。</w:t>
      </w:r>
    </w:p>
    <w:p>
      <w:pPr>
        <w:adjustRightInd w:val="0"/>
        <w:snapToGrid w:val="0"/>
        <w:spacing w:line="300" w:lineRule="exact"/>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6、“其他材料”为供应商就采购文件要求的以及供应商认为需要提供的相应材料。</w:t>
      </w:r>
    </w:p>
    <w:p>
      <w:pPr>
        <w:widowControl/>
        <w:jc w:val="left"/>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kern w:val="0"/>
          <w:sz w:val="20"/>
          <w:szCs w:val="21"/>
          <w:highlight w:val="none"/>
        </w:rPr>
        <w:br w:type="page"/>
      </w:r>
      <w:bookmarkStart w:id="64" w:name="_Toc533340149"/>
      <w:bookmarkStart w:id="65" w:name="_Toc4485626"/>
      <w:bookmarkStart w:id="66" w:name="_Toc4485645"/>
      <w:r>
        <w:rPr>
          <w:rFonts w:hint="eastAsia" w:ascii="仿宋_GB2312" w:hAnsi="仿宋_GB2312" w:eastAsia="仿宋_GB2312" w:cs="仿宋_GB2312"/>
          <w:b/>
          <w:bCs/>
          <w:sz w:val="28"/>
          <w:szCs w:val="28"/>
          <w:highlight w:val="none"/>
        </w:rPr>
        <w:t>格式1</w:t>
      </w:r>
      <w:bookmarkEnd w:id="64"/>
      <w:bookmarkEnd w:id="65"/>
    </w:p>
    <w:p>
      <w:pPr>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响应文件、电子文档外封面、封口格式</w:t>
      </w:r>
    </w:p>
    <w:p>
      <w:pPr>
        <w:rPr>
          <w:rFonts w:hint="eastAsia" w:ascii="仿宋_GB2312" w:hAnsi="仿宋_GB2312" w:eastAsia="仿宋_GB2312" w:cs="仿宋_GB2312"/>
          <w:highlight w:val="none"/>
        </w:rPr>
      </w:pPr>
      <w:r>
        <w:rPr>
          <w:rFonts w:hint="eastAsia" w:ascii="仿宋_GB2312" w:hAnsi="仿宋_GB2312" w:eastAsia="仿宋_GB2312" w:cs="仿宋_GB2312"/>
          <w:sz w:val="28"/>
          <w:szCs w:val="28"/>
          <w:highlight w:val="none"/>
        </w:rPr>
        <w:t>封面格式：</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pPr>
              <w:jc w:val="center"/>
              <w:rPr>
                <w:rFonts w:hint="eastAsia" w:ascii="仿宋_GB2312" w:hAnsi="仿宋_GB2312" w:eastAsia="仿宋_GB2312" w:cs="仿宋_GB2312"/>
                <w:b/>
                <w:bCs/>
                <w:highlight w:val="none"/>
              </w:rPr>
            </w:pPr>
          </w:p>
          <w:p>
            <w:pPr>
              <w:jc w:val="center"/>
              <w:rPr>
                <w:rFonts w:hint="eastAsia" w:ascii="仿宋_GB2312" w:hAnsi="仿宋_GB2312" w:eastAsia="仿宋_GB2312" w:cs="仿宋_GB2312"/>
                <w:b/>
                <w:bCs/>
                <w:highlight w:val="none"/>
              </w:rPr>
            </w:pPr>
          </w:p>
          <w:p>
            <w:pPr>
              <w:jc w:val="center"/>
              <w:rPr>
                <w:rFonts w:hint="eastAsia" w:ascii="仿宋_GB2312" w:hAnsi="仿宋_GB2312" w:eastAsia="仿宋_GB2312" w:cs="仿宋_GB2312"/>
                <w:b/>
                <w:bCs/>
                <w:highlight w:val="none"/>
              </w:rPr>
            </w:pPr>
          </w:p>
          <w:p>
            <w:pPr>
              <w:jc w:val="center"/>
              <w:rPr>
                <w:rFonts w:hint="eastAsia" w:ascii="仿宋_GB2312" w:hAnsi="仿宋_GB2312" w:eastAsia="仿宋_GB2312" w:cs="仿宋_GB2312"/>
                <w:b/>
                <w:bCs/>
                <w:highlight w:val="none"/>
              </w:rPr>
            </w:pPr>
          </w:p>
          <w:p>
            <w:pPr>
              <w:jc w:val="center"/>
              <w:rPr>
                <w:rFonts w:hint="eastAsia" w:ascii="仿宋_GB2312" w:hAnsi="仿宋_GB2312" w:eastAsia="仿宋_GB2312" w:cs="仿宋_GB2312"/>
                <w:b/>
                <w:bCs/>
                <w:highlight w:val="none"/>
              </w:rPr>
            </w:pPr>
          </w:p>
          <w:p>
            <w:pPr>
              <w:jc w:val="center"/>
              <w:rPr>
                <w:rFonts w:hint="eastAsia" w:ascii="仿宋_GB2312" w:hAnsi="仿宋_GB2312" w:eastAsia="仿宋_GB2312" w:cs="仿宋_GB2312"/>
                <w:b/>
                <w:bCs/>
                <w:highlight w:val="none"/>
              </w:rPr>
            </w:pPr>
            <w:r>
              <w:rPr>
                <w:rFonts w:hint="eastAsia" w:ascii="仿宋_GB2312" w:hAnsi="仿宋_GB2312" w:eastAsia="仿宋_GB2312" w:cs="仿宋_GB2312"/>
                <w:b/>
                <w:bCs/>
                <w:sz w:val="44"/>
                <w:szCs w:val="52"/>
                <w:highlight w:val="none"/>
              </w:rPr>
              <w:t>响应文件/电子文档</w:t>
            </w:r>
          </w:p>
          <w:p>
            <w:pPr>
              <w:jc w:val="left"/>
              <w:rPr>
                <w:rFonts w:hint="eastAsia" w:ascii="仿宋_GB2312" w:hAnsi="仿宋_GB2312" w:eastAsia="仿宋_GB2312" w:cs="仿宋_GB2312"/>
                <w:highlight w:val="none"/>
              </w:rPr>
            </w:pPr>
          </w:p>
          <w:p>
            <w:pPr>
              <w:jc w:val="left"/>
              <w:rPr>
                <w:rFonts w:hint="eastAsia" w:ascii="仿宋_GB2312" w:hAnsi="仿宋_GB2312" w:eastAsia="仿宋_GB2312" w:cs="仿宋_GB2312"/>
                <w:highlight w:val="none"/>
              </w:rPr>
            </w:pPr>
          </w:p>
          <w:p>
            <w:pPr>
              <w:jc w:val="left"/>
              <w:rPr>
                <w:rFonts w:hint="eastAsia" w:ascii="仿宋_GB2312" w:hAnsi="仿宋_GB2312" w:eastAsia="仿宋_GB2312" w:cs="仿宋_GB2312"/>
                <w:highlight w:val="none"/>
              </w:rPr>
            </w:pPr>
          </w:p>
          <w:p>
            <w:pPr>
              <w:jc w:val="left"/>
              <w:rPr>
                <w:rFonts w:hint="eastAsia" w:ascii="仿宋_GB2312" w:hAnsi="仿宋_GB2312" w:eastAsia="仿宋_GB2312" w:cs="仿宋_GB2312"/>
                <w:highlight w:val="none"/>
              </w:rPr>
            </w:pPr>
          </w:p>
          <w:p>
            <w:pPr>
              <w:jc w:val="left"/>
              <w:rPr>
                <w:rFonts w:hint="eastAsia" w:ascii="仿宋_GB2312" w:hAnsi="仿宋_GB2312" w:eastAsia="仿宋_GB2312" w:cs="仿宋_GB2312"/>
                <w:highlight w:val="none"/>
              </w:rPr>
            </w:pPr>
          </w:p>
          <w:p>
            <w:pPr>
              <w:jc w:val="left"/>
              <w:rPr>
                <w:rFonts w:hint="eastAsia" w:ascii="仿宋_GB2312" w:hAnsi="仿宋_GB2312" w:eastAsia="仿宋_GB2312" w:cs="仿宋_GB2312"/>
                <w:highlight w:val="none"/>
              </w:rPr>
            </w:pPr>
          </w:p>
          <w:p>
            <w:pPr>
              <w:jc w:val="left"/>
              <w:rPr>
                <w:rFonts w:hint="eastAsia" w:ascii="仿宋_GB2312" w:hAnsi="仿宋_GB2312" w:eastAsia="仿宋_GB2312" w:cs="仿宋_GB2312"/>
                <w:highlight w:val="none"/>
              </w:rPr>
            </w:pPr>
          </w:p>
          <w:p>
            <w:pPr>
              <w:jc w:val="left"/>
              <w:rPr>
                <w:rFonts w:hint="eastAsia" w:ascii="仿宋_GB2312" w:hAnsi="仿宋_GB2312" w:eastAsia="仿宋_GB2312" w:cs="仿宋_GB2312"/>
                <w:highlight w:val="none"/>
              </w:rPr>
            </w:pPr>
          </w:p>
          <w:p>
            <w:pPr>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rPr>
              <w:t>所响应包号：</w:t>
            </w:r>
            <w:r>
              <w:rPr>
                <w:rFonts w:hint="eastAsia" w:ascii="仿宋_GB2312" w:hAnsi="仿宋_GB2312" w:eastAsia="仿宋_GB2312" w:cs="仿宋_GB2312"/>
                <w:highlight w:val="none"/>
                <w:lang w:val="en-US" w:eastAsia="zh-CN"/>
              </w:rPr>
              <w:t>第001</w:t>
            </w:r>
            <w:r>
              <w:rPr>
                <w:rFonts w:hint="eastAsia" w:ascii="仿宋_GB2312" w:hAnsi="仿宋_GB2312" w:eastAsia="仿宋_GB2312" w:cs="仿宋_GB2312"/>
                <w:highlight w:val="none"/>
              </w:rPr>
              <w:t>包</w:t>
            </w:r>
          </w:p>
          <w:p>
            <w:pPr>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rPr>
              <w:t>项目名称：</w:t>
            </w:r>
          </w:p>
          <w:p>
            <w:pPr>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rPr>
              <w:t>项目编号：</w:t>
            </w:r>
          </w:p>
          <w:p>
            <w:pPr>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供应商名称（加盖单位公章）：</w:t>
            </w:r>
          </w:p>
        </w:tc>
      </w:tr>
    </w:tbl>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r>
        <w:rPr>
          <w:rFonts w:hint="eastAsia" w:ascii="仿宋_GB2312" w:hAnsi="仿宋_GB2312" w:eastAsia="仿宋_GB2312" w:cs="仿宋_GB2312"/>
          <w:sz w:val="24"/>
          <w:szCs w:val="32"/>
          <w:highlight w:val="none"/>
        </w:rPr>
        <w:t>封口格式：</w:t>
      </w:r>
    </w:p>
    <w:tbl>
      <w:tblPr>
        <w:tblStyle w:val="25"/>
        <w:tblW w:w="8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85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——于   年  月  日   时之前不准启封（公章）——</w:t>
            </w:r>
          </w:p>
        </w:tc>
      </w:tr>
    </w:tbl>
    <w:p>
      <w:pPr>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highlight w:val="none"/>
        </w:rPr>
        <w:br w:type="page"/>
      </w:r>
      <w:bookmarkStart w:id="67" w:name="_Toc533340150"/>
      <w:bookmarkStart w:id="68" w:name="_Toc4485627"/>
      <w:r>
        <w:rPr>
          <w:rFonts w:hint="eastAsia" w:ascii="仿宋_GB2312" w:hAnsi="仿宋_GB2312" w:eastAsia="仿宋_GB2312" w:cs="仿宋_GB2312"/>
          <w:b/>
          <w:bCs/>
          <w:sz w:val="28"/>
          <w:szCs w:val="28"/>
          <w:highlight w:val="none"/>
        </w:rPr>
        <w:t>格式2</w:t>
      </w:r>
      <w:bookmarkEnd w:id="67"/>
      <w:bookmarkEnd w:id="68"/>
    </w:p>
    <w:p>
      <w:pPr>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sz w:val="32"/>
          <w:highlight w:val="none"/>
        </w:rPr>
        <mc:AlternateContent>
          <mc:Choice Requires="wps">
            <w:drawing>
              <wp:anchor distT="0" distB="0" distL="114300" distR="114300" simplePos="0" relativeHeight="251661312"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05.4pt;margin-top:28.45pt;height:44.35pt;width:98.7pt;z-index:251661312;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1XXs+2QAAAAoBAAAPAAAAAAAA&#10;AAEAIAAAACIAAABkcnMvZG93bnJldi54bWxQSwECFAAUAAAACACHTuJA6Ns0ShECAABEBAAADgAA&#10;AAAAAAABACAAAAAoAQAAZHJzL2Uyb0RvYy54bWxQSwUGAAAAAAYABgBZAQAAqwUA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_GB2312" w:hAnsi="仿宋_GB2312" w:eastAsia="仿宋_GB2312" w:cs="仿宋_GB2312"/>
          <w:b/>
          <w:bCs/>
          <w:sz w:val="32"/>
          <w:szCs w:val="32"/>
          <w:highlight w:val="none"/>
        </w:rPr>
        <w:t>响应文件的封皮</w:t>
      </w: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jc w:val="center"/>
        <w:rPr>
          <w:rFonts w:hint="eastAsia" w:ascii="仿宋_GB2312" w:hAnsi="仿宋_GB2312" w:eastAsia="仿宋_GB2312" w:cs="仿宋_GB2312"/>
          <w:b/>
          <w:bCs/>
          <w:sz w:val="52"/>
          <w:szCs w:val="52"/>
          <w:highlight w:val="none"/>
        </w:rPr>
      </w:pPr>
      <w:r>
        <w:rPr>
          <w:rFonts w:hint="eastAsia" w:ascii="仿宋_GB2312" w:hAnsi="仿宋_GB2312" w:eastAsia="仿宋_GB2312" w:cs="仿宋_GB2312"/>
          <w:b/>
          <w:bCs/>
          <w:sz w:val="52"/>
          <w:szCs w:val="52"/>
          <w:highlight w:val="none"/>
        </w:rPr>
        <w:t>响  应  文  件</w:t>
      </w: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所响应包号：</w:t>
      </w:r>
      <w:r>
        <w:rPr>
          <w:rFonts w:hint="eastAsia" w:ascii="仿宋_GB2312" w:hAnsi="仿宋_GB2312" w:eastAsia="仿宋_GB2312" w:cs="仿宋_GB2312"/>
          <w:sz w:val="28"/>
          <w:szCs w:val="28"/>
          <w:highlight w:val="none"/>
          <w:lang w:val="en-US" w:eastAsia="zh-CN"/>
        </w:rPr>
        <w:t>第001</w:t>
      </w:r>
      <w:r>
        <w:rPr>
          <w:rFonts w:hint="eastAsia" w:ascii="仿宋_GB2312" w:hAnsi="仿宋_GB2312" w:eastAsia="仿宋_GB2312" w:cs="仿宋_GB2312"/>
          <w:sz w:val="28"/>
          <w:szCs w:val="28"/>
          <w:highlight w:val="none"/>
        </w:rPr>
        <w:t>包</w:t>
      </w:r>
    </w:p>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项目名称：</w:t>
      </w:r>
    </w:p>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项目编号：</w:t>
      </w:r>
    </w:p>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供应商名称 ：</w:t>
      </w:r>
    </w:p>
    <w:p>
      <w:pPr>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sz w:val="28"/>
          <w:szCs w:val="28"/>
          <w:highlight w:val="none"/>
        </w:rPr>
        <w:br w:type="page"/>
      </w:r>
      <w:bookmarkStart w:id="69" w:name="_Toc4485628"/>
      <w:bookmarkStart w:id="70" w:name="_Toc533340151"/>
      <w:r>
        <w:rPr>
          <w:rFonts w:hint="eastAsia" w:ascii="仿宋_GB2312" w:hAnsi="仿宋_GB2312" w:eastAsia="仿宋_GB2312" w:cs="仿宋_GB2312"/>
          <w:b/>
          <w:bCs/>
          <w:sz w:val="28"/>
          <w:szCs w:val="28"/>
          <w:highlight w:val="none"/>
        </w:rPr>
        <w:t>格式3</w:t>
      </w:r>
      <w:bookmarkEnd w:id="69"/>
      <w:bookmarkEnd w:id="70"/>
    </w:p>
    <w:p>
      <w:pPr>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目  录</w:t>
      </w:r>
    </w:p>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t>一、资格证明材料</w:t>
      </w:r>
    </w:p>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t>……</w:t>
      </w:r>
    </w:p>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t>二、符合性证明材料</w:t>
      </w:r>
    </w:p>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t>……</w:t>
      </w:r>
    </w:p>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t>三、其它材料</w:t>
      </w:r>
    </w:p>
    <w:p>
      <w:pP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p>
    <w:p>
      <w:pPr>
        <w:rPr>
          <w:rFonts w:hint="eastAsia" w:ascii="仿宋_GB2312" w:hAnsi="仿宋_GB2312" w:eastAsia="仿宋_GB2312" w:cs="仿宋_GB2312"/>
          <w:szCs w:val="21"/>
          <w:highlight w:val="none"/>
        </w:rPr>
      </w:pPr>
    </w:p>
    <w:p>
      <w:pPr>
        <w:rPr>
          <w:rFonts w:hint="eastAsia" w:ascii="仿宋_GB2312" w:hAnsi="仿宋_GB2312" w:eastAsia="仿宋_GB2312" w:cs="仿宋_GB2312"/>
          <w:szCs w:val="21"/>
          <w:highlight w:val="none"/>
        </w:rPr>
      </w:pPr>
    </w:p>
    <w:p>
      <w:pPr>
        <w:rPr>
          <w:rFonts w:hint="eastAsia" w:ascii="仿宋_GB2312" w:hAnsi="仿宋_GB2312" w:eastAsia="仿宋_GB2312" w:cs="仿宋_GB2312"/>
          <w:szCs w:val="21"/>
          <w:highlight w:val="none"/>
        </w:rPr>
      </w:pPr>
    </w:p>
    <w:p>
      <w:pPr>
        <w:adjustRightInd w:val="0"/>
        <w:snapToGrid w:val="0"/>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我单位的响应文件由资格证明材料、符合性证明材料和其它材料三部分组成，在此加盖单位公章并由法定代表人（或非法人组织负责人）或其授权委托人签字，保证响应文件中所有材料真实、有效。</w:t>
      </w:r>
    </w:p>
    <w:p>
      <w:pPr>
        <w:rPr>
          <w:rFonts w:hint="eastAsia" w:ascii="仿宋_GB2312" w:hAnsi="仿宋_GB2312" w:eastAsia="仿宋_GB2312" w:cs="仿宋_GB2312"/>
          <w:highlight w:val="none"/>
        </w:rPr>
      </w:pPr>
    </w:p>
    <w:p>
      <w:pPr>
        <w:snapToGrid w:val="0"/>
        <w:spacing w:line="480" w:lineRule="auto"/>
        <w:rPr>
          <w:rFonts w:hint="eastAsia" w:ascii="仿宋_GB2312" w:hAnsi="仿宋_GB2312" w:eastAsia="仿宋_GB2312" w:cs="仿宋_GB2312"/>
          <w:highlight w:val="none"/>
        </w:rPr>
      </w:pPr>
    </w:p>
    <w:p>
      <w:pPr>
        <w:snapToGrid w:val="0"/>
        <w:spacing w:line="480" w:lineRule="auto"/>
        <w:rPr>
          <w:rFonts w:hint="eastAsia" w:ascii="仿宋_GB2312" w:hAnsi="仿宋_GB2312" w:eastAsia="仿宋_GB2312" w:cs="仿宋_GB2312"/>
          <w:highlight w:val="none"/>
        </w:rPr>
      </w:pPr>
    </w:p>
    <w:p>
      <w:pPr>
        <w:snapToGrid w:val="0"/>
        <w:spacing w:line="48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供应商名称（加盖单位公章）：</w:t>
      </w:r>
      <w:r>
        <w:rPr>
          <w:rFonts w:hint="eastAsia" w:ascii="仿宋_GB2312" w:hAnsi="仿宋_GB2312" w:eastAsia="仿宋_GB2312" w:cs="仿宋_GB2312"/>
          <w:highlight w:val="none"/>
          <w:u w:val="single"/>
        </w:rPr>
        <w:t xml:space="preserve">           </w:t>
      </w:r>
    </w:p>
    <w:p>
      <w:pPr>
        <w:snapToGrid w:val="0"/>
        <w:spacing w:line="48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其授权委托人(签字或盖章)：</w:t>
      </w:r>
      <w:r>
        <w:rPr>
          <w:rFonts w:hint="eastAsia" w:ascii="仿宋_GB2312" w:hAnsi="仿宋_GB2312" w:eastAsia="仿宋_GB2312" w:cs="仿宋_GB2312"/>
          <w:highlight w:val="none"/>
          <w:u w:val="single"/>
        </w:rPr>
        <w:t xml:space="preserve">           </w:t>
      </w:r>
    </w:p>
    <w:p>
      <w:pPr>
        <w:bidi w:val="0"/>
        <w:rPr>
          <w:rFonts w:hint="eastAsia" w:ascii="仿宋_GB2312" w:hAnsi="仿宋_GB2312" w:eastAsia="仿宋_GB2312" w:cs="仿宋_GB2312"/>
          <w:highlight w:val="none"/>
          <w:u w:val="single"/>
        </w:rPr>
      </w:pPr>
      <w:r>
        <w:rPr>
          <w:rFonts w:hint="eastAsia" w:ascii="仿宋_GB2312" w:hAnsi="仿宋_GB2312" w:eastAsia="仿宋_GB2312" w:cs="仿宋_GB2312"/>
          <w:highlight w:val="none"/>
        </w:rPr>
        <w:t xml:space="preserve">日期：  </w:t>
      </w:r>
      <w:r>
        <w:rPr>
          <w:rFonts w:hint="eastAsia" w:ascii="仿宋_GB2312" w:hAnsi="仿宋_GB2312" w:eastAsia="仿宋_GB2312" w:cs="仿宋_GB2312"/>
          <w:highlight w:val="none"/>
          <w:u w:val="single"/>
        </w:rPr>
        <w:t xml:space="preserve">               </w:t>
      </w:r>
    </w:p>
    <w:p>
      <w:pPr>
        <w:keepNext/>
        <w:keepLines/>
        <w:adjustRightInd w:val="0"/>
        <w:snapToGrid w:val="0"/>
        <w:spacing w:before="260" w:after="260"/>
        <w:jc w:val="left"/>
        <w:outlineLvl w:val="1"/>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32"/>
          <w:highlight w:val="none"/>
        </w:rPr>
        <w:br w:type="page"/>
      </w:r>
      <w:bookmarkStart w:id="71" w:name="_Toc4485629"/>
      <w:bookmarkStart w:id="72" w:name="_Toc533340152"/>
      <w:r>
        <w:rPr>
          <w:rFonts w:hint="eastAsia" w:ascii="仿宋_GB2312" w:hAnsi="仿宋_GB2312" w:eastAsia="仿宋_GB2312" w:cs="仿宋_GB2312"/>
          <w:b/>
          <w:sz w:val="28"/>
          <w:szCs w:val="28"/>
          <w:highlight w:val="none"/>
        </w:rPr>
        <w:t>格式4</w:t>
      </w:r>
      <w:bookmarkEnd w:id="71"/>
      <w:bookmarkEnd w:id="72"/>
    </w:p>
    <w:p>
      <w:pPr>
        <w:spacing w:beforeLines="100" w:afterLines="100" w:line="360" w:lineRule="auto"/>
        <w:jc w:val="center"/>
        <w:rPr>
          <w:rFonts w:hint="eastAsia" w:ascii="仿宋_GB2312" w:hAnsi="仿宋_GB2312" w:eastAsia="仿宋_GB2312" w:cs="仿宋_GB2312"/>
          <w:b/>
          <w:bCs/>
          <w:sz w:val="32"/>
          <w:szCs w:val="32"/>
          <w:highlight w:val="none"/>
        </w:rPr>
      </w:pPr>
      <w:bookmarkStart w:id="73" w:name="_Toc4485630"/>
      <w:bookmarkStart w:id="74" w:name="_Toc533340153"/>
      <w:r>
        <w:rPr>
          <w:rFonts w:hint="eastAsia" w:ascii="仿宋_GB2312" w:hAnsi="仿宋_GB2312" w:eastAsia="仿宋_GB2312" w:cs="仿宋_GB2312"/>
          <w:b/>
          <w:bCs/>
          <w:sz w:val="32"/>
          <w:szCs w:val="32"/>
          <w:highlight w:val="none"/>
        </w:rPr>
        <w:t>法定代表人（或非法人组织负责人）身份证明书</w:t>
      </w:r>
    </w:p>
    <w:p>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，性别：</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 xml:space="preserve">   </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，出生日期：</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，现任职务：</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 xml:space="preserve">  </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，系</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（供应商名称）的法定代表人（或非法人组织负责人）。</w:t>
      </w:r>
    </w:p>
    <w:p>
      <w:pPr>
        <w:ind w:firstLine="420" w:firstLineChars="200"/>
        <w:rPr>
          <w:rFonts w:hint="eastAsia" w:ascii="仿宋_GB2312" w:hAnsi="仿宋_GB2312" w:eastAsia="仿宋_GB2312" w:cs="仿宋_GB2312"/>
          <w:szCs w:val="21"/>
          <w:highlight w:val="none"/>
        </w:rPr>
      </w:pPr>
    </w:p>
    <w:p>
      <w:pPr>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特此证明。</w:t>
      </w:r>
    </w:p>
    <w:p>
      <w:pPr>
        <w:rPr>
          <w:rFonts w:hint="eastAsia" w:ascii="仿宋_GB2312" w:hAnsi="仿宋_GB2312" w:eastAsia="仿宋_GB2312" w:cs="仿宋_GB2312"/>
          <w:szCs w:val="21"/>
          <w:highlight w:val="none"/>
        </w:rPr>
      </w:pPr>
    </w:p>
    <w:p>
      <w:pPr>
        <w:rPr>
          <w:rFonts w:hint="eastAsia" w:ascii="仿宋_GB2312" w:hAnsi="仿宋_GB2312" w:eastAsia="仿宋_GB2312" w:cs="仿宋_GB2312"/>
          <w:szCs w:val="21"/>
          <w:highlight w:val="none"/>
        </w:rPr>
      </w:pPr>
    </w:p>
    <w:p>
      <w:pPr>
        <w:rPr>
          <w:rFonts w:hint="eastAsia" w:ascii="仿宋_GB2312" w:hAnsi="仿宋_GB2312" w:eastAsia="仿宋_GB2312" w:cs="仿宋_GB2312"/>
          <w:szCs w:val="21"/>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（※法定代表人（或非法人组织负责人）身份证正、反面复印件※）</w:t>
            </w:r>
          </w:p>
        </w:tc>
      </w:tr>
    </w:tbl>
    <w:p>
      <w:pPr>
        <w:rPr>
          <w:rFonts w:hint="eastAsia" w:ascii="仿宋_GB2312" w:hAnsi="仿宋_GB2312" w:eastAsia="仿宋_GB2312" w:cs="仿宋_GB2312"/>
          <w:szCs w:val="21"/>
          <w:highlight w:val="none"/>
        </w:rPr>
      </w:pPr>
    </w:p>
    <w:p>
      <w:pPr>
        <w:rPr>
          <w:rFonts w:hint="eastAsia" w:ascii="仿宋_GB2312" w:hAnsi="仿宋_GB2312" w:eastAsia="仿宋_GB2312" w:cs="仿宋_GB2312"/>
          <w:szCs w:val="21"/>
          <w:highlight w:val="none"/>
        </w:rPr>
      </w:pPr>
    </w:p>
    <w:p>
      <w:pPr>
        <w:rPr>
          <w:rFonts w:hint="eastAsia" w:ascii="仿宋_GB2312" w:hAnsi="仿宋_GB2312" w:eastAsia="仿宋_GB2312" w:cs="仿宋_GB2312"/>
          <w:szCs w:val="21"/>
          <w:highlight w:val="none"/>
        </w:rPr>
      </w:pPr>
    </w:p>
    <w:p>
      <w:pPr>
        <w:rPr>
          <w:rFonts w:hint="eastAsia" w:ascii="仿宋_GB2312" w:hAnsi="仿宋_GB2312" w:eastAsia="仿宋_GB2312" w:cs="仿宋_GB2312"/>
          <w:szCs w:val="21"/>
          <w:highlight w:val="none"/>
        </w:rPr>
      </w:pPr>
    </w:p>
    <w:p>
      <w:pPr>
        <w:rPr>
          <w:rFonts w:hint="eastAsia" w:ascii="仿宋_GB2312" w:hAnsi="仿宋_GB2312" w:eastAsia="仿宋_GB2312" w:cs="仿宋_GB2312"/>
          <w:szCs w:val="21"/>
          <w:highlight w:val="none"/>
        </w:rPr>
      </w:pPr>
    </w:p>
    <w:p>
      <w:pPr>
        <w:rPr>
          <w:rFonts w:hint="eastAsia" w:ascii="仿宋_GB2312" w:hAnsi="仿宋_GB2312" w:eastAsia="仿宋_GB2312" w:cs="仿宋_GB2312"/>
          <w:szCs w:val="21"/>
          <w:highlight w:val="none"/>
        </w:rPr>
      </w:pPr>
    </w:p>
    <w:p>
      <w:pPr>
        <w:rPr>
          <w:rFonts w:hint="eastAsia" w:ascii="仿宋_GB2312" w:hAnsi="仿宋_GB2312" w:eastAsia="仿宋_GB2312" w:cs="仿宋_GB2312"/>
          <w:szCs w:val="21"/>
          <w:highlight w:val="none"/>
        </w:rPr>
      </w:pPr>
    </w:p>
    <w:p>
      <w:pPr>
        <w:rPr>
          <w:rFonts w:hint="eastAsia" w:ascii="仿宋_GB2312" w:hAnsi="仿宋_GB2312" w:eastAsia="仿宋_GB2312" w:cs="仿宋_GB2312"/>
          <w:szCs w:val="21"/>
          <w:highlight w:val="none"/>
        </w:rPr>
      </w:pPr>
    </w:p>
    <w:p>
      <w:pPr>
        <w:spacing w:line="48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供应商名称（加盖单位公章）：</w:t>
      </w:r>
      <w:r>
        <w:rPr>
          <w:rFonts w:hint="eastAsia" w:ascii="仿宋_GB2312" w:hAnsi="仿宋_GB2312" w:eastAsia="仿宋_GB2312" w:cs="仿宋_GB2312"/>
          <w:highlight w:val="none"/>
          <w:u w:val="single"/>
        </w:rPr>
        <w:t xml:space="preserve">           </w:t>
      </w:r>
    </w:p>
    <w:p>
      <w:pPr>
        <w:spacing w:line="48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日期： </w:t>
      </w:r>
      <w:r>
        <w:rPr>
          <w:rFonts w:hint="eastAsia" w:ascii="仿宋_GB2312" w:hAnsi="仿宋_GB2312" w:eastAsia="仿宋_GB2312" w:cs="仿宋_GB2312"/>
          <w:highlight w:val="none"/>
          <w:u w:val="single"/>
        </w:rPr>
        <w:t xml:space="preserve">             </w:t>
      </w:r>
    </w:p>
    <w:p>
      <w:pP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pPr>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格式5</w:t>
      </w:r>
      <w:bookmarkEnd w:id="73"/>
      <w:bookmarkEnd w:id="74"/>
    </w:p>
    <w:p>
      <w:pPr>
        <w:spacing w:beforeLines="100" w:afterLines="100" w:line="36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法定代表人（或非法人组织负责人）授权委托书</w:t>
      </w:r>
    </w:p>
    <w:p>
      <w:pPr>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单位名称：</w:t>
      </w:r>
      <w:r>
        <w:rPr>
          <w:rFonts w:hint="eastAsia" w:ascii="仿宋_GB2312" w:hAnsi="仿宋_GB2312" w:eastAsia="仿宋_GB2312" w:cs="仿宋_GB2312"/>
          <w:szCs w:val="21"/>
          <w:highlight w:val="none"/>
          <w:u w:val="single"/>
        </w:rPr>
        <w:t xml:space="preserve">           </w:t>
      </w:r>
    </w:p>
    <w:p>
      <w:pPr>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法定代表人（或非法人组织负责人）姓名：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身份证号码：</w:t>
      </w:r>
      <w:r>
        <w:rPr>
          <w:rFonts w:hint="eastAsia" w:ascii="仿宋_GB2312" w:hAnsi="仿宋_GB2312" w:eastAsia="仿宋_GB2312" w:cs="仿宋_GB2312"/>
          <w:szCs w:val="21"/>
          <w:highlight w:val="none"/>
          <w:u w:val="single"/>
        </w:rPr>
        <w:t xml:space="preserve">         </w:t>
      </w:r>
    </w:p>
    <w:p>
      <w:pPr>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住所地：</w:t>
      </w:r>
      <w:r>
        <w:rPr>
          <w:rFonts w:hint="eastAsia" w:ascii="仿宋_GB2312" w:hAnsi="仿宋_GB2312" w:eastAsia="仿宋_GB2312" w:cs="仿宋_GB2312"/>
          <w:szCs w:val="21"/>
          <w:highlight w:val="none"/>
          <w:u w:val="single"/>
        </w:rPr>
        <w:t xml:space="preserve">                       </w:t>
      </w:r>
    </w:p>
    <w:p>
      <w:pPr>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highlight w:val="none"/>
        </w:rPr>
        <w:t>授权委托人姓名</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身份证号码：</w:t>
      </w:r>
      <w:r>
        <w:rPr>
          <w:rFonts w:hint="eastAsia" w:ascii="仿宋_GB2312" w:hAnsi="仿宋_GB2312" w:eastAsia="仿宋_GB2312" w:cs="仿宋_GB2312"/>
          <w:szCs w:val="21"/>
          <w:highlight w:val="none"/>
          <w:u w:val="single"/>
        </w:rPr>
        <w:t xml:space="preserve">         </w:t>
      </w:r>
    </w:p>
    <w:p>
      <w:pPr>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工作单位：</w:t>
      </w:r>
      <w:r>
        <w:rPr>
          <w:rFonts w:hint="eastAsia" w:ascii="仿宋_GB2312" w:hAnsi="仿宋_GB2312" w:eastAsia="仿宋_GB2312" w:cs="仿宋_GB2312"/>
          <w:szCs w:val="21"/>
          <w:highlight w:val="none"/>
          <w:u w:val="single"/>
        </w:rPr>
        <w:t xml:space="preserve">                    </w:t>
      </w:r>
    </w:p>
    <w:p>
      <w:pPr>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住址：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电话：</w:t>
      </w:r>
      <w:r>
        <w:rPr>
          <w:rFonts w:hint="eastAsia" w:ascii="仿宋_GB2312" w:hAnsi="仿宋_GB2312" w:eastAsia="仿宋_GB2312" w:cs="仿宋_GB2312"/>
          <w:szCs w:val="21"/>
          <w:highlight w:val="none"/>
          <w:u w:val="single"/>
        </w:rPr>
        <w:t xml:space="preserve">               </w:t>
      </w:r>
    </w:p>
    <w:p>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现委托</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就</w:t>
      </w:r>
      <w:r>
        <w:rPr>
          <w:rFonts w:hint="eastAsia" w:ascii="仿宋_GB2312" w:hAnsi="仿宋_GB2312" w:eastAsia="仿宋_GB2312" w:cs="仿宋_GB2312"/>
          <w:szCs w:val="21"/>
          <w:highlight w:val="none"/>
          <w:u w:val="single"/>
        </w:rPr>
        <w:t>（项目编号、项目名称、</w:t>
      </w:r>
      <w:r>
        <w:rPr>
          <w:rFonts w:hint="eastAsia" w:ascii="仿宋_GB2312" w:hAnsi="仿宋_GB2312" w:eastAsia="仿宋_GB2312" w:cs="仿宋_GB2312"/>
          <w:szCs w:val="21"/>
          <w:highlight w:val="none"/>
          <w:u w:val="single"/>
          <w:lang w:val="en-US" w:eastAsia="zh-CN"/>
        </w:rPr>
        <w:t>001包</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szCs w:val="21"/>
          <w:highlight w:val="none"/>
        </w:rPr>
        <w:t>政府采购活动，以我单位名义处理一切与之有关的事务。</w:t>
      </w:r>
    </w:p>
    <w:p>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本授权书于</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年</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月</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日签字或盖章</w:t>
      </w:r>
      <w:r>
        <w:rPr>
          <w:rFonts w:hint="eastAsia" w:ascii="仿宋_GB2312" w:hAnsi="仿宋_GB2312" w:eastAsia="仿宋_GB2312" w:cs="仿宋_GB2312"/>
          <w:b/>
          <w:szCs w:val="21"/>
          <w:highlight w:val="none"/>
        </w:rPr>
        <w:t>生效，无转委托，</w:t>
      </w:r>
      <w:r>
        <w:rPr>
          <w:rFonts w:hint="eastAsia" w:ascii="仿宋_GB2312" w:hAnsi="仿宋_GB2312" w:eastAsia="仿宋_GB2312" w:cs="仿宋_GB2312"/>
          <w:szCs w:val="21"/>
          <w:highlight w:val="none"/>
        </w:rPr>
        <w:t>特此声明。</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highlight w:val="none"/>
              </w:rPr>
              <w:t>授权委托人</w:t>
            </w:r>
            <w:r>
              <w:rPr>
                <w:rFonts w:hint="eastAsia" w:ascii="仿宋_GB2312" w:hAnsi="仿宋_GB2312" w:eastAsia="仿宋_GB2312" w:cs="仿宋_GB2312"/>
                <w:szCs w:val="21"/>
                <w:highlight w:val="none"/>
              </w:rPr>
              <w:t>身份证正、反面复印件※）</w:t>
            </w:r>
          </w:p>
        </w:tc>
      </w:tr>
    </w:tbl>
    <w:p>
      <w:pPr>
        <w:spacing w:line="360" w:lineRule="auto"/>
        <w:rPr>
          <w:rFonts w:hint="eastAsia" w:ascii="仿宋_GB2312" w:hAnsi="仿宋_GB2312" w:eastAsia="仿宋_GB2312" w:cs="仿宋_GB2312"/>
          <w:szCs w:val="21"/>
          <w:highlight w:val="none"/>
        </w:rPr>
      </w:pPr>
    </w:p>
    <w:p>
      <w:pPr>
        <w:spacing w:line="360" w:lineRule="auto"/>
        <w:rPr>
          <w:rFonts w:hint="eastAsia" w:ascii="仿宋_GB2312" w:hAnsi="仿宋_GB2312" w:eastAsia="仿宋_GB2312" w:cs="仿宋_GB2312"/>
          <w:szCs w:val="21"/>
          <w:highlight w:val="none"/>
        </w:rPr>
      </w:pPr>
    </w:p>
    <w:p>
      <w:pPr>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委托人（加盖单位公章）：</w:t>
      </w:r>
      <w:r>
        <w:rPr>
          <w:rFonts w:hint="eastAsia" w:ascii="仿宋_GB2312" w:hAnsi="仿宋_GB2312" w:eastAsia="仿宋_GB2312" w:cs="仿宋_GB2312"/>
          <w:szCs w:val="21"/>
          <w:highlight w:val="none"/>
          <w:u w:val="single"/>
        </w:rPr>
        <w:t xml:space="preserve">          </w:t>
      </w:r>
    </w:p>
    <w:p>
      <w:pPr>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法定代表人（或非法人组织负责人）（签字或盖章）：</w:t>
      </w:r>
      <w:r>
        <w:rPr>
          <w:rFonts w:hint="eastAsia" w:ascii="仿宋_GB2312" w:hAnsi="仿宋_GB2312" w:eastAsia="仿宋_GB2312" w:cs="仿宋_GB2312"/>
          <w:szCs w:val="21"/>
          <w:highlight w:val="none"/>
          <w:u w:val="single"/>
        </w:rPr>
        <w:t xml:space="preserve">               </w:t>
      </w:r>
    </w:p>
    <w:p>
      <w:pPr>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highlight w:val="none"/>
        </w:rPr>
        <w:t>授权委托人</w:t>
      </w:r>
      <w:r>
        <w:rPr>
          <w:rFonts w:hint="eastAsia" w:ascii="仿宋_GB2312" w:hAnsi="仿宋_GB2312" w:eastAsia="仿宋_GB2312" w:cs="仿宋_GB2312"/>
          <w:szCs w:val="21"/>
          <w:highlight w:val="none"/>
        </w:rPr>
        <w:t>：（签字或盖章）</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pPr>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详细通讯地址：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邮政编码 ：</w:t>
      </w:r>
      <w:r>
        <w:rPr>
          <w:rFonts w:hint="eastAsia" w:ascii="仿宋_GB2312" w:hAnsi="仿宋_GB2312" w:eastAsia="仿宋_GB2312" w:cs="仿宋_GB2312"/>
          <w:szCs w:val="21"/>
          <w:highlight w:val="none"/>
          <w:u w:val="single"/>
        </w:rPr>
        <w:t xml:space="preserve">              </w:t>
      </w:r>
    </w:p>
    <w:p>
      <w:pPr>
        <w:spacing w:line="360" w:lineRule="auto"/>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传        真：</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    话：</w:t>
      </w:r>
      <w:r>
        <w:rPr>
          <w:rFonts w:hint="eastAsia" w:ascii="仿宋_GB2312" w:hAnsi="仿宋_GB2312" w:eastAsia="仿宋_GB2312" w:cs="仿宋_GB2312"/>
          <w:szCs w:val="21"/>
          <w:highlight w:val="none"/>
          <w:u w:val="single"/>
        </w:rPr>
        <w:t xml:space="preserve">              </w:t>
      </w:r>
    </w:p>
    <w:p>
      <w:pPr>
        <w:spacing w:line="360" w:lineRule="auto"/>
        <w:jc w:val="left"/>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pPr>
        <w:spacing w:line="360" w:lineRule="auto"/>
        <w:jc w:val="left"/>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szCs w:val="28"/>
          <w:highlight w:val="none"/>
        </w:rPr>
        <w:br w:type="page"/>
      </w:r>
      <w:bookmarkStart w:id="75" w:name="_Toc4485632"/>
      <w:bookmarkStart w:id="76" w:name="_Toc533340155"/>
      <w:bookmarkStart w:id="77" w:name="_Toc4485631"/>
      <w:bookmarkStart w:id="78" w:name="_Toc533340154"/>
      <w:r>
        <w:rPr>
          <w:rFonts w:hint="eastAsia" w:ascii="仿宋_GB2312" w:hAnsi="仿宋_GB2312" w:eastAsia="仿宋_GB2312" w:cs="仿宋_GB2312"/>
          <w:b/>
          <w:bCs/>
          <w:sz w:val="28"/>
          <w:szCs w:val="28"/>
          <w:highlight w:val="none"/>
        </w:rPr>
        <w:t>格式</w:t>
      </w:r>
      <w:bookmarkEnd w:id="75"/>
      <w:bookmarkEnd w:id="76"/>
      <w:r>
        <w:rPr>
          <w:rFonts w:hint="eastAsia" w:ascii="仿宋_GB2312" w:hAnsi="仿宋_GB2312" w:eastAsia="仿宋_GB2312" w:cs="仿宋_GB2312"/>
          <w:b/>
          <w:bCs/>
          <w:sz w:val="28"/>
          <w:szCs w:val="28"/>
          <w:highlight w:val="none"/>
        </w:rPr>
        <w:t>6</w:t>
      </w:r>
    </w:p>
    <w:p>
      <w:pPr>
        <w:spacing w:before="319" w:beforeLines="100" w:after="319" w:afterLines="100" w:line="360" w:lineRule="auto"/>
        <w:ind w:right="-21" w:rightChars="-10"/>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具有良好的商业信誉和健全的财务会计制度的承诺函</w:t>
      </w:r>
    </w:p>
    <w:p>
      <w:pPr>
        <w:spacing w:before="319" w:beforeLines="100" w:after="319" w:afterLines="100" w:line="480" w:lineRule="exact"/>
        <w:ind w:right="630" w:rightChars="30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（格式自拟）</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snapToGrid w:val="0"/>
        <w:spacing w:line="48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供应商名称（加盖单位公章）：</w:t>
      </w:r>
      <w:r>
        <w:rPr>
          <w:rFonts w:hint="eastAsia" w:ascii="仿宋_GB2312" w:hAnsi="仿宋_GB2312" w:eastAsia="仿宋_GB2312" w:cs="仿宋_GB2312"/>
          <w:highlight w:val="none"/>
          <w:u w:val="single"/>
        </w:rPr>
        <w:t xml:space="preserve">           </w:t>
      </w:r>
    </w:p>
    <w:p>
      <w:pPr>
        <w:snapToGrid w:val="0"/>
        <w:spacing w:line="48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其授权委托人(签字或盖章)：</w:t>
      </w:r>
      <w:r>
        <w:rPr>
          <w:rFonts w:hint="eastAsia" w:ascii="仿宋_GB2312" w:hAnsi="仿宋_GB2312" w:eastAsia="仿宋_GB2312" w:cs="仿宋_GB2312"/>
          <w:highlight w:val="none"/>
          <w:u w:val="single"/>
        </w:rPr>
        <w:t xml:space="preserve">           </w:t>
      </w:r>
    </w:p>
    <w:p>
      <w:pPr>
        <w:bidi w:val="0"/>
        <w:rPr>
          <w:rFonts w:hint="eastAsia" w:ascii="仿宋_GB2312" w:hAnsi="仿宋_GB2312" w:eastAsia="仿宋_GB2312" w:cs="仿宋_GB2312"/>
          <w:highlight w:val="none"/>
          <w:u w:val="single"/>
        </w:rPr>
      </w:pPr>
      <w:r>
        <w:rPr>
          <w:rFonts w:hint="eastAsia" w:ascii="仿宋_GB2312" w:hAnsi="仿宋_GB2312" w:eastAsia="仿宋_GB2312" w:cs="仿宋_GB2312"/>
          <w:highlight w:val="none"/>
        </w:rPr>
        <w:t xml:space="preserve">日期：  </w:t>
      </w:r>
      <w:r>
        <w:rPr>
          <w:rFonts w:hint="eastAsia" w:ascii="仿宋_GB2312" w:hAnsi="仿宋_GB2312" w:eastAsia="仿宋_GB2312" w:cs="仿宋_GB2312"/>
          <w:highlight w:val="none"/>
          <w:u w:val="single"/>
        </w:rPr>
        <w:t xml:space="preserve">               </w:t>
      </w:r>
    </w:p>
    <w:p>
      <w:pP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br w:type="page"/>
      </w:r>
    </w:p>
    <w:p>
      <w:pPr>
        <w:pStyle w:val="2"/>
        <w:adjustRightInd w:val="0"/>
        <w:snapToGrid w:val="0"/>
        <w:spacing w:line="240" w:lineRule="auto"/>
        <w:jc w:val="left"/>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sz w:val="28"/>
          <w:szCs w:val="28"/>
          <w:highlight w:val="none"/>
        </w:rPr>
        <w:t>格式7</w:t>
      </w:r>
    </w:p>
    <w:p>
      <w:pPr>
        <w:spacing w:beforeLines="100" w:afterLines="100" w:line="360" w:lineRule="auto"/>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bCs/>
          <w:sz w:val="32"/>
          <w:szCs w:val="32"/>
          <w:highlight w:val="none"/>
        </w:rPr>
        <w:t>参加政府采购活动前3年内在经营活动中没有重大违法记录的书面声明</w:t>
      </w:r>
    </w:p>
    <w:p>
      <w:pPr>
        <w:spacing w:line="360" w:lineRule="auto"/>
        <w:ind w:right="630" w:rightChars="300"/>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u w:val="single"/>
        </w:rPr>
        <w:t xml:space="preserve">（采购人或采购代理机构名称） </w:t>
      </w:r>
      <w:r>
        <w:rPr>
          <w:rFonts w:hint="eastAsia" w:ascii="仿宋_GB2312" w:hAnsi="仿宋_GB2312" w:eastAsia="仿宋_GB2312" w:cs="仿宋_GB2312"/>
          <w:b/>
          <w:szCs w:val="21"/>
          <w:highlight w:val="none"/>
        </w:rPr>
        <w:t xml:space="preserve"> ：</w:t>
      </w:r>
    </w:p>
    <w:p>
      <w:pPr>
        <w:spacing w:line="360" w:lineRule="auto"/>
        <w:ind w:right="-21" w:rightChars="-10" w:firstLine="495" w:firstLineChars="235"/>
        <w:rPr>
          <w:rFonts w:hint="eastAsia" w:ascii="仿宋_GB2312" w:hAnsi="仿宋_GB2312" w:eastAsia="仿宋_GB2312" w:cs="仿宋_GB2312"/>
          <w:szCs w:val="21"/>
          <w:highlight w:val="none"/>
        </w:rPr>
      </w:pPr>
      <w:r>
        <w:rPr>
          <w:rFonts w:hint="eastAsia" w:ascii="仿宋_GB2312" w:hAnsi="仿宋_GB2312" w:eastAsia="仿宋_GB2312" w:cs="仿宋_GB2312"/>
          <w:b/>
          <w:szCs w:val="21"/>
          <w:highlight w:val="none"/>
        </w:rPr>
        <w:t>在本项目提交响应文件截止时间前，</w:t>
      </w:r>
      <w:r>
        <w:rPr>
          <w:rFonts w:hint="eastAsia" w:ascii="仿宋_GB2312" w:hAnsi="仿宋_GB2312" w:eastAsia="仿宋_GB2312" w:cs="仿宋_GB2312"/>
          <w:szCs w:val="21"/>
          <w:highlight w:val="none"/>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pPr>
        <w:tabs>
          <w:tab w:val="left" w:pos="10065"/>
        </w:tabs>
        <w:spacing w:line="360" w:lineRule="auto"/>
        <w:ind w:right="-21" w:rightChars="-10" w:firstLine="371" w:firstLineChars="177"/>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如发现我单位提供的声明函不实时，我单位将按照《政府采购法》有关提供虚假材料的规定，接受处罚。</w:t>
      </w:r>
    </w:p>
    <w:p>
      <w:pPr>
        <w:spacing w:line="360" w:lineRule="auto"/>
        <w:ind w:right="1050" w:rightChars="50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特此声明。</w:t>
      </w:r>
    </w:p>
    <w:p>
      <w:pPr>
        <w:spacing w:line="500" w:lineRule="exact"/>
        <w:ind w:right="1050" w:rightChars="500" w:firstLine="420" w:firstLineChars="200"/>
        <w:rPr>
          <w:rFonts w:hint="eastAsia" w:ascii="仿宋_GB2312" w:hAnsi="仿宋_GB2312" w:eastAsia="仿宋_GB2312" w:cs="仿宋_GB2312"/>
          <w:szCs w:val="21"/>
          <w:highlight w:val="none"/>
        </w:rPr>
      </w:pPr>
    </w:p>
    <w:p>
      <w:pPr>
        <w:spacing w:beforeLines="50" w:afterLines="50" w:line="400" w:lineRule="exact"/>
        <w:ind w:right="1050" w:rightChars="500" w:firstLine="420" w:firstLineChars="200"/>
        <w:rPr>
          <w:rFonts w:hint="eastAsia" w:ascii="仿宋_GB2312" w:hAnsi="仿宋_GB2312" w:eastAsia="仿宋_GB2312" w:cs="仿宋_GB2312"/>
          <w:szCs w:val="21"/>
          <w:highlight w:val="none"/>
        </w:rPr>
      </w:pPr>
    </w:p>
    <w:p>
      <w:pPr>
        <w:spacing w:beforeLines="50" w:afterLines="50" w:line="400" w:lineRule="exact"/>
        <w:ind w:right="1050" w:rightChars="500" w:firstLine="420" w:firstLineChars="200"/>
        <w:rPr>
          <w:rFonts w:hint="eastAsia" w:ascii="仿宋_GB2312" w:hAnsi="仿宋_GB2312" w:eastAsia="仿宋_GB2312" w:cs="仿宋_GB2312"/>
          <w:szCs w:val="21"/>
          <w:highlight w:val="none"/>
        </w:rPr>
      </w:pPr>
    </w:p>
    <w:p>
      <w:pPr>
        <w:spacing w:line="360" w:lineRule="exact"/>
        <w:ind w:left="1050" w:leftChars="500" w:right="1050" w:rightChars="500" w:firstLine="420" w:firstLineChars="200"/>
        <w:rPr>
          <w:rFonts w:hint="eastAsia" w:ascii="仿宋_GB2312" w:hAnsi="仿宋_GB2312" w:eastAsia="仿宋_GB2312" w:cs="仿宋_GB2312"/>
          <w:szCs w:val="21"/>
          <w:highlight w:val="none"/>
        </w:rPr>
      </w:pPr>
    </w:p>
    <w:bookmarkEnd w:id="77"/>
    <w:bookmarkEnd w:id="78"/>
    <w:p>
      <w:pPr>
        <w:spacing w:line="480" w:lineRule="auto"/>
        <w:rPr>
          <w:rFonts w:hint="eastAsia" w:ascii="仿宋_GB2312" w:hAnsi="仿宋_GB2312" w:eastAsia="仿宋_GB2312" w:cs="仿宋_GB2312"/>
          <w:highlight w:val="none"/>
        </w:rPr>
      </w:pPr>
      <w:bookmarkStart w:id="79" w:name="_Toc4485633"/>
      <w:bookmarkStart w:id="80" w:name="_Toc533340156"/>
      <w:r>
        <w:rPr>
          <w:rFonts w:hint="eastAsia" w:ascii="仿宋_GB2312" w:hAnsi="仿宋_GB2312" w:eastAsia="仿宋_GB2312" w:cs="仿宋_GB2312"/>
          <w:highlight w:val="none"/>
        </w:rPr>
        <w:t>供应商名称（加盖单位公章）：</w:t>
      </w:r>
      <w:r>
        <w:rPr>
          <w:rFonts w:hint="eastAsia" w:ascii="仿宋_GB2312" w:hAnsi="仿宋_GB2312" w:eastAsia="仿宋_GB2312" w:cs="仿宋_GB2312"/>
          <w:highlight w:val="none"/>
          <w:u w:val="single"/>
        </w:rPr>
        <w:t xml:space="preserve">           </w:t>
      </w:r>
    </w:p>
    <w:p>
      <w:pPr>
        <w:spacing w:line="48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w:t>
      </w:r>
      <w:r>
        <w:rPr>
          <w:rFonts w:hint="eastAsia" w:ascii="仿宋_GB2312" w:hAnsi="仿宋_GB2312" w:eastAsia="仿宋_GB2312" w:cs="仿宋_GB2312"/>
          <w:highlight w:val="none"/>
        </w:rPr>
        <w:t>）</w:t>
      </w:r>
      <w:r>
        <w:rPr>
          <w:rFonts w:hint="eastAsia" w:ascii="仿宋_GB2312" w:hAnsi="仿宋_GB2312" w:eastAsia="仿宋_GB2312" w:cs="仿宋_GB2312"/>
          <w:szCs w:val="21"/>
          <w:highlight w:val="none"/>
        </w:rPr>
        <w:t>或</w:t>
      </w:r>
      <w:r>
        <w:rPr>
          <w:rFonts w:hint="eastAsia" w:ascii="仿宋_GB2312" w:hAnsi="仿宋_GB2312" w:eastAsia="仿宋_GB2312" w:cs="仿宋_GB2312"/>
          <w:highlight w:val="none"/>
        </w:rPr>
        <w:t xml:space="preserve">其授权委托人(签字或盖章)： </w:t>
      </w:r>
      <w:r>
        <w:rPr>
          <w:rFonts w:hint="eastAsia" w:ascii="仿宋_GB2312" w:hAnsi="仿宋_GB2312" w:eastAsia="仿宋_GB2312" w:cs="仿宋_GB2312"/>
          <w:highlight w:val="none"/>
          <w:u w:val="single"/>
        </w:rPr>
        <w:t xml:space="preserve">         </w:t>
      </w:r>
    </w:p>
    <w:p>
      <w:pPr>
        <w:spacing w:line="48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日期： </w:t>
      </w:r>
      <w:r>
        <w:rPr>
          <w:rFonts w:hint="eastAsia" w:ascii="仿宋_GB2312" w:hAnsi="仿宋_GB2312" w:eastAsia="仿宋_GB2312" w:cs="仿宋_GB2312"/>
          <w:highlight w:val="none"/>
          <w:u w:val="single"/>
        </w:rPr>
        <w:t xml:space="preserve">             </w:t>
      </w:r>
    </w:p>
    <w:p>
      <w:pPr>
        <w:adjustRightInd w:val="0"/>
        <w:snapToGrid w:val="0"/>
        <w:spacing w:line="360" w:lineRule="auto"/>
        <w:ind w:right="105" w:rightChars="50"/>
        <w:jc w:val="left"/>
        <w:rPr>
          <w:rFonts w:hint="eastAsia" w:ascii="仿宋_GB2312" w:hAnsi="仿宋_GB2312" w:eastAsia="仿宋_GB2312" w:cs="仿宋_GB2312"/>
          <w:highlight w:val="none"/>
          <w:u w:val="single"/>
        </w:rPr>
      </w:pPr>
    </w:p>
    <w:p>
      <w:pPr>
        <w:spacing w:line="480" w:lineRule="auto"/>
        <w:rPr>
          <w:rFonts w:hint="eastAsia" w:ascii="仿宋_GB2312" w:hAnsi="仿宋_GB2312" w:eastAsia="仿宋_GB2312" w:cs="仿宋_GB2312"/>
          <w:highlight w:val="none"/>
          <w:u w:val="single"/>
        </w:rPr>
      </w:pPr>
    </w:p>
    <w:p>
      <w:pPr>
        <w:spacing w:line="480" w:lineRule="auto"/>
        <w:rPr>
          <w:rFonts w:hint="eastAsia" w:ascii="仿宋_GB2312" w:hAnsi="仿宋_GB2312" w:eastAsia="仿宋_GB2312" w:cs="仿宋_GB2312"/>
          <w:highlight w:val="none"/>
          <w:u w:val="single"/>
        </w:rPr>
      </w:pPr>
    </w:p>
    <w:p>
      <w:pPr>
        <w:spacing w:line="480" w:lineRule="auto"/>
        <w:rPr>
          <w:rFonts w:hint="eastAsia" w:ascii="仿宋_GB2312" w:hAnsi="仿宋_GB2312" w:eastAsia="仿宋_GB2312" w:cs="仿宋_GB2312"/>
          <w:highlight w:val="none"/>
          <w:u w:val="single"/>
        </w:rPr>
      </w:pPr>
    </w:p>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p>
    <w:p>
      <w:pPr>
        <w:pStyle w:val="2"/>
        <w:adjustRightInd w:val="0"/>
        <w:snapToGrid w:val="0"/>
        <w:spacing w:line="240" w:lineRule="auto"/>
        <w:jc w:val="left"/>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rPr>
        <w:t>格式</w:t>
      </w:r>
      <w:bookmarkEnd w:id="79"/>
      <w:bookmarkEnd w:id="80"/>
      <w:r>
        <w:rPr>
          <w:rFonts w:hint="eastAsia" w:ascii="仿宋_GB2312" w:hAnsi="仿宋_GB2312" w:eastAsia="仿宋_GB2312" w:cs="仿宋_GB2312"/>
          <w:sz w:val="28"/>
          <w:szCs w:val="28"/>
          <w:highlight w:val="none"/>
          <w:lang w:val="en-US" w:eastAsia="zh-CN"/>
        </w:rPr>
        <w:t>8</w:t>
      </w:r>
    </w:p>
    <w:p>
      <w:pPr>
        <w:spacing w:beforeLines="100" w:afterLines="100" w:line="36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响应函</w:t>
      </w:r>
    </w:p>
    <w:p>
      <w:pPr>
        <w:adjustRightInd w:val="0"/>
        <w:snapToGrid w:val="0"/>
        <w:spacing w:line="360" w:lineRule="auto"/>
        <w:ind w:right="630" w:rightChars="3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u w:val="single"/>
        </w:rPr>
        <w:t>（采购人或采购代理机构）：</w:t>
      </w:r>
    </w:p>
    <w:p>
      <w:pPr>
        <w:adjustRightInd w:val="0"/>
        <w:snapToGrid w:val="0"/>
        <w:spacing w:line="360" w:lineRule="auto"/>
        <w:ind w:right="-21" w:rightChars="-1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根据贵方</w:t>
      </w:r>
      <w:r>
        <w:rPr>
          <w:rFonts w:hint="eastAsia" w:ascii="仿宋_GB2312" w:hAnsi="仿宋_GB2312" w:eastAsia="仿宋_GB2312" w:cs="仿宋_GB2312"/>
          <w:szCs w:val="21"/>
          <w:highlight w:val="none"/>
          <w:u w:val="single"/>
        </w:rPr>
        <w:t xml:space="preserve">   (项目名称  )</w:t>
      </w:r>
      <w:r>
        <w:rPr>
          <w:rFonts w:hint="eastAsia" w:ascii="仿宋_GB2312" w:hAnsi="仿宋_GB2312" w:eastAsia="仿宋_GB2312" w:cs="仿宋_GB2312"/>
          <w:szCs w:val="21"/>
          <w:highlight w:val="none"/>
        </w:rPr>
        <w:t>项目的</w:t>
      </w:r>
      <w:r>
        <w:rPr>
          <w:rFonts w:hint="eastAsia" w:ascii="仿宋_GB2312" w:hAnsi="仿宋_GB2312" w:eastAsia="仿宋_GB2312" w:cs="仿宋_GB2312"/>
          <w:highlight w:val="none"/>
        </w:rPr>
        <w:t>采购公告</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szCs w:val="21"/>
          <w:highlight w:val="none"/>
          <w:u w:val="single"/>
        </w:rPr>
        <w:t>(项目编号  )</w:t>
      </w:r>
      <w:r>
        <w:rPr>
          <w:rFonts w:hint="eastAsia" w:ascii="仿宋_GB2312" w:hAnsi="仿宋_GB2312" w:eastAsia="仿宋_GB2312" w:cs="仿宋_GB2312"/>
          <w:szCs w:val="21"/>
          <w:highlight w:val="none"/>
        </w:rPr>
        <w:t>,签字代表</w:t>
      </w:r>
      <w:r>
        <w:rPr>
          <w:rFonts w:hint="eastAsia" w:ascii="仿宋_GB2312" w:hAnsi="仿宋_GB2312" w:eastAsia="仿宋_GB2312" w:cs="仿宋_GB2312"/>
          <w:szCs w:val="21"/>
          <w:highlight w:val="none"/>
          <w:u w:val="single"/>
        </w:rPr>
        <w:t xml:space="preserve">  (姓名、职务)</w:t>
      </w:r>
      <w:r>
        <w:rPr>
          <w:rFonts w:hint="eastAsia" w:ascii="仿宋_GB2312" w:hAnsi="仿宋_GB2312" w:eastAsia="仿宋_GB2312" w:cs="仿宋_GB2312"/>
          <w:szCs w:val="21"/>
          <w:highlight w:val="none"/>
        </w:rPr>
        <w:t>经正式授权并代表供应商</w:t>
      </w:r>
      <w:r>
        <w:rPr>
          <w:rFonts w:hint="eastAsia" w:ascii="仿宋_GB2312" w:hAnsi="仿宋_GB2312" w:eastAsia="仿宋_GB2312" w:cs="仿宋_GB2312"/>
          <w:szCs w:val="21"/>
          <w:highlight w:val="none"/>
          <w:u w:val="single"/>
        </w:rPr>
        <w:t>（名称、地址）</w:t>
      </w:r>
      <w:r>
        <w:rPr>
          <w:rFonts w:hint="eastAsia" w:ascii="仿宋_GB2312" w:hAnsi="仿宋_GB2312" w:eastAsia="仿宋_GB2312" w:cs="仿宋_GB2312"/>
          <w:szCs w:val="21"/>
          <w:highlight w:val="none"/>
        </w:rPr>
        <w:t>提交下述文件正本</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份、副本</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份及电子文档</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份，并以</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形式出具的金额为</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人民币元的磋商保证金。</w:t>
      </w:r>
    </w:p>
    <w:p>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据此，签字代表宣布同意如下：</w:t>
      </w:r>
    </w:p>
    <w:p>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（1）本项目响应总价详见报价一览表。</w:t>
      </w:r>
    </w:p>
    <w:p>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（2）本响应有效期为自递交响应文件截止之日起</w:t>
      </w:r>
      <w:r>
        <w:rPr>
          <w:rFonts w:hint="eastAsia" w:ascii="仿宋_GB2312" w:hAnsi="仿宋_GB2312" w:eastAsia="仿宋_GB2312" w:cs="仿宋_GB2312"/>
          <w:szCs w:val="21"/>
          <w:highlight w:val="none"/>
          <w:u w:val="single"/>
        </w:rPr>
        <w:t>90</w:t>
      </w:r>
      <w:r>
        <w:rPr>
          <w:rFonts w:hint="eastAsia" w:ascii="仿宋_GB2312" w:hAnsi="仿宋_GB2312" w:eastAsia="仿宋_GB2312" w:cs="仿宋_GB2312"/>
          <w:szCs w:val="21"/>
          <w:highlight w:val="none"/>
        </w:rPr>
        <w:t>日历日。</w:t>
      </w:r>
    </w:p>
    <w:p>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（3）已详细审查全部采购文件，包括所有补充通知（如果有的话）。</w:t>
      </w:r>
    </w:p>
    <w:p>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（4）在规定的磋商时间后，遵守采购文件中有关保证金的规定。</w:t>
      </w:r>
    </w:p>
    <w:p>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（5）我方不是为本项目提供整体设计、规范编制或者项目管理、监理、检测等服务的供应商，我方不是采购代理机构的附属机构。</w:t>
      </w:r>
    </w:p>
    <w:p>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（6）在领取成交通知书的同时按采购文件规定的形式，向采购代理机构一次性支付采购代理服务费（适用于成交供应商支付采购代理服务费情形）。</w:t>
      </w:r>
    </w:p>
    <w:p>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（7）按照贵方要求，提供与其响应有关的一切数据或资料，完全理解贵方不一定接受最低价的响应。</w:t>
      </w:r>
    </w:p>
    <w:p>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（8）按照采购文件的规定履行合同责任和义务。</w:t>
      </w:r>
    </w:p>
    <w:p>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（9）我方承诺响应文件中的证明材料真实、合法、有效。</w:t>
      </w:r>
    </w:p>
    <w:p>
      <w:pPr>
        <w:tabs>
          <w:tab w:val="left" w:pos="10467"/>
        </w:tabs>
        <w:adjustRightInd w:val="0"/>
        <w:snapToGrid w:val="0"/>
        <w:spacing w:line="360" w:lineRule="auto"/>
        <w:ind w:right="1050" w:rightChars="500"/>
        <w:rPr>
          <w:rFonts w:hint="eastAsia" w:ascii="仿宋_GB2312" w:hAnsi="仿宋_GB2312" w:eastAsia="仿宋_GB2312" w:cs="仿宋_GB2312"/>
          <w:szCs w:val="21"/>
          <w:highlight w:val="none"/>
        </w:rPr>
      </w:pPr>
    </w:p>
    <w:p>
      <w:pPr>
        <w:tabs>
          <w:tab w:val="left" w:pos="10467"/>
        </w:tabs>
        <w:adjustRightInd w:val="0"/>
        <w:snapToGrid w:val="0"/>
        <w:spacing w:line="360" w:lineRule="auto"/>
        <w:ind w:right="1050" w:rightChars="500"/>
        <w:rPr>
          <w:rFonts w:hint="eastAsia" w:ascii="仿宋_GB2312" w:hAnsi="仿宋_GB2312" w:eastAsia="仿宋_GB2312" w:cs="仿宋_GB2312"/>
          <w:szCs w:val="21"/>
          <w:highlight w:val="none"/>
        </w:rPr>
      </w:pPr>
    </w:p>
    <w:p>
      <w:pPr>
        <w:tabs>
          <w:tab w:val="left" w:pos="10467"/>
        </w:tabs>
        <w:adjustRightInd w:val="0"/>
        <w:snapToGrid w:val="0"/>
        <w:spacing w:line="360" w:lineRule="auto"/>
        <w:ind w:right="1050" w:rightChars="5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与本项目有关的一切往来通讯请寄</w:t>
      </w:r>
    </w:p>
    <w:p>
      <w:pPr>
        <w:tabs>
          <w:tab w:val="left" w:pos="10467"/>
        </w:tabs>
        <w:adjustRightInd w:val="0"/>
        <w:snapToGrid w:val="0"/>
        <w:spacing w:line="360" w:lineRule="auto"/>
        <w:ind w:right="-21" w:rightChars="-1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地    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传    真：</w:t>
      </w:r>
      <w:r>
        <w:rPr>
          <w:rFonts w:hint="eastAsia" w:ascii="仿宋_GB2312" w:hAnsi="仿宋_GB2312" w:eastAsia="仿宋_GB2312" w:cs="仿宋_GB2312"/>
          <w:szCs w:val="21"/>
          <w:highlight w:val="none"/>
          <w:u w:val="single"/>
        </w:rPr>
        <w:t xml:space="preserve">                     </w:t>
      </w:r>
    </w:p>
    <w:p>
      <w:pPr>
        <w:tabs>
          <w:tab w:val="left" w:pos="10467"/>
        </w:tabs>
        <w:adjustRightInd w:val="0"/>
        <w:snapToGrid w:val="0"/>
        <w:spacing w:line="360" w:lineRule="auto"/>
        <w:ind w:right="-21" w:rightChars="-1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电    话：</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电子邮件：</w:t>
      </w:r>
      <w:r>
        <w:rPr>
          <w:rFonts w:hint="eastAsia" w:ascii="仿宋_GB2312" w:hAnsi="仿宋_GB2312" w:eastAsia="仿宋_GB2312" w:cs="仿宋_GB2312"/>
          <w:szCs w:val="21"/>
          <w:highlight w:val="none"/>
          <w:u w:val="single"/>
        </w:rPr>
        <w:t xml:space="preserve">                     </w:t>
      </w:r>
    </w:p>
    <w:p>
      <w:pPr>
        <w:tabs>
          <w:tab w:val="left" w:pos="10467"/>
        </w:tabs>
        <w:adjustRightInd w:val="0"/>
        <w:snapToGrid w:val="0"/>
        <w:spacing w:line="360" w:lineRule="auto"/>
        <w:ind w:right="260" w:rightChars="124"/>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法定代表人（非法人组织负责人）或其授权委托人</w:t>
      </w:r>
      <w:r>
        <w:rPr>
          <w:rFonts w:hint="eastAsia" w:ascii="仿宋_GB2312" w:hAnsi="仿宋_GB2312" w:eastAsia="仿宋_GB2312" w:cs="仿宋_GB2312"/>
          <w:highlight w:val="none"/>
        </w:rPr>
        <w:t>(签字或盖章)</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pPr>
        <w:tabs>
          <w:tab w:val="left" w:pos="10467"/>
        </w:tabs>
        <w:adjustRightInd w:val="0"/>
        <w:snapToGrid w:val="0"/>
        <w:spacing w:line="360" w:lineRule="auto"/>
        <w:ind w:right="260" w:rightChars="124"/>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供应商名称（加盖单位公章）：</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pPr>
        <w:tabs>
          <w:tab w:val="left" w:pos="10467"/>
        </w:tabs>
        <w:adjustRightInd w:val="0"/>
        <w:snapToGrid w:val="0"/>
        <w:spacing w:line="360" w:lineRule="auto"/>
        <w:ind w:right="260" w:rightChars="124"/>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供应商开户银行（全称）：</w:t>
      </w:r>
      <w:r>
        <w:rPr>
          <w:rFonts w:hint="eastAsia" w:ascii="仿宋_GB2312" w:hAnsi="仿宋_GB2312" w:eastAsia="仿宋_GB2312" w:cs="仿宋_GB2312"/>
          <w:szCs w:val="21"/>
          <w:highlight w:val="none"/>
          <w:u w:val="single"/>
        </w:rPr>
        <w:t xml:space="preserve">         </w:t>
      </w:r>
    </w:p>
    <w:p>
      <w:pPr>
        <w:tabs>
          <w:tab w:val="left" w:pos="10467"/>
        </w:tabs>
        <w:adjustRightInd w:val="0"/>
        <w:snapToGrid w:val="0"/>
        <w:spacing w:line="360" w:lineRule="auto"/>
        <w:ind w:right="260" w:rightChars="124"/>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供应商银行帐号：</w:t>
      </w:r>
      <w:r>
        <w:rPr>
          <w:rFonts w:hint="eastAsia" w:ascii="仿宋_GB2312" w:hAnsi="仿宋_GB2312" w:eastAsia="仿宋_GB2312" w:cs="仿宋_GB2312"/>
          <w:szCs w:val="21"/>
          <w:highlight w:val="none"/>
          <w:u w:val="single"/>
        </w:rPr>
        <w:t xml:space="preserve">                 </w:t>
      </w:r>
    </w:p>
    <w:p>
      <w:pPr>
        <w:adjustRightInd w:val="0"/>
        <w:snapToGrid w:val="0"/>
        <w:spacing w:line="360" w:lineRule="auto"/>
        <w:ind w:right="1050" w:rightChars="5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pPr>
        <w:rPr>
          <w:rFonts w:hint="eastAsia" w:ascii="仿宋_GB2312" w:hAnsi="仿宋_GB2312" w:eastAsia="仿宋_GB2312" w:cs="仿宋_GB2312"/>
          <w:b/>
          <w:bCs/>
          <w:sz w:val="28"/>
          <w:szCs w:val="28"/>
          <w:highlight w:val="none"/>
        </w:rPr>
      </w:pPr>
      <w:bookmarkStart w:id="81" w:name="_Toc533340158"/>
      <w:bookmarkStart w:id="82" w:name="_Toc4485634"/>
      <w:r>
        <w:rPr>
          <w:rFonts w:hint="eastAsia" w:ascii="仿宋_GB2312" w:hAnsi="仿宋_GB2312" w:eastAsia="仿宋_GB2312" w:cs="仿宋_GB2312"/>
          <w:b/>
          <w:bCs/>
          <w:sz w:val="28"/>
          <w:szCs w:val="28"/>
          <w:highlight w:val="none"/>
        </w:rPr>
        <w:br w:type="page"/>
      </w:r>
    </w:p>
    <w:p>
      <w:pPr>
        <w:adjustRightInd w:val="0"/>
        <w:snapToGrid w:val="0"/>
        <w:spacing w:line="360" w:lineRule="auto"/>
        <w:ind w:right="1050" w:rightChars="500"/>
        <w:outlineLvl w:val="1"/>
        <w:rPr>
          <w:rFonts w:hint="eastAsia" w:ascii="仿宋_GB2312" w:hAnsi="仿宋_GB2312" w:eastAsia="仿宋_GB2312" w:cs="仿宋_GB2312"/>
          <w:b/>
          <w:bCs/>
          <w:sz w:val="28"/>
          <w:szCs w:val="28"/>
          <w:highlight w:val="none"/>
          <w:lang w:eastAsia="zh-CN"/>
        </w:rPr>
      </w:pPr>
      <w:r>
        <w:rPr>
          <w:rFonts w:hint="eastAsia" w:ascii="仿宋_GB2312" w:hAnsi="仿宋_GB2312" w:eastAsia="仿宋_GB2312" w:cs="仿宋_GB2312"/>
          <w:b/>
          <w:bCs/>
          <w:sz w:val="28"/>
          <w:szCs w:val="28"/>
          <w:highlight w:val="none"/>
        </w:rPr>
        <w:t>格式</w:t>
      </w:r>
      <w:bookmarkEnd w:id="81"/>
      <w:bookmarkEnd w:id="82"/>
      <w:r>
        <w:rPr>
          <w:rFonts w:hint="eastAsia" w:ascii="仿宋_GB2312" w:hAnsi="仿宋_GB2312" w:eastAsia="仿宋_GB2312" w:cs="仿宋_GB2312"/>
          <w:b/>
          <w:bCs/>
          <w:sz w:val="28"/>
          <w:szCs w:val="28"/>
          <w:highlight w:val="none"/>
          <w:lang w:val="en-US" w:eastAsia="zh-CN"/>
        </w:rPr>
        <w:t>9</w:t>
      </w:r>
    </w:p>
    <w:p>
      <w:pPr>
        <w:spacing w:beforeLines="100" w:afterLines="100" w:line="36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报价一览表</w:t>
      </w:r>
    </w:p>
    <w:p>
      <w:pPr>
        <w:adjustRightInd w:val="0"/>
        <w:snapToGrid w:val="0"/>
        <w:spacing w:line="360" w:lineRule="auto"/>
        <w:ind w:right="105" w:rightChars="50"/>
        <w:jc w:val="left"/>
        <w:rPr>
          <w:rFonts w:hint="eastAsia" w:ascii="仿宋_GB2312" w:hAnsi="仿宋_GB2312" w:eastAsia="仿宋_GB2312" w:cs="仿宋_GB2312"/>
          <w:b/>
          <w:bCs/>
          <w:szCs w:val="21"/>
          <w:highlight w:val="none"/>
        </w:rPr>
      </w:pPr>
    </w:p>
    <w:tbl>
      <w:tblPr>
        <w:tblStyle w:val="25"/>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8"/>
        <w:gridCol w:w="2885"/>
        <w:gridCol w:w="1666"/>
        <w:gridCol w:w="1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728" w:type="dxa"/>
            <w:vAlign w:val="center"/>
          </w:tcPr>
          <w:p>
            <w:pPr>
              <w:adjustRightInd w:val="0"/>
              <w:snapToGrid w:val="0"/>
              <w:ind w:right="-48" w:rightChars="-23"/>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工程名称</w:t>
            </w:r>
          </w:p>
        </w:tc>
        <w:tc>
          <w:tcPr>
            <w:tcW w:w="2885" w:type="dxa"/>
            <w:vAlign w:val="center"/>
          </w:tcPr>
          <w:p>
            <w:pPr>
              <w:adjustRightInd w:val="0"/>
              <w:snapToGrid w:val="0"/>
              <w:ind w:right="-107" w:rightChars="-51"/>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响应总价（元）</w:t>
            </w:r>
          </w:p>
        </w:tc>
        <w:tc>
          <w:tcPr>
            <w:tcW w:w="1666" w:type="dxa"/>
            <w:vAlign w:val="center"/>
          </w:tcPr>
          <w:p>
            <w:pPr>
              <w:adjustRightInd w:val="0"/>
              <w:snapToGrid w:val="0"/>
              <w:ind w:right="-107" w:rightChars="-51"/>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工期</w:t>
            </w:r>
          </w:p>
        </w:tc>
        <w:tc>
          <w:tcPr>
            <w:tcW w:w="1673" w:type="dxa"/>
            <w:vAlign w:val="center"/>
          </w:tcPr>
          <w:p>
            <w:pPr>
              <w:adjustRightInd w:val="0"/>
              <w:snapToGrid w:val="0"/>
              <w:ind w:right="-107" w:rightChars="-51"/>
              <w:jc w:val="center"/>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质量要求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jc w:val="center"/>
        </w:trPr>
        <w:tc>
          <w:tcPr>
            <w:tcW w:w="2728" w:type="dxa"/>
            <w:vAlign w:val="center"/>
          </w:tcPr>
          <w:p>
            <w:pPr>
              <w:adjustRightInd w:val="0"/>
              <w:snapToGrid w:val="0"/>
              <w:ind w:right="105" w:rightChars="50"/>
              <w:jc w:val="center"/>
              <w:rPr>
                <w:rFonts w:hint="eastAsia" w:ascii="仿宋_GB2312" w:hAnsi="仿宋_GB2312" w:eastAsia="仿宋_GB2312" w:cs="仿宋_GB2312"/>
                <w:szCs w:val="21"/>
                <w:highlight w:val="none"/>
              </w:rPr>
            </w:pPr>
          </w:p>
        </w:tc>
        <w:tc>
          <w:tcPr>
            <w:tcW w:w="2885" w:type="dxa"/>
            <w:vAlign w:val="center"/>
          </w:tcPr>
          <w:p>
            <w:pPr>
              <w:adjustRightInd w:val="0"/>
              <w:snapToGrid w:val="0"/>
              <w:ind w:right="105" w:rightChars="5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小写：</w:t>
            </w:r>
          </w:p>
          <w:p>
            <w:pPr>
              <w:adjustRightInd w:val="0"/>
              <w:snapToGrid w:val="0"/>
              <w:ind w:right="105" w:rightChars="5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大写：</w:t>
            </w:r>
          </w:p>
        </w:tc>
        <w:tc>
          <w:tcPr>
            <w:tcW w:w="1666" w:type="dxa"/>
          </w:tcPr>
          <w:p>
            <w:pPr>
              <w:adjustRightInd w:val="0"/>
              <w:snapToGrid w:val="0"/>
              <w:ind w:right="105" w:rightChars="50"/>
              <w:jc w:val="center"/>
              <w:rPr>
                <w:rFonts w:hint="eastAsia" w:ascii="仿宋_GB2312" w:hAnsi="仿宋_GB2312" w:eastAsia="仿宋_GB2312" w:cs="仿宋_GB2312"/>
                <w:szCs w:val="21"/>
                <w:highlight w:val="none"/>
              </w:rPr>
            </w:pPr>
          </w:p>
        </w:tc>
        <w:tc>
          <w:tcPr>
            <w:tcW w:w="1673" w:type="dxa"/>
          </w:tcPr>
          <w:p>
            <w:pPr>
              <w:adjustRightInd w:val="0"/>
              <w:snapToGrid w:val="0"/>
              <w:ind w:right="105" w:rightChars="50"/>
              <w:jc w:val="center"/>
              <w:rPr>
                <w:rFonts w:hint="eastAsia" w:ascii="仿宋_GB2312" w:hAnsi="仿宋_GB2312" w:eastAsia="仿宋_GB2312" w:cs="仿宋_GB2312"/>
                <w:szCs w:val="21"/>
                <w:highlight w:val="none"/>
              </w:rPr>
            </w:pPr>
          </w:p>
        </w:tc>
      </w:tr>
    </w:tbl>
    <w:p>
      <w:pPr>
        <w:adjustRightInd w:val="0"/>
        <w:snapToGrid w:val="0"/>
        <w:spacing w:line="360" w:lineRule="auto"/>
        <w:ind w:right="105" w:rightChars="50" w:firstLine="420" w:firstLineChars="200"/>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注：1、此表中，响应总价应和已标价工程量清单的总价相一致。</w:t>
      </w:r>
    </w:p>
    <w:p>
      <w:pPr>
        <w:adjustRightInd w:val="0"/>
        <w:snapToGrid w:val="0"/>
        <w:spacing w:line="360" w:lineRule="auto"/>
        <w:ind w:right="105" w:rightChars="50" w:firstLine="840" w:firstLineChars="4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2、供应商应按磋商小组要求，在规定时间内提交最后报价（现场填报）。</w:t>
      </w: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480" w:lineRule="auto"/>
        <w:ind w:right="105" w:rightChars="50"/>
        <w:jc w:val="left"/>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供应商</w:t>
      </w:r>
      <w:r>
        <w:rPr>
          <w:rFonts w:hint="eastAsia" w:ascii="仿宋_GB2312" w:hAnsi="仿宋_GB2312" w:eastAsia="仿宋_GB2312" w:cs="仿宋_GB2312"/>
          <w:szCs w:val="21"/>
          <w:highlight w:val="none"/>
          <w:lang w:val="en-US" w:eastAsia="zh-CN"/>
        </w:rPr>
        <w:t>名称</w:t>
      </w:r>
      <w:r>
        <w:rPr>
          <w:rFonts w:hint="eastAsia" w:ascii="仿宋_GB2312" w:hAnsi="仿宋_GB2312" w:eastAsia="仿宋_GB2312" w:cs="仿宋_GB2312"/>
          <w:szCs w:val="21"/>
          <w:highlight w:val="none"/>
        </w:rPr>
        <w:t>(加盖单位公章):</w:t>
      </w:r>
      <w:r>
        <w:rPr>
          <w:rFonts w:hint="eastAsia" w:ascii="仿宋_GB2312" w:hAnsi="仿宋_GB2312" w:eastAsia="仿宋_GB2312" w:cs="仿宋_GB2312"/>
          <w:szCs w:val="21"/>
          <w:highlight w:val="none"/>
          <w:u w:val="single"/>
        </w:rPr>
        <w:t xml:space="preserve">               </w:t>
      </w:r>
    </w:p>
    <w:p>
      <w:pPr>
        <w:adjustRightInd w:val="0"/>
        <w:snapToGrid w:val="0"/>
        <w:spacing w:line="480" w:lineRule="auto"/>
        <w:ind w:right="105" w:rightChars="50"/>
        <w:jc w:val="left"/>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法定代表人（或非法人组织负责人）或其</w:t>
      </w:r>
      <w:r>
        <w:rPr>
          <w:rFonts w:hint="eastAsia" w:ascii="仿宋_GB2312" w:hAnsi="仿宋_GB2312" w:eastAsia="仿宋_GB2312" w:cs="仿宋_GB2312"/>
          <w:highlight w:val="none"/>
        </w:rPr>
        <w:t>授权委托人(签字或盖章)</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u w:val="single"/>
        </w:rPr>
        <w:t xml:space="preserve">               </w:t>
      </w:r>
    </w:p>
    <w:p>
      <w:pPr>
        <w:adjustRightInd w:val="0"/>
        <w:snapToGrid w:val="0"/>
        <w:spacing w:line="480" w:lineRule="auto"/>
        <w:ind w:right="105" w:rightChars="5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日期:</w:t>
      </w:r>
      <w:r>
        <w:rPr>
          <w:rFonts w:hint="eastAsia" w:ascii="仿宋_GB2312" w:hAnsi="仿宋_GB2312" w:eastAsia="仿宋_GB2312" w:cs="仿宋_GB2312"/>
          <w:szCs w:val="21"/>
          <w:highlight w:val="none"/>
          <w:u w:val="single"/>
        </w:rPr>
        <w:t xml:space="preserve">                     </w:t>
      </w: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widowControl/>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pPr>
        <w:adjustRightInd w:val="0"/>
        <w:snapToGrid w:val="0"/>
        <w:spacing w:line="360" w:lineRule="auto"/>
        <w:ind w:right="1050" w:rightChars="500"/>
        <w:outlineLvl w:val="1"/>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rPr>
        <w:t>格式</w:t>
      </w:r>
      <w:r>
        <w:rPr>
          <w:rFonts w:hint="eastAsia" w:ascii="仿宋_GB2312" w:hAnsi="仿宋_GB2312" w:eastAsia="仿宋_GB2312" w:cs="仿宋_GB2312"/>
          <w:b/>
          <w:bCs/>
          <w:sz w:val="28"/>
          <w:szCs w:val="28"/>
          <w:highlight w:val="none"/>
          <w:lang w:val="en-US" w:eastAsia="zh-CN"/>
        </w:rPr>
        <w:t>10</w:t>
      </w:r>
    </w:p>
    <w:p>
      <w:pPr>
        <w:spacing w:beforeLines="100" w:afterLines="100" w:line="480" w:lineRule="exact"/>
        <w:ind w:right="630" w:rightChars="300"/>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已标价工程量清单</w:t>
      </w:r>
    </w:p>
    <w:p>
      <w:pPr>
        <w:spacing w:beforeLines="100" w:afterLines="100" w:line="480" w:lineRule="exact"/>
        <w:ind w:right="630" w:rightChars="300"/>
        <w:jc w:val="center"/>
        <w:outlineLvl w:val="9"/>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（根据第七章工程量清单进行报价）</w:t>
      </w:r>
    </w:p>
    <w:p>
      <w:pPr>
        <w:adjustRightInd w:val="0"/>
        <w:snapToGrid w:val="0"/>
        <w:spacing w:line="360" w:lineRule="auto"/>
        <w:ind w:right="1050" w:rightChars="500"/>
        <w:outlineLvl w:val="9"/>
        <w:rPr>
          <w:rFonts w:hint="eastAsia" w:ascii="仿宋_GB2312" w:hAnsi="仿宋_GB2312" w:eastAsia="仿宋_GB2312" w:cs="仿宋_GB2312"/>
          <w:b/>
          <w:bCs/>
          <w:sz w:val="28"/>
          <w:szCs w:val="28"/>
          <w:highlight w:val="none"/>
        </w:rPr>
      </w:pPr>
    </w:p>
    <w:p>
      <w:pPr>
        <w:spacing w:beforeLines="100" w:afterLines="100" w:line="360" w:lineRule="auto"/>
        <w:jc w:val="center"/>
        <w:outlineLvl w:val="9"/>
        <w:rPr>
          <w:rFonts w:hint="eastAsia" w:ascii="仿宋_GB2312" w:hAnsi="仿宋_GB2312" w:eastAsia="仿宋_GB2312" w:cs="仿宋_GB2312"/>
          <w:b/>
          <w:bCs/>
          <w:sz w:val="32"/>
          <w:szCs w:val="32"/>
          <w:highlight w:val="none"/>
        </w:rPr>
      </w:pPr>
    </w:p>
    <w:p>
      <w:pPr>
        <w:spacing w:beforeLines="100" w:afterLines="100" w:line="360" w:lineRule="auto"/>
        <w:rPr>
          <w:rFonts w:hint="eastAsia" w:ascii="仿宋_GB2312" w:hAnsi="仿宋_GB2312" w:eastAsia="仿宋_GB2312" w:cs="仿宋_GB2312"/>
          <w:szCs w:val="21"/>
          <w:highlight w:val="none"/>
        </w:rPr>
      </w:pPr>
      <w:bookmarkStart w:id="83" w:name="_Toc4485635"/>
      <w:bookmarkStart w:id="84" w:name="_Toc533340159"/>
    </w:p>
    <w:p>
      <w:pPr>
        <w:spacing w:beforeLines="100" w:afterLines="100" w:line="360" w:lineRule="auto"/>
        <w:rPr>
          <w:rFonts w:hint="eastAsia" w:ascii="仿宋_GB2312" w:hAnsi="仿宋_GB2312" w:eastAsia="仿宋_GB2312" w:cs="仿宋_GB2312"/>
          <w:szCs w:val="21"/>
          <w:highlight w:val="none"/>
        </w:rPr>
      </w:pPr>
    </w:p>
    <w:p>
      <w:pPr>
        <w:spacing w:beforeLines="100" w:afterLines="100" w:line="360" w:lineRule="auto"/>
        <w:rPr>
          <w:rFonts w:hint="eastAsia" w:ascii="仿宋_GB2312" w:hAnsi="仿宋_GB2312" w:eastAsia="仿宋_GB2312" w:cs="仿宋_GB2312"/>
          <w:szCs w:val="21"/>
          <w:highlight w:val="none"/>
        </w:rPr>
      </w:pPr>
    </w:p>
    <w:p>
      <w:pPr>
        <w:spacing w:beforeLines="100" w:afterLines="100" w:line="360" w:lineRule="auto"/>
        <w:rPr>
          <w:rFonts w:hint="eastAsia" w:ascii="仿宋_GB2312" w:hAnsi="仿宋_GB2312" w:eastAsia="仿宋_GB2312" w:cs="仿宋_GB2312"/>
          <w:szCs w:val="21"/>
          <w:highlight w:val="none"/>
        </w:rPr>
      </w:pPr>
    </w:p>
    <w:p>
      <w:pPr>
        <w:spacing w:beforeLines="100" w:afterLines="100" w:line="360" w:lineRule="auto"/>
        <w:rPr>
          <w:rFonts w:hint="eastAsia" w:ascii="仿宋_GB2312" w:hAnsi="仿宋_GB2312" w:eastAsia="仿宋_GB2312" w:cs="仿宋_GB2312"/>
          <w:szCs w:val="21"/>
          <w:highlight w:val="none"/>
        </w:rPr>
      </w:pPr>
    </w:p>
    <w:p>
      <w:pPr>
        <w:spacing w:beforeLines="100" w:afterLines="100" w:line="360" w:lineRule="auto"/>
        <w:rPr>
          <w:rFonts w:hint="eastAsia" w:ascii="仿宋_GB2312" w:hAnsi="仿宋_GB2312" w:eastAsia="仿宋_GB2312" w:cs="仿宋_GB2312"/>
          <w:szCs w:val="21"/>
          <w:highlight w:val="none"/>
        </w:rPr>
      </w:pPr>
    </w:p>
    <w:p>
      <w:pPr>
        <w:spacing w:beforeLines="100" w:afterLines="100" w:line="360" w:lineRule="auto"/>
        <w:rPr>
          <w:rFonts w:hint="eastAsia" w:ascii="仿宋_GB2312" w:hAnsi="仿宋_GB2312" w:eastAsia="仿宋_GB2312" w:cs="仿宋_GB2312"/>
          <w:szCs w:val="21"/>
          <w:highlight w:val="none"/>
        </w:rPr>
      </w:pPr>
    </w:p>
    <w:p>
      <w:pPr>
        <w:spacing w:beforeLines="100" w:afterLines="100" w:line="360" w:lineRule="auto"/>
        <w:rPr>
          <w:rFonts w:hint="eastAsia" w:ascii="仿宋_GB2312" w:hAnsi="仿宋_GB2312" w:eastAsia="仿宋_GB2312" w:cs="仿宋_GB2312"/>
          <w:szCs w:val="21"/>
          <w:highlight w:val="none"/>
        </w:rPr>
      </w:pPr>
    </w:p>
    <w:p>
      <w:pPr>
        <w:spacing w:beforeLines="100" w:afterLines="100" w:line="360" w:lineRule="auto"/>
        <w:rPr>
          <w:rFonts w:hint="eastAsia" w:ascii="仿宋_GB2312" w:hAnsi="仿宋_GB2312" w:eastAsia="仿宋_GB2312" w:cs="仿宋_GB2312"/>
          <w:szCs w:val="21"/>
          <w:highlight w:val="none"/>
        </w:rPr>
      </w:pPr>
    </w:p>
    <w:p>
      <w:pPr>
        <w:spacing w:beforeLines="100" w:afterLines="100" w:line="360" w:lineRule="auto"/>
        <w:rPr>
          <w:rFonts w:hint="eastAsia" w:ascii="仿宋_GB2312" w:hAnsi="仿宋_GB2312" w:eastAsia="仿宋_GB2312" w:cs="仿宋_GB2312"/>
          <w:szCs w:val="21"/>
          <w:highlight w:val="none"/>
        </w:rPr>
      </w:pPr>
    </w:p>
    <w:p>
      <w:pPr>
        <w:spacing w:beforeLines="100" w:afterLines="100" w:line="360" w:lineRule="auto"/>
        <w:rPr>
          <w:rFonts w:hint="eastAsia" w:ascii="仿宋_GB2312" w:hAnsi="仿宋_GB2312" w:eastAsia="仿宋_GB2312" w:cs="仿宋_GB2312"/>
          <w:szCs w:val="21"/>
          <w:highlight w:val="none"/>
        </w:rPr>
      </w:pPr>
    </w:p>
    <w:p>
      <w:pPr>
        <w:spacing w:beforeLines="100" w:afterLines="100" w:line="360" w:lineRule="auto"/>
        <w:rPr>
          <w:rFonts w:hint="eastAsia" w:ascii="仿宋_GB2312" w:hAnsi="仿宋_GB2312" w:eastAsia="仿宋_GB2312" w:cs="仿宋_GB2312"/>
          <w:szCs w:val="21"/>
          <w:highlight w:val="none"/>
        </w:rPr>
      </w:pPr>
    </w:p>
    <w:p>
      <w:pPr>
        <w:rPr>
          <w:rFonts w:hint="eastAsia" w:ascii="仿宋_GB2312" w:hAnsi="仿宋_GB2312" w:eastAsia="仿宋_GB2312" w:cs="仿宋_GB2312"/>
          <w:bCs/>
          <w:sz w:val="28"/>
          <w:szCs w:val="28"/>
          <w:highlight w:val="none"/>
        </w:rPr>
      </w:pPr>
      <w:bookmarkStart w:id="85" w:name="_Toc533340162"/>
      <w:bookmarkStart w:id="86" w:name="_Toc4485638"/>
      <w:r>
        <w:rPr>
          <w:rFonts w:hint="eastAsia" w:ascii="仿宋_GB2312" w:hAnsi="仿宋_GB2312" w:eastAsia="仿宋_GB2312" w:cs="仿宋_GB2312"/>
          <w:bCs/>
          <w:sz w:val="28"/>
          <w:szCs w:val="28"/>
          <w:highlight w:val="none"/>
        </w:rPr>
        <w:br w:type="page"/>
      </w:r>
    </w:p>
    <w:p>
      <w:pPr>
        <w:pStyle w:val="2"/>
        <w:adjustRightInd w:val="0"/>
        <w:snapToGrid w:val="0"/>
        <w:spacing w:before="0" w:after="0" w:line="360" w:lineRule="auto"/>
        <w:rPr>
          <w:rFonts w:hint="eastAsia" w:ascii="仿宋_GB2312" w:hAnsi="仿宋_GB2312" w:eastAsia="仿宋_GB2312" w:cs="仿宋_GB2312"/>
          <w:bCs/>
          <w:sz w:val="28"/>
          <w:szCs w:val="28"/>
          <w:highlight w:val="none"/>
          <w:lang w:val="en-US" w:eastAsia="zh-CN"/>
        </w:rPr>
      </w:pPr>
      <w:r>
        <w:rPr>
          <w:rFonts w:hint="eastAsia" w:ascii="仿宋_GB2312" w:hAnsi="仿宋_GB2312" w:eastAsia="仿宋_GB2312" w:cs="仿宋_GB2312"/>
          <w:bCs/>
          <w:sz w:val="28"/>
          <w:szCs w:val="28"/>
          <w:highlight w:val="none"/>
        </w:rPr>
        <w:t>格式1</w:t>
      </w:r>
      <w:bookmarkEnd w:id="85"/>
      <w:bookmarkEnd w:id="86"/>
      <w:r>
        <w:rPr>
          <w:rFonts w:hint="eastAsia" w:ascii="仿宋_GB2312" w:hAnsi="仿宋_GB2312" w:eastAsia="仿宋_GB2312" w:cs="仿宋_GB2312"/>
          <w:bCs/>
          <w:sz w:val="28"/>
          <w:szCs w:val="28"/>
          <w:highlight w:val="none"/>
          <w:lang w:val="en-US" w:eastAsia="zh-CN"/>
        </w:rPr>
        <w:t>1</w:t>
      </w:r>
    </w:p>
    <w:p>
      <w:pPr>
        <w:spacing w:beforeLines="100" w:afterLines="100" w:line="36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供应商关联单位的说明</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说明：供应商应当如实披露与本单位存在下列关联关系的单位名称：</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（1）与供应商单位法定代表人（或非法人组织负责人）为同一人的其他单位；</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（2）与供应商存在直接控股、管理关系的其他单位。</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注：若无此情形，写“无”即可</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360" w:lineRule="auto"/>
        <w:ind w:right="105" w:rightChars="50"/>
        <w:jc w:val="left"/>
        <w:rPr>
          <w:rFonts w:hint="eastAsia" w:ascii="仿宋_GB2312" w:hAnsi="仿宋_GB2312" w:eastAsia="仿宋_GB2312" w:cs="仿宋_GB2312"/>
          <w:szCs w:val="21"/>
          <w:highlight w:val="none"/>
        </w:rPr>
      </w:pPr>
    </w:p>
    <w:p>
      <w:pPr>
        <w:adjustRightInd w:val="0"/>
        <w:snapToGrid w:val="0"/>
        <w:spacing w:line="480" w:lineRule="auto"/>
        <w:ind w:right="105" w:rightChars="50"/>
        <w:jc w:val="left"/>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供应商名称(加盖单位公章):</w:t>
      </w:r>
      <w:r>
        <w:rPr>
          <w:rFonts w:hint="eastAsia" w:ascii="仿宋_GB2312" w:hAnsi="仿宋_GB2312" w:eastAsia="仿宋_GB2312" w:cs="仿宋_GB2312"/>
          <w:szCs w:val="21"/>
          <w:highlight w:val="none"/>
          <w:u w:val="single"/>
        </w:rPr>
        <w:t xml:space="preserve">               </w:t>
      </w:r>
    </w:p>
    <w:p>
      <w:pPr>
        <w:adjustRightInd w:val="0"/>
        <w:snapToGrid w:val="0"/>
        <w:spacing w:line="480" w:lineRule="auto"/>
        <w:ind w:right="105" w:rightChars="50"/>
        <w:jc w:val="left"/>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法定代表人（或非法人组织负责人）或其授权委托人</w:t>
      </w:r>
      <w:r>
        <w:rPr>
          <w:rFonts w:hint="eastAsia" w:ascii="仿宋_GB2312" w:hAnsi="仿宋_GB2312" w:eastAsia="仿宋_GB2312" w:cs="仿宋_GB2312"/>
          <w:highlight w:val="none"/>
        </w:rPr>
        <w:t>(签字或盖章)</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u w:val="single"/>
        </w:rPr>
        <w:t xml:space="preserve">               </w:t>
      </w:r>
    </w:p>
    <w:p>
      <w:pPr>
        <w:adjustRightInd w:val="0"/>
        <w:snapToGrid w:val="0"/>
        <w:spacing w:line="480" w:lineRule="auto"/>
        <w:ind w:right="105" w:rightChars="5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日期:</w:t>
      </w:r>
      <w:r>
        <w:rPr>
          <w:rFonts w:hint="eastAsia" w:ascii="仿宋_GB2312" w:hAnsi="仿宋_GB2312" w:eastAsia="仿宋_GB2312" w:cs="仿宋_GB2312"/>
          <w:szCs w:val="21"/>
          <w:highlight w:val="none"/>
          <w:u w:val="single"/>
        </w:rPr>
        <w:t xml:space="preserve">                              </w:t>
      </w:r>
    </w:p>
    <w:p>
      <w:pPr>
        <w:adjustRightInd w:val="0"/>
        <w:snapToGrid w:val="0"/>
        <w:spacing w:line="360" w:lineRule="auto"/>
        <w:ind w:right="105" w:rightChars="50"/>
        <w:jc w:val="left"/>
        <w:outlineLvl w:val="9"/>
        <w:rPr>
          <w:rFonts w:hint="eastAsia" w:ascii="仿宋_GB2312" w:hAnsi="仿宋_GB2312" w:eastAsia="仿宋_GB2312" w:cs="仿宋_GB2312"/>
          <w:szCs w:val="21"/>
          <w:highlight w:val="none"/>
        </w:rPr>
      </w:pPr>
    </w:p>
    <w:p>
      <w:pPr>
        <w:spacing w:beforeLines="100" w:afterLines="100" w:line="360" w:lineRule="auto"/>
        <w:outlineLvl w:val="9"/>
        <w:rPr>
          <w:rFonts w:hint="eastAsia" w:ascii="仿宋_GB2312" w:hAnsi="仿宋_GB2312" w:eastAsia="仿宋_GB2312" w:cs="仿宋_GB2312"/>
          <w:szCs w:val="21"/>
          <w:highlight w:val="none"/>
          <w:u w:val="single"/>
        </w:rPr>
      </w:pPr>
    </w:p>
    <w:p>
      <w:pPr>
        <w:outlineLvl w:val="9"/>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u w:val="single"/>
        </w:rPr>
        <w:br w:type="page"/>
      </w:r>
    </w:p>
    <w:p>
      <w:pPr>
        <w:pStyle w:val="2"/>
        <w:adjustRightInd w:val="0"/>
        <w:snapToGrid w:val="0"/>
        <w:spacing w:before="0" w:after="0" w:line="360" w:lineRule="auto"/>
        <w:rPr>
          <w:rFonts w:hint="eastAsia" w:ascii="仿宋_GB2312" w:hAnsi="仿宋_GB2312" w:eastAsia="仿宋_GB2312" w:cs="仿宋_GB2312"/>
          <w:bCs/>
          <w:sz w:val="28"/>
          <w:szCs w:val="28"/>
          <w:highlight w:val="none"/>
          <w:lang w:val="en-US" w:eastAsia="zh-CN"/>
        </w:rPr>
      </w:pPr>
      <w:r>
        <w:rPr>
          <w:rFonts w:hint="eastAsia" w:ascii="仿宋_GB2312" w:hAnsi="仿宋_GB2312" w:eastAsia="仿宋_GB2312" w:cs="仿宋_GB2312"/>
          <w:bCs/>
          <w:sz w:val="28"/>
          <w:szCs w:val="28"/>
          <w:highlight w:val="none"/>
        </w:rPr>
        <w:t>格式1</w:t>
      </w:r>
      <w:r>
        <w:rPr>
          <w:rFonts w:hint="eastAsia" w:ascii="仿宋_GB2312" w:hAnsi="仿宋_GB2312" w:eastAsia="仿宋_GB2312" w:cs="仿宋_GB2312"/>
          <w:bCs/>
          <w:sz w:val="28"/>
          <w:szCs w:val="28"/>
          <w:highlight w:val="none"/>
          <w:lang w:val="en-US" w:eastAsia="zh-CN"/>
        </w:rPr>
        <w:t>2</w:t>
      </w:r>
    </w:p>
    <w:p>
      <w:pPr>
        <w:spacing w:beforeLines="100" w:afterLines="100" w:line="360" w:lineRule="auto"/>
        <w:jc w:val="center"/>
        <w:rPr>
          <w:rFonts w:hint="eastAsia" w:ascii="仿宋_GB2312" w:hAnsi="仿宋_GB2312" w:eastAsia="仿宋_GB2312" w:cs="仿宋_GB2312"/>
          <w:b/>
          <w:bCs/>
          <w:sz w:val="32"/>
          <w:szCs w:val="32"/>
          <w:highlight w:val="none"/>
          <w:lang w:val="en-US"/>
        </w:rPr>
      </w:pPr>
      <w:r>
        <w:rPr>
          <w:rFonts w:hint="eastAsia" w:ascii="仿宋_GB2312" w:hAnsi="仿宋_GB2312" w:eastAsia="仿宋_GB2312" w:cs="仿宋_GB2312"/>
          <w:b/>
          <w:bCs/>
          <w:sz w:val="32"/>
          <w:szCs w:val="32"/>
          <w:highlight w:val="none"/>
          <w:lang w:val="en-US"/>
        </w:rPr>
        <w:t>承诺函</w:t>
      </w:r>
    </w:p>
    <w:p>
      <w:pPr>
        <w:spacing w:line="288" w:lineRule="auto"/>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u w:val="single"/>
        </w:rPr>
        <w:t xml:space="preserve">（采购人或采购代理机构名称） </w:t>
      </w:r>
      <w:r>
        <w:rPr>
          <w:rFonts w:hint="eastAsia" w:ascii="仿宋_GB2312" w:hAnsi="仿宋_GB2312" w:eastAsia="仿宋_GB2312" w:cs="仿宋_GB2312"/>
          <w:sz w:val="21"/>
          <w:szCs w:val="21"/>
          <w:highlight w:val="none"/>
        </w:rPr>
        <w:t>：</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lang w:val="en-US"/>
        </w:rPr>
      </w:pPr>
      <w:r>
        <w:rPr>
          <w:rFonts w:hint="eastAsia" w:ascii="仿宋_GB2312" w:hAnsi="仿宋_GB2312" w:eastAsia="仿宋_GB2312" w:cs="仿宋_GB2312"/>
          <w:szCs w:val="21"/>
          <w:highlight w:val="none"/>
          <w:lang w:val="en-US" w:eastAsia="zh-CN"/>
        </w:rPr>
        <w:t>我单位除在电子评审系统上传投标（响应）文件外，并在递交投标（响应）文件截止时间前提交按采购文件规定的以（U盘）形式存储的可加密备份文件，并承诺备份文件与电子评审系统中上传的投标（响应）文件内容、格式一致，备系统突发故障使用。</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特此承诺</w:t>
      </w:r>
      <w:r>
        <w:rPr>
          <w:rFonts w:hint="eastAsia" w:ascii="仿宋_GB2312" w:hAnsi="仿宋_GB2312" w:eastAsia="仿宋_GB2312" w:cs="仿宋_GB2312"/>
          <w:szCs w:val="21"/>
          <w:highlight w:val="none"/>
        </w:rPr>
        <w:t>。</w:t>
      </w:r>
    </w:p>
    <w:p>
      <w:pPr>
        <w:spacing w:line="360" w:lineRule="auto"/>
        <w:jc w:val="left"/>
        <w:rPr>
          <w:rFonts w:hint="eastAsia" w:ascii="仿宋_GB2312" w:hAnsi="仿宋_GB2312" w:eastAsia="仿宋_GB2312" w:cs="仿宋_GB2312"/>
          <w:sz w:val="21"/>
          <w:szCs w:val="21"/>
          <w:highlight w:val="none"/>
        </w:rPr>
      </w:pPr>
    </w:p>
    <w:p>
      <w:pPr>
        <w:spacing w:line="360" w:lineRule="auto"/>
        <w:jc w:val="left"/>
        <w:rPr>
          <w:rFonts w:hint="eastAsia" w:ascii="仿宋_GB2312" w:hAnsi="仿宋_GB2312" w:eastAsia="仿宋_GB2312" w:cs="仿宋_GB2312"/>
          <w:sz w:val="21"/>
          <w:szCs w:val="21"/>
          <w:highlight w:val="none"/>
        </w:rPr>
      </w:pPr>
    </w:p>
    <w:p>
      <w:pPr>
        <w:spacing w:line="360" w:lineRule="auto"/>
        <w:jc w:val="left"/>
        <w:rPr>
          <w:rFonts w:hint="eastAsia" w:ascii="仿宋_GB2312" w:hAnsi="仿宋_GB2312" w:eastAsia="仿宋_GB2312" w:cs="仿宋_GB2312"/>
          <w:sz w:val="21"/>
          <w:szCs w:val="21"/>
          <w:highlight w:val="none"/>
        </w:rPr>
      </w:pPr>
    </w:p>
    <w:p>
      <w:pPr>
        <w:spacing w:line="360" w:lineRule="auto"/>
        <w:jc w:val="left"/>
        <w:rPr>
          <w:rFonts w:hint="eastAsia" w:ascii="仿宋_GB2312" w:hAnsi="仿宋_GB2312" w:eastAsia="仿宋_GB2312" w:cs="仿宋_GB2312"/>
          <w:sz w:val="21"/>
          <w:szCs w:val="21"/>
          <w:highlight w:val="none"/>
        </w:rPr>
      </w:pPr>
    </w:p>
    <w:p>
      <w:pPr>
        <w:adjustRightInd w:val="0"/>
        <w:snapToGrid w:val="0"/>
        <w:spacing w:line="480" w:lineRule="auto"/>
        <w:ind w:right="105" w:rightChars="50"/>
        <w:jc w:val="left"/>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供应商名称(加盖单位公章):</w:t>
      </w:r>
      <w:r>
        <w:rPr>
          <w:rFonts w:hint="eastAsia" w:ascii="仿宋_GB2312" w:hAnsi="仿宋_GB2312" w:eastAsia="仿宋_GB2312" w:cs="仿宋_GB2312"/>
          <w:szCs w:val="21"/>
          <w:highlight w:val="none"/>
          <w:u w:val="single"/>
        </w:rPr>
        <w:t xml:space="preserve">               </w:t>
      </w:r>
    </w:p>
    <w:p>
      <w:pPr>
        <w:adjustRightInd w:val="0"/>
        <w:snapToGrid w:val="0"/>
        <w:spacing w:line="480" w:lineRule="auto"/>
        <w:ind w:right="105" w:rightChars="50"/>
        <w:jc w:val="left"/>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法定代表人（或非法人组织负责人）或其授权委托人</w:t>
      </w:r>
      <w:r>
        <w:rPr>
          <w:rFonts w:hint="eastAsia" w:ascii="仿宋_GB2312" w:hAnsi="仿宋_GB2312" w:eastAsia="仿宋_GB2312" w:cs="仿宋_GB2312"/>
          <w:highlight w:val="none"/>
        </w:rPr>
        <w:t>(签字或盖章)</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u w:val="single"/>
        </w:rPr>
        <w:t xml:space="preserve">               </w:t>
      </w:r>
    </w:p>
    <w:p>
      <w:pPr>
        <w:adjustRightInd w:val="0"/>
        <w:snapToGrid w:val="0"/>
        <w:spacing w:line="480" w:lineRule="auto"/>
        <w:ind w:right="105" w:rightChars="5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日期:</w:t>
      </w:r>
      <w:r>
        <w:rPr>
          <w:rFonts w:hint="eastAsia" w:ascii="仿宋_GB2312" w:hAnsi="仿宋_GB2312" w:eastAsia="仿宋_GB2312" w:cs="仿宋_GB2312"/>
          <w:szCs w:val="21"/>
          <w:highlight w:val="none"/>
          <w:u w:val="single"/>
        </w:rPr>
        <w:t xml:space="preserve">                              </w:t>
      </w:r>
    </w:p>
    <w:p>
      <w:pPr>
        <w:outlineLvl w:val="9"/>
        <w:rPr>
          <w:rFonts w:hint="eastAsia" w:ascii="仿宋_GB2312" w:hAnsi="仿宋_GB2312" w:eastAsia="仿宋_GB2312" w:cs="仿宋_GB2312"/>
          <w:highlight w:val="none"/>
        </w:rPr>
      </w:pPr>
    </w:p>
    <w:p>
      <w:pPr>
        <w:spacing w:beforeLines="100" w:afterLines="100" w:line="360" w:lineRule="auto"/>
        <w:outlineLvl w:val="9"/>
        <w:rPr>
          <w:rFonts w:hint="eastAsia" w:ascii="仿宋_GB2312" w:hAnsi="仿宋_GB2312" w:eastAsia="仿宋_GB2312" w:cs="仿宋_GB2312"/>
          <w:szCs w:val="21"/>
          <w:highlight w:val="none"/>
          <w:u w:val="single"/>
        </w:rPr>
      </w:pPr>
    </w:p>
    <w:p>
      <w:pPr>
        <w:spacing w:beforeLines="100" w:afterLines="100" w:line="360" w:lineRule="auto"/>
        <w:rPr>
          <w:rFonts w:hint="eastAsia" w:ascii="仿宋_GB2312" w:hAnsi="仿宋_GB2312" w:eastAsia="仿宋_GB2312" w:cs="仿宋_GB2312"/>
          <w:szCs w:val="21"/>
          <w:highlight w:val="none"/>
          <w:u w:val="single"/>
        </w:rPr>
      </w:pPr>
    </w:p>
    <w:p>
      <w:pPr>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br w:type="page"/>
      </w:r>
    </w:p>
    <w:p>
      <w:pPr>
        <w:widowControl/>
        <w:jc w:val="left"/>
        <w:outlineLvl w:val="1"/>
        <w:rPr>
          <w:rFonts w:hint="eastAsia" w:ascii="仿宋_GB2312" w:hAnsi="仿宋_GB2312" w:eastAsia="仿宋_GB2312" w:cs="仿宋_GB2312"/>
          <w:b/>
          <w:bCs/>
          <w:sz w:val="28"/>
          <w:szCs w:val="28"/>
          <w:highlight w:val="none"/>
          <w:lang w:eastAsia="zh-CN"/>
        </w:rPr>
      </w:pPr>
      <w:r>
        <w:rPr>
          <w:rFonts w:hint="eastAsia" w:ascii="仿宋_GB2312" w:hAnsi="仿宋_GB2312" w:eastAsia="仿宋_GB2312" w:cs="仿宋_GB2312"/>
          <w:b/>
          <w:bCs/>
          <w:sz w:val="28"/>
          <w:szCs w:val="28"/>
          <w:highlight w:val="none"/>
        </w:rPr>
        <w:t>格式1</w:t>
      </w:r>
      <w:r>
        <w:rPr>
          <w:rFonts w:hint="eastAsia" w:ascii="仿宋_GB2312" w:hAnsi="仿宋_GB2312" w:eastAsia="仿宋_GB2312" w:cs="仿宋_GB2312"/>
          <w:b/>
          <w:bCs/>
          <w:sz w:val="28"/>
          <w:szCs w:val="28"/>
          <w:highlight w:val="none"/>
          <w:lang w:val="en-US" w:eastAsia="zh-CN"/>
        </w:rPr>
        <w:t>3</w:t>
      </w:r>
    </w:p>
    <w:p>
      <w:pPr>
        <w:spacing w:beforeLines="100" w:afterLines="100" w:line="480" w:lineRule="exact"/>
        <w:ind w:right="630" w:rightChars="300"/>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施工方案与技术措施</w:t>
      </w:r>
    </w:p>
    <w:p>
      <w:pPr>
        <w:spacing w:beforeLines="100" w:afterLines="100" w:line="480" w:lineRule="exact"/>
        <w:ind w:right="630" w:rightChars="300"/>
        <w:jc w:val="center"/>
        <w:rPr>
          <w:rFonts w:hint="eastAsia" w:ascii="仿宋_GB2312" w:hAnsi="仿宋_GB2312" w:eastAsia="仿宋_GB2312" w:cs="仿宋_GB2312"/>
          <w:b w:val="0"/>
          <w:bCs/>
          <w:sz w:val="28"/>
          <w:szCs w:val="28"/>
          <w:highlight w:val="none"/>
        </w:rPr>
      </w:pPr>
      <w:r>
        <w:rPr>
          <w:rFonts w:hint="eastAsia" w:ascii="仿宋_GB2312" w:hAnsi="仿宋_GB2312" w:eastAsia="仿宋_GB2312" w:cs="仿宋_GB2312"/>
          <w:b w:val="0"/>
          <w:bCs/>
          <w:sz w:val="28"/>
          <w:szCs w:val="28"/>
          <w:highlight w:val="none"/>
        </w:rPr>
        <w:t>（格式自拟）</w:t>
      </w: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line="480" w:lineRule="auto"/>
        <w:outlineLvl w:val="9"/>
        <w:rPr>
          <w:rFonts w:hint="eastAsia" w:ascii="仿宋_GB2312" w:hAnsi="仿宋_GB2312" w:eastAsia="仿宋_GB2312" w:cs="仿宋_GB2312"/>
          <w:highlight w:val="none"/>
        </w:rPr>
      </w:pPr>
    </w:p>
    <w:p>
      <w:pPr>
        <w:widowControl/>
        <w:jc w:val="left"/>
        <w:outlineLvl w:val="9"/>
        <w:rPr>
          <w:rFonts w:hint="eastAsia" w:ascii="仿宋_GB2312" w:hAnsi="仿宋_GB2312" w:eastAsia="仿宋_GB2312" w:cs="仿宋_GB2312"/>
          <w:highlight w:val="none"/>
        </w:rPr>
      </w:pPr>
    </w:p>
    <w:p>
      <w:pPr>
        <w:widowControl/>
        <w:jc w:val="left"/>
        <w:outlineLvl w:val="9"/>
        <w:rPr>
          <w:rFonts w:hint="eastAsia" w:ascii="仿宋_GB2312" w:hAnsi="仿宋_GB2312" w:eastAsia="仿宋_GB2312" w:cs="仿宋_GB2312"/>
          <w:b/>
          <w:bCs/>
          <w:sz w:val="28"/>
          <w:szCs w:val="28"/>
          <w:highlight w:val="none"/>
          <w:lang w:eastAsia="zh-CN"/>
        </w:rPr>
      </w:pPr>
      <w:r>
        <w:rPr>
          <w:rFonts w:hint="eastAsia" w:ascii="仿宋_GB2312" w:hAnsi="仿宋_GB2312" w:eastAsia="仿宋_GB2312" w:cs="仿宋_GB2312"/>
          <w:szCs w:val="21"/>
          <w:highlight w:val="none"/>
        </w:rPr>
        <w:br w:type="page"/>
      </w:r>
      <w:r>
        <w:rPr>
          <w:rFonts w:hint="eastAsia" w:ascii="仿宋_GB2312" w:hAnsi="仿宋_GB2312" w:eastAsia="仿宋_GB2312" w:cs="仿宋_GB2312"/>
          <w:b/>
          <w:bCs/>
          <w:sz w:val="28"/>
          <w:szCs w:val="28"/>
          <w:highlight w:val="none"/>
        </w:rPr>
        <w:t>格式1</w:t>
      </w:r>
      <w:r>
        <w:rPr>
          <w:rFonts w:hint="eastAsia" w:ascii="仿宋_GB2312" w:hAnsi="仿宋_GB2312" w:eastAsia="仿宋_GB2312" w:cs="仿宋_GB2312"/>
          <w:b/>
          <w:bCs/>
          <w:sz w:val="28"/>
          <w:szCs w:val="28"/>
          <w:highlight w:val="none"/>
          <w:lang w:val="en-US" w:eastAsia="zh-CN"/>
        </w:rPr>
        <w:t>4</w:t>
      </w:r>
    </w:p>
    <w:p>
      <w:pPr>
        <w:spacing w:beforeLines="100" w:afterLines="100" w:line="480" w:lineRule="exact"/>
        <w:ind w:right="630" w:rightChars="300"/>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工程进度计划与措施</w:t>
      </w:r>
    </w:p>
    <w:p>
      <w:pPr>
        <w:spacing w:beforeLines="100" w:afterLines="100" w:line="480" w:lineRule="exact"/>
        <w:ind w:right="630" w:rightChars="300"/>
        <w:jc w:val="center"/>
        <w:rPr>
          <w:rFonts w:hint="eastAsia" w:ascii="仿宋_GB2312" w:hAnsi="仿宋_GB2312" w:eastAsia="仿宋_GB2312" w:cs="仿宋_GB2312"/>
          <w:b w:val="0"/>
          <w:bCs/>
          <w:sz w:val="28"/>
          <w:szCs w:val="28"/>
          <w:highlight w:val="none"/>
        </w:rPr>
      </w:pPr>
      <w:r>
        <w:rPr>
          <w:rFonts w:hint="eastAsia" w:ascii="仿宋_GB2312" w:hAnsi="仿宋_GB2312" w:eastAsia="仿宋_GB2312" w:cs="仿宋_GB2312"/>
          <w:b w:val="0"/>
          <w:bCs/>
          <w:sz w:val="28"/>
          <w:szCs w:val="28"/>
          <w:highlight w:val="none"/>
        </w:rPr>
        <w:t>（格式自拟）</w:t>
      </w: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widowControl/>
        <w:jc w:val="left"/>
        <w:outlineLvl w:val="1"/>
        <w:rPr>
          <w:rFonts w:hint="eastAsia" w:ascii="仿宋_GB2312" w:hAnsi="仿宋_GB2312" w:eastAsia="仿宋_GB2312" w:cs="仿宋_GB2312"/>
          <w:b/>
          <w:bCs/>
          <w:sz w:val="28"/>
          <w:szCs w:val="28"/>
          <w:highlight w:val="none"/>
          <w:lang w:eastAsia="zh-CN"/>
        </w:rPr>
      </w:pPr>
      <w:r>
        <w:rPr>
          <w:rFonts w:hint="eastAsia" w:ascii="仿宋_GB2312" w:hAnsi="仿宋_GB2312" w:eastAsia="仿宋_GB2312" w:cs="仿宋_GB2312"/>
          <w:highlight w:val="none"/>
          <w:u w:val="single"/>
        </w:rPr>
        <w:br w:type="page"/>
      </w:r>
      <w:r>
        <w:rPr>
          <w:rFonts w:hint="eastAsia" w:ascii="仿宋_GB2312" w:hAnsi="仿宋_GB2312" w:eastAsia="仿宋_GB2312" w:cs="仿宋_GB2312"/>
          <w:b/>
          <w:bCs/>
          <w:sz w:val="28"/>
          <w:szCs w:val="28"/>
          <w:highlight w:val="none"/>
        </w:rPr>
        <w:t>格式1</w:t>
      </w:r>
      <w:r>
        <w:rPr>
          <w:rFonts w:hint="eastAsia" w:ascii="仿宋_GB2312" w:hAnsi="仿宋_GB2312" w:eastAsia="仿宋_GB2312" w:cs="仿宋_GB2312"/>
          <w:b/>
          <w:bCs/>
          <w:sz w:val="28"/>
          <w:szCs w:val="28"/>
          <w:highlight w:val="none"/>
          <w:lang w:val="en-US" w:eastAsia="zh-CN"/>
        </w:rPr>
        <w:t>5</w:t>
      </w:r>
    </w:p>
    <w:p>
      <w:pPr>
        <w:spacing w:beforeLines="100" w:afterLines="100" w:line="480" w:lineRule="exact"/>
        <w:ind w:right="630" w:rightChars="300"/>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质量管理体系与措施</w:t>
      </w:r>
    </w:p>
    <w:p>
      <w:pPr>
        <w:spacing w:beforeLines="100" w:afterLines="100" w:line="480" w:lineRule="exact"/>
        <w:ind w:right="630" w:rightChars="300"/>
        <w:jc w:val="center"/>
        <w:rPr>
          <w:rFonts w:hint="eastAsia" w:ascii="仿宋_GB2312" w:hAnsi="仿宋_GB2312" w:eastAsia="仿宋_GB2312" w:cs="仿宋_GB2312"/>
          <w:b w:val="0"/>
          <w:bCs/>
          <w:sz w:val="28"/>
          <w:szCs w:val="28"/>
          <w:highlight w:val="none"/>
        </w:rPr>
      </w:pPr>
      <w:r>
        <w:rPr>
          <w:rFonts w:hint="eastAsia" w:ascii="仿宋_GB2312" w:hAnsi="仿宋_GB2312" w:eastAsia="仿宋_GB2312" w:cs="仿宋_GB2312"/>
          <w:b w:val="0"/>
          <w:bCs/>
          <w:sz w:val="28"/>
          <w:szCs w:val="28"/>
          <w:highlight w:val="none"/>
        </w:rPr>
        <w:t>（格式自拟）</w:t>
      </w: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rPr>
          <w:rFonts w:hint="eastAsia" w:ascii="仿宋_GB2312" w:hAnsi="仿宋_GB2312" w:eastAsia="仿宋_GB2312" w:cs="仿宋_GB2312"/>
          <w:sz w:val="28"/>
          <w:highlight w:val="none"/>
        </w:rPr>
      </w:pPr>
      <w:r>
        <w:rPr>
          <w:rFonts w:hint="eastAsia" w:ascii="仿宋_GB2312" w:hAnsi="仿宋_GB2312" w:eastAsia="仿宋_GB2312" w:cs="仿宋_GB2312"/>
          <w:sz w:val="28"/>
          <w:highlight w:val="none"/>
        </w:rPr>
        <w:br w:type="page"/>
      </w:r>
    </w:p>
    <w:p>
      <w:pPr>
        <w:pStyle w:val="2"/>
        <w:adjustRightInd w:val="0"/>
        <w:snapToGrid w:val="0"/>
        <w:spacing w:before="0" w:after="0" w:line="240" w:lineRule="auto"/>
        <w:jc w:val="left"/>
        <w:rPr>
          <w:rFonts w:hint="eastAsia" w:ascii="仿宋_GB2312" w:hAnsi="仿宋_GB2312" w:eastAsia="仿宋_GB2312" w:cs="仿宋_GB2312"/>
          <w:sz w:val="28"/>
          <w:highlight w:val="none"/>
          <w:lang w:eastAsia="zh-CN"/>
        </w:rPr>
      </w:pPr>
      <w:r>
        <w:rPr>
          <w:rFonts w:hint="eastAsia" w:ascii="仿宋_GB2312" w:hAnsi="仿宋_GB2312" w:eastAsia="仿宋_GB2312" w:cs="仿宋_GB2312"/>
          <w:sz w:val="28"/>
          <w:highlight w:val="none"/>
        </w:rPr>
        <w:t>格式1</w:t>
      </w:r>
      <w:r>
        <w:rPr>
          <w:rFonts w:hint="eastAsia" w:ascii="仿宋_GB2312" w:hAnsi="仿宋_GB2312" w:eastAsia="仿宋_GB2312" w:cs="仿宋_GB2312"/>
          <w:sz w:val="28"/>
          <w:highlight w:val="none"/>
          <w:lang w:val="en-US" w:eastAsia="zh-CN"/>
        </w:rPr>
        <w:t>6</w:t>
      </w:r>
    </w:p>
    <w:p>
      <w:pPr>
        <w:spacing w:beforeLines="100" w:afterLines="100" w:line="480" w:lineRule="exact"/>
        <w:ind w:right="630" w:rightChars="300"/>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安全文明管理体系与措施</w:t>
      </w:r>
    </w:p>
    <w:p>
      <w:pPr>
        <w:spacing w:beforeLines="100" w:afterLines="100" w:line="480" w:lineRule="exact"/>
        <w:ind w:right="630" w:rightChars="30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（格式自拟）</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widowControl/>
        <w:jc w:val="left"/>
        <w:outlineLvl w:val="1"/>
        <w:rPr>
          <w:rFonts w:hint="eastAsia" w:ascii="仿宋_GB2312" w:hAnsi="仿宋_GB2312" w:eastAsia="仿宋_GB2312" w:cs="仿宋_GB2312"/>
          <w:b/>
          <w:bCs/>
          <w:sz w:val="28"/>
          <w:szCs w:val="28"/>
          <w:highlight w:val="none"/>
          <w:lang w:eastAsia="zh-CN"/>
        </w:rPr>
      </w:pPr>
      <w:r>
        <w:rPr>
          <w:rFonts w:hint="eastAsia" w:ascii="仿宋_GB2312" w:hAnsi="仿宋_GB2312" w:eastAsia="仿宋_GB2312" w:cs="仿宋_GB2312"/>
          <w:szCs w:val="21"/>
          <w:highlight w:val="none"/>
          <w:u w:val="single"/>
        </w:rPr>
        <w:br w:type="page"/>
      </w:r>
      <w:r>
        <w:rPr>
          <w:rFonts w:hint="eastAsia" w:ascii="仿宋_GB2312" w:hAnsi="仿宋_GB2312" w:eastAsia="仿宋_GB2312" w:cs="仿宋_GB2312"/>
          <w:b/>
          <w:bCs/>
          <w:sz w:val="28"/>
          <w:szCs w:val="28"/>
          <w:highlight w:val="none"/>
        </w:rPr>
        <w:t>格式1</w:t>
      </w:r>
      <w:r>
        <w:rPr>
          <w:rFonts w:hint="eastAsia" w:ascii="仿宋_GB2312" w:hAnsi="仿宋_GB2312" w:eastAsia="仿宋_GB2312" w:cs="仿宋_GB2312"/>
          <w:b/>
          <w:bCs/>
          <w:sz w:val="28"/>
          <w:szCs w:val="28"/>
          <w:highlight w:val="none"/>
          <w:lang w:val="en-US" w:eastAsia="zh-CN"/>
        </w:rPr>
        <w:t>7</w:t>
      </w:r>
    </w:p>
    <w:p>
      <w:pPr>
        <w:spacing w:beforeLines="100" w:afterLines="100" w:line="480" w:lineRule="exact"/>
        <w:ind w:right="630" w:rightChars="300"/>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环境保护管理体系与措施</w:t>
      </w:r>
    </w:p>
    <w:p>
      <w:pPr>
        <w:spacing w:beforeLines="100" w:afterLines="100" w:line="480" w:lineRule="exact"/>
        <w:ind w:right="630" w:rightChars="30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（格式自拟）</w:t>
      </w: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widowControl/>
        <w:jc w:val="left"/>
        <w:outlineLvl w:val="1"/>
        <w:rPr>
          <w:rFonts w:hint="eastAsia" w:ascii="仿宋_GB2312" w:hAnsi="仿宋_GB2312" w:eastAsia="仿宋_GB2312" w:cs="仿宋_GB2312"/>
          <w:b/>
          <w:bCs/>
          <w:sz w:val="28"/>
          <w:szCs w:val="28"/>
          <w:highlight w:val="none"/>
          <w:lang w:eastAsia="zh-CN"/>
        </w:rPr>
      </w:pPr>
      <w:r>
        <w:rPr>
          <w:rFonts w:hint="eastAsia" w:ascii="仿宋_GB2312" w:hAnsi="仿宋_GB2312" w:eastAsia="仿宋_GB2312" w:cs="仿宋_GB2312"/>
          <w:highlight w:val="none"/>
          <w:u w:val="single"/>
        </w:rPr>
        <w:br w:type="page"/>
      </w:r>
      <w:r>
        <w:rPr>
          <w:rFonts w:hint="eastAsia" w:ascii="仿宋_GB2312" w:hAnsi="仿宋_GB2312" w:eastAsia="仿宋_GB2312" w:cs="仿宋_GB2312"/>
          <w:b/>
          <w:bCs/>
          <w:sz w:val="28"/>
          <w:szCs w:val="28"/>
          <w:highlight w:val="none"/>
        </w:rPr>
        <w:t>格式1</w:t>
      </w:r>
      <w:r>
        <w:rPr>
          <w:rFonts w:hint="eastAsia" w:ascii="仿宋_GB2312" w:hAnsi="仿宋_GB2312" w:eastAsia="仿宋_GB2312" w:cs="仿宋_GB2312"/>
          <w:b/>
          <w:bCs/>
          <w:sz w:val="28"/>
          <w:szCs w:val="28"/>
          <w:highlight w:val="none"/>
          <w:lang w:val="en-US" w:eastAsia="zh-CN"/>
        </w:rPr>
        <w:t>8</w:t>
      </w:r>
    </w:p>
    <w:p>
      <w:pPr>
        <w:spacing w:beforeLines="100" w:afterLines="100" w:line="480" w:lineRule="exact"/>
        <w:ind w:right="630" w:rightChars="300"/>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资源配备计划</w:t>
      </w:r>
    </w:p>
    <w:p>
      <w:pPr>
        <w:jc w:val="center"/>
        <w:rPr>
          <w:rFonts w:hint="eastAsia" w:ascii="仿宋_GB2312" w:hAnsi="仿宋_GB2312" w:eastAsia="仿宋_GB2312" w:cs="仿宋_GB2312"/>
          <w:highlight w:val="none"/>
          <w:u w:val="single"/>
        </w:rPr>
      </w:pPr>
      <w:r>
        <w:rPr>
          <w:rFonts w:hint="eastAsia" w:ascii="仿宋_GB2312" w:hAnsi="仿宋_GB2312" w:eastAsia="仿宋_GB2312" w:cs="仿宋_GB2312"/>
          <w:sz w:val="28"/>
          <w:szCs w:val="28"/>
          <w:highlight w:val="none"/>
        </w:rPr>
        <w:t>（格式自拟）</w:t>
      </w:r>
      <w:r>
        <w:rPr>
          <w:rFonts w:hint="eastAsia" w:ascii="仿宋_GB2312" w:hAnsi="仿宋_GB2312" w:eastAsia="仿宋_GB2312" w:cs="仿宋_GB2312"/>
          <w:highlight w:val="none"/>
          <w:u w:val="single"/>
        </w:rPr>
        <w:br w:type="page"/>
      </w:r>
    </w:p>
    <w:p>
      <w:pPr>
        <w:spacing w:beforeLines="100" w:afterLines="100" w:line="480" w:lineRule="exact"/>
        <w:ind w:right="630" w:rightChars="300"/>
        <w:rPr>
          <w:rFonts w:hint="eastAsia" w:ascii="仿宋_GB2312" w:hAnsi="仿宋_GB2312" w:eastAsia="仿宋_GB2312" w:cs="仿宋_GB2312"/>
          <w:b/>
          <w:bCs/>
          <w:sz w:val="28"/>
          <w:szCs w:val="28"/>
          <w:highlight w:val="none"/>
          <w:lang w:eastAsia="zh-CN"/>
        </w:rPr>
      </w:pPr>
      <w:r>
        <w:rPr>
          <w:rFonts w:hint="eastAsia" w:ascii="仿宋_GB2312" w:hAnsi="仿宋_GB2312" w:eastAsia="仿宋_GB2312" w:cs="仿宋_GB2312"/>
          <w:b/>
          <w:bCs/>
          <w:sz w:val="28"/>
          <w:szCs w:val="28"/>
          <w:highlight w:val="none"/>
        </w:rPr>
        <w:t>格式1</w:t>
      </w:r>
      <w:r>
        <w:rPr>
          <w:rFonts w:hint="eastAsia" w:ascii="仿宋_GB2312" w:hAnsi="仿宋_GB2312" w:eastAsia="仿宋_GB2312" w:cs="仿宋_GB2312"/>
          <w:b/>
          <w:bCs/>
          <w:sz w:val="28"/>
          <w:szCs w:val="28"/>
          <w:highlight w:val="none"/>
          <w:lang w:val="en-US" w:eastAsia="zh-CN"/>
        </w:rPr>
        <w:t>9</w:t>
      </w:r>
    </w:p>
    <w:p>
      <w:pPr>
        <w:spacing w:beforeLines="100" w:afterLines="100" w:line="480" w:lineRule="exact"/>
        <w:ind w:right="630" w:rightChars="300"/>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季节施工措施</w:t>
      </w:r>
    </w:p>
    <w:p>
      <w:pPr>
        <w:spacing w:beforeLines="100" w:afterLines="100" w:line="480" w:lineRule="exact"/>
        <w:ind w:right="630" w:rightChars="30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（格式自拟）</w:t>
      </w:r>
    </w:p>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br w:type="page"/>
      </w:r>
    </w:p>
    <w:p>
      <w:pPr>
        <w:pStyle w:val="2"/>
        <w:rPr>
          <w:rFonts w:hint="default"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rPr>
        <w:t>格式</w:t>
      </w:r>
      <w:r>
        <w:rPr>
          <w:rFonts w:hint="eastAsia" w:ascii="仿宋_GB2312" w:hAnsi="仿宋_GB2312" w:eastAsia="仿宋_GB2312" w:cs="仿宋_GB2312"/>
          <w:b/>
          <w:bCs/>
          <w:sz w:val="28"/>
          <w:szCs w:val="28"/>
          <w:highlight w:val="none"/>
          <w:lang w:val="en-US" w:eastAsia="zh-CN"/>
        </w:rPr>
        <w:t>20</w:t>
      </w:r>
    </w:p>
    <w:p>
      <w:pPr>
        <w:spacing w:beforeLines="100" w:afterLines="100" w:line="480" w:lineRule="exact"/>
        <w:ind w:right="630" w:rightChars="300"/>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售后服务承诺及保修措施</w:t>
      </w:r>
    </w:p>
    <w:p>
      <w:pPr>
        <w:spacing w:beforeLines="100" w:afterLines="100" w:line="480" w:lineRule="exact"/>
        <w:ind w:right="630" w:rightChars="30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（格式自拟）</w:t>
      </w: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line="480" w:lineRule="auto"/>
        <w:rPr>
          <w:rFonts w:hint="eastAsia" w:ascii="仿宋_GB2312" w:hAnsi="仿宋_GB2312" w:eastAsia="仿宋_GB2312" w:cs="仿宋_GB2312"/>
          <w:highlight w:val="none"/>
          <w:u w:val="single"/>
        </w:rPr>
      </w:pPr>
      <w:r>
        <w:rPr>
          <w:rFonts w:hint="eastAsia" w:ascii="仿宋_GB2312" w:hAnsi="仿宋_GB2312" w:eastAsia="仿宋_GB2312" w:cs="仿宋_GB2312"/>
          <w:highlight w:val="none"/>
        </w:rPr>
        <w:t>供应商名称（加盖单位公章）：</w:t>
      </w:r>
      <w:r>
        <w:rPr>
          <w:rFonts w:hint="eastAsia" w:ascii="仿宋_GB2312" w:hAnsi="仿宋_GB2312" w:eastAsia="仿宋_GB2312" w:cs="仿宋_GB2312"/>
          <w:highlight w:val="none"/>
          <w:u w:val="single"/>
        </w:rPr>
        <w:t xml:space="preserve">               </w:t>
      </w:r>
    </w:p>
    <w:p>
      <w:pPr>
        <w:spacing w:line="480" w:lineRule="auto"/>
        <w:rPr>
          <w:rFonts w:hint="eastAsia" w:ascii="仿宋_GB2312" w:hAnsi="仿宋_GB2312" w:eastAsia="仿宋_GB2312" w:cs="仿宋_GB2312"/>
          <w:highlight w:val="none"/>
          <w:u w:val="singl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其授权代表人(签字或盖章)：</w:t>
      </w:r>
      <w:r>
        <w:rPr>
          <w:rFonts w:hint="eastAsia" w:ascii="仿宋_GB2312" w:hAnsi="仿宋_GB2312" w:eastAsia="仿宋_GB2312" w:cs="仿宋_GB2312"/>
          <w:highlight w:val="none"/>
          <w:u w:val="single"/>
        </w:rPr>
        <w:t xml:space="preserve">                </w:t>
      </w:r>
    </w:p>
    <w:p>
      <w:pPr>
        <w:spacing w:line="480" w:lineRule="auto"/>
        <w:rPr>
          <w:rFonts w:hint="eastAsia" w:ascii="仿宋_GB2312" w:hAnsi="仿宋_GB2312" w:eastAsia="仿宋_GB2312" w:cs="仿宋_GB2312"/>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pPr>
        <w:spacing w:line="480" w:lineRule="auto"/>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br w:type="page"/>
      </w:r>
    </w:p>
    <w:bookmarkEnd w:id="83"/>
    <w:bookmarkEnd w:id="84"/>
    <w:p>
      <w:pPr>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格式21</w:t>
      </w:r>
    </w:p>
    <w:p>
      <w:pPr>
        <w:spacing w:beforeLines="100" w:afterLines="100" w:line="480" w:lineRule="exact"/>
        <w:ind w:right="630" w:rightChars="300"/>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质量保证承诺书</w:t>
      </w:r>
    </w:p>
    <w:p>
      <w:pPr>
        <w:spacing w:beforeLines="100" w:afterLines="100" w:line="480" w:lineRule="exact"/>
        <w:ind w:right="630" w:rightChars="30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（格式自拟）</w:t>
      </w: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line="480" w:lineRule="auto"/>
        <w:rPr>
          <w:rFonts w:hint="eastAsia" w:ascii="仿宋_GB2312" w:hAnsi="仿宋_GB2312" w:eastAsia="仿宋_GB2312" w:cs="仿宋_GB2312"/>
          <w:highlight w:val="none"/>
          <w:u w:val="single"/>
        </w:rPr>
      </w:pPr>
      <w:r>
        <w:rPr>
          <w:rFonts w:hint="eastAsia" w:ascii="仿宋_GB2312" w:hAnsi="仿宋_GB2312" w:eastAsia="仿宋_GB2312" w:cs="仿宋_GB2312"/>
          <w:highlight w:val="none"/>
        </w:rPr>
        <w:t>供应商名称（加盖单位公章）：</w:t>
      </w:r>
      <w:r>
        <w:rPr>
          <w:rFonts w:hint="eastAsia" w:ascii="仿宋_GB2312" w:hAnsi="仿宋_GB2312" w:eastAsia="仿宋_GB2312" w:cs="仿宋_GB2312"/>
          <w:highlight w:val="none"/>
          <w:u w:val="single"/>
        </w:rPr>
        <w:t xml:space="preserve">             </w:t>
      </w:r>
    </w:p>
    <w:p>
      <w:pPr>
        <w:spacing w:line="480" w:lineRule="auto"/>
        <w:rPr>
          <w:rFonts w:hint="eastAsia" w:ascii="仿宋_GB2312" w:hAnsi="仿宋_GB2312" w:eastAsia="仿宋_GB2312" w:cs="仿宋_GB2312"/>
          <w:highlight w:val="none"/>
          <w:u w:val="singl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其授权代表人(签字或盖章)：</w:t>
      </w:r>
      <w:r>
        <w:rPr>
          <w:rFonts w:hint="eastAsia" w:ascii="仿宋_GB2312" w:hAnsi="仿宋_GB2312" w:eastAsia="仿宋_GB2312" w:cs="仿宋_GB2312"/>
          <w:highlight w:val="none"/>
          <w:u w:val="single"/>
        </w:rPr>
        <w:t xml:space="preserve">             </w:t>
      </w:r>
    </w:p>
    <w:p>
      <w:pPr>
        <w:spacing w:line="480" w:lineRule="auto"/>
        <w:rPr>
          <w:rFonts w:hint="eastAsia" w:ascii="仿宋_GB2312" w:hAnsi="仿宋_GB2312" w:eastAsia="仿宋_GB2312" w:cs="仿宋_GB2312"/>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pPr>
        <w:spacing w:line="480" w:lineRule="auto"/>
        <w:rPr>
          <w:rFonts w:hint="eastAsia" w:ascii="仿宋_GB2312" w:hAnsi="仿宋_GB2312" w:eastAsia="仿宋_GB2312" w:cs="仿宋_GB2312"/>
          <w:highlight w:val="none"/>
        </w:rPr>
      </w:pPr>
    </w:p>
    <w:p>
      <w:pPr>
        <w:spacing w:beforeLines="100" w:afterLines="100" w:line="480" w:lineRule="exact"/>
        <w:ind w:right="630" w:rightChars="300"/>
        <w:jc w:val="center"/>
        <w:rPr>
          <w:rFonts w:hint="eastAsia" w:ascii="仿宋_GB2312" w:hAnsi="仿宋_GB2312" w:eastAsia="仿宋_GB2312" w:cs="仿宋_GB2312"/>
          <w:b/>
          <w:bCs/>
          <w:sz w:val="32"/>
          <w:szCs w:val="32"/>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spacing w:beforeLines="100" w:afterLines="100" w:line="480" w:lineRule="exact"/>
        <w:ind w:right="630" w:rightChars="300"/>
        <w:jc w:val="center"/>
        <w:rPr>
          <w:rFonts w:hint="eastAsia" w:ascii="仿宋_GB2312" w:hAnsi="仿宋_GB2312" w:eastAsia="仿宋_GB2312" w:cs="仿宋_GB2312"/>
          <w:b/>
          <w:sz w:val="28"/>
          <w:szCs w:val="28"/>
          <w:highlight w:val="none"/>
        </w:rPr>
      </w:pPr>
    </w:p>
    <w:p>
      <w:pPr>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br w:type="page"/>
      </w:r>
    </w:p>
    <w:p>
      <w:pPr>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b/>
          <w:bCs/>
          <w:sz w:val="28"/>
          <w:szCs w:val="28"/>
          <w:highlight w:val="none"/>
          <w:lang w:val="en-US" w:eastAsia="zh-CN"/>
        </w:rPr>
        <w:t>格式22</w:t>
      </w:r>
    </w:p>
    <w:p>
      <w:pPr>
        <w:spacing w:beforeLines="100" w:afterLines="100" w:line="36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项目管理机构组成表</w:t>
      </w:r>
    </w:p>
    <w:tbl>
      <w:tblPr>
        <w:tblStyle w:val="25"/>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726"/>
        <w:gridCol w:w="889"/>
        <w:gridCol w:w="1451"/>
        <w:gridCol w:w="900"/>
        <w:gridCol w:w="1080"/>
        <w:gridCol w:w="903"/>
        <w:gridCol w:w="1134"/>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714" w:type="dxa"/>
            <w:vMerge w:val="restart"/>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职务</w:t>
            </w:r>
          </w:p>
        </w:tc>
        <w:tc>
          <w:tcPr>
            <w:tcW w:w="726" w:type="dxa"/>
            <w:vMerge w:val="restart"/>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姓名</w:t>
            </w:r>
          </w:p>
        </w:tc>
        <w:tc>
          <w:tcPr>
            <w:tcW w:w="889" w:type="dxa"/>
            <w:vMerge w:val="restart"/>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职称</w:t>
            </w:r>
          </w:p>
        </w:tc>
        <w:tc>
          <w:tcPr>
            <w:tcW w:w="5468" w:type="dxa"/>
            <w:gridSpan w:val="5"/>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执业或职业资格证明</w:t>
            </w:r>
          </w:p>
        </w:tc>
        <w:tc>
          <w:tcPr>
            <w:tcW w:w="708" w:type="dxa"/>
            <w:vMerge w:val="restart"/>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714" w:type="dxa"/>
            <w:vMerge w:val="continue"/>
          </w:tcPr>
          <w:p>
            <w:pPr>
              <w:spacing w:line="360" w:lineRule="auto"/>
              <w:rPr>
                <w:rFonts w:hint="eastAsia" w:ascii="仿宋_GB2312" w:hAnsi="仿宋_GB2312" w:eastAsia="仿宋_GB2312" w:cs="仿宋_GB2312"/>
                <w:szCs w:val="21"/>
                <w:highlight w:val="none"/>
              </w:rPr>
            </w:pPr>
          </w:p>
        </w:tc>
        <w:tc>
          <w:tcPr>
            <w:tcW w:w="726" w:type="dxa"/>
            <w:vMerge w:val="continue"/>
          </w:tcPr>
          <w:p>
            <w:pPr>
              <w:spacing w:line="360" w:lineRule="auto"/>
              <w:rPr>
                <w:rFonts w:hint="eastAsia" w:ascii="仿宋_GB2312" w:hAnsi="仿宋_GB2312" w:eastAsia="仿宋_GB2312" w:cs="仿宋_GB2312"/>
                <w:szCs w:val="21"/>
                <w:highlight w:val="none"/>
              </w:rPr>
            </w:pPr>
          </w:p>
        </w:tc>
        <w:tc>
          <w:tcPr>
            <w:tcW w:w="889" w:type="dxa"/>
            <w:vMerge w:val="continue"/>
          </w:tcPr>
          <w:p>
            <w:pPr>
              <w:spacing w:line="360" w:lineRule="auto"/>
              <w:rPr>
                <w:rFonts w:hint="eastAsia" w:ascii="仿宋_GB2312" w:hAnsi="仿宋_GB2312" w:eastAsia="仿宋_GB2312" w:cs="仿宋_GB2312"/>
                <w:szCs w:val="21"/>
                <w:highlight w:val="none"/>
              </w:rPr>
            </w:pPr>
          </w:p>
        </w:tc>
        <w:tc>
          <w:tcPr>
            <w:tcW w:w="1451" w:type="dxa"/>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证书名称</w:t>
            </w:r>
          </w:p>
        </w:tc>
        <w:tc>
          <w:tcPr>
            <w:tcW w:w="900" w:type="dxa"/>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级别</w:t>
            </w:r>
          </w:p>
        </w:tc>
        <w:tc>
          <w:tcPr>
            <w:tcW w:w="1080" w:type="dxa"/>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证号</w:t>
            </w:r>
          </w:p>
        </w:tc>
        <w:tc>
          <w:tcPr>
            <w:tcW w:w="903" w:type="dxa"/>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专业</w:t>
            </w:r>
          </w:p>
        </w:tc>
        <w:tc>
          <w:tcPr>
            <w:tcW w:w="1134" w:type="dxa"/>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养老保险</w:t>
            </w:r>
          </w:p>
        </w:tc>
        <w:tc>
          <w:tcPr>
            <w:tcW w:w="708" w:type="dxa"/>
            <w:vMerge w:val="continue"/>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ind w:firstLine="420" w:firstLineChars="200"/>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14" w:type="dxa"/>
          </w:tcPr>
          <w:p>
            <w:pPr>
              <w:spacing w:line="360" w:lineRule="auto"/>
              <w:rPr>
                <w:rFonts w:hint="eastAsia" w:ascii="仿宋_GB2312" w:hAnsi="仿宋_GB2312" w:eastAsia="仿宋_GB2312" w:cs="仿宋_GB2312"/>
                <w:szCs w:val="21"/>
                <w:highlight w:val="none"/>
              </w:rPr>
            </w:pPr>
          </w:p>
        </w:tc>
        <w:tc>
          <w:tcPr>
            <w:tcW w:w="726" w:type="dxa"/>
          </w:tcPr>
          <w:p>
            <w:pPr>
              <w:spacing w:line="360" w:lineRule="auto"/>
              <w:rPr>
                <w:rFonts w:hint="eastAsia" w:ascii="仿宋_GB2312" w:hAnsi="仿宋_GB2312" w:eastAsia="仿宋_GB2312" w:cs="仿宋_GB2312"/>
                <w:szCs w:val="21"/>
                <w:highlight w:val="none"/>
              </w:rPr>
            </w:pPr>
          </w:p>
        </w:tc>
        <w:tc>
          <w:tcPr>
            <w:tcW w:w="889" w:type="dxa"/>
          </w:tcPr>
          <w:p>
            <w:pPr>
              <w:spacing w:line="360" w:lineRule="auto"/>
              <w:rPr>
                <w:rFonts w:hint="eastAsia" w:ascii="仿宋_GB2312" w:hAnsi="仿宋_GB2312" w:eastAsia="仿宋_GB2312" w:cs="仿宋_GB2312"/>
                <w:szCs w:val="21"/>
                <w:highlight w:val="none"/>
              </w:rPr>
            </w:pPr>
          </w:p>
        </w:tc>
        <w:tc>
          <w:tcPr>
            <w:tcW w:w="1451" w:type="dxa"/>
          </w:tcPr>
          <w:p>
            <w:pPr>
              <w:spacing w:line="360" w:lineRule="auto"/>
              <w:rPr>
                <w:rFonts w:hint="eastAsia" w:ascii="仿宋_GB2312" w:hAnsi="仿宋_GB2312" w:eastAsia="仿宋_GB2312" w:cs="仿宋_GB2312"/>
                <w:szCs w:val="21"/>
                <w:highlight w:val="none"/>
              </w:rPr>
            </w:pPr>
          </w:p>
        </w:tc>
        <w:tc>
          <w:tcPr>
            <w:tcW w:w="900" w:type="dxa"/>
          </w:tcPr>
          <w:p>
            <w:pPr>
              <w:spacing w:line="360" w:lineRule="auto"/>
              <w:rPr>
                <w:rFonts w:hint="eastAsia" w:ascii="仿宋_GB2312" w:hAnsi="仿宋_GB2312" w:eastAsia="仿宋_GB2312" w:cs="仿宋_GB2312"/>
                <w:szCs w:val="21"/>
                <w:highlight w:val="none"/>
              </w:rPr>
            </w:pPr>
          </w:p>
        </w:tc>
        <w:tc>
          <w:tcPr>
            <w:tcW w:w="1080" w:type="dxa"/>
          </w:tcPr>
          <w:p>
            <w:pPr>
              <w:spacing w:line="360" w:lineRule="auto"/>
              <w:rPr>
                <w:rFonts w:hint="eastAsia" w:ascii="仿宋_GB2312" w:hAnsi="仿宋_GB2312" w:eastAsia="仿宋_GB2312" w:cs="仿宋_GB2312"/>
                <w:szCs w:val="21"/>
                <w:highlight w:val="none"/>
              </w:rPr>
            </w:pPr>
          </w:p>
        </w:tc>
        <w:tc>
          <w:tcPr>
            <w:tcW w:w="903" w:type="dxa"/>
          </w:tcPr>
          <w:p>
            <w:pPr>
              <w:spacing w:line="360" w:lineRule="auto"/>
              <w:rPr>
                <w:rFonts w:hint="eastAsia" w:ascii="仿宋_GB2312" w:hAnsi="仿宋_GB2312" w:eastAsia="仿宋_GB2312" w:cs="仿宋_GB2312"/>
                <w:szCs w:val="21"/>
                <w:highlight w:val="none"/>
              </w:rPr>
            </w:pPr>
          </w:p>
        </w:tc>
        <w:tc>
          <w:tcPr>
            <w:tcW w:w="1134" w:type="dxa"/>
          </w:tcPr>
          <w:p>
            <w:pPr>
              <w:spacing w:line="360" w:lineRule="auto"/>
              <w:rPr>
                <w:rFonts w:hint="eastAsia" w:ascii="仿宋_GB2312" w:hAnsi="仿宋_GB2312" w:eastAsia="仿宋_GB2312" w:cs="仿宋_GB2312"/>
                <w:szCs w:val="21"/>
                <w:highlight w:val="none"/>
              </w:rPr>
            </w:pPr>
          </w:p>
        </w:tc>
        <w:tc>
          <w:tcPr>
            <w:tcW w:w="708" w:type="dxa"/>
          </w:tcPr>
          <w:p>
            <w:pPr>
              <w:spacing w:line="360" w:lineRule="auto"/>
              <w:rPr>
                <w:rFonts w:hint="eastAsia" w:ascii="仿宋_GB2312" w:hAnsi="仿宋_GB2312" w:eastAsia="仿宋_GB2312" w:cs="仿宋_GB2312"/>
                <w:szCs w:val="21"/>
                <w:highlight w:val="none"/>
              </w:rPr>
            </w:pPr>
          </w:p>
        </w:tc>
      </w:tr>
    </w:tbl>
    <w:p>
      <w:pPr>
        <w:spacing w:beforeLines="100" w:afterLines="100" w:line="360" w:lineRule="auto"/>
        <w:rPr>
          <w:rFonts w:hint="eastAsia" w:ascii="仿宋_GB2312" w:hAnsi="仿宋_GB2312" w:eastAsia="仿宋_GB2312" w:cs="仿宋_GB2312"/>
          <w:b/>
          <w:bCs/>
          <w:sz w:val="32"/>
          <w:szCs w:val="32"/>
          <w:highlight w:val="none"/>
        </w:rPr>
      </w:pPr>
    </w:p>
    <w:p>
      <w:pPr>
        <w:widowControl/>
        <w:jc w:val="left"/>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br w:type="page"/>
      </w:r>
    </w:p>
    <w:p>
      <w:pPr>
        <w:widowControl/>
        <w:jc w:val="left"/>
        <w:outlineLvl w:val="1"/>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rPr>
        <w:t>格式</w:t>
      </w:r>
      <w:r>
        <w:rPr>
          <w:rFonts w:hint="eastAsia" w:ascii="仿宋_GB2312" w:hAnsi="仿宋_GB2312" w:eastAsia="仿宋_GB2312" w:cs="仿宋_GB2312"/>
          <w:b/>
          <w:bCs/>
          <w:sz w:val="28"/>
          <w:szCs w:val="28"/>
          <w:highlight w:val="none"/>
          <w:lang w:val="en-US" w:eastAsia="zh-CN"/>
        </w:rPr>
        <w:t>23</w:t>
      </w:r>
    </w:p>
    <w:p>
      <w:pPr>
        <w:spacing w:beforeLines="100" w:afterLines="100" w:line="36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主要人员简历表</w:t>
      </w:r>
    </w:p>
    <w:p>
      <w:pPr>
        <w:adjustRightInd w:val="0"/>
        <w:snapToGrid w:val="0"/>
        <w:ind w:left="-46" w:leftChars="-22" w:right="-71" w:rightChars="-34"/>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“主要人员简历表”中的项目经理应附项目经理证、身份证、职称证复印件，管理过的项目业绩须附合同协议书或中标通知书复印件；其他主要人员应附职称证（执业证或上岗证书）复印件。</w:t>
      </w:r>
    </w:p>
    <w:p>
      <w:pPr>
        <w:adjustRightInd w:val="0"/>
        <w:snapToGrid w:val="0"/>
        <w:ind w:left="-46" w:leftChars="-22" w:right="-71" w:rightChars="-34"/>
        <w:jc w:val="center"/>
        <w:rPr>
          <w:rFonts w:hint="eastAsia" w:ascii="仿宋_GB2312" w:hAnsi="仿宋_GB2312" w:eastAsia="仿宋_GB2312" w:cs="仿宋_GB2312"/>
          <w:szCs w:val="21"/>
          <w:highlight w:val="none"/>
        </w:rPr>
      </w:pPr>
    </w:p>
    <w:tbl>
      <w:tblPr>
        <w:tblStyle w:val="25"/>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38"/>
        <w:gridCol w:w="1798"/>
        <w:gridCol w:w="1012"/>
        <w:gridCol w:w="823"/>
        <w:gridCol w:w="492"/>
        <w:gridCol w:w="1158"/>
        <w:gridCol w:w="667"/>
        <w:gridCol w:w="1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134" w:type="dxa"/>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姓名</w:t>
            </w:r>
          </w:p>
        </w:tc>
        <w:tc>
          <w:tcPr>
            <w:tcW w:w="1836"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012" w:type="dxa"/>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年龄</w:t>
            </w:r>
          </w:p>
        </w:tc>
        <w:tc>
          <w:tcPr>
            <w:tcW w:w="1315"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825" w:type="dxa"/>
            <w:gridSpan w:val="2"/>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学          历</w:t>
            </w:r>
          </w:p>
        </w:tc>
        <w:tc>
          <w:tcPr>
            <w:tcW w:w="1242" w:type="dxa"/>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34" w:type="dxa"/>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职称</w:t>
            </w:r>
          </w:p>
        </w:tc>
        <w:tc>
          <w:tcPr>
            <w:tcW w:w="1836"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012" w:type="dxa"/>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职务</w:t>
            </w:r>
          </w:p>
        </w:tc>
        <w:tc>
          <w:tcPr>
            <w:tcW w:w="1315"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825" w:type="dxa"/>
            <w:gridSpan w:val="2"/>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拟在本合同任职</w:t>
            </w:r>
          </w:p>
        </w:tc>
        <w:tc>
          <w:tcPr>
            <w:tcW w:w="1242" w:type="dxa"/>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34" w:type="dxa"/>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毕业学校</w:t>
            </w:r>
          </w:p>
        </w:tc>
        <w:tc>
          <w:tcPr>
            <w:tcW w:w="7230" w:type="dxa"/>
            <w:gridSpan w:val="8"/>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364" w:type="dxa"/>
            <w:gridSpan w:val="9"/>
          </w:tcPr>
          <w:p>
            <w:pPr>
              <w:adjustRightInd w:val="0"/>
              <w:snapToGrid w:val="0"/>
              <w:ind w:left="-46" w:leftChars="-22" w:right="-71" w:rightChars="-34"/>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72" w:type="dxa"/>
            <w:gridSpan w:val="2"/>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时间</w:t>
            </w:r>
          </w:p>
        </w:tc>
        <w:tc>
          <w:tcPr>
            <w:tcW w:w="3633" w:type="dxa"/>
            <w:gridSpan w:val="3"/>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参加过的类似项目</w:t>
            </w:r>
          </w:p>
        </w:tc>
        <w:tc>
          <w:tcPr>
            <w:tcW w:w="1650" w:type="dxa"/>
            <w:gridSpan w:val="2"/>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担任职务</w:t>
            </w:r>
          </w:p>
        </w:tc>
        <w:tc>
          <w:tcPr>
            <w:tcW w:w="1909" w:type="dxa"/>
            <w:gridSpan w:val="2"/>
            <w:vAlign w:val="center"/>
          </w:tcPr>
          <w:p>
            <w:pPr>
              <w:adjustRightInd w:val="0"/>
              <w:snapToGrid w:val="0"/>
              <w:ind w:left="-46" w:leftChars="-22" w:right="-71" w:rightChars="-34"/>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72"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3633" w:type="dxa"/>
            <w:gridSpan w:val="3"/>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650"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909"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72"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3633" w:type="dxa"/>
            <w:gridSpan w:val="3"/>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650"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909"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72"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3633" w:type="dxa"/>
            <w:gridSpan w:val="3"/>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650"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909"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72"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3633" w:type="dxa"/>
            <w:gridSpan w:val="3"/>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650"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909"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72"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3633" w:type="dxa"/>
            <w:gridSpan w:val="3"/>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650"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909"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72"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3633" w:type="dxa"/>
            <w:gridSpan w:val="3"/>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650"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909"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72"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3633" w:type="dxa"/>
            <w:gridSpan w:val="3"/>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650"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909"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72"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3633" w:type="dxa"/>
            <w:gridSpan w:val="3"/>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650"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909"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72"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3633" w:type="dxa"/>
            <w:gridSpan w:val="3"/>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650"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909"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72"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3633" w:type="dxa"/>
            <w:gridSpan w:val="3"/>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650"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909"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72"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3633" w:type="dxa"/>
            <w:gridSpan w:val="3"/>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650"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c>
          <w:tcPr>
            <w:tcW w:w="1909" w:type="dxa"/>
            <w:gridSpan w:val="2"/>
          </w:tcPr>
          <w:p>
            <w:pPr>
              <w:adjustRightInd w:val="0"/>
              <w:snapToGrid w:val="0"/>
              <w:ind w:left="-46" w:leftChars="-22" w:right="-71" w:rightChars="-34"/>
              <w:jc w:val="center"/>
              <w:rPr>
                <w:rFonts w:hint="eastAsia" w:ascii="仿宋_GB2312" w:hAnsi="仿宋_GB2312" w:eastAsia="仿宋_GB2312" w:cs="仿宋_GB2312"/>
                <w:szCs w:val="21"/>
                <w:highlight w:val="none"/>
              </w:rPr>
            </w:pPr>
          </w:p>
        </w:tc>
      </w:tr>
    </w:tbl>
    <w:p>
      <w:pPr>
        <w:spacing w:beforeLines="100" w:afterLines="100"/>
        <w:rPr>
          <w:rFonts w:hint="eastAsia" w:ascii="仿宋_GB2312" w:hAnsi="仿宋_GB2312" w:eastAsia="仿宋_GB2312" w:cs="仿宋_GB2312"/>
          <w:b/>
          <w:bCs/>
          <w:sz w:val="32"/>
          <w:szCs w:val="32"/>
          <w:highlight w:val="none"/>
        </w:rPr>
      </w:pPr>
    </w:p>
    <w:p>
      <w:pPr>
        <w:widowControl/>
        <w:jc w:val="left"/>
        <w:outlineLvl w:val="1"/>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32"/>
          <w:szCs w:val="32"/>
          <w:highlight w:val="none"/>
        </w:rPr>
        <w:br w:type="page"/>
      </w:r>
      <w:r>
        <w:rPr>
          <w:rFonts w:hint="eastAsia" w:ascii="仿宋_GB2312" w:hAnsi="仿宋_GB2312" w:eastAsia="仿宋_GB2312" w:cs="仿宋_GB2312"/>
          <w:b/>
          <w:bCs/>
          <w:sz w:val="28"/>
          <w:szCs w:val="28"/>
          <w:highlight w:val="none"/>
        </w:rPr>
        <w:t>格式</w:t>
      </w:r>
      <w:r>
        <w:rPr>
          <w:rFonts w:hint="eastAsia" w:ascii="仿宋_GB2312" w:hAnsi="仿宋_GB2312" w:eastAsia="仿宋_GB2312" w:cs="仿宋_GB2312"/>
          <w:b/>
          <w:bCs/>
          <w:sz w:val="28"/>
          <w:szCs w:val="28"/>
          <w:highlight w:val="none"/>
          <w:lang w:val="en-US" w:eastAsia="zh-CN"/>
        </w:rPr>
        <w:t>24</w:t>
      </w:r>
    </w:p>
    <w:p>
      <w:pPr>
        <w:spacing w:beforeLines="100" w:afterLines="100" w:line="36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供应商基本情况表</w:t>
      </w:r>
    </w:p>
    <w:tbl>
      <w:tblPr>
        <w:tblStyle w:val="25"/>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5"/>
        <w:gridCol w:w="1004"/>
        <w:gridCol w:w="1627"/>
        <w:gridCol w:w="682"/>
        <w:gridCol w:w="478"/>
        <w:gridCol w:w="1172"/>
        <w:gridCol w:w="72"/>
        <w:gridCol w:w="248"/>
        <w:gridCol w:w="370"/>
        <w:gridCol w:w="1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05"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供应商名称</w:t>
            </w:r>
          </w:p>
        </w:tc>
        <w:tc>
          <w:tcPr>
            <w:tcW w:w="6700" w:type="dxa"/>
            <w:gridSpan w:val="9"/>
            <w:vAlign w:val="center"/>
          </w:tcPr>
          <w:p>
            <w:pPr>
              <w:spacing w:line="360" w:lineRule="auto"/>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05"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注册地址</w:t>
            </w:r>
          </w:p>
        </w:tc>
        <w:tc>
          <w:tcPr>
            <w:tcW w:w="3791" w:type="dxa"/>
            <w:gridSpan w:val="4"/>
            <w:vAlign w:val="center"/>
          </w:tcPr>
          <w:p>
            <w:pPr>
              <w:spacing w:line="360" w:lineRule="auto"/>
              <w:jc w:val="center"/>
              <w:rPr>
                <w:rFonts w:hint="eastAsia" w:ascii="仿宋_GB2312" w:hAnsi="仿宋_GB2312" w:eastAsia="仿宋_GB2312" w:cs="仿宋_GB2312"/>
                <w:szCs w:val="21"/>
                <w:highlight w:val="none"/>
              </w:rPr>
            </w:pPr>
          </w:p>
        </w:tc>
        <w:tc>
          <w:tcPr>
            <w:tcW w:w="1244" w:type="dxa"/>
            <w:gridSpan w:val="2"/>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邮政编码</w:t>
            </w:r>
          </w:p>
        </w:tc>
        <w:tc>
          <w:tcPr>
            <w:tcW w:w="1665" w:type="dxa"/>
            <w:gridSpan w:val="3"/>
            <w:vAlign w:val="center"/>
          </w:tcPr>
          <w:p>
            <w:pPr>
              <w:spacing w:line="360" w:lineRule="auto"/>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05" w:type="dxa"/>
            <w:vMerge w:val="restart"/>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联系方式</w:t>
            </w:r>
          </w:p>
        </w:tc>
        <w:tc>
          <w:tcPr>
            <w:tcW w:w="1004"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联系人</w:t>
            </w:r>
          </w:p>
        </w:tc>
        <w:tc>
          <w:tcPr>
            <w:tcW w:w="2787" w:type="dxa"/>
            <w:gridSpan w:val="3"/>
            <w:vAlign w:val="center"/>
          </w:tcPr>
          <w:p>
            <w:pPr>
              <w:spacing w:line="360" w:lineRule="auto"/>
              <w:jc w:val="center"/>
              <w:rPr>
                <w:rFonts w:hint="eastAsia" w:ascii="仿宋_GB2312" w:hAnsi="仿宋_GB2312" w:eastAsia="仿宋_GB2312" w:cs="仿宋_GB2312"/>
                <w:szCs w:val="21"/>
                <w:highlight w:val="none"/>
              </w:rPr>
            </w:pPr>
          </w:p>
        </w:tc>
        <w:tc>
          <w:tcPr>
            <w:tcW w:w="1244" w:type="dxa"/>
            <w:gridSpan w:val="2"/>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电话</w:t>
            </w:r>
          </w:p>
        </w:tc>
        <w:tc>
          <w:tcPr>
            <w:tcW w:w="1665" w:type="dxa"/>
            <w:gridSpan w:val="3"/>
            <w:vAlign w:val="center"/>
          </w:tcPr>
          <w:p>
            <w:pPr>
              <w:spacing w:line="360" w:lineRule="auto"/>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05" w:type="dxa"/>
            <w:vMerge w:val="continue"/>
            <w:vAlign w:val="center"/>
          </w:tcPr>
          <w:p>
            <w:pPr>
              <w:spacing w:line="360" w:lineRule="auto"/>
              <w:jc w:val="center"/>
              <w:rPr>
                <w:rFonts w:hint="eastAsia" w:ascii="仿宋_GB2312" w:hAnsi="仿宋_GB2312" w:eastAsia="仿宋_GB2312" w:cs="仿宋_GB2312"/>
                <w:szCs w:val="21"/>
                <w:highlight w:val="none"/>
              </w:rPr>
            </w:pPr>
          </w:p>
        </w:tc>
        <w:tc>
          <w:tcPr>
            <w:tcW w:w="1004"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传真</w:t>
            </w:r>
          </w:p>
        </w:tc>
        <w:tc>
          <w:tcPr>
            <w:tcW w:w="2787" w:type="dxa"/>
            <w:gridSpan w:val="3"/>
            <w:vAlign w:val="center"/>
          </w:tcPr>
          <w:p>
            <w:pPr>
              <w:spacing w:line="360" w:lineRule="auto"/>
              <w:jc w:val="center"/>
              <w:rPr>
                <w:rFonts w:hint="eastAsia" w:ascii="仿宋_GB2312" w:hAnsi="仿宋_GB2312" w:eastAsia="仿宋_GB2312" w:cs="仿宋_GB2312"/>
                <w:szCs w:val="21"/>
                <w:highlight w:val="none"/>
              </w:rPr>
            </w:pPr>
          </w:p>
        </w:tc>
        <w:tc>
          <w:tcPr>
            <w:tcW w:w="1244" w:type="dxa"/>
            <w:gridSpan w:val="2"/>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网址</w:t>
            </w:r>
          </w:p>
        </w:tc>
        <w:tc>
          <w:tcPr>
            <w:tcW w:w="1665" w:type="dxa"/>
            <w:gridSpan w:val="3"/>
            <w:vAlign w:val="center"/>
          </w:tcPr>
          <w:p>
            <w:pPr>
              <w:spacing w:line="360" w:lineRule="auto"/>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05"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组织结构</w:t>
            </w:r>
          </w:p>
        </w:tc>
        <w:tc>
          <w:tcPr>
            <w:tcW w:w="6700" w:type="dxa"/>
            <w:gridSpan w:val="9"/>
            <w:vAlign w:val="center"/>
          </w:tcPr>
          <w:p>
            <w:pPr>
              <w:spacing w:line="360" w:lineRule="auto"/>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05"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w:t>
            </w:r>
          </w:p>
        </w:tc>
        <w:tc>
          <w:tcPr>
            <w:tcW w:w="1004"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姓名</w:t>
            </w:r>
          </w:p>
        </w:tc>
        <w:tc>
          <w:tcPr>
            <w:tcW w:w="1627" w:type="dxa"/>
            <w:vAlign w:val="center"/>
          </w:tcPr>
          <w:p>
            <w:pPr>
              <w:spacing w:line="360" w:lineRule="auto"/>
              <w:jc w:val="center"/>
              <w:rPr>
                <w:rFonts w:hint="eastAsia" w:ascii="仿宋_GB2312" w:hAnsi="仿宋_GB2312" w:eastAsia="仿宋_GB2312" w:cs="仿宋_GB2312"/>
                <w:szCs w:val="21"/>
                <w:highlight w:val="none"/>
              </w:rPr>
            </w:pPr>
          </w:p>
        </w:tc>
        <w:tc>
          <w:tcPr>
            <w:tcW w:w="1160" w:type="dxa"/>
            <w:gridSpan w:val="2"/>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技术职称</w:t>
            </w:r>
          </w:p>
        </w:tc>
        <w:tc>
          <w:tcPr>
            <w:tcW w:w="1172" w:type="dxa"/>
            <w:vAlign w:val="center"/>
          </w:tcPr>
          <w:p>
            <w:pPr>
              <w:spacing w:line="360" w:lineRule="auto"/>
              <w:jc w:val="center"/>
              <w:rPr>
                <w:rFonts w:hint="eastAsia" w:ascii="仿宋_GB2312" w:hAnsi="仿宋_GB2312" w:eastAsia="仿宋_GB2312" w:cs="仿宋_GB2312"/>
                <w:szCs w:val="21"/>
                <w:highlight w:val="none"/>
              </w:rPr>
            </w:pPr>
          </w:p>
        </w:tc>
        <w:tc>
          <w:tcPr>
            <w:tcW w:w="690" w:type="dxa"/>
            <w:gridSpan w:val="3"/>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电话</w:t>
            </w:r>
          </w:p>
        </w:tc>
        <w:tc>
          <w:tcPr>
            <w:tcW w:w="1047" w:type="dxa"/>
            <w:vAlign w:val="center"/>
          </w:tcPr>
          <w:p>
            <w:pPr>
              <w:spacing w:line="360" w:lineRule="auto"/>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05"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技术负责人</w:t>
            </w:r>
          </w:p>
        </w:tc>
        <w:tc>
          <w:tcPr>
            <w:tcW w:w="1004"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姓名</w:t>
            </w:r>
          </w:p>
        </w:tc>
        <w:tc>
          <w:tcPr>
            <w:tcW w:w="1627" w:type="dxa"/>
            <w:vAlign w:val="center"/>
          </w:tcPr>
          <w:p>
            <w:pPr>
              <w:spacing w:line="360" w:lineRule="auto"/>
              <w:jc w:val="center"/>
              <w:rPr>
                <w:rFonts w:hint="eastAsia" w:ascii="仿宋_GB2312" w:hAnsi="仿宋_GB2312" w:eastAsia="仿宋_GB2312" w:cs="仿宋_GB2312"/>
                <w:szCs w:val="21"/>
                <w:highlight w:val="none"/>
              </w:rPr>
            </w:pPr>
          </w:p>
        </w:tc>
        <w:tc>
          <w:tcPr>
            <w:tcW w:w="1160" w:type="dxa"/>
            <w:gridSpan w:val="2"/>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技术职称</w:t>
            </w:r>
          </w:p>
        </w:tc>
        <w:tc>
          <w:tcPr>
            <w:tcW w:w="1172" w:type="dxa"/>
            <w:vAlign w:val="center"/>
          </w:tcPr>
          <w:p>
            <w:pPr>
              <w:spacing w:line="360" w:lineRule="auto"/>
              <w:jc w:val="center"/>
              <w:rPr>
                <w:rFonts w:hint="eastAsia" w:ascii="仿宋_GB2312" w:hAnsi="仿宋_GB2312" w:eastAsia="仿宋_GB2312" w:cs="仿宋_GB2312"/>
                <w:szCs w:val="21"/>
                <w:highlight w:val="none"/>
              </w:rPr>
            </w:pPr>
          </w:p>
        </w:tc>
        <w:tc>
          <w:tcPr>
            <w:tcW w:w="690" w:type="dxa"/>
            <w:gridSpan w:val="3"/>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电话</w:t>
            </w:r>
          </w:p>
        </w:tc>
        <w:tc>
          <w:tcPr>
            <w:tcW w:w="1047" w:type="dxa"/>
            <w:vAlign w:val="center"/>
          </w:tcPr>
          <w:p>
            <w:pPr>
              <w:spacing w:line="360" w:lineRule="auto"/>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05"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成立时间</w:t>
            </w:r>
          </w:p>
        </w:tc>
        <w:tc>
          <w:tcPr>
            <w:tcW w:w="2631" w:type="dxa"/>
            <w:gridSpan w:val="2"/>
            <w:vAlign w:val="center"/>
          </w:tcPr>
          <w:p>
            <w:pPr>
              <w:spacing w:line="360" w:lineRule="auto"/>
              <w:jc w:val="center"/>
              <w:rPr>
                <w:rFonts w:hint="eastAsia" w:ascii="仿宋_GB2312" w:hAnsi="仿宋_GB2312" w:eastAsia="仿宋_GB2312" w:cs="仿宋_GB2312"/>
                <w:szCs w:val="21"/>
                <w:highlight w:val="none"/>
              </w:rPr>
            </w:pPr>
          </w:p>
        </w:tc>
        <w:tc>
          <w:tcPr>
            <w:tcW w:w="4069" w:type="dxa"/>
            <w:gridSpan w:val="7"/>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05"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企业资质等级</w:t>
            </w:r>
          </w:p>
        </w:tc>
        <w:tc>
          <w:tcPr>
            <w:tcW w:w="2631" w:type="dxa"/>
            <w:gridSpan w:val="2"/>
            <w:vAlign w:val="center"/>
          </w:tcPr>
          <w:p>
            <w:pPr>
              <w:spacing w:line="360" w:lineRule="auto"/>
              <w:jc w:val="center"/>
              <w:rPr>
                <w:rFonts w:hint="eastAsia" w:ascii="仿宋_GB2312" w:hAnsi="仿宋_GB2312" w:eastAsia="仿宋_GB2312" w:cs="仿宋_GB2312"/>
                <w:szCs w:val="21"/>
                <w:highlight w:val="none"/>
              </w:rPr>
            </w:pPr>
          </w:p>
        </w:tc>
        <w:tc>
          <w:tcPr>
            <w:tcW w:w="682" w:type="dxa"/>
            <w:vMerge w:val="restart"/>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其中</w:t>
            </w:r>
          </w:p>
        </w:tc>
        <w:tc>
          <w:tcPr>
            <w:tcW w:w="1970" w:type="dxa"/>
            <w:gridSpan w:val="4"/>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项目经理</w:t>
            </w:r>
          </w:p>
        </w:tc>
        <w:tc>
          <w:tcPr>
            <w:tcW w:w="1417" w:type="dxa"/>
            <w:gridSpan w:val="2"/>
            <w:vAlign w:val="center"/>
          </w:tcPr>
          <w:p>
            <w:pPr>
              <w:spacing w:line="360" w:lineRule="auto"/>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05"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营业执照号</w:t>
            </w:r>
          </w:p>
        </w:tc>
        <w:tc>
          <w:tcPr>
            <w:tcW w:w="2631" w:type="dxa"/>
            <w:gridSpan w:val="2"/>
            <w:vAlign w:val="center"/>
          </w:tcPr>
          <w:p>
            <w:pPr>
              <w:spacing w:line="360" w:lineRule="auto"/>
              <w:jc w:val="center"/>
              <w:rPr>
                <w:rFonts w:hint="eastAsia" w:ascii="仿宋_GB2312" w:hAnsi="仿宋_GB2312" w:eastAsia="仿宋_GB2312" w:cs="仿宋_GB2312"/>
                <w:szCs w:val="21"/>
                <w:highlight w:val="none"/>
              </w:rPr>
            </w:pPr>
          </w:p>
        </w:tc>
        <w:tc>
          <w:tcPr>
            <w:tcW w:w="682" w:type="dxa"/>
            <w:vMerge w:val="continue"/>
            <w:vAlign w:val="center"/>
          </w:tcPr>
          <w:p>
            <w:pPr>
              <w:spacing w:line="360" w:lineRule="auto"/>
              <w:jc w:val="center"/>
              <w:rPr>
                <w:rFonts w:hint="eastAsia" w:ascii="仿宋_GB2312" w:hAnsi="仿宋_GB2312" w:eastAsia="仿宋_GB2312" w:cs="仿宋_GB2312"/>
                <w:szCs w:val="21"/>
                <w:highlight w:val="none"/>
              </w:rPr>
            </w:pPr>
          </w:p>
        </w:tc>
        <w:tc>
          <w:tcPr>
            <w:tcW w:w="1970" w:type="dxa"/>
            <w:gridSpan w:val="4"/>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高级职称人员</w:t>
            </w:r>
          </w:p>
        </w:tc>
        <w:tc>
          <w:tcPr>
            <w:tcW w:w="1417" w:type="dxa"/>
            <w:gridSpan w:val="2"/>
            <w:vAlign w:val="center"/>
          </w:tcPr>
          <w:p>
            <w:pPr>
              <w:spacing w:line="360" w:lineRule="auto"/>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05"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注册资金</w:t>
            </w:r>
          </w:p>
        </w:tc>
        <w:tc>
          <w:tcPr>
            <w:tcW w:w="2631" w:type="dxa"/>
            <w:gridSpan w:val="2"/>
            <w:vAlign w:val="center"/>
          </w:tcPr>
          <w:p>
            <w:pPr>
              <w:spacing w:line="360" w:lineRule="auto"/>
              <w:jc w:val="center"/>
              <w:rPr>
                <w:rFonts w:hint="eastAsia" w:ascii="仿宋_GB2312" w:hAnsi="仿宋_GB2312" w:eastAsia="仿宋_GB2312" w:cs="仿宋_GB2312"/>
                <w:szCs w:val="21"/>
                <w:highlight w:val="none"/>
              </w:rPr>
            </w:pPr>
          </w:p>
        </w:tc>
        <w:tc>
          <w:tcPr>
            <w:tcW w:w="682" w:type="dxa"/>
            <w:vMerge w:val="continue"/>
            <w:vAlign w:val="center"/>
          </w:tcPr>
          <w:p>
            <w:pPr>
              <w:spacing w:line="360" w:lineRule="auto"/>
              <w:jc w:val="center"/>
              <w:rPr>
                <w:rFonts w:hint="eastAsia" w:ascii="仿宋_GB2312" w:hAnsi="仿宋_GB2312" w:eastAsia="仿宋_GB2312" w:cs="仿宋_GB2312"/>
                <w:szCs w:val="21"/>
                <w:highlight w:val="none"/>
              </w:rPr>
            </w:pPr>
          </w:p>
        </w:tc>
        <w:tc>
          <w:tcPr>
            <w:tcW w:w="1970" w:type="dxa"/>
            <w:gridSpan w:val="4"/>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中级职称人员</w:t>
            </w:r>
          </w:p>
        </w:tc>
        <w:tc>
          <w:tcPr>
            <w:tcW w:w="1417" w:type="dxa"/>
            <w:gridSpan w:val="2"/>
            <w:vAlign w:val="center"/>
          </w:tcPr>
          <w:p>
            <w:pPr>
              <w:spacing w:line="360" w:lineRule="auto"/>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05"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开户银行</w:t>
            </w:r>
          </w:p>
        </w:tc>
        <w:tc>
          <w:tcPr>
            <w:tcW w:w="2631" w:type="dxa"/>
            <w:gridSpan w:val="2"/>
            <w:vAlign w:val="center"/>
          </w:tcPr>
          <w:p>
            <w:pPr>
              <w:spacing w:line="360" w:lineRule="auto"/>
              <w:jc w:val="center"/>
              <w:rPr>
                <w:rFonts w:hint="eastAsia" w:ascii="仿宋_GB2312" w:hAnsi="仿宋_GB2312" w:eastAsia="仿宋_GB2312" w:cs="仿宋_GB2312"/>
                <w:szCs w:val="21"/>
                <w:highlight w:val="none"/>
              </w:rPr>
            </w:pPr>
          </w:p>
        </w:tc>
        <w:tc>
          <w:tcPr>
            <w:tcW w:w="682" w:type="dxa"/>
            <w:vMerge w:val="continue"/>
            <w:vAlign w:val="center"/>
          </w:tcPr>
          <w:p>
            <w:pPr>
              <w:spacing w:line="360" w:lineRule="auto"/>
              <w:jc w:val="center"/>
              <w:rPr>
                <w:rFonts w:hint="eastAsia" w:ascii="仿宋_GB2312" w:hAnsi="仿宋_GB2312" w:eastAsia="仿宋_GB2312" w:cs="仿宋_GB2312"/>
                <w:szCs w:val="21"/>
                <w:highlight w:val="none"/>
              </w:rPr>
            </w:pPr>
          </w:p>
        </w:tc>
        <w:tc>
          <w:tcPr>
            <w:tcW w:w="1970" w:type="dxa"/>
            <w:gridSpan w:val="4"/>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初级职称人员</w:t>
            </w:r>
          </w:p>
        </w:tc>
        <w:tc>
          <w:tcPr>
            <w:tcW w:w="1417" w:type="dxa"/>
            <w:gridSpan w:val="2"/>
            <w:vAlign w:val="center"/>
          </w:tcPr>
          <w:p>
            <w:pPr>
              <w:spacing w:line="360" w:lineRule="auto"/>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05"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账号</w:t>
            </w:r>
          </w:p>
        </w:tc>
        <w:tc>
          <w:tcPr>
            <w:tcW w:w="2631" w:type="dxa"/>
            <w:gridSpan w:val="2"/>
            <w:vAlign w:val="center"/>
          </w:tcPr>
          <w:p>
            <w:pPr>
              <w:spacing w:line="360" w:lineRule="auto"/>
              <w:jc w:val="center"/>
              <w:rPr>
                <w:rFonts w:hint="eastAsia" w:ascii="仿宋_GB2312" w:hAnsi="仿宋_GB2312" w:eastAsia="仿宋_GB2312" w:cs="仿宋_GB2312"/>
                <w:szCs w:val="21"/>
                <w:highlight w:val="none"/>
              </w:rPr>
            </w:pPr>
          </w:p>
        </w:tc>
        <w:tc>
          <w:tcPr>
            <w:tcW w:w="682" w:type="dxa"/>
            <w:vMerge w:val="continue"/>
            <w:vAlign w:val="center"/>
          </w:tcPr>
          <w:p>
            <w:pPr>
              <w:spacing w:line="360" w:lineRule="auto"/>
              <w:jc w:val="center"/>
              <w:rPr>
                <w:rFonts w:hint="eastAsia" w:ascii="仿宋_GB2312" w:hAnsi="仿宋_GB2312" w:eastAsia="仿宋_GB2312" w:cs="仿宋_GB2312"/>
                <w:szCs w:val="21"/>
                <w:highlight w:val="none"/>
              </w:rPr>
            </w:pPr>
          </w:p>
        </w:tc>
        <w:tc>
          <w:tcPr>
            <w:tcW w:w="1970" w:type="dxa"/>
            <w:gridSpan w:val="4"/>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技工</w:t>
            </w:r>
          </w:p>
        </w:tc>
        <w:tc>
          <w:tcPr>
            <w:tcW w:w="1417" w:type="dxa"/>
            <w:gridSpan w:val="2"/>
            <w:vAlign w:val="center"/>
          </w:tcPr>
          <w:p>
            <w:pPr>
              <w:spacing w:line="360" w:lineRule="auto"/>
              <w:jc w:val="center"/>
              <w:rPr>
                <w:rFonts w:hint="eastAsia" w:ascii="仿宋_GB2312" w:hAnsi="仿宋_GB2312" w:eastAsia="仿宋_GB2312" w:cs="仿宋_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5" w:hRule="atLeast"/>
        </w:trPr>
        <w:tc>
          <w:tcPr>
            <w:tcW w:w="1805" w:type="dxa"/>
            <w:vAlign w:val="center"/>
          </w:tcPr>
          <w:p>
            <w:pPr>
              <w:spacing w:line="360" w:lineRule="auto"/>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经营范围备注</w:t>
            </w:r>
          </w:p>
        </w:tc>
        <w:tc>
          <w:tcPr>
            <w:tcW w:w="6700" w:type="dxa"/>
            <w:gridSpan w:val="9"/>
            <w:vAlign w:val="center"/>
          </w:tcPr>
          <w:p>
            <w:pPr>
              <w:spacing w:line="360" w:lineRule="auto"/>
              <w:ind w:firstLine="420" w:firstLineChars="200"/>
              <w:jc w:val="center"/>
              <w:rPr>
                <w:rFonts w:hint="eastAsia" w:ascii="仿宋_GB2312" w:hAnsi="仿宋_GB2312" w:eastAsia="仿宋_GB2312" w:cs="仿宋_GB2312"/>
                <w:szCs w:val="21"/>
                <w:highlight w:val="none"/>
              </w:rPr>
            </w:pPr>
          </w:p>
        </w:tc>
      </w:tr>
    </w:tbl>
    <w:p>
      <w:pPr>
        <w:spacing w:beforeLines="100" w:afterLines="100" w:line="360" w:lineRule="auto"/>
        <w:rPr>
          <w:rFonts w:hint="eastAsia" w:ascii="仿宋_GB2312" w:hAnsi="仿宋_GB2312" w:eastAsia="仿宋_GB2312" w:cs="仿宋_GB2312"/>
          <w:b/>
          <w:bCs/>
          <w:sz w:val="32"/>
          <w:szCs w:val="32"/>
          <w:highlight w:val="none"/>
        </w:rPr>
      </w:pPr>
    </w:p>
    <w:p>
      <w:pPr>
        <w:pStyle w:val="2"/>
        <w:adjustRightInd w:val="0"/>
        <w:snapToGrid w:val="0"/>
        <w:spacing w:before="120" w:after="0" w:line="240" w:lineRule="auto"/>
        <w:jc w:val="left"/>
        <w:rPr>
          <w:rFonts w:hint="eastAsia" w:ascii="仿宋_GB2312" w:hAnsi="仿宋_GB2312" w:eastAsia="仿宋_GB2312" w:cs="仿宋_GB2312"/>
          <w:bCs/>
          <w:sz w:val="28"/>
          <w:szCs w:val="28"/>
          <w:highlight w:val="none"/>
          <w:lang w:val="en-US" w:eastAsia="zh-CN"/>
        </w:rPr>
      </w:pPr>
      <w:bookmarkStart w:id="87" w:name="_Toc4485640"/>
      <w:bookmarkStart w:id="88" w:name="_Toc533340164"/>
      <w:r>
        <w:rPr>
          <w:rFonts w:hint="eastAsia" w:ascii="仿宋_GB2312" w:hAnsi="仿宋_GB2312" w:eastAsia="仿宋_GB2312" w:cs="仿宋_GB2312"/>
          <w:bCs/>
          <w:sz w:val="28"/>
          <w:szCs w:val="28"/>
          <w:highlight w:val="none"/>
        </w:rPr>
        <w:t>格式</w:t>
      </w:r>
      <w:bookmarkEnd w:id="87"/>
      <w:bookmarkEnd w:id="88"/>
      <w:r>
        <w:rPr>
          <w:rFonts w:hint="eastAsia" w:ascii="仿宋_GB2312" w:hAnsi="仿宋_GB2312" w:eastAsia="仿宋_GB2312" w:cs="仿宋_GB2312"/>
          <w:bCs/>
          <w:sz w:val="28"/>
          <w:szCs w:val="28"/>
          <w:highlight w:val="none"/>
        </w:rPr>
        <w:t>2</w:t>
      </w:r>
      <w:r>
        <w:rPr>
          <w:rFonts w:hint="eastAsia" w:ascii="仿宋_GB2312" w:hAnsi="仿宋_GB2312" w:eastAsia="仿宋_GB2312" w:cs="仿宋_GB2312"/>
          <w:bCs/>
          <w:sz w:val="28"/>
          <w:szCs w:val="28"/>
          <w:highlight w:val="none"/>
          <w:lang w:val="en-US" w:eastAsia="zh-CN"/>
        </w:rPr>
        <w:t>5</w:t>
      </w:r>
    </w:p>
    <w:p>
      <w:pPr>
        <w:spacing w:beforeLines="100" w:afterLines="100" w:line="360" w:lineRule="auto"/>
        <w:jc w:val="center"/>
        <w:rPr>
          <w:rFonts w:hint="eastAsia" w:ascii="仿宋_GB2312" w:hAnsi="仿宋_GB2312" w:eastAsia="仿宋_GB2312" w:cs="仿宋_GB2312"/>
          <w:b/>
          <w:bCs/>
          <w:sz w:val="32"/>
          <w:szCs w:val="32"/>
          <w:highlight w:val="none"/>
        </w:rPr>
      </w:pPr>
      <w:bookmarkStart w:id="89" w:name="_Toc533340166"/>
      <w:bookmarkStart w:id="90" w:name="_Toc4485642"/>
      <w:r>
        <w:rPr>
          <w:rFonts w:hint="eastAsia" w:ascii="仿宋_GB2312" w:hAnsi="仿宋_GB2312" w:eastAsia="仿宋_GB2312" w:cs="仿宋_GB2312"/>
          <w:b/>
          <w:bCs/>
          <w:sz w:val="32"/>
          <w:szCs w:val="32"/>
          <w:highlight w:val="none"/>
        </w:rPr>
        <w:t>中小企业声明函</w:t>
      </w:r>
    </w:p>
    <w:p>
      <w:pPr>
        <w:spacing w:line="360" w:lineRule="auto"/>
        <w:jc w:val="center"/>
        <w:rPr>
          <w:rFonts w:hint="eastAsia" w:ascii="仿宋_GB2312" w:hAnsi="仿宋_GB2312" w:eastAsia="仿宋_GB2312" w:cs="仿宋_GB2312"/>
          <w:bCs/>
          <w:sz w:val="24"/>
          <w:highlight w:val="none"/>
        </w:rPr>
      </w:pPr>
      <w:r>
        <w:rPr>
          <w:rFonts w:hint="eastAsia" w:ascii="仿宋_GB2312" w:hAnsi="仿宋_GB2312" w:eastAsia="仿宋_GB2312" w:cs="仿宋_GB2312"/>
          <w:highlight w:val="none"/>
        </w:rPr>
        <w:t>中小企业声明函（工程、服务）</w:t>
      </w:r>
    </w:p>
    <w:p>
      <w:pPr>
        <w:spacing w:line="360" w:lineRule="auto"/>
        <w:ind w:firstLine="424" w:firstLineChars="202"/>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本公司（联合体）郑重声明，根据《政府采购促进中小企业发展管理办法》（财库﹝2020﹞46 号）的规定，本公司（联合体）参加</w:t>
      </w:r>
      <w:r>
        <w:rPr>
          <w:rFonts w:hint="eastAsia" w:ascii="仿宋_GB2312" w:hAnsi="仿宋_GB2312" w:eastAsia="仿宋_GB2312" w:cs="仿宋_GB2312"/>
          <w:szCs w:val="21"/>
          <w:highlight w:val="none"/>
          <w:u w:val="single"/>
        </w:rPr>
        <w:t>（单位名称）</w:t>
      </w:r>
      <w:r>
        <w:rPr>
          <w:rFonts w:hint="eastAsia" w:ascii="仿宋_GB2312" w:hAnsi="仿宋_GB2312" w:eastAsia="仿宋_GB2312" w:cs="仿宋_GB2312"/>
          <w:szCs w:val="21"/>
          <w:highlight w:val="none"/>
        </w:rPr>
        <w:t>的</w:t>
      </w:r>
      <w:r>
        <w:rPr>
          <w:rFonts w:hint="eastAsia" w:ascii="仿宋_GB2312" w:hAnsi="仿宋_GB2312" w:eastAsia="仿宋_GB2312" w:cs="仿宋_GB2312"/>
          <w:szCs w:val="21"/>
          <w:highlight w:val="none"/>
          <w:u w:val="single"/>
        </w:rPr>
        <w:t>（项目名称）</w:t>
      </w:r>
      <w:r>
        <w:rPr>
          <w:rFonts w:hint="eastAsia" w:ascii="仿宋_GB2312" w:hAnsi="仿宋_GB2312" w:eastAsia="仿宋_GB2312" w:cs="仿宋_GB2312"/>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24" w:firstLineChars="202"/>
        <w:rPr>
          <w:rFonts w:hint="eastAsia" w:ascii="仿宋_GB2312" w:hAnsi="仿宋_GB2312" w:eastAsia="仿宋_GB2312" w:cs="仿宋_GB2312"/>
          <w:bCs/>
          <w:highlight w:val="none"/>
        </w:rPr>
      </w:pPr>
      <w:r>
        <w:rPr>
          <w:rFonts w:hint="eastAsia" w:ascii="仿宋_GB2312" w:hAnsi="仿宋_GB2312" w:eastAsia="仿宋_GB2312" w:cs="仿宋_GB2312"/>
          <w:bCs/>
          <w:szCs w:val="21"/>
          <w:highlight w:val="none"/>
        </w:rPr>
        <w:t>1.</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eastAsia="zh-CN"/>
        </w:rPr>
        <w:t>九连城镇庙岭村仓储物流库房工程</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bCs/>
          <w:szCs w:val="21"/>
          <w:highlight w:val="none"/>
        </w:rPr>
        <w:t>，属于</w:t>
      </w:r>
      <w:r>
        <w:rPr>
          <w:rFonts w:hint="eastAsia" w:ascii="仿宋_GB2312" w:hAnsi="仿宋_GB2312" w:eastAsia="仿宋_GB2312" w:cs="仿宋_GB2312"/>
          <w:szCs w:val="21"/>
          <w:highlight w:val="none"/>
          <w:u w:val="single"/>
        </w:rPr>
        <w:t xml:space="preserve">（ 建筑业 ） </w:t>
      </w:r>
      <w:r>
        <w:rPr>
          <w:rFonts w:hint="eastAsia" w:ascii="仿宋_GB2312" w:hAnsi="仿宋_GB2312" w:eastAsia="仿宋_GB2312" w:cs="仿宋_GB2312"/>
          <w:bCs/>
          <w:szCs w:val="21"/>
          <w:highlight w:val="none"/>
        </w:rPr>
        <w:t>；承建（承接）企业为</w:t>
      </w:r>
      <w:r>
        <w:rPr>
          <w:rFonts w:hint="eastAsia" w:ascii="仿宋_GB2312" w:hAnsi="仿宋_GB2312" w:eastAsia="仿宋_GB2312" w:cs="仿宋_GB2312"/>
          <w:szCs w:val="21"/>
          <w:highlight w:val="none"/>
          <w:u w:val="single"/>
        </w:rPr>
        <w:t>（企业名称）</w:t>
      </w:r>
      <w:r>
        <w:rPr>
          <w:rFonts w:hint="eastAsia" w:ascii="仿宋_GB2312" w:hAnsi="仿宋_GB2312" w:eastAsia="仿宋_GB2312" w:cs="仿宋_GB2312"/>
          <w:bCs/>
          <w:szCs w:val="21"/>
          <w:highlight w:val="none"/>
        </w:rPr>
        <w:t>，从业人员</w:t>
      </w:r>
      <w:r>
        <w:rPr>
          <w:rFonts w:hint="eastAsia" w:ascii="仿宋_GB2312" w:hAnsi="仿宋_GB2312" w:eastAsia="仿宋_GB2312" w:cs="仿宋_GB2312"/>
          <w:bCs/>
          <w:szCs w:val="21"/>
          <w:highlight w:val="none"/>
          <w:u w:val="single"/>
        </w:rPr>
        <w:t xml:space="preserve">  </w:t>
      </w:r>
      <w:r>
        <w:rPr>
          <w:rFonts w:hint="eastAsia" w:ascii="仿宋_GB2312" w:hAnsi="仿宋_GB2312" w:eastAsia="仿宋_GB2312" w:cs="仿宋_GB2312"/>
          <w:bCs/>
          <w:szCs w:val="21"/>
          <w:highlight w:val="none"/>
        </w:rPr>
        <w:t>人，营业收入为</w:t>
      </w:r>
      <w:r>
        <w:rPr>
          <w:rFonts w:hint="eastAsia" w:ascii="仿宋_GB2312" w:hAnsi="仿宋_GB2312" w:eastAsia="仿宋_GB2312" w:cs="仿宋_GB2312"/>
          <w:bCs/>
          <w:szCs w:val="21"/>
          <w:highlight w:val="none"/>
          <w:u w:val="single"/>
        </w:rPr>
        <w:t xml:space="preserve">  </w:t>
      </w:r>
      <w:r>
        <w:rPr>
          <w:rFonts w:hint="eastAsia" w:ascii="仿宋_GB2312" w:hAnsi="仿宋_GB2312" w:eastAsia="仿宋_GB2312" w:cs="仿宋_GB2312"/>
          <w:bCs/>
          <w:szCs w:val="21"/>
          <w:highlight w:val="none"/>
        </w:rPr>
        <w:t>万元，资产总额为</w:t>
      </w:r>
      <w:r>
        <w:rPr>
          <w:rFonts w:hint="eastAsia" w:ascii="仿宋_GB2312" w:hAnsi="仿宋_GB2312" w:eastAsia="仿宋_GB2312" w:cs="仿宋_GB2312"/>
          <w:bCs/>
          <w:szCs w:val="21"/>
          <w:highlight w:val="none"/>
          <w:u w:val="single"/>
        </w:rPr>
        <w:t xml:space="preserve">  </w:t>
      </w:r>
      <w:r>
        <w:rPr>
          <w:rFonts w:hint="eastAsia" w:ascii="仿宋_GB2312" w:hAnsi="仿宋_GB2312" w:eastAsia="仿宋_GB2312" w:cs="仿宋_GB2312"/>
          <w:bCs/>
          <w:szCs w:val="21"/>
          <w:highlight w:val="none"/>
        </w:rPr>
        <w:t>万元，属于</w:t>
      </w:r>
      <w:r>
        <w:rPr>
          <w:rFonts w:hint="eastAsia" w:ascii="仿宋_GB2312" w:hAnsi="仿宋_GB2312" w:eastAsia="仿宋_GB2312" w:cs="仿宋_GB2312"/>
          <w:bCs/>
          <w:szCs w:val="21"/>
          <w:highlight w:val="none"/>
          <w:u w:val="single"/>
          <w:lang w:val="en-US" w:eastAsia="zh-CN"/>
        </w:rPr>
        <w:t xml:space="preserve">    </w:t>
      </w:r>
      <w:r>
        <w:rPr>
          <w:rFonts w:hint="eastAsia" w:ascii="仿宋_GB2312" w:hAnsi="仿宋_GB2312" w:eastAsia="仿宋_GB2312" w:cs="仿宋_GB2312"/>
          <w:szCs w:val="21"/>
          <w:highlight w:val="none"/>
          <w:u w:val="single"/>
        </w:rPr>
        <w:t xml:space="preserve">（ 中型企业、小型企业、微型企业 ) </w:t>
      </w:r>
      <w:r>
        <w:rPr>
          <w:rFonts w:hint="eastAsia" w:ascii="仿宋_GB2312" w:hAnsi="仿宋_GB2312" w:eastAsia="仿宋_GB2312" w:cs="仿宋_GB2312"/>
          <w:bCs/>
          <w:szCs w:val="21"/>
          <w:highlight w:val="none"/>
        </w:rPr>
        <w:t>；</w:t>
      </w:r>
    </w:p>
    <w:p>
      <w:pPr>
        <w:spacing w:line="360" w:lineRule="auto"/>
        <w:ind w:firstLine="424" w:firstLineChars="202"/>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以上企业，不属于大企业的分支机构，不存在控股股东为大企业的情形，也不存在与大企业的负责人为同一人的情形。</w:t>
      </w:r>
    </w:p>
    <w:p>
      <w:pPr>
        <w:spacing w:line="360" w:lineRule="auto"/>
        <w:ind w:firstLine="424" w:firstLineChars="202"/>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本企业对上述声明内容的真实性负责。如有虚假,将依法承担相应责任。</w:t>
      </w:r>
    </w:p>
    <w:p>
      <w:pPr>
        <w:spacing w:line="360" w:lineRule="auto"/>
        <w:ind w:firstLine="424" w:firstLineChars="202"/>
        <w:rPr>
          <w:rFonts w:hint="eastAsia" w:ascii="仿宋_GB2312" w:hAnsi="仿宋_GB2312" w:eastAsia="仿宋_GB2312" w:cs="仿宋_GB2312"/>
          <w:bCs/>
          <w:highlight w:val="none"/>
        </w:rPr>
      </w:pPr>
    </w:p>
    <w:p>
      <w:pPr>
        <w:spacing w:line="360" w:lineRule="auto"/>
        <w:ind w:firstLine="424" w:firstLineChars="202"/>
        <w:rPr>
          <w:rFonts w:hint="eastAsia" w:ascii="仿宋_GB2312" w:hAnsi="仿宋_GB2312" w:eastAsia="仿宋_GB2312" w:cs="仿宋_GB2312"/>
          <w:bCs/>
          <w:highlight w:val="none"/>
        </w:rPr>
      </w:pPr>
    </w:p>
    <w:p>
      <w:pPr>
        <w:spacing w:line="360" w:lineRule="auto"/>
        <w:rPr>
          <w:rFonts w:hint="eastAsia" w:ascii="仿宋_GB2312" w:hAnsi="仿宋_GB2312" w:eastAsia="仿宋_GB2312" w:cs="仿宋_GB2312"/>
          <w:bCs/>
          <w:highlight w:val="none"/>
        </w:rPr>
      </w:pPr>
    </w:p>
    <w:p>
      <w:pPr>
        <w:spacing w:line="360" w:lineRule="auto"/>
        <w:ind w:firstLine="3782" w:firstLineChars="1801"/>
        <w:rPr>
          <w:rFonts w:hint="eastAsia" w:ascii="仿宋_GB2312" w:hAnsi="仿宋_GB2312" w:eastAsia="仿宋_GB2312" w:cs="仿宋_GB2312"/>
          <w:szCs w:val="21"/>
          <w:highlight w:val="none"/>
        </w:rPr>
      </w:pPr>
    </w:p>
    <w:p>
      <w:pPr>
        <w:spacing w:line="360" w:lineRule="auto"/>
        <w:ind w:firstLine="3782" w:firstLineChars="1801"/>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企业名称（盖章）：</w:t>
      </w:r>
    </w:p>
    <w:p>
      <w:pPr>
        <w:spacing w:line="360" w:lineRule="auto"/>
        <w:ind w:firstLine="3782" w:firstLineChars="1801"/>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日期：</w:t>
      </w:r>
    </w:p>
    <w:p>
      <w:pPr>
        <w:outlineLvl w:val="9"/>
        <w:rPr>
          <w:rFonts w:hint="eastAsia" w:ascii="仿宋_GB2312" w:hAnsi="仿宋_GB2312" w:eastAsia="仿宋_GB2312" w:cs="仿宋_GB2312"/>
          <w:highlight w:val="none"/>
        </w:rPr>
      </w:pPr>
    </w:p>
    <w:p>
      <w:pPr>
        <w:outlineLvl w:val="9"/>
        <w:rPr>
          <w:rFonts w:hint="eastAsia" w:ascii="仿宋_GB2312" w:hAnsi="仿宋_GB2312" w:eastAsia="仿宋_GB2312" w:cs="仿宋_GB2312"/>
          <w:bCs/>
          <w:sz w:val="24"/>
          <w:highlight w:val="none"/>
        </w:rPr>
      </w:pPr>
    </w:p>
    <w:p>
      <w:pPr>
        <w:outlineLvl w:val="9"/>
        <w:rPr>
          <w:rFonts w:hint="eastAsia" w:ascii="仿宋_GB2312" w:hAnsi="仿宋_GB2312" w:eastAsia="仿宋_GB2312" w:cs="仿宋_GB2312"/>
          <w:highlight w:val="none"/>
        </w:rPr>
      </w:pPr>
    </w:p>
    <w:p>
      <w:pPr>
        <w:spacing w:line="360" w:lineRule="auto"/>
        <w:ind w:firstLine="424" w:firstLineChars="202"/>
        <w:rPr>
          <w:rFonts w:hint="eastAsia" w:ascii="仿宋_GB2312" w:hAnsi="仿宋_GB2312" w:eastAsia="仿宋_GB2312" w:cs="仿宋_GB2312"/>
          <w:szCs w:val="21"/>
          <w:highlight w:val="none"/>
        </w:rPr>
      </w:pPr>
    </w:p>
    <w:p>
      <w:pPr>
        <w:spacing w:line="360" w:lineRule="auto"/>
        <w:ind w:firstLine="424" w:firstLineChars="202"/>
        <w:rPr>
          <w:rFonts w:hint="eastAsia" w:ascii="仿宋_GB2312" w:hAnsi="仿宋_GB2312" w:eastAsia="仿宋_GB2312" w:cs="仿宋_GB2312"/>
          <w:szCs w:val="21"/>
          <w:highlight w:val="none"/>
        </w:rPr>
      </w:pPr>
    </w:p>
    <w:p>
      <w:pPr>
        <w:spacing w:line="360" w:lineRule="auto"/>
        <w:ind w:firstLine="424" w:firstLineChars="202"/>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注：从业人员、营业收入、资产总额填报上一年度数据，无上一年度数据的新成立企业可不填报。</w:t>
      </w:r>
    </w:p>
    <w:p>
      <w:pPr>
        <w:outlineLvl w:val="1"/>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Cs w:val="21"/>
          <w:highlight w:val="none"/>
        </w:rPr>
        <w:br w:type="page"/>
      </w:r>
      <w:r>
        <w:rPr>
          <w:rFonts w:hint="eastAsia" w:ascii="仿宋_GB2312" w:hAnsi="仿宋_GB2312" w:eastAsia="仿宋_GB2312" w:cs="仿宋_GB2312"/>
          <w:b/>
          <w:bCs/>
          <w:sz w:val="28"/>
          <w:szCs w:val="28"/>
          <w:highlight w:val="none"/>
        </w:rPr>
        <w:t>格式</w:t>
      </w:r>
      <w:bookmarkEnd w:id="89"/>
      <w:bookmarkEnd w:id="90"/>
      <w:r>
        <w:rPr>
          <w:rFonts w:hint="eastAsia" w:ascii="仿宋_GB2312" w:hAnsi="仿宋_GB2312" w:eastAsia="仿宋_GB2312" w:cs="仿宋_GB2312"/>
          <w:b/>
          <w:bCs/>
          <w:sz w:val="28"/>
          <w:szCs w:val="28"/>
          <w:highlight w:val="none"/>
        </w:rPr>
        <w:t>2</w:t>
      </w:r>
      <w:r>
        <w:rPr>
          <w:rFonts w:hint="eastAsia" w:ascii="仿宋_GB2312" w:hAnsi="仿宋_GB2312" w:eastAsia="仿宋_GB2312" w:cs="仿宋_GB2312"/>
          <w:b/>
          <w:bCs/>
          <w:sz w:val="28"/>
          <w:szCs w:val="28"/>
          <w:highlight w:val="none"/>
          <w:lang w:val="en-US" w:eastAsia="zh-CN"/>
        </w:rPr>
        <w:t>6</w:t>
      </w:r>
    </w:p>
    <w:p>
      <w:pPr>
        <w:spacing w:before="319" w:beforeLines="100" w:after="319" w:afterLines="100" w:line="36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残疾人福利性单位声明函</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单位的</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本单位对上述声明的真实性负责。如有虚假，将依法承担相应责任。</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注：供应商为非残疾人福利性单位的，无需填写此声明函。</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480" w:lineRule="auto"/>
        <w:ind w:right="105" w:rightChars="5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供应商名称（加盖单位公章）：</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pPr>
        <w:adjustRightInd w:val="0"/>
        <w:snapToGrid w:val="0"/>
        <w:spacing w:line="480" w:lineRule="auto"/>
        <w:ind w:right="105" w:rightChars="5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pPr>
        <w:pStyle w:val="3"/>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rPr>
        <w:br w:type="page"/>
      </w:r>
      <w:bookmarkStart w:id="91" w:name="_Toc115433464"/>
      <w:r>
        <w:rPr>
          <w:rFonts w:hint="eastAsia" w:ascii="仿宋_GB2312" w:hAnsi="仿宋_GB2312" w:eastAsia="仿宋_GB2312" w:cs="仿宋_GB2312"/>
          <w:highlight w:val="none"/>
        </w:rPr>
        <w:t>第三章 工程需求</w:t>
      </w:r>
      <w:bookmarkEnd w:id="91"/>
    </w:p>
    <w:p>
      <w:pPr>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采购人应对采购工程提出详细的数量、质量及相关要求。</w:t>
      </w:r>
    </w:p>
    <w:p>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本部分一般应包含但不限于如下主要内容：</w:t>
      </w:r>
    </w:p>
    <w:p>
      <w:pPr>
        <w:spacing w:line="360" w:lineRule="auto"/>
        <w:ind w:left="420"/>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1、采购项目编号：</w:t>
      </w:r>
      <w:r>
        <w:rPr>
          <w:rFonts w:hint="eastAsia" w:ascii="仿宋_GB2312" w:hAnsi="仿宋_GB2312" w:eastAsia="仿宋_GB2312" w:cs="仿宋_GB2312"/>
          <w:szCs w:val="21"/>
          <w:highlight w:val="none"/>
          <w:lang w:eastAsia="zh-CN"/>
        </w:rPr>
        <w:t>JH23-210604-00088</w:t>
      </w:r>
    </w:p>
    <w:p>
      <w:pPr>
        <w:adjustRightInd w:val="0"/>
        <w:snapToGrid w:val="0"/>
        <w:spacing w:line="360" w:lineRule="auto"/>
        <w:ind w:firstLine="420" w:firstLineChars="200"/>
        <w:rPr>
          <w:rFonts w:hint="eastAsia" w:ascii="仿宋_GB2312" w:hAnsi="仿宋_GB2312" w:eastAsia="仿宋_GB2312" w:cs="仿宋_GB2312"/>
          <w:szCs w:val="21"/>
          <w:highlight w:val="none"/>
          <w:lang w:val="en-US"/>
        </w:rPr>
      </w:pPr>
      <w:r>
        <w:rPr>
          <w:rFonts w:hint="eastAsia" w:ascii="仿宋_GB2312" w:hAnsi="仿宋_GB2312" w:eastAsia="仿宋_GB2312" w:cs="仿宋_GB2312"/>
          <w:szCs w:val="21"/>
          <w:highlight w:val="none"/>
        </w:rPr>
        <w:t>2、采购项目名称：</w:t>
      </w:r>
      <w:r>
        <w:rPr>
          <w:rFonts w:hint="eastAsia" w:ascii="仿宋_GB2312" w:hAnsi="仿宋_GB2312" w:eastAsia="仿宋_GB2312" w:cs="仿宋_GB2312"/>
          <w:szCs w:val="21"/>
          <w:highlight w:val="none"/>
          <w:lang w:val="en-US" w:eastAsia="zh-CN"/>
        </w:rPr>
        <w:t>九连城镇庙岭村仓储物流库房工程</w:t>
      </w:r>
    </w:p>
    <w:p>
      <w:pPr>
        <w:spacing w:line="360" w:lineRule="auto"/>
        <w:ind w:left="42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3、采购方式：竞争性磋商</w:t>
      </w:r>
    </w:p>
    <w:p>
      <w:pPr>
        <w:spacing w:line="360" w:lineRule="auto"/>
        <w:ind w:left="42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4、采购项目预算金额：人民币</w:t>
      </w:r>
      <w:r>
        <w:rPr>
          <w:rFonts w:hint="eastAsia" w:ascii="仿宋_GB2312" w:hAnsi="仿宋_GB2312" w:eastAsia="仿宋_GB2312" w:cs="仿宋_GB2312"/>
          <w:szCs w:val="21"/>
          <w:highlight w:val="none"/>
          <w:lang w:val="en-US" w:eastAsia="zh-CN"/>
        </w:rPr>
        <w:t>998,166.37</w:t>
      </w:r>
      <w:r>
        <w:rPr>
          <w:rFonts w:hint="eastAsia" w:ascii="仿宋_GB2312" w:hAnsi="仿宋_GB2312" w:eastAsia="仿宋_GB2312" w:cs="仿宋_GB2312"/>
          <w:szCs w:val="21"/>
          <w:highlight w:val="none"/>
        </w:rPr>
        <w:t>元</w:t>
      </w:r>
    </w:p>
    <w:p>
      <w:pPr>
        <w:spacing w:line="360" w:lineRule="auto"/>
        <w:ind w:left="42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5、资金来源：</w:t>
      </w:r>
      <w:r>
        <w:rPr>
          <w:rFonts w:hint="eastAsia" w:ascii="仿宋_GB2312" w:hAnsi="仿宋_GB2312" w:eastAsia="仿宋_GB2312" w:cs="仿宋_GB2312"/>
          <w:szCs w:val="21"/>
          <w:highlight w:val="none"/>
          <w:lang w:val="en-US" w:eastAsia="zh-CN"/>
        </w:rPr>
        <w:t>上级财政专项资金；</w:t>
      </w:r>
    </w:p>
    <w:p>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6、建设地点：九连城镇</w:t>
      </w:r>
      <w:r>
        <w:rPr>
          <w:rFonts w:hint="eastAsia" w:ascii="仿宋_GB2312" w:hAnsi="仿宋_GB2312" w:eastAsia="仿宋_GB2312" w:cs="仿宋_GB2312"/>
          <w:szCs w:val="21"/>
          <w:highlight w:val="none"/>
          <w:lang w:val="en-US" w:eastAsia="zh-CN"/>
        </w:rPr>
        <w:t>庙岭村；</w:t>
      </w:r>
    </w:p>
    <w:p>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7、采购项目内容及需求：</w:t>
      </w:r>
    </w:p>
    <w:p>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7.1采购需求：</w:t>
      </w:r>
      <w:r>
        <w:rPr>
          <w:rFonts w:hint="eastAsia" w:ascii="仿宋_GB2312" w:hAnsi="仿宋_GB2312" w:eastAsia="仿宋_GB2312" w:cs="仿宋_GB2312"/>
          <w:szCs w:val="21"/>
          <w:highlight w:val="none"/>
          <w:lang w:val="en-US" w:eastAsia="zh-CN"/>
        </w:rPr>
        <w:t>本项目为九连城镇庙岭村仓储物流库房工程，工程地点在九连城镇庙岭村。</w:t>
      </w:r>
      <w:r>
        <w:rPr>
          <w:rFonts w:hint="eastAsia" w:ascii="仿宋_GB2312" w:hAnsi="仿宋_GB2312" w:eastAsia="仿宋_GB2312" w:cs="仿宋_GB2312"/>
          <w:szCs w:val="21"/>
          <w:highlight w:val="none"/>
          <w:lang w:eastAsia="zh-CN"/>
        </w:rPr>
        <w:t>新建仓储物流库房532.9m²，砖混结构一层。（具体详见工程量清单）。</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7.2建设工期：</w:t>
      </w:r>
      <w:r>
        <w:rPr>
          <w:rFonts w:hint="eastAsia" w:ascii="仿宋_GB2312" w:hAnsi="仿宋_GB2312" w:eastAsia="仿宋_GB2312" w:cs="仿宋_GB2312"/>
          <w:szCs w:val="21"/>
          <w:highlight w:val="none"/>
          <w:lang w:eastAsia="zh-CN"/>
        </w:rPr>
        <w:t>自签订合同之日起60日历日内施工完毕</w:t>
      </w:r>
      <w:r>
        <w:rPr>
          <w:rFonts w:hint="eastAsia" w:ascii="仿宋_GB2312" w:hAnsi="仿宋_GB2312" w:eastAsia="仿宋_GB2312" w:cs="仿宋_GB2312"/>
          <w:szCs w:val="21"/>
          <w:highlight w:val="none"/>
        </w:rPr>
        <w:t>；</w:t>
      </w:r>
    </w:p>
    <w:p>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7.3质量</w:t>
      </w:r>
      <w:r>
        <w:rPr>
          <w:rFonts w:hint="eastAsia" w:ascii="仿宋_GB2312" w:hAnsi="仿宋_GB2312" w:eastAsia="仿宋_GB2312" w:cs="仿宋_GB2312"/>
          <w:szCs w:val="21"/>
          <w:highlight w:val="none"/>
          <w:lang w:val="en-US" w:eastAsia="zh-CN"/>
        </w:rPr>
        <w:t>要求</w:t>
      </w:r>
      <w:r>
        <w:rPr>
          <w:rFonts w:hint="eastAsia" w:ascii="仿宋_GB2312" w:hAnsi="仿宋_GB2312" w:eastAsia="仿宋_GB2312" w:cs="仿宋_GB2312"/>
          <w:szCs w:val="21"/>
          <w:highlight w:val="none"/>
        </w:rPr>
        <w:t>：达到国家规定的合格质量标准；</w:t>
      </w:r>
    </w:p>
    <w:p>
      <w:pPr>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color w:val="auto"/>
          <w:szCs w:val="21"/>
          <w:highlight w:val="none"/>
          <w:lang w:val="en-US" w:eastAsia="zh-CN"/>
        </w:rPr>
        <w:t>7.4缺陷责任期（工程质量保修期）的期限：1年</w:t>
      </w:r>
    </w:p>
    <w:p>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7.5付款方式:</w:t>
      </w:r>
    </w:p>
    <w:p>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工程竣工验收合格后，结算经审计后支付总价的 70%。工程交付使用6个月无质量问题后，支付总价的 97%。剩余3%为质量保证金，工程交付使用 12 个月无质量问题后，无息付清</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rPr>
        <w:br w:type="page"/>
      </w:r>
    </w:p>
    <w:p>
      <w:pPr>
        <w:pStyle w:val="3"/>
        <w:spacing w:line="360" w:lineRule="auto"/>
        <w:jc w:val="center"/>
        <w:rPr>
          <w:rFonts w:hint="eastAsia" w:ascii="仿宋_GB2312" w:hAnsi="仿宋_GB2312" w:eastAsia="仿宋_GB2312" w:cs="仿宋_GB2312"/>
          <w:szCs w:val="21"/>
          <w:highlight w:val="none"/>
        </w:rPr>
      </w:pPr>
      <w:bookmarkStart w:id="92" w:name="_Toc115433465"/>
      <w:r>
        <w:rPr>
          <w:rFonts w:hint="eastAsia" w:ascii="仿宋_GB2312" w:hAnsi="仿宋_GB2312" w:eastAsia="仿宋_GB2312" w:cs="仿宋_GB2312"/>
          <w:szCs w:val="44"/>
          <w:highlight w:val="none"/>
        </w:rPr>
        <w:t>第四章 磋商内容、磋商过程中可能实质性变动的内容</w:t>
      </w:r>
      <w:bookmarkEnd w:id="92"/>
    </w:p>
    <w:p>
      <w:pPr>
        <w:widowControl/>
        <w:snapToGrid w:val="0"/>
        <w:spacing w:line="500" w:lineRule="exact"/>
        <w:jc w:val="left"/>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 xml:space="preserve">    磋商小组根据与供应商磋商情况可能实质性变动的内容（不得变动采购文件中的其他内容）： </w:t>
      </w:r>
    </w:p>
    <w:p>
      <w:pPr>
        <w:rPr>
          <w:rFonts w:hint="eastAsia" w:ascii="仿宋_GB2312" w:hAnsi="仿宋_GB2312" w:eastAsia="仿宋_GB2312" w:cs="仿宋_GB2312"/>
          <w:bCs/>
          <w:kern w:val="0"/>
          <w:szCs w:val="21"/>
          <w:highlight w:val="none"/>
        </w:rPr>
      </w:pPr>
    </w:p>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1、技术要求</w:t>
      </w:r>
    </w:p>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无</w:t>
      </w:r>
    </w:p>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2、商务要求</w:t>
      </w:r>
    </w:p>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无</w:t>
      </w:r>
    </w:p>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3、合同草案条款</w:t>
      </w:r>
    </w:p>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t>无</w:t>
      </w: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注：采购人不同意采购文件在磋商过程中有任何变动的，直接写无，实质性变动的内容，须经采购人代表确认。</w:t>
      </w:r>
    </w:p>
    <w:p>
      <w:pPr>
        <w:pStyle w:val="3"/>
        <w:rPr>
          <w:rFonts w:hint="eastAsia" w:ascii="仿宋_GB2312" w:hAnsi="仿宋_GB2312" w:eastAsia="仿宋_GB2312" w:cs="仿宋_GB2312"/>
          <w:szCs w:val="44"/>
          <w:highlight w:val="none"/>
        </w:rPr>
      </w:pPr>
      <w:r>
        <w:rPr>
          <w:rFonts w:hint="eastAsia" w:ascii="仿宋_GB2312" w:hAnsi="仿宋_GB2312" w:eastAsia="仿宋_GB2312" w:cs="仿宋_GB2312"/>
          <w:highlight w:val="none"/>
        </w:rPr>
        <w:br w:type="page"/>
      </w:r>
      <w:bookmarkStart w:id="93" w:name="_Toc115433466"/>
      <w:r>
        <w:rPr>
          <w:rFonts w:hint="eastAsia" w:ascii="仿宋_GB2312" w:hAnsi="仿宋_GB2312" w:eastAsia="仿宋_GB2312" w:cs="仿宋_GB2312"/>
          <w:szCs w:val="44"/>
          <w:highlight w:val="none"/>
        </w:rPr>
        <w:t>第五章 评审办法</w:t>
      </w:r>
      <w:bookmarkEnd w:id="93"/>
    </w:p>
    <w:bookmarkEnd w:id="66"/>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本项目将按照采购文件第一章供应商须知中“六 磋商及评审”、“七 确定成交”及本章的规定评审。</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rPr>
          <w:rFonts w:hint="eastAsia"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一、评审方法</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本项目采用</w:t>
      </w:r>
      <w:r>
        <w:rPr>
          <w:rFonts w:hint="eastAsia" w:ascii="仿宋_GB2312" w:hAnsi="仿宋_GB2312" w:eastAsia="仿宋_GB2312" w:cs="仿宋_GB2312"/>
          <w:kern w:val="0"/>
          <w:szCs w:val="21"/>
          <w:highlight w:val="none"/>
          <w:u w:val="single"/>
        </w:rPr>
        <w:t>综合评分法</w:t>
      </w:r>
      <w:r>
        <w:rPr>
          <w:rFonts w:hint="eastAsia" w:ascii="仿宋_GB2312" w:hAnsi="仿宋_GB2312" w:eastAsia="仿宋_GB2312" w:cs="仿宋_GB2312"/>
          <w:kern w:val="0"/>
          <w:szCs w:val="21"/>
          <w:highlight w:val="none"/>
        </w:rPr>
        <w:t>进行</w:t>
      </w:r>
      <w:r>
        <w:rPr>
          <w:rFonts w:hint="eastAsia" w:ascii="仿宋_GB2312" w:hAnsi="仿宋_GB2312" w:eastAsia="仿宋_GB2312" w:cs="仿宋_GB2312"/>
          <w:bCs/>
          <w:kern w:val="0"/>
          <w:szCs w:val="21"/>
          <w:highlight w:val="none"/>
        </w:rPr>
        <w:t>评审</w:t>
      </w:r>
      <w:r>
        <w:rPr>
          <w:rFonts w:hint="eastAsia" w:ascii="仿宋_GB2312" w:hAnsi="仿宋_GB2312" w:eastAsia="仿宋_GB2312" w:cs="仿宋_GB2312"/>
          <w:kern w:val="0"/>
          <w:szCs w:val="21"/>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baseline"/>
        <w:rPr>
          <w:rFonts w:hint="eastAsia"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二、评审原则及程序</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baseline"/>
        <w:rPr>
          <w:rFonts w:hint="eastAsia"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（一）评审原则</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baseline"/>
        <w:rPr>
          <w:rFonts w:hint="eastAsia" w:ascii="仿宋_GB2312" w:hAnsi="仿宋_GB2312" w:eastAsia="仿宋_GB2312" w:cs="仿宋_GB2312"/>
          <w:kern w:val="0"/>
          <w:highlight w:val="none"/>
        </w:rPr>
      </w:pPr>
      <w:r>
        <w:rPr>
          <w:rFonts w:hint="eastAsia" w:ascii="仿宋_GB2312" w:hAnsi="仿宋_GB2312" w:eastAsia="仿宋_GB2312" w:cs="仿宋_GB2312"/>
          <w:kern w:val="0"/>
          <w:highlight w:val="none"/>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baseline"/>
        <w:rPr>
          <w:rFonts w:hint="eastAsia"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（二）评审程序</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baseline"/>
        <w:rPr>
          <w:rFonts w:hint="eastAsia"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1、资格审查</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baseline"/>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详见供应商须知22条。资格审查表详见本章附件1。</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422" w:firstLineChars="200"/>
        <w:textAlignment w:val="baseline"/>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符合性审查</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baseline"/>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2.1详见供应商须知23条。符合性审查表详见本章附件2。</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baseline"/>
        <w:rPr>
          <w:rFonts w:hint="eastAsia"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3、样品及演示</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baseline"/>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3.1</w:t>
      </w:r>
      <w:r>
        <w:rPr>
          <w:rFonts w:hint="eastAsia" w:ascii="仿宋_GB2312" w:hAnsi="仿宋_GB2312" w:eastAsia="仿宋_GB2312" w:cs="仿宋_GB2312"/>
          <w:kern w:val="0"/>
          <w:szCs w:val="21"/>
          <w:highlight w:val="none"/>
        </w:rPr>
        <w:t>供应商须知表11.3条</w:t>
      </w:r>
      <w:r>
        <w:rPr>
          <w:rFonts w:hint="eastAsia" w:ascii="仿宋_GB2312" w:hAnsi="仿宋_GB2312" w:eastAsia="仿宋_GB2312" w:cs="仿宋_GB2312"/>
          <w:szCs w:val="21"/>
          <w:highlight w:val="none"/>
        </w:rPr>
        <w:t>中要求供应商提供样品或演示的，按照供</w:t>
      </w:r>
      <w:r>
        <w:rPr>
          <w:rFonts w:hint="eastAsia" w:ascii="仿宋_GB2312" w:hAnsi="仿宋_GB2312" w:eastAsia="仿宋_GB2312" w:cs="仿宋_GB2312"/>
          <w:kern w:val="0"/>
          <w:szCs w:val="21"/>
          <w:highlight w:val="none"/>
        </w:rPr>
        <w:t>应商须知表24.1条</w:t>
      </w:r>
      <w:r>
        <w:rPr>
          <w:rFonts w:hint="eastAsia" w:ascii="仿宋_GB2312" w:hAnsi="仿宋_GB2312" w:eastAsia="仿宋_GB2312" w:cs="仿宋_GB2312"/>
          <w:szCs w:val="21"/>
          <w:highlight w:val="none"/>
        </w:rPr>
        <w:t>中确定的评审方法以及评审标准进行评审。(样品或演示属于符合性审查的，按照供应商</w:t>
      </w:r>
      <w:r>
        <w:rPr>
          <w:rFonts w:hint="eastAsia" w:ascii="仿宋_GB2312" w:hAnsi="仿宋_GB2312" w:eastAsia="仿宋_GB2312" w:cs="仿宋_GB2312"/>
          <w:kern w:val="0"/>
          <w:szCs w:val="21"/>
          <w:highlight w:val="none"/>
        </w:rPr>
        <w:t>须知23条</w:t>
      </w:r>
      <w:r>
        <w:rPr>
          <w:rFonts w:hint="eastAsia" w:ascii="仿宋_GB2312" w:hAnsi="仿宋_GB2312" w:eastAsia="仿宋_GB2312" w:cs="仿宋_GB2312"/>
          <w:szCs w:val="21"/>
          <w:highlight w:val="none"/>
        </w:rPr>
        <w:t>规定执行）</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baseline"/>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4、磋商</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baseline"/>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详见供应商须知26条。</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5、最后报价</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详见供应商须知27条。</w:t>
      </w:r>
    </w:p>
    <w:p>
      <w:pPr>
        <w:keepNext w:val="0"/>
        <w:keepLines w:val="0"/>
        <w:pageBreakBefore w:val="0"/>
        <w:widowControl w:val="0"/>
        <w:kinsoku/>
        <w:wordWrap/>
        <w:overflowPunct/>
        <w:topLinePunct w:val="0"/>
        <w:autoSpaceDE/>
        <w:autoSpaceDN/>
        <w:bidi w:val="0"/>
        <w:adjustRightInd w:val="0"/>
        <w:snapToGrid w:val="0"/>
        <w:spacing w:line="360" w:lineRule="auto"/>
        <w:ind w:firstLine="413" w:firstLineChars="196"/>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6、比较及评价</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6.1磋商小组对通过资格审查、符合性审查的响应文件进行比较和评价。</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6.2在磋商期间，对响应文件的澄清按供应商须知25条内容执行。</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6.3磋商小组</w:t>
      </w:r>
      <w:r>
        <w:rPr>
          <w:rFonts w:hint="eastAsia" w:ascii="仿宋_GB2312" w:hAnsi="仿宋_GB2312" w:eastAsia="仿宋_GB2312" w:cs="仿宋_GB2312"/>
          <w:szCs w:val="21"/>
          <w:highlight w:val="none"/>
        </w:rPr>
        <w:t>认为供应商的报价明显低于其他通过符合性审查的供应商报价，有可能影响产品质量或者不能诚信履约的，磋商小组应当要求其在评审现场合理的时间（</w:t>
      </w:r>
      <w:r>
        <w:rPr>
          <w:rFonts w:hint="eastAsia" w:ascii="仿宋_GB2312" w:hAnsi="仿宋_GB2312" w:eastAsia="仿宋_GB2312" w:cs="仿宋_GB2312"/>
          <w:kern w:val="0"/>
          <w:szCs w:val="21"/>
          <w:highlight w:val="none"/>
        </w:rPr>
        <w:t>接到通知后</w:t>
      </w:r>
    </w:p>
    <w:p>
      <w:pPr>
        <w:keepNext w:val="0"/>
        <w:keepLines w:val="0"/>
        <w:pageBreakBefore w:val="0"/>
        <w:widowControl w:val="0"/>
        <w:kinsoku/>
        <w:wordWrap/>
        <w:overflowPunct/>
        <w:topLinePunct w:val="0"/>
        <w:autoSpaceDE/>
        <w:autoSpaceDN/>
        <w:bidi w:val="0"/>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u w:val="single"/>
        </w:rPr>
        <w:t xml:space="preserve">   0.5   </w:t>
      </w:r>
      <w:r>
        <w:rPr>
          <w:rFonts w:hint="eastAsia" w:ascii="仿宋_GB2312" w:hAnsi="仿宋_GB2312" w:eastAsia="仿宋_GB2312" w:cs="仿宋_GB2312"/>
          <w:kern w:val="0"/>
          <w:szCs w:val="21"/>
          <w:highlight w:val="none"/>
        </w:rPr>
        <w:t>小时</w:t>
      </w:r>
      <w:r>
        <w:rPr>
          <w:rFonts w:hint="eastAsia" w:ascii="仿宋_GB2312" w:hAnsi="仿宋_GB2312" w:eastAsia="仿宋_GB2312" w:cs="仿宋_GB2312"/>
          <w:szCs w:val="21"/>
          <w:highlight w:val="none"/>
        </w:rPr>
        <w:t>）内提供书面说明，</w:t>
      </w:r>
      <w:r>
        <w:rPr>
          <w:rFonts w:hint="eastAsia" w:ascii="仿宋_GB2312" w:hAnsi="仿宋_GB2312" w:eastAsia="仿宋_GB2312" w:cs="仿宋_GB2312"/>
          <w:szCs w:val="21"/>
          <w:highlight w:val="none"/>
          <w:lang w:val="en-US" w:eastAsia="zh-CN"/>
        </w:rPr>
        <w:t>必要时</w:t>
      </w:r>
      <w:r>
        <w:rPr>
          <w:rFonts w:hint="eastAsia" w:ascii="仿宋_GB2312" w:hAnsi="仿宋_GB2312" w:eastAsia="仿宋_GB2312" w:cs="仿宋_GB2312"/>
          <w:szCs w:val="21"/>
          <w:highlight w:val="none"/>
        </w:rPr>
        <w:t>提交相关证明材料，</w:t>
      </w:r>
      <w:r>
        <w:rPr>
          <w:rFonts w:hint="eastAsia" w:ascii="仿宋_GB2312" w:hAnsi="仿宋_GB2312" w:eastAsia="仿宋_GB2312" w:cs="仿宋_GB2312"/>
          <w:kern w:val="0"/>
          <w:szCs w:val="21"/>
          <w:highlight w:val="none"/>
        </w:rPr>
        <w:t>供应商不能证明其报价合理性的，磋商小组应当将</w:t>
      </w:r>
      <w:r>
        <w:rPr>
          <w:rFonts w:hint="eastAsia" w:ascii="仿宋_GB2312" w:hAnsi="仿宋_GB2312" w:eastAsia="仿宋_GB2312" w:cs="仿宋_GB2312"/>
          <w:szCs w:val="21"/>
          <w:highlight w:val="none"/>
        </w:rPr>
        <w:t>其响应作为</w:t>
      </w:r>
      <w:r>
        <w:rPr>
          <w:rFonts w:hint="eastAsia" w:ascii="仿宋_GB2312" w:hAnsi="仿宋_GB2312" w:eastAsia="仿宋_GB2312" w:cs="仿宋_GB2312"/>
          <w:b/>
          <w:bCs/>
          <w:szCs w:val="21"/>
          <w:highlight w:val="none"/>
        </w:rPr>
        <w:t>无效响应处理</w:t>
      </w:r>
      <w:r>
        <w:rPr>
          <w:rFonts w:hint="eastAsia" w:ascii="仿宋_GB2312" w:hAnsi="仿宋_GB2312" w:eastAsia="仿宋_GB2312" w:cs="仿宋_GB2312"/>
          <w:szCs w:val="21"/>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供应商的书面说明材料包含</w:t>
      </w:r>
      <w:r>
        <w:rPr>
          <w:rFonts w:hint="eastAsia" w:ascii="仿宋_GB2312" w:hAnsi="仿宋_GB2312" w:eastAsia="仿宋_GB2312" w:cs="仿宋_GB2312"/>
          <w:szCs w:val="21"/>
          <w:highlight w:val="none"/>
          <w:lang w:val="en-US" w:eastAsia="zh-CN"/>
        </w:rPr>
        <w:t>工程</w:t>
      </w:r>
      <w:r>
        <w:rPr>
          <w:rFonts w:hint="eastAsia" w:ascii="仿宋_GB2312" w:hAnsi="仿宋_GB2312" w:eastAsia="仿宋_GB2312" w:cs="仿宋_GB2312"/>
          <w:szCs w:val="21"/>
          <w:highlight w:val="none"/>
        </w:rPr>
        <w:t>本身成本、人工费用、运输、税收等，以及最后报价不会影响</w:t>
      </w:r>
      <w:r>
        <w:rPr>
          <w:rFonts w:hint="eastAsia" w:ascii="仿宋_GB2312" w:hAnsi="仿宋_GB2312" w:eastAsia="仿宋_GB2312" w:cs="仿宋_GB2312"/>
          <w:szCs w:val="21"/>
          <w:highlight w:val="none"/>
          <w:lang w:val="en-US" w:eastAsia="zh-CN"/>
        </w:rPr>
        <w:t>工程</w:t>
      </w:r>
      <w:r>
        <w:rPr>
          <w:rFonts w:hint="eastAsia" w:ascii="仿宋_GB2312" w:hAnsi="仿宋_GB2312" w:eastAsia="仿宋_GB2312" w:cs="仿宋_GB2312"/>
          <w:szCs w:val="21"/>
          <w:highlight w:val="none"/>
        </w:rPr>
        <w:t>质量或诚信履约能力的说明等。</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供应商的书面说明应当签字确认或者加盖公章，否则无效。书面说明的签字确认，由其法定代表人（非法人单位负责人或自然人本人）或者其授权代表签字确认。</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提供书面说明后，磋商小组应当结合采购项目采购需求、专业实际情况、供应商财务状况报告、与其他供应商比较情况等就供应商的书面说明进行审查评价。供应商如有下列情况的，磋商小组应当将其响应文件作为无效处理：</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（1）拒绝或者变相拒绝提供有效书面说明；</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（2）书面说明不能证明其报价合理性的；</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（3）未在规定时间内递交有效书面说明书的。</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rPr>
          <w:rFonts w:hint="eastAsia" w:ascii="仿宋_GB2312" w:hAnsi="仿宋_GB2312" w:eastAsia="仿宋_GB2312" w:cs="仿宋_GB2312"/>
          <w:b/>
          <w:kern w:val="0"/>
          <w:szCs w:val="21"/>
          <w:highlight w:val="none"/>
        </w:rPr>
      </w:pPr>
      <w:r>
        <w:rPr>
          <w:rFonts w:hint="eastAsia" w:ascii="仿宋_GB2312" w:hAnsi="仿宋_GB2312" w:eastAsia="仿宋_GB2312" w:cs="仿宋_GB2312"/>
          <w:b/>
          <w:bCs/>
          <w:kern w:val="0"/>
          <w:szCs w:val="21"/>
          <w:highlight w:val="none"/>
        </w:rPr>
        <w:t>7、需落实的政府采购政</w:t>
      </w:r>
      <w:r>
        <w:rPr>
          <w:rFonts w:hint="eastAsia" w:ascii="仿宋_GB2312" w:hAnsi="仿宋_GB2312" w:eastAsia="仿宋_GB2312" w:cs="仿宋_GB2312"/>
          <w:b/>
          <w:kern w:val="0"/>
          <w:szCs w:val="21"/>
          <w:highlight w:val="none"/>
        </w:rPr>
        <w:t>策性规定：</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rPr>
          <w:rFonts w:hint="eastAsia"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7.1对于中小微企业的相关规定</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7.1.1</w:t>
      </w:r>
      <w:r>
        <w:rPr>
          <w:rFonts w:hint="eastAsia" w:ascii="仿宋_GB2312" w:hAnsi="仿宋_GB2312" w:eastAsia="仿宋_GB2312" w:cs="仿宋_GB2312"/>
          <w:szCs w:val="21"/>
          <w:highlight w:val="none"/>
        </w:rPr>
        <w:t>对于非专门面向中小企业的项目，在满足价格扣除条件且在响应文件中按要求提交了《中小企业声明函》、《制造商企业（单位）类型声明函》</w:t>
      </w:r>
      <w:r>
        <w:rPr>
          <w:rFonts w:hint="eastAsia" w:ascii="仿宋_GB2312" w:hAnsi="仿宋_GB2312" w:eastAsia="仿宋_GB2312" w:cs="仿宋_GB2312"/>
          <w:kern w:val="0"/>
          <w:szCs w:val="21"/>
          <w:highlight w:val="none"/>
        </w:rPr>
        <w:t>（采购人采购的服务有伴随货物时，供应商所投货物为其它企业生产时须提供此声明函，仅作为价格扣除条件）的，</w:t>
      </w:r>
      <w:r>
        <w:rPr>
          <w:rFonts w:hint="eastAsia" w:ascii="仿宋_GB2312" w:hAnsi="仿宋_GB2312" w:eastAsia="仿宋_GB2312" w:cs="仿宋_GB2312"/>
          <w:szCs w:val="21"/>
          <w:highlight w:val="none"/>
        </w:rPr>
        <w:t>对最后报价给予价格扣除，用扣除后的价格参与评审。最后报价扣除比例如下：</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（1）非联合体参加政府采购活动</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小型和微型企业相关产品、服务最后报价的</w:t>
      </w:r>
      <w:r>
        <w:rPr>
          <w:rFonts w:hint="eastAsia" w:ascii="仿宋_GB2312" w:hAnsi="仿宋_GB2312" w:eastAsia="仿宋_GB2312" w:cs="仿宋_GB2312"/>
          <w:kern w:val="0"/>
          <w:szCs w:val="21"/>
          <w:highlight w:val="none"/>
          <w:u w:val="single"/>
        </w:rPr>
        <w:t xml:space="preserve">  /  </w:t>
      </w:r>
      <w:r>
        <w:rPr>
          <w:rFonts w:hint="eastAsia" w:ascii="仿宋_GB2312" w:hAnsi="仿宋_GB2312" w:eastAsia="仿宋_GB2312" w:cs="仿宋_GB2312"/>
          <w:kern w:val="0"/>
          <w:szCs w:val="21"/>
          <w:highlight w:val="none"/>
        </w:rPr>
        <w:t>（</w:t>
      </w:r>
      <w:r>
        <w:rPr>
          <w:rFonts w:hint="eastAsia" w:ascii="仿宋_GB2312" w:hAnsi="仿宋_GB2312" w:eastAsia="仿宋_GB2312" w:cs="仿宋_GB2312"/>
          <w:szCs w:val="21"/>
          <w:highlight w:val="none"/>
        </w:rPr>
        <w:t>3-5%）</w:t>
      </w:r>
    </w:p>
    <w:p>
      <w:pPr>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联合体参加政府采购活动</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大中型企业和其他自然人、法人或者其他组织与小型、微型企业组成联合体共同参加非专门面向中小企业的政府采购活动的，联合体参加政府采购活动协议中约定，小型、微型企业的协议合同金额占到联合体参加政府采购活动协议合同总金额30%以上的，最后报价扣除</w:t>
      </w:r>
      <w:r>
        <w:rPr>
          <w:rFonts w:hint="eastAsia" w:ascii="仿宋_GB2312" w:hAnsi="仿宋_GB2312" w:eastAsia="仿宋_GB2312" w:cs="仿宋_GB2312"/>
          <w:szCs w:val="21"/>
          <w:highlight w:val="none"/>
          <w:u w:val="single"/>
        </w:rPr>
        <w:t xml:space="preserve">   /  </w:t>
      </w:r>
      <w:r>
        <w:rPr>
          <w:rFonts w:hint="eastAsia" w:ascii="仿宋_GB2312" w:hAnsi="仿宋_GB2312" w:eastAsia="仿宋_GB2312" w:cs="仿宋_GB2312"/>
          <w:kern w:val="0"/>
          <w:szCs w:val="21"/>
          <w:highlight w:val="none"/>
        </w:rPr>
        <w:t>（</w:t>
      </w:r>
      <w:r>
        <w:rPr>
          <w:rFonts w:hint="eastAsia" w:ascii="仿宋_GB2312" w:hAnsi="仿宋_GB2312" w:eastAsia="仿宋_GB2312" w:cs="仿宋_GB2312"/>
          <w:szCs w:val="21"/>
          <w:highlight w:val="none"/>
        </w:rPr>
        <w:t>1-2%）。</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联合体各方均为小型、微型企业的，联合体视同为小型、微型企业享受规定的扶持政策。组成联合体的大中型企业和其他自然人、法人或者其他组织，与小型、微型企业之间不得存在投资关系。 </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7.1.2监狱企业视同小型、微型企业，在满足价格扣除条件且在响应文件中按要求提交了省级以上监狱管理局、戒毒管理局（含新疆生产建设兵团）出具的属于监狱企业的证明文件的，对其最后报价按本章</w:t>
      </w:r>
      <w:r>
        <w:rPr>
          <w:rFonts w:hint="eastAsia" w:ascii="仿宋_GB2312" w:hAnsi="仿宋_GB2312" w:eastAsia="仿宋_GB2312" w:cs="仿宋_GB2312"/>
          <w:szCs w:val="21"/>
          <w:highlight w:val="none"/>
          <w:lang w:val="en-US" w:eastAsia="zh-CN"/>
        </w:rPr>
        <w:t>7</w:t>
      </w:r>
      <w:r>
        <w:rPr>
          <w:rFonts w:hint="eastAsia" w:ascii="仿宋_GB2312" w:hAnsi="仿宋_GB2312" w:eastAsia="仿宋_GB2312" w:cs="仿宋_GB2312"/>
          <w:szCs w:val="21"/>
          <w:highlight w:val="none"/>
        </w:rPr>
        <w:t>.1.1条款的比例予以扣除，</w:t>
      </w:r>
      <w:r>
        <w:rPr>
          <w:rFonts w:hint="eastAsia" w:ascii="仿宋_GB2312" w:hAnsi="仿宋_GB2312" w:eastAsia="仿宋_GB2312" w:cs="仿宋_GB2312"/>
          <w:kern w:val="0"/>
          <w:szCs w:val="21"/>
          <w:highlight w:val="none"/>
        </w:rPr>
        <w:t>用扣除后的价格参与评审</w:t>
      </w:r>
      <w:r>
        <w:rPr>
          <w:rFonts w:hint="eastAsia" w:ascii="仿宋_GB2312" w:hAnsi="仿宋_GB2312" w:eastAsia="仿宋_GB2312" w:cs="仿宋_GB2312"/>
          <w:szCs w:val="21"/>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rPr>
        <w:t>7.1.3残疾人</w:t>
      </w:r>
      <w:r>
        <w:rPr>
          <w:rFonts w:hint="eastAsia" w:ascii="仿宋_GB2312" w:hAnsi="仿宋_GB2312" w:eastAsia="仿宋_GB2312" w:cs="仿宋_GB2312"/>
          <w:szCs w:val="21"/>
          <w:highlight w:val="none"/>
        </w:rPr>
        <w:t>福利性单位视同小型、微型企业，在满足价格扣除条件且在</w:t>
      </w:r>
      <w:r>
        <w:rPr>
          <w:rFonts w:hint="eastAsia" w:ascii="仿宋_GB2312" w:hAnsi="仿宋_GB2312" w:eastAsia="仿宋_GB2312" w:cs="仿宋_GB2312"/>
          <w:kern w:val="0"/>
          <w:szCs w:val="21"/>
          <w:highlight w:val="none"/>
        </w:rPr>
        <w:t>响应文件中提供了《残疾人福利性单位声明函》的，</w:t>
      </w:r>
      <w:r>
        <w:rPr>
          <w:rFonts w:hint="eastAsia" w:ascii="仿宋_GB2312" w:hAnsi="仿宋_GB2312" w:eastAsia="仿宋_GB2312" w:cs="仿宋_GB2312"/>
          <w:szCs w:val="21"/>
          <w:highlight w:val="none"/>
        </w:rPr>
        <w:t>对其最后报价按本章</w:t>
      </w:r>
      <w:r>
        <w:rPr>
          <w:rFonts w:hint="eastAsia" w:ascii="仿宋_GB2312" w:hAnsi="仿宋_GB2312" w:eastAsia="仿宋_GB2312" w:cs="仿宋_GB2312"/>
          <w:szCs w:val="21"/>
          <w:highlight w:val="none"/>
          <w:lang w:val="en-US" w:eastAsia="zh-CN"/>
        </w:rPr>
        <w:t>7</w:t>
      </w:r>
      <w:r>
        <w:rPr>
          <w:rFonts w:hint="eastAsia" w:ascii="仿宋_GB2312" w:hAnsi="仿宋_GB2312" w:eastAsia="仿宋_GB2312" w:cs="仿宋_GB2312"/>
          <w:szCs w:val="21"/>
          <w:highlight w:val="none"/>
        </w:rPr>
        <w:t>.1.1条款的比例予以扣除</w:t>
      </w:r>
      <w:r>
        <w:rPr>
          <w:rFonts w:hint="eastAsia" w:ascii="仿宋_GB2312" w:hAnsi="仿宋_GB2312" w:eastAsia="仿宋_GB2312" w:cs="仿宋_GB2312"/>
          <w:kern w:val="0"/>
          <w:szCs w:val="21"/>
          <w:highlight w:val="none"/>
        </w:rPr>
        <w:t>，用扣除后的价格参与评审</w:t>
      </w:r>
      <w:r>
        <w:rPr>
          <w:rFonts w:hint="eastAsia" w:ascii="仿宋_GB2312" w:hAnsi="仿宋_GB2312" w:eastAsia="仿宋_GB2312" w:cs="仿宋_GB2312"/>
          <w:kern w:val="0"/>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rPr>
          <w:rFonts w:hint="eastAsia"/>
          <w:highlight w:val="none"/>
          <w:lang w:val="en-US" w:eastAsia="zh-CN"/>
        </w:rPr>
      </w:pPr>
      <w:r>
        <w:rPr>
          <w:rFonts w:hint="eastAsia" w:ascii="仿宋_GB2312" w:hAnsi="仿宋_GB2312" w:eastAsia="仿宋_GB2312" w:cs="仿宋_GB2312"/>
          <w:b/>
          <w:szCs w:val="21"/>
          <w:highlight w:val="none"/>
        </w:rPr>
        <w:t>7.1.4残疾人福利性单位属于小型、微型企业的，不重复享受政策。</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7.2对于节能产品、环境标志产品的相关规定</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（1）采购人采购的服务</w:t>
      </w:r>
      <w:r>
        <w:rPr>
          <w:rFonts w:hint="eastAsia" w:ascii="仿宋_GB2312" w:hAnsi="仿宋_GB2312" w:eastAsia="仿宋_GB2312" w:cs="仿宋_GB2312"/>
          <w:szCs w:val="21"/>
          <w:highlight w:val="none"/>
        </w:rPr>
        <w:t>有伴随货物的，如伴随的货物</w:t>
      </w:r>
      <w:r>
        <w:rPr>
          <w:rFonts w:hint="eastAsia" w:ascii="仿宋_GB2312" w:hAnsi="仿宋_GB2312" w:eastAsia="仿宋_GB2312" w:cs="仿宋_GB2312"/>
          <w:bCs/>
          <w:szCs w:val="21"/>
          <w:highlight w:val="none"/>
        </w:rPr>
        <w:t>属于节能产品或环境标志产品，依据品目清单和认证证书实施政府优先采购。供应商应能够提供国家确定的认证机构出具的、处于有效期之内的节能产品、环境标志产品认证证书，方可对获得证书的产品优先推荐。</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评审时，对清单中产品给予相应的加分。（详见评分细则）</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（2）供应商应同时提供品目清单网络截图，并以明确标注所报产品信息和位置的方式，用以方便评审。</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（3）认证机构和获证产品信息发布媒体：详见中国政府采购网（www.ccgp.gov.cn）建立的与认证结果信息发布平台的链接。</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rPr>
          <w:rFonts w:hint="eastAsia"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7.3对于聘用建档立卡贫困人员物业公司的相关规定</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在满足价格扣除条件且在响应文件中按要求提交了《聘用建档立卡贫困人员物业公司声明函》的供应商，对最后报价给予价格扣除，用扣除后的价格参与评审。扣除比例为最后</w:t>
      </w:r>
      <w:r>
        <w:rPr>
          <w:rFonts w:hint="eastAsia" w:ascii="仿宋_GB2312" w:hAnsi="仿宋_GB2312" w:eastAsia="仿宋_GB2312" w:cs="仿宋_GB2312"/>
          <w:kern w:val="0"/>
          <w:szCs w:val="21"/>
          <w:highlight w:val="none"/>
        </w:rPr>
        <w:t>报价的</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7.4对于列入《辽宁省创新产品和服务目录》内的产品、服务的相关规定</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对列入《辽宁省创新产品和服务目录》内的响应产品、服务给予其最后报价</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（6-8%）的价格扣除，用扣除后的价格参与评审。</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8、响应无效</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详见供应商须知28条。</w:t>
      </w:r>
    </w:p>
    <w:p>
      <w:pPr>
        <w:keepNext w:val="0"/>
        <w:keepLines w:val="0"/>
        <w:pageBreakBefore w:val="0"/>
        <w:widowControl w:val="0"/>
        <w:kinsoku/>
        <w:wordWrap/>
        <w:overflowPunct/>
        <w:topLinePunct w:val="0"/>
        <w:autoSpaceDE/>
        <w:autoSpaceDN/>
        <w:bidi w:val="0"/>
        <w:adjustRightInd w:val="0"/>
        <w:snapToGrid w:val="0"/>
        <w:spacing w:line="360" w:lineRule="auto"/>
        <w:ind w:firstLine="413" w:firstLineChars="196"/>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9、推荐成交供应商的原则</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详见第一章供应商须知第31条，具体处理办法如下：</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得分相同的，按扣除后的最后报价由低到高顺序排序；</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按前款不能区分的，按最后报价由低至高顺序排序；</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按前款不能区分的，按技术指标优劣排序；</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其他情况，由磋商小组投票处理。</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rPr>
          <w:rFonts w:hint="eastAsia" w:ascii="仿宋_GB2312" w:hAnsi="仿宋_GB2312" w:eastAsia="仿宋_GB2312" w:cs="仿宋_GB2312"/>
          <w:b/>
          <w:kern w:val="0"/>
          <w:szCs w:val="21"/>
          <w:highlight w:val="none"/>
        </w:rPr>
      </w:pPr>
      <w:r>
        <w:rPr>
          <w:rFonts w:hint="eastAsia" w:ascii="仿宋_GB2312" w:hAnsi="仿宋_GB2312" w:eastAsia="仿宋_GB2312" w:cs="仿宋_GB2312"/>
          <w:b/>
          <w:szCs w:val="21"/>
          <w:highlight w:val="none"/>
        </w:rPr>
        <w:t>三、</w:t>
      </w:r>
      <w:r>
        <w:rPr>
          <w:rFonts w:hint="eastAsia" w:ascii="仿宋_GB2312" w:hAnsi="仿宋_GB2312" w:eastAsia="仿宋_GB2312" w:cs="仿宋_GB2312"/>
          <w:b/>
          <w:kern w:val="0"/>
          <w:szCs w:val="21"/>
          <w:highlight w:val="none"/>
        </w:rPr>
        <w:t>确定成交供应商</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磋商小组根据全体磋商小组成员签字的原始评审记录和评审结果编写评审报告，并向采购人提交书面评审报告。</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采购人按照评审报告确定的成交候选供应商名单按顺序确定成交供应商，或由采购人委托磋商小组按照第一章 供应商须知表33条中规定的方式确定成交供应商。</w:t>
      </w:r>
    </w:p>
    <w:p>
      <w:pPr>
        <w:widowControl/>
        <w:jc w:val="left"/>
        <w:rPr>
          <w:rFonts w:hint="eastAsia" w:ascii="仿宋_GB2312" w:hAnsi="仿宋_GB2312" w:eastAsia="仿宋_GB2312" w:cs="仿宋_GB2312"/>
          <w:b/>
          <w:sz w:val="28"/>
          <w:szCs w:val="28"/>
          <w:highlight w:val="none"/>
        </w:rPr>
      </w:pPr>
      <w:r>
        <w:rPr>
          <w:rFonts w:hint="eastAsia" w:ascii="仿宋_GB2312" w:hAnsi="仿宋_GB2312" w:eastAsia="仿宋_GB2312" w:cs="仿宋_GB2312"/>
          <w:sz w:val="28"/>
          <w:szCs w:val="28"/>
          <w:highlight w:val="none"/>
        </w:rPr>
        <w:br w:type="page"/>
      </w:r>
    </w:p>
    <w:p>
      <w:pPr>
        <w:pStyle w:val="2"/>
        <w:adjustRightInd w:val="0"/>
        <w:snapToGrid w:val="0"/>
        <w:spacing w:before="0" w:after="0" w:line="240" w:lineRule="auto"/>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附件1</w:t>
      </w:r>
    </w:p>
    <w:p>
      <w:pPr>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资格审查表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3808"/>
        <w:gridCol w:w="1929"/>
        <w:gridCol w:w="736"/>
        <w:gridCol w:w="736"/>
        <w:gridCol w:w="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532" w:type="dxa"/>
            <w:vMerge w:val="restart"/>
            <w:vAlign w:val="center"/>
          </w:tcPr>
          <w:p>
            <w:pPr>
              <w:rPr>
                <w:rFonts w:hint="eastAsia" w:ascii="仿宋_GB2312" w:hAnsi="仿宋_GB2312" w:eastAsia="仿宋_GB2312" w:cs="仿宋_GB2312"/>
                <w:highlight w:val="none"/>
              </w:rPr>
            </w:pPr>
            <w:bookmarkStart w:id="94" w:name="_Toc533340171"/>
            <w:bookmarkStart w:id="95" w:name="_Toc4485647"/>
            <w:bookmarkStart w:id="96" w:name="_Hlk79686442"/>
            <w:r>
              <w:rPr>
                <w:rFonts w:hint="eastAsia" w:ascii="仿宋_GB2312" w:hAnsi="仿宋_GB2312" w:eastAsia="仿宋_GB2312" w:cs="仿宋_GB2312"/>
                <w:highlight w:val="none"/>
              </w:rPr>
              <w:t>序号</w:t>
            </w:r>
          </w:p>
        </w:tc>
        <w:tc>
          <w:tcPr>
            <w:tcW w:w="3808" w:type="dxa"/>
            <w:vMerge w:val="restart"/>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审查项目</w:t>
            </w:r>
            <w:bookmarkEnd w:id="94"/>
            <w:bookmarkEnd w:id="95"/>
          </w:p>
        </w:tc>
        <w:tc>
          <w:tcPr>
            <w:tcW w:w="1929" w:type="dxa"/>
            <w:vMerge w:val="restart"/>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bookmarkStart w:id="97" w:name="_Toc533340172"/>
            <w:bookmarkStart w:id="98" w:name="_Toc4485648"/>
            <w:r>
              <w:rPr>
                <w:rFonts w:hint="eastAsia" w:ascii="仿宋_GB2312" w:hAnsi="仿宋_GB2312" w:eastAsia="仿宋_GB2312" w:cs="仿宋_GB2312"/>
                <w:b w:val="0"/>
                <w:sz w:val="21"/>
                <w:szCs w:val="21"/>
                <w:highlight w:val="none"/>
              </w:rPr>
              <w:t>审查标准</w:t>
            </w:r>
            <w:bookmarkEnd w:id="97"/>
            <w:bookmarkEnd w:id="98"/>
          </w:p>
        </w:tc>
        <w:tc>
          <w:tcPr>
            <w:tcW w:w="2209" w:type="dxa"/>
            <w:gridSpan w:val="3"/>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bookmarkStart w:id="99" w:name="_Toc533340173"/>
            <w:bookmarkStart w:id="100" w:name="_Toc4485649"/>
            <w:r>
              <w:rPr>
                <w:rFonts w:hint="eastAsia" w:ascii="仿宋_GB2312" w:hAnsi="仿宋_GB2312" w:eastAsia="仿宋_GB2312" w:cs="仿宋_GB2312"/>
                <w:b w:val="0"/>
                <w:sz w:val="21"/>
                <w:szCs w:val="21"/>
                <w:highlight w:val="none"/>
              </w:rPr>
              <w:t>供应商名称</w:t>
            </w:r>
            <w:bookmarkEnd w:id="99"/>
            <w:bookmarkEnd w:id="10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532" w:type="dxa"/>
            <w:vMerge w:val="continue"/>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3808" w:type="dxa"/>
            <w:vMerge w:val="continue"/>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1929" w:type="dxa"/>
            <w:vMerge w:val="continue"/>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532" w:type="dxa"/>
            <w:vAlign w:val="center"/>
          </w:tcPr>
          <w:p>
            <w:pPr>
              <w:snapToGrid w:val="0"/>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1</w:t>
            </w:r>
          </w:p>
        </w:tc>
        <w:tc>
          <w:tcPr>
            <w:tcW w:w="3808" w:type="dxa"/>
            <w:vAlign w:val="center"/>
          </w:tcPr>
          <w:p>
            <w:pPr>
              <w:snapToGrid w:val="0"/>
              <w:rPr>
                <w:rFonts w:hint="eastAsia" w:ascii="仿宋_GB2312" w:hAnsi="仿宋_GB2312" w:eastAsia="仿宋_GB2312" w:cs="仿宋_GB2312"/>
                <w:szCs w:val="21"/>
                <w:highlight w:val="none"/>
              </w:rPr>
            </w:pPr>
            <w:r>
              <w:rPr>
                <w:rFonts w:hint="eastAsia" w:ascii="仿宋_GB2312" w:hAnsi="仿宋_GB2312" w:eastAsia="仿宋_GB2312" w:cs="仿宋_GB2312"/>
                <w:highlight w:val="none"/>
              </w:rPr>
              <w:t>营业执照</w:t>
            </w:r>
          </w:p>
        </w:tc>
        <w:tc>
          <w:tcPr>
            <w:tcW w:w="1929" w:type="dxa"/>
            <w:vAlign w:val="center"/>
          </w:tcPr>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bookmarkStart w:id="101" w:name="_Toc533340174"/>
            <w:bookmarkStart w:id="102" w:name="_Toc4485650"/>
            <w:r>
              <w:rPr>
                <w:rFonts w:hint="eastAsia" w:ascii="仿宋_GB2312" w:hAnsi="仿宋_GB2312" w:eastAsia="仿宋_GB2312" w:cs="仿宋_GB2312"/>
                <w:b w:val="0"/>
                <w:sz w:val="21"/>
                <w:szCs w:val="21"/>
                <w:highlight w:val="none"/>
              </w:rPr>
              <w:t>1.按要求提供</w:t>
            </w:r>
            <w:bookmarkEnd w:id="101"/>
            <w:bookmarkEnd w:id="102"/>
          </w:p>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bookmarkStart w:id="103" w:name="_Toc533340175"/>
            <w:bookmarkStart w:id="104" w:name="_Toc4485651"/>
            <w:r>
              <w:rPr>
                <w:rFonts w:hint="eastAsia" w:ascii="仿宋_GB2312" w:hAnsi="仿宋_GB2312" w:eastAsia="仿宋_GB2312" w:cs="仿宋_GB2312"/>
                <w:b w:val="0"/>
                <w:sz w:val="21"/>
                <w:szCs w:val="21"/>
                <w:highlight w:val="none"/>
              </w:rPr>
              <w:t>2.合法有效</w:t>
            </w:r>
            <w:bookmarkEnd w:id="103"/>
            <w:bookmarkEnd w:id="104"/>
          </w:p>
        </w:tc>
        <w:tc>
          <w:tcPr>
            <w:tcW w:w="736" w:type="dxa"/>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532" w:type="dxa"/>
            <w:vAlign w:val="center"/>
          </w:tcPr>
          <w:p>
            <w:pPr>
              <w:widowControl/>
              <w:snapToGrid w:val="0"/>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2</w:t>
            </w:r>
          </w:p>
        </w:tc>
        <w:tc>
          <w:tcPr>
            <w:tcW w:w="3808" w:type="dxa"/>
            <w:vAlign w:val="center"/>
          </w:tcPr>
          <w:p>
            <w:pPr>
              <w:pStyle w:val="2"/>
              <w:adjustRightInd w:val="0"/>
              <w:snapToGrid w:val="0"/>
              <w:spacing w:before="0" w:after="0" w:line="240" w:lineRule="auto"/>
              <w:rPr>
                <w:rFonts w:hint="eastAsia" w:ascii="仿宋_GB2312" w:hAnsi="仿宋_GB2312" w:eastAsia="仿宋_GB2312" w:cs="仿宋_GB2312"/>
                <w:b w:val="0"/>
                <w:kern w:val="2"/>
                <w:sz w:val="21"/>
                <w:szCs w:val="21"/>
                <w:highlight w:val="none"/>
                <w:lang w:val="en-US" w:eastAsia="zh-CN" w:bidi="ar-SA"/>
              </w:rPr>
            </w:pPr>
            <w:r>
              <w:rPr>
                <w:rFonts w:hint="eastAsia" w:ascii="仿宋_GB2312" w:hAnsi="仿宋_GB2312" w:eastAsia="仿宋_GB2312" w:cs="仿宋_GB2312"/>
                <w:b w:val="0"/>
                <w:kern w:val="2"/>
                <w:sz w:val="21"/>
                <w:szCs w:val="21"/>
                <w:highlight w:val="none"/>
                <w:lang w:val="en-US" w:eastAsia="zh-CN" w:bidi="ar-SA"/>
              </w:rPr>
              <w:t>本项目专门面向中小企业采购，供应商应为中小微企业、监狱企业、残疾人福利性单位，应提供以下任意一种材料：（1）中小企业声明函（2）监狱企业证明文件（3）残疾人福利性单位声明函</w:t>
            </w:r>
          </w:p>
        </w:tc>
        <w:tc>
          <w:tcPr>
            <w:tcW w:w="1929" w:type="dxa"/>
            <w:vAlign w:val="center"/>
          </w:tcPr>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2.按给定格式填写</w:t>
            </w:r>
          </w:p>
          <w:p>
            <w:pPr>
              <w:pStyle w:val="2"/>
              <w:adjustRightInd w:val="0"/>
              <w:snapToGrid w:val="0"/>
              <w:spacing w:before="0" w:after="0" w:line="240" w:lineRule="auto"/>
              <w:rPr>
                <w:rFonts w:hint="eastAsia" w:ascii="仿宋_GB2312" w:hAnsi="仿宋_GB2312" w:eastAsia="仿宋_GB2312" w:cs="仿宋_GB2312"/>
                <w:b w:val="0"/>
                <w:kern w:val="2"/>
                <w:sz w:val="21"/>
                <w:szCs w:val="21"/>
                <w:highlight w:val="none"/>
                <w:lang w:val="en-US" w:eastAsia="zh-CN" w:bidi="ar-SA"/>
              </w:rPr>
            </w:pPr>
            <w:r>
              <w:rPr>
                <w:rFonts w:hint="eastAsia" w:ascii="仿宋_GB2312" w:hAnsi="仿宋_GB2312" w:eastAsia="仿宋_GB2312" w:cs="仿宋_GB2312"/>
                <w:b w:val="0"/>
                <w:sz w:val="21"/>
                <w:szCs w:val="21"/>
                <w:highlight w:val="none"/>
              </w:rPr>
              <w:t>3.按规定签章</w:t>
            </w: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532" w:type="dxa"/>
            <w:vAlign w:val="center"/>
          </w:tcPr>
          <w:p>
            <w:pPr>
              <w:widowControl/>
              <w:snapToGrid w:val="0"/>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3</w:t>
            </w:r>
          </w:p>
        </w:tc>
        <w:tc>
          <w:tcPr>
            <w:tcW w:w="3808" w:type="dxa"/>
            <w:vAlign w:val="center"/>
          </w:tcPr>
          <w:p>
            <w:pPr>
              <w:widowControl/>
              <w:snapToGrid w:val="0"/>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资质证书（符合磋商文件要求并年检有效的复印件）</w:t>
            </w:r>
          </w:p>
        </w:tc>
        <w:tc>
          <w:tcPr>
            <w:tcW w:w="1929" w:type="dxa"/>
            <w:vAlign w:val="center"/>
          </w:tcPr>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pPr>
              <w:pStyle w:val="2"/>
              <w:adjustRightInd w:val="0"/>
              <w:snapToGrid w:val="0"/>
              <w:spacing w:before="0" w:after="0" w:line="240" w:lineRule="auto"/>
              <w:rPr>
                <w:rFonts w:hint="eastAsia" w:ascii="仿宋_GB2312" w:hAnsi="仿宋_GB2312" w:eastAsia="仿宋_GB2312" w:cs="仿宋_GB2312"/>
                <w:b w:val="0"/>
                <w:kern w:val="2"/>
                <w:sz w:val="21"/>
                <w:szCs w:val="21"/>
                <w:highlight w:val="none"/>
                <w:lang w:val="en-US" w:eastAsia="zh-CN" w:bidi="ar-SA"/>
              </w:rPr>
            </w:pPr>
            <w:r>
              <w:rPr>
                <w:rFonts w:hint="eastAsia" w:ascii="仿宋_GB2312" w:hAnsi="仿宋_GB2312" w:eastAsia="仿宋_GB2312" w:cs="仿宋_GB2312"/>
                <w:b w:val="0"/>
                <w:sz w:val="21"/>
                <w:szCs w:val="21"/>
                <w:highlight w:val="none"/>
              </w:rPr>
              <w:t>2.合法有效</w:t>
            </w: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532" w:type="dxa"/>
            <w:vAlign w:val="center"/>
          </w:tcPr>
          <w:p>
            <w:pPr>
              <w:widowControl/>
              <w:snapToGrid w:val="0"/>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4</w:t>
            </w:r>
          </w:p>
        </w:tc>
        <w:tc>
          <w:tcPr>
            <w:tcW w:w="3808" w:type="dxa"/>
            <w:vAlign w:val="center"/>
          </w:tcPr>
          <w:p>
            <w:pPr>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安全生产许可证（符合磋商文件要求并年检有效的复印件）</w:t>
            </w:r>
          </w:p>
        </w:tc>
        <w:tc>
          <w:tcPr>
            <w:tcW w:w="1929" w:type="dxa"/>
            <w:vAlign w:val="center"/>
          </w:tcPr>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pPr>
              <w:pStyle w:val="2"/>
              <w:adjustRightInd w:val="0"/>
              <w:snapToGrid w:val="0"/>
              <w:spacing w:before="0" w:after="0" w:line="240" w:lineRule="auto"/>
              <w:rPr>
                <w:rFonts w:hint="eastAsia" w:ascii="仿宋_GB2312" w:hAnsi="仿宋_GB2312" w:eastAsia="仿宋_GB2312" w:cs="仿宋_GB2312"/>
                <w:b w:val="0"/>
                <w:kern w:val="2"/>
                <w:sz w:val="21"/>
                <w:szCs w:val="21"/>
                <w:highlight w:val="none"/>
                <w:lang w:val="en-US" w:eastAsia="zh-CN" w:bidi="ar-SA"/>
              </w:rPr>
            </w:pPr>
            <w:r>
              <w:rPr>
                <w:rFonts w:hint="eastAsia" w:ascii="仿宋_GB2312" w:hAnsi="仿宋_GB2312" w:eastAsia="仿宋_GB2312" w:cs="仿宋_GB2312"/>
                <w:b w:val="0"/>
                <w:sz w:val="21"/>
                <w:szCs w:val="21"/>
                <w:highlight w:val="none"/>
              </w:rPr>
              <w:t>2.合法有效</w:t>
            </w: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532" w:type="dxa"/>
            <w:vAlign w:val="center"/>
          </w:tcPr>
          <w:p>
            <w:pPr>
              <w:widowControl/>
              <w:snapToGrid w:val="0"/>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5</w:t>
            </w:r>
          </w:p>
        </w:tc>
        <w:tc>
          <w:tcPr>
            <w:tcW w:w="3808" w:type="dxa"/>
            <w:vAlign w:val="center"/>
          </w:tcPr>
          <w:p>
            <w:pPr>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法定代表人（或非法人组织负责人）身份证明书</w:t>
            </w:r>
          </w:p>
        </w:tc>
        <w:tc>
          <w:tcPr>
            <w:tcW w:w="1929" w:type="dxa"/>
            <w:vAlign w:val="center"/>
          </w:tcPr>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pPr>
              <w:pStyle w:val="2"/>
              <w:adjustRightInd w:val="0"/>
              <w:snapToGrid w:val="0"/>
              <w:spacing w:before="0" w:after="0" w:line="240" w:lineRule="auto"/>
              <w:rPr>
                <w:rFonts w:hint="eastAsia" w:ascii="仿宋_GB2312" w:hAnsi="仿宋_GB2312" w:eastAsia="仿宋_GB2312" w:cs="仿宋_GB2312"/>
                <w:b w:val="0"/>
                <w:kern w:val="2"/>
                <w:sz w:val="21"/>
                <w:szCs w:val="21"/>
                <w:highlight w:val="none"/>
                <w:lang w:val="en-US" w:eastAsia="zh-CN" w:bidi="ar-SA"/>
              </w:rPr>
            </w:pPr>
            <w:r>
              <w:rPr>
                <w:rFonts w:hint="eastAsia" w:ascii="仿宋_GB2312" w:hAnsi="仿宋_GB2312" w:eastAsia="仿宋_GB2312" w:cs="仿宋_GB2312"/>
                <w:b w:val="0"/>
                <w:sz w:val="21"/>
                <w:szCs w:val="21"/>
                <w:highlight w:val="none"/>
              </w:rPr>
              <w:t>2.按规定签章</w:t>
            </w: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532" w:type="dxa"/>
            <w:vAlign w:val="center"/>
          </w:tcPr>
          <w:p>
            <w:pPr>
              <w:widowControl/>
              <w:snapToGrid w:val="0"/>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6</w:t>
            </w:r>
          </w:p>
        </w:tc>
        <w:tc>
          <w:tcPr>
            <w:tcW w:w="3808" w:type="dxa"/>
            <w:vAlign w:val="center"/>
          </w:tcPr>
          <w:p>
            <w:pPr>
              <w:widowControl/>
              <w:snapToGrid w:val="0"/>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highlight w:val="none"/>
              </w:rPr>
              <w:t>法定代表人（或非法人组织</w:t>
            </w:r>
            <w:r>
              <w:rPr>
                <w:rFonts w:hint="eastAsia" w:ascii="仿宋_GB2312" w:hAnsi="仿宋_GB2312" w:eastAsia="仿宋_GB2312" w:cs="仿宋_GB2312"/>
                <w:szCs w:val="21"/>
                <w:highlight w:val="none"/>
              </w:rPr>
              <w:t>负责人）</w:t>
            </w:r>
            <w:r>
              <w:rPr>
                <w:rFonts w:hint="eastAsia" w:ascii="仿宋_GB2312" w:hAnsi="仿宋_GB2312" w:eastAsia="仿宋_GB2312" w:cs="仿宋_GB2312"/>
                <w:highlight w:val="none"/>
              </w:rPr>
              <w:t>授权委托书</w:t>
            </w:r>
            <w:r>
              <w:rPr>
                <w:rFonts w:hint="eastAsia" w:ascii="仿宋_GB2312" w:hAnsi="仿宋_GB2312" w:eastAsia="仿宋_GB2312" w:cs="仿宋_GB2312"/>
                <w:szCs w:val="21"/>
                <w:highlight w:val="none"/>
              </w:rPr>
              <w:t>（如适用）</w:t>
            </w:r>
          </w:p>
        </w:tc>
        <w:tc>
          <w:tcPr>
            <w:tcW w:w="1929" w:type="dxa"/>
            <w:vAlign w:val="center"/>
          </w:tcPr>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pPr>
              <w:pStyle w:val="2"/>
              <w:adjustRightInd w:val="0"/>
              <w:snapToGrid w:val="0"/>
              <w:spacing w:before="0" w:after="0" w:line="240" w:lineRule="auto"/>
              <w:rPr>
                <w:rFonts w:hint="eastAsia" w:ascii="仿宋_GB2312" w:hAnsi="仿宋_GB2312" w:eastAsia="仿宋_GB2312" w:cs="仿宋_GB2312"/>
                <w:b w:val="0"/>
                <w:kern w:val="2"/>
                <w:sz w:val="21"/>
                <w:szCs w:val="21"/>
                <w:highlight w:val="none"/>
                <w:lang w:val="en-US" w:eastAsia="zh-CN" w:bidi="ar-SA"/>
              </w:rPr>
            </w:pPr>
            <w:r>
              <w:rPr>
                <w:rFonts w:hint="eastAsia" w:ascii="仿宋_GB2312" w:hAnsi="仿宋_GB2312" w:eastAsia="仿宋_GB2312" w:cs="仿宋_GB2312"/>
                <w:b w:val="0"/>
                <w:sz w:val="21"/>
                <w:szCs w:val="21"/>
                <w:highlight w:val="none"/>
              </w:rPr>
              <w:t>2.按规定签章</w:t>
            </w: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532" w:type="dxa"/>
            <w:vAlign w:val="center"/>
          </w:tcPr>
          <w:p>
            <w:pPr>
              <w:widowControl/>
              <w:snapToGrid w:val="0"/>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7</w:t>
            </w:r>
          </w:p>
        </w:tc>
        <w:tc>
          <w:tcPr>
            <w:tcW w:w="3808" w:type="dxa"/>
            <w:vAlign w:val="center"/>
          </w:tcPr>
          <w:p>
            <w:pPr>
              <w:widowControl/>
              <w:snapToGrid w:val="0"/>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拟投入本工程项目经理需具有</w:t>
            </w:r>
            <w:r>
              <w:rPr>
                <w:rFonts w:hint="eastAsia" w:ascii="仿宋_GB2312" w:hAnsi="仿宋_GB2312" w:eastAsia="仿宋_GB2312" w:cs="仿宋_GB2312"/>
                <w:szCs w:val="21"/>
                <w:highlight w:val="none"/>
                <w:lang w:val="en-US" w:eastAsia="zh-CN"/>
              </w:rPr>
              <w:t>建筑工程</w:t>
            </w:r>
            <w:r>
              <w:rPr>
                <w:rFonts w:hint="eastAsia" w:ascii="仿宋_GB2312" w:hAnsi="仿宋_GB2312" w:eastAsia="仿宋_GB2312" w:cs="仿宋_GB2312"/>
                <w:szCs w:val="21"/>
                <w:highlight w:val="none"/>
              </w:rPr>
              <w:t>专业注册二级建造师及以上执业资格、项目负责人安全生产考核（B类）合格证书</w:t>
            </w:r>
          </w:p>
        </w:tc>
        <w:tc>
          <w:tcPr>
            <w:tcW w:w="1929" w:type="dxa"/>
            <w:vAlign w:val="center"/>
          </w:tcPr>
          <w:p>
            <w:pPr>
              <w:widowControl/>
              <w:snapToGrid w:val="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1.按要求提供</w:t>
            </w:r>
          </w:p>
          <w:p>
            <w:pPr>
              <w:widowControl/>
              <w:snapToGrid w:val="0"/>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2.合法有效</w:t>
            </w: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532" w:type="dxa"/>
            <w:vAlign w:val="center"/>
          </w:tcPr>
          <w:p>
            <w:pPr>
              <w:widowControl/>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8</w:t>
            </w:r>
          </w:p>
        </w:tc>
        <w:tc>
          <w:tcPr>
            <w:tcW w:w="3808" w:type="dxa"/>
            <w:vAlign w:val="center"/>
          </w:tcPr>
          <w:p>
            <w:pPr>
              <w:widowControl/>
              <w:adjustRightInd w:val="0"/>
              <w:snapToGrid w:val="0"/>
              <w:jc w:val="left"/>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szCs w:val="21"/>
                <w:highlight w:val="none"/>
              </w:rPr>
              <w:t>具有良好的商业信誉和健全的财务会计制度的承诺函</w:t>
            </w:r>
          </w:p>
        </w:tc>
        <w:tc>
          <w:tcPr>
            <w:tcW w:w="1929" w:type="dxa"/>
            <w:vAlign w:val="center"/>
          </w:tcPr>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1.信息完整</w:t>
            </w:r>
          </w:p>
          <w:p>
            <w:pPr>
              <w:pStyle w:val="2"/>
              <w:adjustRightInd w:val="0"/>
              <w:snapToGrid w:val="0"/>
              <w:spacing w:before="0" w:after="0" w:line="240" w:lineRule="auto"/>
              <w:rPr>
                <w:rFonts w:hint="eastAsia" w:ascii="仿宋_GB2312" w:hAnsi="仿宋_GB2312" w:eastAsia="仿宋_GB2312" w:cs="仿宋_GB2312"/>
                <w:b w:val="0"/>
                <w:kern w:val="2"/>
                <w:sz w:val="21"/>
                <w:szCs w:val="21"/>
                <w:highlight w:val="none"/>
                <w:lang w:val="en-US" w:eastAsia="zh-CN" w:bidi="ar-SA"/>
              </w:rPr>
            </w:pPr>
            <w:r>
              <w:rPr>
                <w:rFonts w:hint="eastAsia" w:ascii="仿宋_GB2312" w:hAnsi="仿宋_GB2312" w:eastAsia="仿宋_GB2312" w:cs="仿宋_GB2312"/>
                <w:b w:val="0"/>
                <w:sz w:val="21"/>
                <w:szCs w:val="21"/>
                <w:highlight w:val="none"/>
              </w:rPr>
              <w:t>2.按规定签章</w:t>
            </w: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532" w:type="dxa"/>
            <w:vAlign w:val="center"/>
          </w:tcPr>
          <w:p>
            <w:pPr>
              <w:widowControl/>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9</w:t>
            </w:r>
          </w:p>
        </w:tc>
        <w:tc>
          <w:tcPr>
            <w:tcW w:w="3808" w:type="dxa"/>
            <w:vAlign w:val="center"/>
          </w:tcPr>
          <w:p>
            <w:pPr>
              <w:widowControl/>
              <w:adjustRightInd w:val="0"/>
              <w:snapToGrid w:val="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highlight w:val="none"/>
              </w:rPr>
              <w:t>磋商会议前六个月内任一个月的依法缴纳税收的缴款凭据</w:t>
            </w:r>
          </w:p>
        </w:tc>
        <w:tc>
          <w:tcPr>
            <w:tcW w:w="1929" w:type="dxa"/>
            <w:vAlign w:val="center"/>
          </w:tcPr>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pPr>
              <w:pStyle w:val="2"/>
              <w:adjustRightInd w:val="0"/>
              <w:snapToGrid w:val="0"/>
              <w:spacing w:before="0" w:after="0" w:line="240" w:lineRule="auto"/>
              <w:rPr>
                <w:rFonts w:hint="eastAsia" w:ascii="仿宋_GB2312" w:hAnsi="仿宋_GB2312" w:eastAsia="仿宋_GB2312" w:cs="仿宋_GB2312"/>
                <w:b w:val="0"/>
                <w:kern w:val="2"/>
                <w:sz w:val="21"/>
                <w:szCs w:val="21"/>
                <w:highlight w:val="none"/>
                <w:lang w:val="en-US" w:eastAsia="zh-CN" w:bidi="ar-SA"/>
              </w:rPr>
            </w:pPr>
            <w:r>
              <w:rPr>
                <w:rFonts w:hint="eastAsia" w:ascii="仿宋_GB2312" w:hAnsi="仿宋_GB2312" w:eastAsia="仿宋_GB2312" w:cs="仿宋_GB2312"/>
                <w:b w:val="0"/>
                <w:sz w:val="21"/>
                <w:szCs w:val="21"/>
                <w:highlight w:val="none"/>
              </w:rPr>
              <w:t>2.合法有效</w:t>
            </w: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532" w:type="dxa"/>
            <w:vAlign w:val="center"/>
          </w:tcPr>
          <w:p>
            <w:pPr>
              <w:widowControl/>
              <w:snapToGrid w:val="0"/>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10</w:t>
            </w:r>
          </w:p>
        </w:tc>
        <w:tc>
          <w:tcPr>
            <w:tcW w:w="3808" w:type="dxa"/>
            <w:vAlign w:val="center"/>
          </w:tcPr>
          <w:p>
            <w:pPr>
              <w:snapToGrid w:val="0"/>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highlight w:val="none"/>
              </w:rPr>
              <w:t>磋商会议前六个月内任一个月的依法缴纳社会保障资金的缴款凭据</w:t>
            </w:r>
          </w:p>
        </w:tc>
        <w:tc>
          <w:tcPr>
            <w:tcW w:w="1929" w:type="dxa"/>
            <w:vAlign w:val="center"/>
          </w:tcPr>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pPr>
              <w:pStyle w:val="2"/>
              <w:adjustRightInd w:val="0"/>
              <w:snapToGrid w:val="0"/>
              <w:spacing w:before="0" w:after="0" w:line="240" w:lineRule="auto"/>
              <w:rPr>
                <w:rFonts w:hint="eastAsia" w:ascii="仿宋_GB2312" w:hAnsi="仿宋_GB2312" w:eastAsia="仿宋_GB2312" w:cs="仿宋_GB2312"/>
                <w:b w:val="0"/>
                <w:kern w:val="2"/>
                <w:sz w:val="21"/>
                <w:szCs w:val="21"/>
                <w:highlight w:val="none"/>
                <w:lang w:val="en-US" w:eastAsia="zh-CN" w:bidi="ar-SA"/>
              </w:rPr>
            </w:pPr>
            <w:r>
              <w:rPr>
                <w:rFonts w:hint="eastAsia" w:ascii="仿宋_GB2312" w:hAnsi="仿宋_GB2312" w:eastAsia="仿宋_GB2312" w:cs="仿宋_GB2312"/>
                <w:b w:val="0"/>
                <w:sz w:val="21"/>
                <w:szCs w:val="21"/>
                <w:highlight w:val="none"/>
              </w:rPr>
              <w:t>2.合法有效</w:t>
            </w: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532" w:type="dxa"/>
            <w:vAlign w:val="center"/>
          </w:tcPr>
          <w:p>
            <w:pPr>
              <w:widowControl/>
              <w:snapToGrid w:val="0"/>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11</w:t>
            </w:r>
          </w:p>
        </w:tc>
        <w:tc>
          <w:tcPr>
            <w:tcW w:w="3808" w:type="dxa"/>
            <w:vAlign w:val="center"/>
          </w:tcPr>
          <w:p>
            <w:pPr>
              <w:snapToGrid w:val="0"/>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参加政府采购活动前3年内在经营活动中没有重大违法记录的书面声明</w:t>
            </w:r>
          </w:p>
        </w:tc>
        <w:tc>
          <w:tcPr>
            <w:tcW w:w="1929" w:type="dxa"/>
            <w:vAlign w:val="center"/>
          </w:tcPr>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pPr>
              <w:pStyle w:val="2"/>
              <w:adjustRightInd w:val="0"/>
              <w:snapToGrid w:val="0"/>
              <w:spacing w:before="0" w:after="0" w:line="240" w:lineRule="auto"/>
              <w:rPr>
                <w:rFonts w:hint="eastAsia" w:ascii="仿宋_GB2312" w:hAnsi="仿宋_GB2312" w:eastAsia="仿宋_GB2312" w:cs="仿宋_GB2312"/>
                <w:b w:val="0"/>
                <w:kern w:val="2"/>
                <w:sz w:val="21"/>
                <w:szCs w:val="21"/>
                <w:highlight w:val="none"/>
                <w:lang w:val="en-US" w:eastAsia="zh-CN" w:bidi="ar-SA"/>
              </w:rPr>
            </w:pPr>
            <w:r>
              <w:rPr>
                <w:rFonts w:hint="eastAsia" w:ascii="仿宋_GB2312" w:hAnsi="仿宋_GB2312" w:eastAsia="仿宋_GB2312" w:cs="仿宋_GB2312"/>
                <w:b w:val="0"/>
                <w:sz w:val="21"/>
                <w:szCs w:val="21"/>
                <w:highlight w:val="none"/>
              </w:rPr>
              <w:t>2.按规定签章</w:t>
            </w: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532" w:type="dxa"/>
            <w:vAlign w:val="center"/>
          </w:tcPr>
          <w:p>
            <w:pPr>
              <w:snapToGrid w:val="0"/>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12</w:t>
            </w:r>
          </w:p>
        </w:tc>
        <w:tc>
          <w:tcPr>
            <w:tcW w:w="3808" w:type="dxa"/>
            <w:vAlign w:val="center"/>
          </w:tcPr>
          <w:p>
            <w:pPr>
              <w:snapToGrid w:val="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szCs w:val="21"/>
                <w:highlight w:val="none"/>
              </w:rPr>
              <w:t>信用记录（供应商“信用中国”、“中国政府采购网”网站信用信息查询记录网上打印证明材料）</w:t>
            </w:r>
          </w:p>
        </w:tc>
        <w:tc>
          <w:tcPr>
            <w:tcW w:w="1929" w:type="dxa"/>
            <w:vAlign w:val="center"/>
          </w:tcPr>
          <w:p>
            <w:pPr>
              <w:pStyle w:val="2"/>
              <w:adjustRightInd w:val="0"/>
              <w:snapToGrid w:val="0"/>
              <w:spacing w:before="0" w:after="0" w:line="240" w:lineRule="auto"/>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无供应商须知</w:t>
            </w:r>
          </w:p>
          <w:p>
            <w:pPr>
              <w:pStyle w:val="2"/>
              <w:adjustRightInd w:val="0"/>
              <w:snapToGrid w:val="0"/>
              <w:spacing w:before="0" w:after="0" w:line="240" w:lineRule="auto"/>
              <w:rPr>
                <w:rFonts w:hint="eastAsia" w:ascii="仿宋_GB2312" w:hAnsi="仿宋_GB2312" w:eastAsia="仿宋_GB2312" w:cs="仿宋_GB2312"/>
                <w:b w:val="0"/>
                <w:kern w:val="2"/>
                <w:sz w:val="21"/>
                <w:szCs w:val="21"/>
                <w:highlight w:val="none"/>
                <w:lang w:val="en-US" w:eastAsia="zh-CN" w:bidi="ar-SA"/>
              </w:rPr>
            </w:pPr>
            <w:r>
              <w:rPr>
                <w:rFonts w:hint="eastAsia" w:ascii="仿宋_GB2312" w:hAnsi="仿宋_GB2312" w:eastAsia="仿宋_GB2312" w:cs="仿宋_GB2312"/>
                <w:b w:val="0"/>
                <w:sz w:val="21"/>
                <w:szCs w:val="21"/>
                <w:highlight w:val="none"/>
              </w:rPr>
              <w:t>22.3.1所述的不良记录</w:t>
            </w: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6"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737" w:type="dxa"/>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6269" w:type="dxa"/>
            <w:gridSpan w:val="3"/>
            <w:vAlign w:val="center"/>
          </w:tcPr>
          <w:p>
            <w:pPr>
              <w:pStyle w:val="2"/>
              <w:adjustRightInd w:val="0"/>
              <w:snapToGrid w:val="0"/>
              <w:spacing w:before="0" w:after="0" w:line="240" w:lineRule="auto"/>
              <w:jc w:val="center"/>
              <w:rPr>
                <w:rFonts w:hint="eastAsia" w:ascii="仿宋_GB2312" w:hAnsi="仿宋_GB2312" w:eastAsia="仿宋_GB2312" w:cs="仿宋_GB2312"/>
                <w:b w:val="0"/>
                <w:bCs/>
                <w:sz w:val="21"/>
                <w:szCs w:val="21"/>
                <w:highlight w:val="none"/>
              </w:rPr>
            </w:pPr>
            <w:r>
              <w:rPr>
                <w:rFonts w:hint="eastAsia" w:ascii="仿宋_GB2312" w:hAnsi="仿宋_GB2312" w:eastAsia="仿宋_GB2312" w:cs="仿宋_GB2312"/>
                <w:b w:val="0"/>
                <w:bCs/>
                <w:sz w:val="21"/>
                <w:szCs w:val="21"/>
                <w:highlight w:val="none"/>
              </w:rPr>
              <w:t>结论</w:t>
            </w:r>
          </w:p>
        </w:tc>
        <w:tc>
          <w:tcPr>
            <w:tcW w:w="736" w:type="dxa"/>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736" w:type="dxa"/>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737" w:type="dxa"/>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r>
      <w:bookmarkEnd w:id="96"/>
    </w:tbl>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t>填表说明：1、每项内容审查合格，在表中填写“√”；不合格填写“×”</w:t>
      </w:r>
    </w:p>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          2、审查结论填写“通过”或“不通过”</w:t>
      </w:r>
    </w:p>
    <w:p>
      <w:pPr>
        <w:spacing w:line="36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审查人签字：</w:t>
      </w:r>
    </w:p>
    <w:p>
      <w:pPr>
        <w:spacing w:line="36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日      期：</w:t>
      </w:r>
    </w:p>
    <w:p>
      <w:pPr>
        <w:pStyle w:val="2"/>
        <w:adjustRightInd w:val="0"/>
        <w:snapToGrid w:val="0"/>
        <w:spacing w:before="0" w:after="0" w:line="240" w:lineRule="auto"/>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附件2               </w:t>
      </w:r>
    </w:p>
    <w:p>
      <w:pPr>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符合性审查表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211"/>
        <w:gridCol w:w="2980"/>
        <w:gridCol w:w="847"/>
        <w:gridCol w:w="848"/>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79" w:type="dxa"/>
            <w:vMerge w:val="restart"/>
            <w:vAlign w:val="center"/>
          </w:tcPr>
          <w:p>
            <w:pPr>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序号</w:t>
            </w:r>
          </w:p>
        </w:tc>
        <w:tc>
          <w:tcPr>
            <w:tcW w:w="2211" w:type="dxa"/>
            <w:vMerge w:val="restart"/>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审查项目</w:t>
            </w:r>
          </w:p>
        </w:tc>
        <w:tc>
          <w:tcPr>
            <w:tcW w:w="2980" w:type="dxa"/>
            <w:vMerge w:val="restart"/>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审查标准</w:t>
            </w:r>
          </w:p>
        </w:tc>
        <w:tc>
          <w:tcPr>
            <w:tcW w:w="2544" w:type="dxa"/>
            <w:gridSpan w:val="3"/>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b w:val="0"/>
                <w:bCs/>
                <w:sz w:val="21"/>
                <w:szCs w:val="21"/>
                <w:highlight w:val="none"/>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79" w:type="dxa"/>
            <w:vMerge w:val="continue"/>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2211" w:type="dxa"/>
            <w:vMerge w:val="continue"/>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2980" w:type="dxa"/>
            <w:vMerge w:val="continue"/>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p>
        </w:tc>
        <w:tc>
          <w:tcPr>
            <w:tcW w:w="847"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8"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9"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779" w:type="dxa"/>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p>
        </w:tc>
        <w:tc>
          <w:tcPr>
            <w:tcW w:w="2211" w:type="dxa"/>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响应函</w:t>
            </w:r>
          </w:p>
        </w:tc>
        <w:tc>
          <w:tcPr>
            <w:tcW w:w="2980" w:type="dxa"/>
            <w:vAlign w:val="center"/>
          </w:tcPr>
          <w:p>
            <w:pPr>
              <w:pStyle w:val="2"/>
              <w:adjustRightInd w:val="0"/>
              <w:snapToGrid w:val="0"/>
              <w:spacing w:before="0" w:after="0" w:line="240" w:lineRule="auto"/>
              <w:jc w:val="left"/>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pPr>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2.响应采购文件实质性要求</w:t>
            </w:r>
          </w:p>
          <w:p>
            <w:pPr>
              <w:pStyle w:val="2"/>
              <w:adjustRightInd w:val="0"/>
              <w:snapToGrid w:val="0"/>
              <w:spacing w:before="0" w:after="0" w:line="240" w:lineRule="auto"/>
              <w:jc w:val="left"/>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847"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8"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9"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79" w:type="dxa"/>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w:t>
            </w:r>
          </w:p>
        </w:tc>
        <w:tc>
          <w:tcPr>
            <w:tcW w:w="2211" w:type="dxa"/>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报价一览表</w:t>
            </w:r>
          </w:p>
        </w:tc>
        <w:tc>
          <w:tcPr>
            <w:tcW w:w="2980" w:type="dxa"/>
            <w:vAlign w:val="center"/>
          </w:tcPr>
          <w:p>
            <w:pPr>
              <w:pStyle w:val="2"/>
              <w:adjustRightInd w:val="0"/>
              <w:snapToGrid w:val="0"/>
              <w:spacing w:before="0" w:after="0" w:line="240" w:lineRule="auto"/>
              <w:jc w:val="left"/>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pPr>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2.响应采购文件实质性要求</w:t>
            </w:r>
          </w:p>
          <w:p>
            <w:pPr>
              <w:pStyle w:val="2"/>
              <w:adjustRightInd w:val="0"/>
              <w:snapToGrid w:val="0"/>
              <w:spacing w:before="0" w:after="0" w:line="240" w:lineRule="auto"/>
              <w:jc w:val="left"/>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847"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8"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9"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79" w:type="dxa"/>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w:t>
            </w:r>
          </w:p>
        </w:tc>
        <w:tc>
          <w:tcPr>
            <w:tcW w:w="2211" w:type="dxa"/>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已标价工程量清单</w:t>
            </w:r>
          </w:p>
        </w:tc>
        <w:tc>
          <w:tcPr>
            <w:tcW w:w="2980" w:type="dxa"/>
            <w:vAlign w:val="center"/>
          </w:tcPr>
          <w:p>
            <w:pPr>
              <w:pStyle w:val="2"/>
              <w:adjustRightInd w:val="0"/>
              <w:snapToGrid w:val="0"/>
              <w:spacing w:before="0" w:after="0" w:line="240" w:lineRule="auto"/>
              <w:jc w:val="left"/>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pPr>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2.响应采购文件实质性要求</w:t>
            </w:r>
          </w:p>
          <w:p>
            <w:pPr>
              <w:pStyle w:val="2"/>
              <w:adjustRightInd w:val="0"/>
              <w:snapToGrid w:val="0"/>
              <w:spacing w:before="0" w:after="0" w:line="240" w:lineRule="auto"/>
              <w:jc w:val="left"/>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847"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8"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9"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79" w:type="dxa"/>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w:t>
            </w:r>
          </w:p>
        </w:tc>
        <w:tc>
          <w:tcPr>
            <w:tcW w:w="2211" w:type="dxa"/>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供应商关联单位说明</w:t>
            </w:r>
          </w:p>
        </w:tc>
        <w:tc>
          <w:tcPr>
            <w:tcW w:w="2980" w:type="dxa"/>
            <w:vAlign w:val="center"/>
          </w:tcPr>
          <w:p>
            <w:pPr>
              <w:pStyle w:val="2"/>
              <w:adjustRightInd w:val="0"/>
              <w:snapToGrid w:val="0"/>
              <w:spacing w:before="0" w:after="0" w:line="240" w:lineRule="auto"/>
              <w:jc w:val="left"/>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无供应商须知1.5所述情形</w:t>
            </w:r>
          </w:p>
        </w:tc>
        <w:tc>
          <w:tcPr>
            <w:tcW w:w="847"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8"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9"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779" w:type="dxa"/>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w:t>
            </w:r>
          </w:p>
        </w:tc>
        <w:tc>
          <w:tcPr>
            <w:tcW w:w="2211" w:type="dxa"/>
            <w:vAlign w:val="center"/>
          </w:tcPr>
          <w:p>
            <w:pPr>
              <w:pStyle w:val="131"/>
              <w:spacing w:before="2" w:line="252" w:lineRule="exact"/>
              <w:jc w:val="center"/>
              <w:rPr>
                <w:rFonts w:hint="eastAsia" w:ascii="仿宋_GB2312" w:hAnsi="仿宋_GB2312" w:eastAsia="仿宋_GB2312" w:cs="仿宋_GB2312"/>
                <w:sz w:val="21"/>
                <w:szCs w:val="21"/>
                <w:highlight w:val="none"/>
                <w:lang w:eastAsia="zh-CN"/>
              </w:rPr>
            </w:pPr>
            <w:r>
              <w:rPr>
                <w:rFonts w:hint="eastAsia" w:ascii="仿宋_GB2312" w:hAnsi="仿宋_GB2312" w:eastAsia="仿宋_GB2312" w:cs="仿宋_GB2312"/>
                <w:sz w:val="21"/>
                <w:szCs w:val="21"/>
                <w:highlight w:val="none"/>
                <w:lang w:val="en-US" w:eastAsia="zh-CN"/>
              </w:rPr>
              <w:t>承诺函</w:t>
            </w:r>
          </w:p>
        </w:tc>
        <w:tc>
          <w:tcPr>
            <w:tcW w:w="2980" w:type="dxa"/>
            <w:vAlign w:val="center"/>
          </w:tcPr>
          <w:p>
            <w:pPr>
              <w:pStyle w:val="131"/>
              <w:spacing w:before="2" w:line="252" w:lineRule="exact"/>
              <w:rPr>
                <w:rFonts w:hint="eastAsia" w:ascii="仿宋_GB2312" w:hAnsi="仿宋_GB2312" w:eastAsia="仿宋_GB2312" w:cs="仿宋_GB2312"/>
                <w:sz w:val="21"/>
                <w:szCs w:val="21"/>
                <w:highlight w:val="none"/>
                <w:lang w:val="en-US"/>
              </w:rPr>
            </w:pPr>
            <w:r>
              <w:rPr>
                <w:rFonts w:hint="eastAsia" w:ascii="仿宋_GB2312" w:hAnsi="仿宋_GB2312" w:eastAsia="仿宋_GB2312" w:cs="仿宋_GB2312"/>
                <w:sz w:val="21"/>
                <w:szCs w:val="21"/>
                <w:highlight w:val="none"/>
                <w:lang w:val="en-US"/>
              </w:rPr>
              <w:t>1、按给定格式填写</w:t>
            </w:r>
          </w:p>
          <w:p>
            <w:pPr>
              <w:pStyle w:val="131"/>
              <w:spacing w:before="2" w:line="252" w:lineRule="exact"/>
              <w:rPr>
                <w:rFonts w:hint="eastAsia" w:ascii="仿宋_GB2312" w:hAnsi="仿宋_GB2312" w:eastAsia="仿宋_GB2312" w:cs="仿宋_GB2312"/>
                <w:sz w:val="21"/>
                <w:szCs w:val="21"/>
                <w:highlight w:val="none"/>
                <w:lang w:val="en-US"/>
              </w:rPr>
            </w:pPr>
            <w:r>
              <w:rPr>
                <w:rFonts w:hint="eastAsia" w:ascii="仿宋_GB2312" w:hAnsi="仿宋_GB2312" w:eastAsia="仿宋_GB2312" w:cs="仿宋_GB2312"/>
                <w:sz w:val="21"/>
                <w:szCs w:val="21"/>
                <w:highlight w:val="none"/>
                <w:lang w:val="en-US"/>
              </w:rPr>
              <w:t>2、响应采购文件实质性要求</w:t>
            </w:r>
          </w:p>
          <w:p>
            <w:pPr>
              <w:pStyle w:val="131"/>
              <w:spacing w:before="2" w:line="252"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lang w:val="en-US"/>
              </w:rPr>
              <w:t>3、按规定签章</w:t>
            </w:r>
          </w:p>
        </w:tc>
        <w:tc>
          <w:tcPr>
            <w:tcW w:w="847"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8"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9"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779" w:type="dxa"/>
            <w:vAlign w:val="center"/>
          </w:tcPr>
          <w:p>
            <w:pPr>
              <w:jc w:val="center"/>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6</w:t>
            </w:r>
          </w:p>
        </w:tc>
        <w:tc>
          <w:tcPr>
            <w:tcW w:w="2211" w:type="dxa"/>
            <w:vAlign w:val="center"/>
          </w:tcPr>
          <w:p>
            <w:pPr>
              <w:pStyle w:val="131"/>
              <w:spacing w:before="2" w:line="252" w:lineRule="exact"/>
              <w:ind w:left="107" w:leftChars="0"/>
              <w:jc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highlight w:val="none"/>
                <w:lang w:val="en-US"/>
              </w:rPr>
              <w:t>响应报价</w:t>
            </w:r>
          </w:p>
        </w:tc>
        <w:tc>
          <w:tcPr>
            <w:tcW w:w="2980" w:type="dxa"/>
            <w:vAlign w:val="center"/>
          </w:tcPr>
          <w:p>
            <w:pPr>
              <w:pStyle w:val="2"/>
              <w:adjustRightInd w:val="0"/>
              <w:snapToGrid w:val="0"/>
              <w:spacing w:before="0" w:after="0" w:line="240" w:lineRule="auto"/>
              <w:jc w:val="left"/>
              <w:rPr>
                <w:rFonts w:hint="eastAsia" w:ascii="仿宋_GB2312" w:hAnsi="仿宋_GB2312" w:eastAsia="仿宋_GB2312" w:cs="仿宋_GB2312"/>
                <w:b w:val="0"/>
                <w:sz w:val="21"/>
                <w:szCs w:val="21"/>
                <w:highlight w:val="none"/>
              </w:rPr>
            </w:pPr>
            <w:bookmarkStart w:id="105" w:name="_Toc4485693"/>
            <w:bookmarkStart w:id="106" w:name="_Toc533340219"/>
            <w:r>
              <w:rPr>
                <w:rFonts w:hint="eastAsia" w:ascii="仿宋_GB2312" w:hAnsi="仿宋_GB2312" w:eastAsia="仿宋_GB2312" w:cs="仿宋_GB2312"/>
                <w:b w:val="0"/>
                <w:sz w:val="21"/>
                <w:szCs w:val="21"/>
                <w:highlight w:val="none"/>
              </w:rPr>
              <w:t>1.响应采购文件实质性要求</w:t>
            </w:r>
            <w:bookmarkEnd w:id="105"/>
            <w:bookmarkEnd w:id="106"/>
            <w:r>
              <w:rPr>
                <w:rFonts w:hint="eastAsia" w:ascii="仿宋_GB2312" w:hAnsi="仿宋_GB2312" w:eastAsia="仿宋_GB2312" w:cs="仿宋_GB2312"/>
                <w:b w:val="0"/>
                <w:sz w:val="21"/>
                <w:szCs w:val="21"/>
                <w:highlight w:val="none"/>
              </w:rPr>
              <w:t>;</w:t>
            </w:r>
            <w:bookmarkStart w:id="107" w:name="_Toc533340220"/>
            <w:bookmarkStart w:id="108" w:name="_Toc4485694"/>
          </w:p>
          <w:p>
            <w:pPr>
              <w:pStyle w:val="131"/>
              <w:spacing w:before="2" w:line="252" w:lineRule="exact"/>
              <w:jc w:val="left"/>
              <w:rPr>
                <w:rFonts w:hint="eastAsia" w:ascii="仿宋_GB2312" w:hAnsi="仿宋_GB2312" w:eastAsia="仿宋_GB2312" w:cs="仿宋_GB2312"/>
                <w:sz w:val="21"/>
                <w:szCs w:val="21"/>
                <w:highlight w:val="none"/>
                <w:lang w:val="en-US"/>
              </w:rPr>
            </w:pPr>
            <w:r>
              <w:rPr>
                <w:rFonts w:hint="eastAsia" w:ascii="仿宋_GB2312" w:hAnsi="仿宋_GB2312" w:eastAsia="仿宋_GB2312" w:cs="仿宋_GB2312"/>
                <w:b w:val="0"/>
                <w:sz w:val="21"/>
                <w:szCs w:val="21"/>
                <w:highlight w:val="none"/>
              </w:rPr>
              <w:t>2.无供应商须知28.2条所述情形</w:t>
            </w:r>
            <w:bookmarkEnd w:id="107"/>
            <w:bookmarkEnd w:id="108"/>
          </w:p>
        </w:tc>
        <w:tc>
          <w:tcPr>
            <w:tcW w:w="847"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8"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9" w:type="dxa"/>
            <w:vAlign w:val="center"/>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5970" w:type="dxa"/>
            <w:gridSpan w:val="3"/>
            <w:vAlign w:val="center"/>
          </w:tcPr>
          <w:p>
            <w:pPr>
              <w:pStyle w:val="2"/>
              <w:adjustRightInd w:val="0"/>
              <w:snapToGrid w:val="0"/>
              <w:spacing w:before="0" w:after="0" w:line="240" w:lineRule="auto"/>
              <w:jc w:val="center"/>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bCs/>
                <w:sz w:val="21"/>
                <w:szCs w:val="21"/>
                <w:highlight w:val="none"/>
              </w:rPr>
              <w:t>结论</w:t>
            </w:r>
          </w:p>
        </w:tc>
        <w:tc>
          <w:tcPr>
            <w:tcW w:w="847" w:type="dxa"/>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8" w:type="dxa"/>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c>
          <w:tcPr>
            <w:tcW w:w="849" w:type="dxa"/>
          </w:tcPr>
          <w:p>
            <w:pPr>
              <w:pStyle w:val="2"/>
              <w:adjustRightInd w:val="0"/>
              <w:snapToGrid w:val="0"/>
              <w:spacing w:before="0" w:after="0" w:line="240" w:lineRule="auto"/>
              <w:jc w:val="center"/>
              <w:rPr>
                <w:rFonts w:hint="eastAsia" w:ascii="仿宋_GB2312" w:hAnsi="仿宋_GB2312" w:eastAsia="仿宋_GB2312" w:cs="仿宋_GB2312"/>
                <w:sz w:val="21"/>
                <w:szCs w:val="21"/>
                <w:highlight w:val="none"/>
              </w:rPr>
            </w:pPr>
          </w:p>
        </w:tc>
      </w:tr>
    </w:tbl>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t>填表说明：1、每项内容审查合格，在表中填写“√”；不合格填写“×”</w:t>
      </w:r>
    </w:p>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          2、审查结论填写“通过”或“不通过”</w:t>
      </w: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spacing w:line="36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审查人签字：</w:t>
      </w:r>
    </w:p>
    <w:p>
      <w:pPr>
        <w:spacing w:line="36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日      期：</w:t>
      </w:r>
    </w:p>
    <w:p>
      <w:pPr>
        <w:pStyle w:val="2"/>
        <w:adjustRightInd w:val="0"/>
        <w:snapToGrid w:val="0"/>
        <w:spacing w:before="0" w:after="0" w:line="240" w:lineRule="auto"/>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r>
        <w:rPr>
          <w:rFonts w:hint="eastAsia" w:ascii="仿宋_GB2312" w:hAnsi="仿宋_GB2312" w:eastAsia="仿宋_GB2312" w:cs="仿宋_GB2312"/>
          <w:sz w:val="28"/>
          <w:szCs w:val="28"/>
          <w:highlight w:val="none"/>
        </w:rPr>
        <w:t>附件3</w:t>
      </w:r>
    </w:p>
    <w:p>
      <w:pPr>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评分细则</w:t>
      </w:r>
    </w:p>
    <w:p>
      <w:pPr>
        <w:pStyle w:val="52"/>
        <w:numPr>
          <w:ilvl w:val="0"/>
          <w:numId w:val="4"/>
        </w:numPr>
        <w:ind w:firstLineChars="0"/>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基本评分标准</w:t>
      </w:r>
    </w:p>
    <w:tbl>
      <w:tblPr>
        <w:tblStyle w:val="25"/>
        <w:tblpPr w:leftFromText="180" w:rightFromText="180" w:vertAnchor="text" w:horzAnchor="margin" w:tblpXSpec="center" w:tblpY="10"/>
        <w:tblW w:w="85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121"/>
        <w:gridCol w:w="5519"/>
        <w:gridCol w:w="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088"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包号</w:t>
            </w:r>
          </w:p>
        </w:tc>
        <w:tc>
          <w:tcPr>
            <w:tcW w:w="7481" w:type="dxa"/>
            <w:gridSpan w:val="3"/>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lang w:val="en-US" w:eastAsia="zh-CN"/>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088"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项目</w:t>
            </w:r>
          </w:p>
        </w:tc>
        <w:tc>
          <w:tcPr>
            <w:tcW w:w="1121"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分项名称</w:t>
            </w:r>
          </w:p>
        </w:tc>
        <w:tc>
          <w:tcPr>
            <w:tcW w:w="5519"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评分标准</w:t>
            </w:r>
          </w:p>
        </w:tc>
        <w:tc>
          <w:tcPr>
            <w:tcW w:w="841"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088"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商务部分</w:t>
            </w:r>
          </w:p>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（40分）</w:t>
            </w:r>
          </w:p>
        </w:tc>
        <w:tc>
          <w:tcPr>
            <w:tcW w:w="112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最后报价</w:t>
            </w:r>
          </w:p>
        </w:tc>
        <w:tc>
          <w:tcPr>
            <w:tcW w:w="5519"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磋商报价分统一采用低价优先法计算，即满足磋商采购文件要求且最后报价最低的供应商的价格为磋商基准价,其价格分为满分。其余供应商磋商报价得分：</w:t>
            </w:r>
          </w:p>
          <w:p>
            <w:pPr>
              <w:autoSpaceDE w:val="0"/>
              <w:autoSpaceDN w:val="0"/>
              <w:adjustRightInd w:val="0"/>
              <w:spacing w:line="240" w:lineRule="exact"/>
              <w:ind w:left="1501" w:leftChars="213" w:hanging="1054" w:hangingChars="500"/>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磋商报价得分=（磋商基准价/最后磋商报价）×40</w:t>
            </w:r>
          </w:p>
        </w:tc>
        <w:tc>
          <w:tcPr>
            <w:tcW w:w="84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088" w:type="dxa"/>
            <w:vMerge w:val="restart"/>
            <w:tcBorders>
              <w:top w:val="single" w:color="auto" w:sz="4" w:space="0"/>
              <w:left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lang w:val="en-US" w:eastAsia="zh-CN"/>
              </w:rPr>
            </w:pPr>
            <w:r>
              <w:rPr>
                <w:rFonts w:hint="eastAsia" w:ascii="仿宋_GB2312" w:hAnsi="仿宋_GB2312" w:eastAsia="仿宋_GB2312" w:cs="仿宋_GB2312"/>
                <w:kern w:val="2"/>
                <w:sz w:val="21"/>
                <w:szCs w:val="21"/>
                <w:highlight w:val="none"/>
                <w:lang w:val="en-US" w:eastAsia="zh-CN"/>
              </w:rPr>
              <w:t>技术部分（56分）</w:t>
            </w:r>
          </w:p>
        </w:tc>
        <w:tc>
          <w:tcPr>
            <w:tcW w:w="1121" w:type="dxa"/>
            <w:tcBorders>
              <w:top w:val="single" w:color="auto" w:sz="4" w:space="0"/>
              <w:left w:val="single" w:color="auto" w:sz="4" w:space="0"/>
              <w:right w:val="single" w:color="auto" w:sz="4" w:space="0"/>
            </w:tcBorders>
            <w:vAlign w:val="center"/>
          </w:tcPr>
          <w:p>
            <w:pPr>
              <w:autoSpaceDE w:val="0"/>
              <w:autoSpaceDN w:val="0"/>
              <w:adjustRightInd w:val="0"/>
              <w:spacing w:line="24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施工方案与技术措施</w:t>
            </w:r>
          </w:p>
        </w:tc>
        <w:tc>
          <w:tcPr>
            <w:tcW w:w="55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exact"/>
              <w:ind w:firstLine="420" w:firstLineChars="200"/>
              <w:jc w:val="left"/>
              <w:rPr>
                <w:rFonts w:hint="default" w:ascii="仿宋_GB2312" w:hAnsi="仿宋_GB2312" w:eastAsia="仿宋_GB2312" w:cs="仿宋_GB2312"/>
                <w:szCs w:val="21"/>
                <w:highlight w:val="none"/>
                <w:lang w:val="en-US" w:eastAsia="zh-CN"/>
              </w:rPr>
            </w:pPr>
            <w:r>
              <w:rPr>
                <w:rFonts w:hint="default" w:ascii="仿宋_GB2312" w:hAnsi="仿宋_GB2312" w:eastAsia="仿宋_GB2312" w:cs="仿宋_GB2312"/>
                <w:szCs w:val="21"/>
                <w:highlight w:val="none"/>
                <w:lang w:val="en-US" w:eastAsia="zh-CN"/>
              </w:rPr>
              <w:t>施工方案</w:t>
            </w:r>
            <w:r>
              <w:rPr>
                <w:rFonts w:hint="eastAsia" w:ascii="仿宋_GB2312" w:hAnsi="仿宋_GB2312" w:eastAsia="仿宋_GB2312" w:cs="仿宋_GB2312"/>
                <w:szCs w:val="21"/>
                <w:highlight w:val="none"/>
                <w:lang w:val="en-US" w:eastAsia="zh-CN"/>
              </w:rPr>
              <w:t>内容</w:t>
            </w:r>
            <w:r>
              <w:rPr>
                <w:rFonts w:hint="default" w:ascii="仿宋_GB2312" w:hAnsi="仿宋_GB2312" w:eastAsia="仿宋_GB2312" w:cs="仿宋_GB2312"/>
                <w:szCs w:val="21"/>
                <w:highlight w:val="none"/>
                <w:lang w:val="en-US" w:eastAsia="zh-CN"/>
              </w:rPr>
              <w:t>针对性、可行性强，施工技术方案及关键技术、工艺把握准确，应用到位、阐释清晰，解决方案科学、系统、安全、经济，可操作性强；技术保障措施得力并有针对性和可操作性，得8分；</w:t>
            </w:r>
          </w:p>
          <w:p>
            <w:pPr>
              <w:autoSpaceDE w:val="0"/>
              <w:autoSpaceDN w:val="0"/>
              <w:adjustRightInd w:val="0"/>
              <w:spacing w:line="240" w:lineRule="exact"/>
              <w:ind w:firstLine="420" w:firstLineChars="200"/>
              <w:jc w:val="left"/>
              <w:rPr>
                <w:rFonts w:hint="default" w:ascii="仿宋_GB2312" w:hAnsi="仿宋_GB2312" w:eastAsia="仿宋_GB2312" w:cs="仿宋_GB2312"/>
                <w:szCs w:val="21"/>
                <w:highlight w:val="none"/>
                <w:lang w:val="en-US" w:eastAsia="zh-CN"/>
              </w:rPr>
            </w:pPr>
            <w:r>
              <w:rPr>
                <w:rFonts w:hint="default" w:ascii="仿宋_GB2312" w:hAnsi="仿宋_GB2312" w:eastAsia="仿宋_GB2312" w:cs="仿宋_GB2312"/>
                <w:szCs w:val="21"/>
                <w:highlight w:val="none"/>
                <w:lang w:val="en-US" w:eastAsia="zh-CN"/>
              </w:rPr>
              <w:t>施工方案</w:t>
            </w:r>
            <w:r>
              <w:rPr>
                <w:rFonts w:hint="eastAsia" w:ascii="仿宋_GB2312" w:hAnsi="仿宋_GB2312" w:eastAsia="仿宋_GB2312" w:cs="仿宋_GB2312"/>
                <w:szCs w:val="21"/>
                <w:highlight w:val="none"/>
                <w:lang w:val="en-US" w:eastAsia="zh-CN"/>
              </w:rPr>
              <w:t>内容</w:t>
            </w:r>
            <w:r>
              <w:rPr>
                <w:rFonts w:hint="default" w:ascii="仿宋_GB2312" w:hAnsi="仿宋_GB2312" w:eastAsia="仿宋_GB2312" w:cs="仿宋_GB2312"/>
                <w:szCs w:val="21"/>
                <w:highlight w:val="none"/>
                <w:lang w:val="en-US" w:eastAsia="zh-CN"/>
              </w:rPr>
              <w:t>针对性、可行性较强，施工技术方案及关键技术、工艺把握较准确，应用较到位、阐释较清晰，解决方案比较科学、系统、安全、经济，可操作性较强，得6分；</w:t>
            </w:r>
          </w:p>
          <w:p>
            <w:pPr>
              <w:autoSpaceDE w:val="0"/>
              <w:autoSpaceDN w:val="0"/>
              <w:adjustRightInd w:val="0"/>
              <w:spacing w:line="240" w:lineRule="exact"/>
              <w:ind w:firstLine="420" w:firstLineChars="200"/>
              <w:jc w:val="left"/>
              <w:rPr>
                <w:rFonts w:hint="default" w:ascii="仿宋_GB2312" w:hAnsi="仿宋_GB2312" w:eastAsia="仿宋_GB2312" w:cs="仿宋_GB2312"/>
                <w:szCs w:val="21"/>
                <w:highlight w:val="none"/>
                <w:lang w:val="en-US" w:eastAsia="zh-CN"/>
              </w:rPr>
            </w:pPr>
            <w:r>
              <w:rPr>
                <w:rFonts w:hint="default" w:ascii="仿宋_GB2312" w:hAnsi="仿宋_GB2312" w:eastAsia="仿宋_GB2312" w:cs="仿宋_GB2312"/>
                <w:szCs w:val="21"/>
                <w:highlight w:val="none"/>
                <w:lang w:val="en-US" w:eastAsia="zh-CN"/>
              </w:rPr>
              <w:t>施工方案</w:t>
            </w:r>
            <w:r>
              <w:rPr>
                <w:rFonts w:hint="eastAsia" w:ascii="仿宋_GB2312" w:hAnsi="仿宋_GB2312" w:eastAsia="仿宋_GB2312" w:cs="仿宋_GB2312"/>
                <w:szCs w:val="21"/>
                <w:highlight w:val="none"/>
                <w:lang w:val="en-US" w:eastAsia="zh-CN"/>
              </w:rPr>
              <w:t>内容</w:t>
            </w:r>
            <w:r>
              <w:rPr>
                <w:rFonts w:hint="default" w:ascii="仿宋_GB2312" w:hAnsi="仿宋_GB2312" w:eastAsia="仿宋_GB2312" w:cs="仿宋_GB2312"/>
                <w:szCs w:val="21"/>
                <w:highlight w:val="none"/>
                <w:lang w:val="en-US" w:eastAsia="zh-CN"/>
              </w:rPr>
              <w:t>基本</w:t>
            </w:r>
            <w:r>
              <w:rPr>
                <w:rFonts w:hint="eastAsia" w:ascii="仿宋_GB2312" w:hAnsi="仿宋_GB2312" w:eastAsia="仿宋_GB2312" w:cs="仿宋_GB2312"/>
                <w:szCs w:val="21"/>
                <w:highlight w:val="none"/>
                <w:lang w:val="en-US" w:eastAsia="zh-CN"/>
              </w:rPr>
              <w:t>合理、</w:t>
            </w:r>
            <w:r>
              <w:rPr>
                <w:rFonts w:hint="default" w:ascii="仿宋_GB2312" w:hAnsi="仿宋_GB2312" w:eastAsia="仿宋_GB2312" w:cs="仿宋_GB2312"/>
                <w:szCs w:val="21"/>
                <w:highlight w:val="none"/>
                <w:lang w:val="en-US" w:eastAsia="zh-CN"/>
              </w:rPr>
              <w:t>可行，施工技术方案及关键技术、工艺把握基本准确，得4分；</w:t>
            </w:r>
          </w:p>
          <w:p>
            <w:pPr>
              <w:autoSpaceDE w:val="0"/>
              <w:autoSpaceDN w:val="0"/>
              <w:adjustRightInd w:val="0"/>
              <w:spacing w:line="240" w:lineRule="exact"/>
              <w:ind w:firstLine="420" w:firstLineChars="200"/>
              <w:jc w:val="left"/>
              <w:rPr>
                <w:rFonts w:hint="default" w:ascii="仿宋_GB2312" w:hAnsi="仿宋_GB2312" w:eastAsia="仿宋_GB2312" w:cs="仿宋_GB2312"/>
                <w:szCs w:val="21"/>
                <w:highlight w:val="none"/>
                <w:lang w:val="en-US" w:eastAsia="zh-CN"/>
              </w:rPr>
            </w:pPr>
            <w:r>
              <w:rPr>
                <w:rFonts w:hint="default" w:ascii="仿宋_GB2312" w:hAnsi="仿宋_GB2312" w:eastAsia="仿宋_GB2312" w:cs="仿宋_GB2312"/>
                <w:szCs w:val="21"/>
                <w:highlight w:val="none"/>
                <w:lang w:val="en-US" w:eastAsia="zh-CN"/>
              </w:rPr>
              <w:t>施工方案</w:t>
            </w:r>
            <w:r>
              <w:rPr>
                <w:rFonts w:hint="eastAsia" w:ascii="仿宋_GB2312" w:hAnsi="仿宋_GB2312" w:eastAsia="仿宋_GB2312" w:cs="仿宋_GB2312"/>
                <w:szCs w:val="21"/>
                <w:highlight w:val="none"/>
                <w:lang w:val="en-US" w:eastAsia="zh-CN"/>
              </w:rPr>
              <w:t>内容一般</w:t>
            </w:r>
            <w:r>
              <w:rPr>
                <w:rFonts w:hint="default" w:ascii="仿宋_GB2312" w:hAnsi="仿宋_GB2312" w:eastAsia="仿宋_GB2312" w:cs="仿宋_GB2312"/>
                <w:szCs w:val="21"/>
                <w:highlight w:val="none"/>
                <w:lang w:val="en-US" w:eastAsia="zh-CN"/>
              </w:rPr>
              <w:t>，</w:t>
            </w:r>
            <w:r>
              <w:rPr>
                <w:rFonts w:hint="eastAsia" w:ascii="仿宋_GB2312" w:hAnsi="仿宋_GB2312" w:eastAsia="仿宋_GB2312" w:cs="仿宋_GB2312"/>
                <w:szCs w:val="21"/>
                <w:highlight w:val="none"/>
                <w:lang w:val="en-US" w:eastAsia="zh-CN"/>
              </w:rPr>
              <w:t>可操作性一般，</w:t>
            </w:r>
            <w:r>
              <w:rPr>
                <w:rFonts w:hint="default" w:ascii="仿宋_GB2312" w:hAnsi="仿宋_GB2312" w:eastAsia="仿宋_GB2312" w:cs="仿宋_GB2312"/>
                <w:szCs w:val="21"/>
                <w:highlight w:val="none"/>
                <w:lang w:val="en-US" w:eastAsia="zh-CN"/>
              </w:rPr>
              <w:t>施工技术方案及关键技术、工艺把握</w:t>
            </w:r>
            <w:r>
              <w:rPr>
                <w:rFonts w:hint="eastAsia" w:ascii="仿宋_GB2312" w:hAnsi="仿宋_GB2312" w:eastAsia="仿宋_GB2312" w:cs="仿宋_GB2312"/>
                <w:szCs w:val="21"/>
                <w:highlight w:val="none"/>
                <w:lang w:val="en-US" w:eastAsia="zh-CN"/>
              </w:rPr>
              <w:t>一般</w:t>
            </w:r>
            <w:r>
              <w:rPr>
                <w:rFonts w:hint="default" w:ascii="仿宋_GB2312" w:hAnsi="仿宋_GB2312" w:eastAsia="仿宋_GB2312" w:cs="仿宋_GB2312"/>
                <w:szCs w:val="21"/>
                <w:highlight w:val="none"/>
                <w:lang w:val="en-US" w:eastAsia="zh-CN"/>
              </w:rPr>
              <w:t>，得2分；</w:t>
            </w:r>
          </w:p>
          <w:p>
            <w:pPr>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未提供不得分。</w:t>
            </w:r>
          </w:p>
        </w:tc>
        <w:tc>
          <w:tcPr>
            <w:tcW w:w="84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088" w:type="dxa"/>
            <w:vMerge w:val="continue"/>
            <w:tcBorders>
              <w:left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p>
        </w:tc>
        <w:tc>
          <w:tcPr>
            <w:tcW w:w="1121" w:type="dxa"/>
            <w:tcBorders>
              <w:top w:val="single" w:color="auto" w:sz="4" w:space="0"/>
              <w:left w:val="single" w:color="auto" w:sz="4" w:space="0"/>
              <w:right w:val="single" w:color="auto" w:sz="4" w:space="0"/>
            </w:tcBorders>
            <w:vAlign w:val="center"/>
          </w:tcPr>
          <w:p>
            <w:pPr>
              <w:autoSpaceDE w:val="0"/>
              <w:autoSpaceDN w:val="0"/>
              <w:adjustRightInd w:val="0"/>
              <w:spacing w:line="24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工程进度计划与措施</w:t>
            </w:r>
          </w:p>
        </w:tc>
        <w:tc>
          <w:tcPr>
            <w:tcW w:w="55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施工进度计划编制合理、可行，关键线路清晰、准确、完整，关键节点控制措施得力</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保证措施</w:t>
            </w:r>
            <w:r>
              <w:rPr>
                <w:rFonts w:hint="eastAsia" w:ascii="仿宋_GB2312" w:hAnsi="仿宋_GB2312" w:eastAsia="仿宋_GB2312" w:cs="仿宋_GB2312"/>
                <w:szCs w:val="21"/>
                <w:highlight w:val="none"/>
                <w:lang w:val="en-US" w:eastAsia="zh-CN"/>
              </w:rPr>
              <w:t>科学合理、可操作性强，</w:t>
            </w:r>
            <w:r>
              <w:rPr>
                <w:rFonts w:hint="eastAsia" w:ascii="仿宋_GB2312" w:hAnsi="仿宋_GB2312" w:eastAsia="仿宋_GB2312" w:cs="仿宋_GB2312"/>
                <w:szCs w:val="21"/>
                <w:highlight w:val="none"/>
              </w:rPr>
              <w:t>得8分；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施工进度计划编制比较合理、可行，关键线路较清晰、准确、完整，关键节点控制措施较得力，保证措施较</w:t>
            </w:r>
            <w:r>
              <w:rPr>
                <w:rFonts w:hint="eastAsia" w:ascii="仿宋_GB2312" w:hAnsi="仿宋_GB2312" w:eastAsia="仿宋_GB2312" w:cs="仿宋_GB2312"/>
                <w:szCs w:val="21"/>
                <w:highlight w:val="none"/>
                <w:lang w:val="en-US" w:eastAsia="zh-CN"/>
              </w:rPr>
              <w:t>科学合理、</w:t>
            </w:r>
            <w:r>
              <w:rPr>
                <w:rFonts w:hint="eastAsia" w:ascii="仿宋_GB2312" w:hAnsi="仿宋_GB2312" w:eastAsia="仿宋_GB2312" w:cs="仿宋_GB2312"/>
                <w:szCs w:val="21"/>
                <w:highlight w:val="none"/>
              </w:rPr>
              <w:t>可操作性较强，得6分；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施工进度计划编制基本合理、可行，关键线路基本清晰、准确、完整，关键节点控制措施基本合理</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保证措施</w:t>
            </w:r>
            <w:r>
              <w:rPr>
                <w:rFonts w:hint="eastAsia" w:ascii="仿宋_GB2312" w:hAnsi="仿宋_GB2312" w:eastAsia="仿宋_GB2312" w:cs="仿宋_GB2312"/>
                <w:szCs w:val="21"/>
                <w:highlight w:val="none"/>
                <w:lang w:val="en-US" w:eastAsia="zh-CN"/>
              </w:rPr>
              <w:t>基本合理，</w:t>
            </w:r>
            <w:r>
              <w:rPr>
                <w:rFonts w:hint="eastAsia" w:ascii="仿宋_GB2312" w:hAnsi="仿宋_GB2312" w:eastAsia="仿宋_GB2312" w:cs="仿宋_GB2312"/>
                <w:szCs w:val="21"/>
                <w:highlight w:val="none"/>
              </w:rPr>
              <w:t>得4分；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施工进度计划编制</w:t>
            </w:r>
            <w:r>
              <w:rPr>
                <w:rFonts w:hint="eastAsia" w:ascii="仿宋_GB2312" w:hAnsi="仿宋_GB2312" w:eastAsia="仿宋_GB2312" w:cs="仿宋_GB2312"/>
                <w:szCs w:val="21"/>
                <w:highlight w:val="none"/>
                <w:lang w:val="en-US" w:eastAsia="zh-CN"/>
              </w:rPr>
              <w:t>内容一般</w:t>
            </w:r>
            <w:r>
              <w:rPr>
                <w:rFonts w:hint="eastAsia" w:ascii="仿宋_GB2312" w:hAnsi="仿宋_GB2312" w:eastAsia="仿宋_GB2312" w:cs="仿宋_GB2312"/>
                <w:szCs w:val="21"/>
                <w:highlight w:val="none"/>
              </w:rPr>
              <w:t>，关键节点控制措施可操作性</w:t>
            </w:r>
            <w:r>
              <w:rPr>
                <w:rFonts w:hint="eastAsia" w:ascii="仿宋_GB2312" w:hAnsi="仿宋_GB2312" w:eastAsia="仿宋_GB2312" w:cs="仿宋_GB2312"/>
                <w:szCs w:val="21"/>
                <w:highlight w:val="none"/>
                <w:lang w:val="en-US" w:eastAsia="zh-CN"/>
              </w:rPr>
              <w:t>一般</w:t>
            </w:r>
            <w:r>
              <w:rPr>
                <w:rFonts w:hint="eastAsia" w:ascii="仿宋_GB2312" w:hAnsi="仿宋_GB2312" w:eastAsia="仿宋_GB2312" w:cs="仿宋_GB2312"/>
                <w:szCs w:val="21"/>
                <w:highlight w:val="none"/>
              </w:rPr>
              <w:t>，保证措施</w:t>
            </w:r>
            <w:r>
              <w:rPr>
                <w:rFonts w:hint="eastAsia" w:ascii="仿宋_GB2312" w:hAnsi="仿宋_GB2312" w:eastAsia="仿宋_GB2312" w:cs="仿宋_GB2312"/>
                <w:szCs w:val="21"/>
                <w:highlight w:val="none"/>
                <w:lang w:val="en-US" w:eastAsia="zh-CN"/>
              </w:rPr>
              <w:t>一般</w:t>
            </w:r>
            <w:r>
              <w:rPr>
                <w:rFonts w:hint="eastAsia" w:ascii="仿宋_GB2312" w:hAnsi="仿宋_GB2312" w:eastAsia="仿宋_GB2312" w:cs="仿宋_GB2312"/>
                <w:szCs w:val="21"/>
                <w:highlight w:val="none"/>
              </w:rPr>
              <w:t>，得2分；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未提供不得分。</w:t>
            </w:r>
          </w:p>
        </w:tc>
        <w:tc>
          <w:tcPr>
            <w:tcW w:w="84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088" w:type="dxa"/>
            <w:vMerge w:val="continue"/>
            <w:tcBorders>
              <w:left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p>
        </w:tc>
        <w:tc>
          <w:tcPr>
            <w:tcW w:w="1121" w:type="dxa"/>
            <w:tcBorders>
              <w:top w:val="single" w:color="auto" w:sz="4" w:space="0"/>
              <w:left w:val="single" w:color="auto" w:sz="4" w:space="0"/>
              <w:right w:val="single" w:color="auto" w:sz="4" w:space="0"/>
            </w:tcBorders>
            <w:vAlign w:val="center"/>
          </w:tcPr>
          <w:p>
            <w:pPr>
              <w:autoSpaceDE w:val="0"/>
              <w:autoSpaceDN w:val="0"/>
              <w:adjustRightInd w:val="0"/>
              <w:spacing w:line="24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质量管理体系与措施</w:t>
            </w:r>
          </w:p>
        </w:tc>
        <w:tc>
          <w:tcPr>
            <w:tcW w:w="55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工程质量保证计划全面细致、结合实际、措施具体，责任到人，承诺工程质量标准高，得8分；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工程质量保证计划比较全面细致、比较结合实际，措施比较具体，责任到人，承诺工程质量标准较高，得6分；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工程质量保证计划基本全面细致、基本结合实际，措施基本可行，责任基本到人，工程质量标准满足招标文件要求，得4分；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工程质量保证计划、措施</w:t>
            </w:r>
            <w:r>
              <w:rPr>
                <w:rFonts w:hint="eastAsia" w:ascii="仿宋_GB2312" w:hAnsi="仿宋_GB2312" w:eastAsia="仿宋_GB2312" w:cs="仿宋_GB2312"/>
                <w:szCs w:val="21"/>
                <w:highlight w:val="none"/>
                <w:lang w:val="en-US" w:eastAsia="zh-CN"/>
              </w:rPr>
              <w:t>一般</w:t>
            </w:r>
            <w:r>
              <w:rPr>
                <w:rFonts w:hint="eastAsia" w:ascii="仿宋_GB2312" w:hAnsi="仿宋_GB2312" w:eastAsia="仿宋_GB2312" w:cs="仿宋_GB2312"/>
                <w:szCs w:val="21"/>
                <w:highlight w:val="none"/>
              </w:rPr>
              <w:t>，责任人责权不够明确，工程质量标准能满足招标文件要求，得2分；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未提供不得分。</w:t>
            </w:r>
          </w:p>
        </w:tc>
        <w:tc>
          <w:tcPr>
            <w:tcW w:w="84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088" w:type="dxa"/>
            <w:vMerge w:val="continue"/>
            <w:tcBorders>
              <w:left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p>
        </w:tc>
        <w:tc>
          <w:tcPr>
            <w:tcW w:w="1121" w:type="dxa"/>
            <w:tcBorders>
              <w:top w:val="single" w:color="auto" w:sz="4" w:space="0"/>
              <w:left w:val="single" w:color="auto" w:sz="4" w:space="0"/>
              <w:right w:val="single" w:color="auto" w:sz="4" w:space="0"/>
            </w:tcBorders>
            <w:vAlign w:val="center"/>
          </w:tcPr>
          <w:p>
            <w:pPr>
              <w:autoSpaceDE w:val="0"/>
              <w:autoSpaceDN w:val="0"/>
              <w:adjustRightInd w:val="0"/>
              <w:spacing w:line="24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安全文明管理体系与措施</w:t>
            </w:r>
          </w:p>
        </w:tc>
        <w:tc>
          <w:tcPr>
            <w:tcW w:w="55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根据实际情况制定安全文明施工保证计划全面周到、完整，关键地点、工序、环节控制保障措施得力，责任人具体，承诺安全文明施工标准高，得8分；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根据实际情况制定安全文明施工保证计划比较全面周到、完整，关键地点、工序、环节控制保障措施比较得力，责任人比较具体，承诺安全文明施工标准较高，得6分；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根据实际情况制定安全文明施工保证计划计基本全面周到、完整，关键地点、工序、环节控制保障措施基本制订，责任人基本到位，有安全文明施工标准承诺，得4分；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根据实际情况制定安全文明施工保证计划计不够全面周到、完整，关键地点、工序、环节控制保障措施不清晰，责任人不够明确，有安全文明施工标准承诺但不完善、不具体，得2分；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未提供不得分。</w:t>
            </w:r>
          </w:p>
        </w:tc>
        <w:tc>
          <w:tcPr>
            <w:tcW w:w="84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088" w:type="dxa"/>
            <w:vMerge w:val="continue"/>
            <w:tcBorders>
              <w:left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p>
        </w:tc>
        <w:tc>
          <w:tcPr>
            <w:tcW w:w="1121" w:type="dxa"/>
            <w:tcBorders>
              <w:top w:val="single" w:color="auto" w:sz="4" w:space="0"/>
              <w:left w:val="single" w:color="auto" w:sz="4" w:space="0"/>
              <w:right w:val="single" w:color="auto" w:sz="4" w:space="0"/>
            </w:tcBorders>
            <w:vAlign w:val="center"/>
          </w:tcPr>
          <w:p>
            <w:pPr>
              <w:autoSpaceDE w:val="0"/>
              <w:autoSpaceDN w:val="0"/>
              <w:adjustRightInd w:val="0"/>
              <w:spacing w:line="24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环境保护管理体系与措施</w:t>
            </w:r>
          </w:p>
        </w:tc>
        <w:tc>
          <w:tcPr>
            <w:tcW w:w="55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制定施工现场环境保护计划细致全面，生产作业环境、生活环境、卫生标准、场容场貌、减少噪音、降低环境污染控制等方案措施科学先进，</w:t>
            </w:r>
            <w:r>
              <w:rPr>
                <w:rFonts w:hint="eastAsia" w:ascii="仿宋_GB2312" w:hAnsi="仿宋_GB2312" w:eastAsia="仿宋_GB2312" w:cs="仿宋_GB2312"/>
                <w:szCs w:val="21"/>
                <w:highlight w:val="none"/>
                <w:lang w:val="en-US" w:eastAsia="zh-CN"/>
              </w:rPr>
              <w:t>可行性强，</w:t>
            </w:r>
            <w:r>
              <w:rPr>
                <w:rFonts w:hint="eastAsia" w:ascii="仿宋_GB2312" w:hAnsi="仿宋_GB2312" w:eastAsia="仿宋_GB2312" w:cs="仿宋_GB2312"/>
                <w:szCs w:val="21"/>
                <w:highlight w:val="none"/>
              </w:rPr>
              <w:t>得8分；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制定施工现场环境保护计划较细致全面，生产作业环境、生活环境、卫生标准、场容场貌、减少噪音、降低环境污染控制等方案措施较科学先进，</w:t>
            </w:r>
            <w:r>
              <w:rPr>
                <w:rFonts w:hint="eastAsia" w:ascii="仿宋_GB2312" w:hAnsi="仿宋_GB2312" w:eastAsia="仿宋_GB2312" w:cs="仿宋_GB2312"/>
                <w:szCs w:val="21"/>
                <w:highlight w:val="none"/>
                <w:lang w:val="en-US" w:eastAsia="zh-CN"/>
              </w:rPr>
              <w:t>可行性较强，</w:t>
            </w:r>
            <w:r>
              <w:rPr>
                <w:rFonts w:hint="eastAsia" w:ascii="仿宋_GB2312" w:hAnsi="仿宋_GB2312" w:eastAsia="仿宋_GB2312" w:cs="仿宋_GB2312"/>
                <w:szCs w:val="21"/>
                <w:highlight w:val="none"/>
              </w:rPr>
              <w:t>得6分；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制定施工现场环境保护计划基本</w:t>
            </w:r>
            <w:r>
              <w:rPr>
                <w:rFonts w:hint="eastAsia" w:ascii="仿宋_GB2312" w:hAnsi="仿宋_GB2312" w:eastAsia="仿宋_GB2312" w:cs="仿宋_GB2312"/>
                <w:szCs w:val="21"/>
                <w:highlight w:val="none"/>
                <w:lang w:val="en-US" w:eastAsia="zh-CN"/>
              </w:rPr>
              <w:t>合理</w:t>
            </w:r>
            <w:r>
              <w:rPr>
                <w:rFonts w:hint="eastAsia" w:ascii="仿宋_GB2312" w:hAnsi="仿宋_GB2312" w:eastAsia="仿宋_GB2312" w:cs="仿宋_GB2312"/>
                <w:szCs w:val="21"/>
                <w:highlight w:val="none"/>
              </w:rPr>
              <w:t>，生产作业环境、生活环境、卫生标准、场容场貌、减少噪音、降低环境污染控制等方案措施基本可行，得4分；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制定施工现场环境保护计划</w:t>
            </w:r>
            <w:r>
              <w:rPr>
                <w:rFonts w:hint="eastAsia" w:ascii="仿宋_GB2312" w:hAnsi="仿宋_GB2312" w:eastAsia="仿宋_GB2312" w:cs="仿宋_GB2312"/>
                <w:szCs w:val="21"/>
                <w:highlight w:val="none"/>
                <w:lang w:val="en-US" w:eastAsia="zh-CN"/>
              </w:rPr>
              <w:t>一般</w:t>
            </w:r>
            <w:r>
              <w:rPr>
                <w:rFonts w:hint="eastAsia" w:ascii="仿宋_GB2312" w:hAnsi="仿宋_GB2312" w:eastAsia="仿宋_GB2312" w:cs="仿宋_GB2312"/>
                <w:szCs w:val="21"/>
                <w:highlight w:val="none"/>
              </w:rPr>
              <w:t>，生产作业环境、生活环境、卫生标准、场容场貌、减少噪音、降低环境污染控制等方案措施可行性</w:t>
            </w:r>
            <w:r>
              <w:rPr>
                <w:rFonts w:hint="eastAsia" w:ascii="仿宋_GB2312" w:hAnsi="仿宋_GB2312" w:eastAsia="仿宋_GB2312" w:cs="仿宋_GB2312"/>
                <w:szCs w:val="21"/>
                <w:highlight w:val="none"/>
                <w:lang w:val="en-US" w:eastAsia="zh-CN"/>
              </w:rPr>
              <w:t>一般</w:t>
            </w:r>
            <w:r>
              <w:rPr>
                <w:rFonts w:hint="eastAsia" w:ascii="仿宋_GB2312" w:hAnsi="仿宋_GB2312" w:eastAsia="仿宋_GB2312" w:cs="仿宋_GB2312"/>
                <w:szCs w:val="21"/>
                <w:highlight w:val="none"/>
              </w:rPr>
              <w:t>，得2分；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未提供不得分。</w:t>
            </w:r>
          </w:p>
        </w:tc>
        <w:tc>
          <w:tcPr>
            <w:tcW w:w="84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088" w:type="dxa"/>
            <w:vMerge w:val="continue"/>
            <w:tcBorders>
              <w:left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p>
        </w:tc>
        <w:tc>
          <w:tcPr>
            <w:tcW w:w="1121" w:type="dxa"/>
            <w:tcBorders>
              <w:top w:val="single" w:color="auto" w:sz="4" w:space="0"/>
              <w:left w:val="single" w:color="auto" w:sz="4" w:space="0"/>
              <w:right w:val="single" w:color="auto" w:sz="4" w:space="0"/>
            </w:tcBorders>
            <w:vAlign w:val="center"/>
          </w:tcPr>
          <w:p>
            <w:pPr>
              <w:autoSpaceDE w:val="0"/>
              <w:autoSpaceDN w:val="0"/>
              <w:adjustRightInd w:val="0"/>
              <w:spacing w:line="24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资源配备计划</w:t>
            </w:r>
          </w:p>
        </w:tc>
        <w:tc>
          <w:tcPr>
            <w:tcW w:w="55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工程设备和机械、施工人员、材料配备非常合理，能够完全满足本项目要求，得4分；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工程设备和机械、施工人员、材料配备比较合理，能够满足本项目要求，得3分；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工程设备和机械、施工人员、材料配备基本合理，基本能够满足本项目要求,得2分；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工程设备和机械、施工人员、材料配备一般，得1分；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未提供不得分。</w:t>
            </w:r>
          </w:p>
        </w:tc>
        <w:tc>
          <w:tcPr>
            <w:tcW w:w="84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szCs w:val="21"/>
                <w:highlight w:val="none"/>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9" w:hRule="atLeast"/>
        </w:trPr>
        <w:tc>
          <w:tcPr>
            <w:tcW w:w="1088" w:type="dxa"/>
            <w:vMerge w:val="continue"/>
            <w:tcBorders>
              <w:left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p>
        </w:tc>
        <w:tc>
          <w:tcPr>
            <w:tcW w:w="1121" w:type="dxa"/>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bCs/>
                <w:kern w:val="0"/>
                <w:sz w:val="21"/>
                <w:szCs w:val="21"/>
                <w:highlight w:val="none"/>
                <w:lang w:val="en-US" w:eastAsia="zh-CN"/>
              </w:rPr>
              <w:t>季节施工措施</w:t>
            </w:r>
          </w:p>
        </w:tc>
        <w:tc>
          <w:tcPr>
            <w:tcW w:w="55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针对工期内季节的天气变化，提出的应对措施科学合理，可实施性非常强，得</w:t>
            </w:r>
            <w:r>
              <w:rPr>
                <w:rFonts w:hint="eastAsia" w:ascii="仿宋_GB2312" w:hAnsi="仿宋_GB2312" w:eastAsia="仿宋_GB2312" w:cs="仿宋_GB2312"/>
                <w:szCs w:val="21"/>
                <w:highlight w:val="none"/>
                <w:lang w:val="en-US" w:eastAsia="zh-CN"/>
              </w:rPr>
              <w:t>4</w:t>
            </w:r>
            <w:r>
              <w:rPr>
                <w:rFonts w:hint="eastAsia" w:ascii="仿宋_GB2312" w:hAnsi="仿宋_GB2312" w:eastAsia="仿宋_GB2312" w:cs="仿宋_GB2312"/>
                <w:szCs w:val="21"/>
                <w:highlight w:val="none"/>
              </w:rPr>
              <w:t>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针对工期内季节的天气变化，提出的应对措施</w:t>
            </w:r>
            <w:r>
              <w:rPr>
                <w:rFonts w:hint="eastAsia" w:ascii="仿宋_GB2312" w:hAnsi="仿宋_GB2312" w:eastAsia="仿宋_GB2312" w:cs="仿宋_GB2312"/>
                <w:szCs w:val="21"/>
                <w:highlight w:val="none"/>
                <w:lang w:val="en-US" w:eastAsia="zh-CN"/>
              </w:rPr>
              <w:t>比较</w:t>
            </w:r>
            <w:r>
              <w:rPr>
                <w:rFonts w:hint="eastAsia" w:ascii="仿宋_GB2312" w:hAnsi="仿宋_GB2312" w:eastAsia="仿宋_GB2312" w:cs="仿宋_GB2312"/>
                <w:szCs w:val="21"/>
                <w:highlight w:val="none"/>
              </w:rPr>
              <w:t>合理，可实施性</w:t>
            </w:r>
            <w:r>
              <w:rPr>
                <w:rFonts w:hint="eastAsia" w:ascii="仿宋_GB2312" w:hAnsi="仿宋_GB2312" w:eastAsia="仿宋_GB2312" w:cs="仿宋_GB2312"/>
                <w:szCs w:val="21"/>
                <w:highlight w:val="none"/>
                <w:lang w:val="en-US" w:eastAsia="zh-CN"/>
              </w:rPr>
              <w:t>比较强</w:t>
            </w:r>
            <w:r>
              <w:rPr>
                <w:rFonts w:hint="eastAsia" w:ascii="仿宋_GB2312" w:hAnsi="仿宋_GB2312" w:eastAsia="仿宋_GB2312" w:cs="仿宋_GB2312"/>
                <w:szCs w:val="21"/>
                <w:highlight w:val="none"/>
              </w:rPr>
              <w:t>，得</w:t>
            </w:r>
            <w:r>
              <w:rPr>
                <w:rFonts w:hint="eastAsia" w:ascii="仿宋_GB2312" w:hAnsi="仿宋_GB2312" w:eastAsia="仿宋_GB2312" w:cs="仿宋_GB2312"/>
                <w:szCs w:val="21"/>
                <w:highlight w:val="none"/>
                <w:lang w:val="en-US" w:eastAsia="zh-CN"/>
              </w:rPr>
              <w:t>3</w:t>
            </w:r>
            <w:r>
              <w:rPr>
                <w:rFonts w:hint="eastAsia" w:ascii="仿宋_GB2312" w:hAnsi="仿宋_GB2312" w:eastAsia="仿宋_GB2312" w:cs="仿宋_GB2312"/>
                <w:szCs w:val="21"/>
                <w:highlight w:val="none"/>
              </w:rPr>
              <w:t>分；</w:t>
            </w:r>
          </w:p>
          <w:p>
            <w:pPr>
              <w:autoSpaceDE w:val="0"/>
              <w:autoSpaceDN w:val="0"/>
              <w:adjustRightInd w:val="0"/>
              <w:spacing w:line="240" w:lineRule="exact"/>
              <w:ind w:firstLine="420" w:firstLineChars="200"/>
              <w:jc w:val="left"/>
              <w:rPr>
                <w:rFonts w:hint="eastAsia"/>
                <w:highlight w:val="none"/>
              </w:rPr>
            </w:pPr>
            <w:r>
              <w:rPr>
                <w:rFonts w:hint="eastAsia" w:ascii="仿宋_GB2312" w:hAnsi="仿宋_GB2312" w:eastAsia="仿宋_GB2312" w:cs="仿宋_GB2312"/>
                <w:szCs w:val="21"/>
                <w:highlight w:val="none"/>
              </w:rPr>
              <w:t>针对工期内季节的天气变化，提出的应对措施</w:t>
            </w:r>
            <w:r>
              <w:rPr>
                <w:rFonts w:hint="eastAsia" w:ascii="仿宋_GB2312" w:hAnsi="仿宋_GB2312" w:eastAsia="仿宋_GB2312" w:cs="仿宋_GB2312"/>
                <w:szCs w:val="21"/>
                <w:highlight w:val="none"/>
                <w:lang w:val="en-US" w:eastAsia="zh-CN"/>
              </w:rPr>
              <w:t>基本</w:t>
            </w:r>
            <w:r>
              <w:rPr>
                <w:rFonts w:hint="eastAsia" w:ascii="仿宋_GB2312" w:hAnsi="仿宋_GB2312" w:eastAsia="仿宋_GB2312" w:cs="仿宋_GB2312"/>
                <w:szCs w:val="21"/>
                <w:highlight w:val="none"/>
              </w:rPr>
              <w:t>合理，得</w:t>
            </w:r>
            <w:r>
              <w:rPr>
                <w:rFonts w:hint="eastAsia" w:ascii="仿宋_GB2312" w:hAnsi="仿宋_GB2312" w:eastAsia="仿宋_GB2312" w:cs="仿宋_GB2312"/>
                <w:szCs w:val="21"/>
                <w:highlight w:val="none"/>
                <w:lang w:val="en-US" w:eastAsia="zh-CN"/>
              </w:rPr>
              <w:t>2</w:t>
            </w:r>
            <w:r>
              <w:rPr>
                <w:rFonts w:hint="eastAsia" w:ascii="仿宋_GB2312" w:hAnsi="仿宋_GB2312" w:eastAsia="仿宋_GB2312" w:cs="仿宋_GB2312"/>
                <w:szCs w:val="21"/>
                <w:highlight w:val="none"/>
              </w:rPr>
              <w:t>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针对工期内季节的天气变化，提出的应对措施</w:t>
            </w:r>
            <w:r>
              <w:rPr>
                <w:rFonts w:hint="eastAsia" w:ascii="仿宋_GB2312" w:hAnsi="仿宋_GB2312" w:eastAsia="仿宋_GB2312" w:cs="仿宋_GB2312"/>
                <w:szCs w:val="21"/>
                <w:highlight w:val="none"/>
                <w:lang w:val="en-US" w:eastAsia="zh-CN"/>
              </w:rPr>
              <w:t>一般</w:t>
            </w:r>
            <w:r>
              <w:rPr>
                <w:rFonts w:hint="eastAsia" w:ascii="仿宋_GB2312" w:hAnsi="仿宋_GB2312" w:eastAsia="仿宋_GB2312" w:cs="仿宋_GB2312"/>
                <w:szCs w:val="21"/>
                <w:highlight w:val="none"/>
              </w:rPr>
              <w:t>，可实施性</w:t>
            </w:r>
            <w:r>
              <w:rPr>
                <w:rFonts w:hint="eastAsia" w:ascii="仿宋_GB2312" w:hAnsi="仿宋_GB2312" w:eastAsia="仿宋_GB2312" w:cs="仿宋_GB2312"/>
                <w:szCs w:val="21"/>
                <w:highlight w:val="none"/>
                <w:lang w:val="en-US" w:eastAsia="zh-CN"/>
              </w:rPr>
              <w:t>一般，</w:t>
            </w:r>
            <w:r>
              <w:rPr>
                <w:rFonts w:hint="eastAsia" w:ascii="仿宋_GB2312" w:hAnsi="仿宋_GB2312" w:eastAsia="仿宋_GB2312" w:cs="仿宋_GB2312"/>
                <w:szCs w:val="21"/>
                <w:highlight w:val="none"/>
              </w:rPr>
              <w:t>得</w:t>
            </w: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rPr>
              <w:t>分；</w:t>
            </w:r>
          </w:p>
          <w:p>
            <w:pPr>
              <w:autoSpaceDE w:val="0"/>
              <w:autoSpaceDN w:val="0"/>
              <w:adjustRightInd w:val="0"/>
              <w:spacing w:line="240" w:lineRule="exact"/>
              <w:ind w:firstLine="420" w:firstLineChars="200"/>
              <w:jc w:val="left"/>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lang w:val="en-US" w:eastAsia="zh-CN"/>
              </w:rPr>
              <w:t>未提供不得分。</w:t>
            </w:r>
          </w:p>
        </w:tc>
        <w:tc>
          <w:tcPr>
            <w:tcW w:w="8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仿宋_GB2312" w:hAnsi="仿宋_GB2312" w:eastAsia="仿宋_GB2312" w:cs="仿宋_GB2312"/>
                <w:bCs/>
                <w:kern w:val="2"/>
                <w:sz w:val="21"/>
                <w:szCs w:val="21"/>
                <w:highlight w:val="none"/>
                <w:lang w:val="en-US" w:eastAsia="zh-CN" w:bidi="ar-SA"/>
              </w:rPr>
            </w:pPr>
            <w:r>
              <w:rPr>
                <w:rFonts w:hint="eastAsia" w:ascii="仿宋_GB2312" w:hAnsi="仿宋_GB2312" w:eastAsia="仿宋_GB2312" w:cs="仿宋_GB2312"/>
                <w:bCs/>
                <w:kern w:val="0"/>
                <w:sz w:val="21"/>
                <w:szCs w:val="21"/>
                <w:highlight w:val="none"/>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88" w:type="dxa"/>
            <w:vMerge w:val="continue"/>
            <w:tcBorders>
              <w:left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p>
        </w:tc>
        <w:tc>
          <w:tcPr>
            <w:tcW w:w="1121" w:type="dxa"/>
            <w:tcBorders>
              <w:left w:val="single" w:color="auto" w:sz="4" w:space="0"/>
              <w:right w:val="single" w:color="auto" w:sz="4" w:space="0"/>
            </w:tcBorders>
            <w:vAlign w:val="center"/>
          </w:tcPr>
          <w:p>
            <w:pPr>
              <w:autoSpaceDE w:val="0"/>
              <w:autoSpaceDN w:val="0"/>
              <w:adjustRightInd w:val="0"/>
              <w:spacing w:line="24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售后服务</w:t>
            </w:r>
            <w:r>
              <w:rPr>
                <w:rFonts w:hint="eastAsia" w:ascii="仿宋_GB2312" w:hAnsi="仿宋_GB2312" w:eastAsia="仿宋_GB2312" w:cs="仿宋_GB2312"/>
                <w:szCs w:val="21"/>
                <w:highlight w:val="none"/>
                <w:lang w:val="en-US" w:eastAsia="zh-CN"/>
              </w:rPr>
              <w:t>方案</w:t>
            </w:r>
          </w:p>
        </w:tc>
        <w:tc>
          <w:tcPr>
            <w:tcW w:w="55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售后服务方</w:t>
            </w:r>
            <w:r>
              <w:rPr>
                <w:rFonts w:hint="eastAsia" w:ascii="仿宋_GB2312" w:hAnsi="仿宋_GB2312" w:eastAsia="仿宋_GB2312" w:cs="仿宋_GB2312"/>
                <w:szCs w:val="21"/>
                <w:highlight w:val="none"/>
                <w:lang w:val="en-US" w:eastAsia="zh-CN"/>
              </w:rPr>
              <w:t>案</w:t>
            </w:r>
            <w:r>
              <w:rPr>
                <w:rFonts w:hint="eastAsia" w:ascii="仿宋_GB2312" w:hAnsi="仿宋_GB2312" w:eastAsia="仿宋_GB2312" w:cs="仿宋_GB2312"/>
                <w:szCs w:val="21"/>
                <w:highlight w:val="none"/>
              </w:rPr>
              <w:t>清晰、完善，可操作性强，方案阐释详细，得</w:t>
            </w:r>
            <w:r>
              <w:rPr>
                <w:rFonts w:hint="eastAsia" w:ascii="仿宋_GB2312" w:hAnsi="仿宋_GB2312" w:eastAsia="仿宋_GB2312" w:cs="仿宋_GB2312"/>
                <w:szCs w:val="21"/>
                <w:highlight w:val="none"/>
                <w:lang w:val="en-US" w:eastAsia="zh-CN"/>
              </w:rPr>
              <w:t>8</w:t>
            </w:r>
            <w:r>
              <w:rPr>
                <w:rFonts w:hint="eastAsia" w:ascii="仿宋_GB2312" w:hAnsi="仿宋_GB2312" w:eastAsia="仿宋_GB2312" w:cs="仿宋_GB2312"/>
                <w:szCs w:val="21"/>
                <w:highlight w:val="none"/>
              </w:rPr>
              <w:t>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售后服务方</w:t>
            </w:r>
            <w:r>
              <w:rPr>
                <w:rFonts w:hint="eastAsia" w:ascii="仿宋_GB2312" w:hAnsi="仿宋_GB2312" w:eastAsia="仿宋_GB2312" w:cs="仿宋_GB2312"/>
                <w:szCs w:val="21"/>
                <w:highlight w:val="none"/>
                <w:lang w:val="en-US" w:eastAsia="zh-CN"/>
              </w:rPr>
              <w:t>案</w:t>
            </w:r>
            <w:r>
              <w:rPr>
                <w:rFonts w:hint="eastAsia" w:ascii="仿宋_GB2312" w:hAnsi="仿宋_GB2312" w:eastAsia="仿宋_GB2312" w:cs="仿宋_GB2312"/>
                <w:szCs w:val="21"/>
                <w:highlight w:val="none"/>
              </w:rPr>
              <w:t>比较清晰、完善，可操作</w:t>
            </w:r>
            <w:r>
              <w:rPr>
                <w:rFonts w:hint="eastAsia" w:ascii="仿宋_GB2312" w:hAnsi="仿宋_GB2312" w:eastAsia="仿宋_GB2312" w:cs="仿宋_GB2312"/>
                <w:szCs w:val="21"/>
                <w:highlight w:val="none"/>
                <w:lang w:val="en-US" w:eastAsia="zh-CN"/>
              </w:rPr>
              <w:t>性比较强</w:t>
            </w:r>
            <w:r>
              <w:rPr>
                <w:rFonts w:hint="eastAsia" w:ascii="仿宋_GB2312" w:hAnsi="仿宋_GB2312" w:eastAsia="仿宋_GB2312" w:cs="仿宋_GB2312"/>
                <w:szCs w:val="21"/>
                <w:highlight w:val="none"/>
              </w:rPr>
              <w:t>、方案阐释比较详细，得</w:t>
            </w:r>
            <w:r>
              <w:rPr>
                <w:rFonts w:hint="eastAsia" w:ascii="仿宋_GB2312" w:hAnsi="仿宋_GB2312" w:eastAsia="仿宋_GB2312" w:cs="仿宋_GB2312"/>
                <w:szCs w:val="21"/>
                <w:highlight w:val="none"/>
                <w:lang w:val="en-US" w:eastAsia="zh-CN"/>
              </w:rPr>
              <w:t>6</w:t>
            </w:r>
            <w:r>
              <w:rPr>
                <w:rFonts w:hint="eastAsia" w:ascii="仿宋_GB2312" w:hAnsi="仿宋_GB2312" w:eastAsia="仿宋_GB2312" w:cs="仿宋_GB2312"/>
                <w:szCs w:val="21"/>
                <w:highlight w:val="none"/>
              </w:rPr>
              <w:t>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售后服务方</w:t>
            </w:r>
            <w:r>
              <w:rPr>
                <w:rFonts w:hint="eastAsia" w:ascii="仿宋_GB2312" w:hAnsi="仿宋_GB2312" w:eastAsia="仿宋_GB2312" w:cs="仿宋_GB2312"/>
                <w:szCs w:val="21"/>
                <w:highlight w:val="none"/>
                <w:lang w:val="en-US" w:eastAsia="zh-CN"/>
              </w:rPr>
              <w:t>案</w:t>
            </w:r>
            <w:r>
              <w:rPr>
                <w:rFonts w:hint="eastAsia" w:ascii="仿宋_GB2312" w:hAnsi="仿宋_GB2312" w:eastAsia="仿宋_GB2312" w:cs="仿宋_GB2312"/>
                <w:szCs w:val="21"/>
                <w:highlight w:val="none"/>
              </w:rPr>
              <w:t>基本满足本项目</w:t>
            </w:r>
            <w:r>
              <w:rPr>
                <w:rFonts w:hint="eastAsia" w:ascii="仿宋_GB2312" w:hAnsi="仿宋_GB2312" w:eastAsia="仿宋_GB2312" w:cs="仿宋_GB2312"/>
                <w:szCs w:val="21"/>
                <w:highlight w:val="none"/>
                <w:lang w:val="en-US" w:eastAsia="zh-CN"/>
              </w:rPr>
              <w:t>需求</w:t>
            </w:r>
            <w:r>
              <w:rPr>
                <w:rFonts w:hint="eastAsia" w:ascii="仿宋_GB2312" w:hAnsi="仿宋_GB2312" w:eastAsia="仿宋_GB2312" w:cs="仿宋_GB2312"/>
                <w:szCs w:val="21"/>
                <w:highlight w:val="none"/>
              </w:rPr>
              <w:t>，方案阐释基本合理，得</w:t>
            </w:r>
            <w:r>
              <w:rPr>
                <w:rFonts w:hint="eastAsia" w:ascii="仿宋_GB2312" w:hAnsi="仿宋_GB2312" w:eastAsia="仿宋_GB2312" w:cs="仿宋_GB2312"/>
                <w:szCs w:val="21"/>
                <w:highlight w:val="none"/>
                <w:lang w:val="en-US" w:eastAsia="zh-CN"/>
              </w:rPr>
              <w:t>4</w:t>
            </w:r>
            <w:r>
              <w:rPr>
                <w:rFonts w:hint="eastAsia" w:ascii="仿宋_GB2312" w:hAnsi="仿宋_GB2312" w:eastAsia="仿宋_GB2312" w:cs="仿宋_GB2312"/>
                <w:szCs w:val="21"/>
                <w:highlight w:val="none"/>
              </w:rPr>
              <w:t>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售后服务方</w:t>
            </w:r>
            <w:r>
              <w:rPr>
                <w:rFonts w:hint="eastAsia" w:ascii="仿宋_GB2312" w:hAnsi="仿宋_GB2312" w:eastAsia="仿宋_GB2312" w:cs="仿宋_GB2312"/>
                <w:szCs w:val="21"/>
                <w:highlight w:val="none"/>
                <w:lang w:val="en-US" w:eastAsia="zh-CN"/>
              </w:rPr>
              <w:t>案一般</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lang w:val="en-US" w:eastAsia="zh-CN"/>
              </w:rPr>
              <w:t>可</w:t>
            </w:r>
            <w:r>
              <w:rPr>
                <w:rFonts w:hint="eastAsia" w:ascii="仿宋_GB2312" w:hAnsi="仿宋_GB2312" w:eastAsia="仿宋_GB2312" w:cs="仿宋_GB2312"/>
                <w:szCs w:val="21"/>
                <w:highlight w:val="none"/>
              </w:rPr>
              <w:t>操作</w:t>
            </w:r>
            <w:r>
              <w:rPr>
                <w:rFonts w:hint="eastAsia" w:ascii="仿宋_GB2312" w:hAnsi="仿宋_GB2312" w:eastAsia="仿宋_GB2312" w:cs="仿宋_GB2312"/>
                <w:szCs w:val="21"/>
                <w:highlight w:val="none"/>
                <w:lang w:val="en-US" w:eastAsia="zh-CN"/>
              </w:rPr>
              <w:t>性一般</w:t>
            </w:r>
            <w:r>
              <w:rPr>
                <w:rFonts w:hint="eastAsia" w:ascii="仿宋_GB2312" w:hAnsi="仿宋_GB2312" w:eastAsia="仿宋_GB2312" w:cs="仿宋_GB2312"/>
                <w:szCs w:val="21"/>
                <w:highlight w:val="none"/>
              </w:rPr>
              <w:t>，得</w:t>
            </w:r>
            <w:r>
              <w:rPr>
                <w:rFonts w:hint="eastAsia" w:ascii="仿宋_GB2312" w:hAnsi="仿宋_GB2312" w:eastAsia="仿宋_GB2312" w:cs="仿宋_GB2312"/>
                <w:szCs w:val="21"/>
                <w:highlight w:val="none"/>
                <w:lang w:val="en-US" w:eastAsia="zh-CN"/>
              </w:rPr>
              <w:t>2</w:t>
            </w:r>
            <w:r>
              <w:rPr>
                <w:rFonts w:hint="eastAsia" w:ascii="仿宋_GB2312" w:hAnsi="仿宋_GB2312" w:eastAsia="仿宋_GB2312" w:cs="仿宋_GB2312"/>
                <w:szCs w:val="21"/>
                <w:highlight w:val="none"/>
              </w:rPr>
              <w:t>分；</w:t>
            </w:r>
          </w:p>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未提供不得分。</w:t>
            </w:r>
          </w:p>
        </w:tc>
        <w:tc>
          <w:tcPr>
            <w:tcW w:w="84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lang w:val="en-US" w:eastAsia="zh-CN"/>
              </w:rPr>
              <w:t>8</w:t>
            </w:r>
            <w:r>
              <w:rPr>
                <w:rFonts w:hint="eastAsia" w:ascii="仿宋_GB2312" w:hAnsi="仿宋_GB2312" w:eastAsia="仿宋_GB2312" w:cs="仿宋_GB2312"/>
                <w:bCs/>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1088" w:type="dxa"/>
            <w:vMerge w:val="restart"/>
            <w:tcBorders>
              <w:top w:val="single" w:color="auto" w:sz="4" w:space="0"/>
              <w:left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综合部分（</w:t>
            </w:r>
            <w:r>
              <w:rPr>
                <w:rFonts w:hint="eastAsia" w:ascii="仿宋_GB2312" w:hAnsi="仿宋_GB2312" w:eastAsia="仿宋_GB2312" w:cs="仿宋_GB2312"/>
                <w:kern w:val="2"/>
                <w:sz w:val="21"/>
                <w:szCs w:val="21"/>
                <w:highlight w:val="none"/>
                <w:lang w:val="en-US" w:eastAsia="zh-CN"/>
              </w:rPr>
              <w:t>4</w:t>
            </w:r>
            <w:r>
              <w:rPr>
                <w:rFonts w:hint="eastAsia" w:ascii="仿宋_GB2312" w:hAnsi="仿宋_GB2312" w:eastAsia="仿宋_GB2312" w:cs="仿宋_GB2312"/>
                <w:kern w:val="2"/>
                <w:sz w:val="21"/>
                <w:szCs w:val="21"/>
                <w:highlight w:val="none"/>
              </w:rPr>
              <w:t>分）</w:t>
            </w:r>
          </w:p>
        </w:tc>
        <w:tc>
          <w:tcPr>
            <w:tcW w:w="1121" w:type="dxa"/>
            <w:tcBorders>
              <w:top w:val="single" w:color="auto" w:sz="4" w:space="0"/>
              <w:left w:val="single" w:color="auto" w:sz="4" w:space="0"/>
              <w:right w:val="single" w:color="auto" w:sz="4" w:space="0"/>
            </w:tcBorders>
            <w:vAlign w:val="center"/>
          </w:tcPr>
          <w:p>
            <w:pPr>
              <w:autoSpaceDE w:val="0"/>
              <w:autoSpaceDN w:val="0"/>
              <w:adjustRightInd w:val="0"/>
              <w:spacing w:line="400" w:lineRule="exact"/>
              <w:ind w:left="-107" w:leftChars="-51" w:right="-107" w:rightChars="-51"/>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企业业绩</w:t>
            </w:r>
          </w:p>
        </w:tc>
        <w:tc>
          <w:tcPr>
            <w:tcW w:w="55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近三年（20</w:t>
            </w:r>
            <w:r>
              <w:rPr>
                <w:rFonts w:hint="eastAsia" w:ascii="仿宋_GB2312" w:hAnsi="仿宋_GB2312" w:eastAsia="仿宋_GB2312" w:cs="仿宋_GB2312"/>
                <w:szCs w:val="21"/>
                <w:highlight w:val="none"/>
                <w:lang w:val="en-US" w:eastAsia="zh-CN"/>
              </w:rPr>
              <w:t>20</w:t>
            </w:r>
            <w:r>
              <w:rPr>
                <w:rFonts w:hint="eastAsia" w:ascii="仿宋_GB2312" w:hAnsi="仿宋_GB2312" w:eastAsia="仿宋_GB2312" w:cs="仿宋_GB2312"/>
                <w:szCs w:val="21"/>
                <w:highlight w:val="none"/>
              </w:rPr>
              <w:t>年</w:t>
            </w:r>
            <w:r>
              <w:rPr>
                <w:rFonts w:hint="eastAsia" w:ascii="仿宋_GB2312" w:hAnsi="仿宋_GB2312" w:eastAsia="仿宋_GB2312" w:cs="仿宋_GB2312"/>
                <w:szCs w:val="21"/>
                <w:highlight w:val="none"/>
                <w:lang w:val="en-US" w:eastAsia="zh-CN"/>
              </w:rPr>
              <w:t>7</w:t>
            </w:r>
            <w:r>
              <w:rPr>
                <w:rFonts w:hint="eastAsia" w:ascii="仿宋_GB2312" w:hAnsi="仿宋_GB2312" w:eastAsia="仿宋_GB2312" w:cs="仿宋_GB2312"/>
                <w:szCs w:val="21"/>
                <w:highlight w:val="none"/>
              </w:rPr>
              <w:t>月份至今）完成类似本项目业绩，应提供合同或中标通知书复印件，每个有效证明得</w:t>
            </w: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rPr>
              <w:t>分，最</w:t>
            </w:r>
            <w:r>
              <w:rPr>
                <w:rFonts w:hint="eastAsia" w:ascii="仿宋_GB2312" w:hAnsi="仿宋_GB2312" w:eastAsia="仿宋_GB2312" w:cs="仿宋_GB2312"/>
                <w:szCs w:val="21"/>
                <w:highlight w:val="none"/>
                <w:lang w:val="en-US" w:eastAsia="zh-CN"/>
              </w:rPr>
              <w:t>多</w:t>
            </w:r>
            <w:r>
              <w:rPr>
                <w:rFonts w:hint="eastAsia" w:ascii="仿宋_GB2312" w:hAnsi="仿宋_GB2312" w:eastAsia="仿宋_GB2312" w:cs="仿宋_GB2312"/>
                <w:szCs w:val="21"/>
                <w:highlight w:val="none"/>
              </w:rPr>
              <w:t>得</w:t>
            </w:r>
            <w:r>
              <w:rPr>
                <w:rFonts w:hint="eastAsia" w:ascii="仿宋_GB2312" w:hAnsi="仿宋_GB2312" w:eastAsia="仿宋_GB2312" w:cs="仿宋_GB2312"/>
                <w:szCs w:val="21"/>
                <w:highlight w:val="none"/>
                <w:lang w:val="en-US" w:eastAsia="zh-CN"/>
              </w:rPr>
              <w:t>2</w:t>
            </w:r>
            <w:r>
              <w:rPr>
                <w:rFonts w:hint="eastAsia" w:ascii="仿宋_GB2312" w:hAnsi="仿宋_GB2312" w:eastAsia="仿宋_GB2312" w:cs="仿宋_GB2312"/>
                <w:szCs w:val="21"/>
                <w:highlight w:val="none"/>
              </w:rPr>
              <w:t>分。</w:t>
            </w:r>
          </w:p>
        </w:tc>
        <w:tc>
          <w:tcPr>
            <w:tcW w:w="841"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lang w:val="en-US" w:eastAsia="zh-CN"/>
              </w:rPr>
              <w:t>2</w:t>
            </w:r>
            <w:r>
              <w:rPr>
                <w:rFonts w:hint="eastAsia" w:ascii="仿宋_GB2312" w:hAnsi="仿宋_GB2312" w:eastAsia="仿宋_GB2312" w:cs="仿宋_GB2312"/>
                <w:kern w:val="2"/>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088" w:type="dxa"/>
            <w:vMerge w:val="continue"/>
            <w:tcBorders>
              <w:left w:val="single" w:color="auto" w:sz="4" w:space="0"/>
              <w:right w:val="single" w:color="auto" w:sz="4" w:space="0"/>
            </w:tcBorders>
            <w:vAlign w:val="center"/>
          </w:tcPr>
          <w:p>
            <w:pPr>
              <w:widowControl/>
              <w:adjustRightInd w:val="0"/>
              <w:snapToGrid w:val="0"/>
              <w:jc w:val="center"/>
              <w:rPr>
                <w:rFonts w:hint="eastAsia" w:ascii="仿宋_GB2312" w:hAnsi="仿宋_GB2312" w:eastAsia="仿宋_GB2312" w:cs="仿宋_GB2312"/>
                <w:szCs w:val="21"/>
                <w:highlight w:val="none"/>
              </w:rPr>
            </w:pPr>
          </w:p>
        </w:tc>
        <w:tc>
          <w:tcPr>
            <w:tcW w:w="1121" w:type="dxa"/>
            <w:tcBorders>
              <w:left w:val="single" w:color="auto" w:sz="4" w:space="0"/>
              <w:right w:val="single" w:color="auto" w:sz="4" w:space="0"/>
            </w:tcBorders>
            <w:vAlign w:val="center"/>
          </w:tcPr>
          <w:p>
            <w:pPr>
              <w:autoSpaceDE w:val="0"/>
              <w:autoSpaceDN w:val="0"/>
              <w:adjustRightInd w:val="0"/>
              <w:spacing w:line="240" w:lineRule="exact"/>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项目经理任职资格</w:t>
            </w:r>
          </w:p>
        </w:tc>
        <w:tc>
          <w:tcPr>
            <w:tcW w:w="55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eastAsia="zh-CN"/>
              </w:rPr>
              <w:t>项目经理近三年（2020年</w:t>
            </w:r>
            <w:r>
              <w:rPr>
                <w:rFonts w:hint="eastAsia" w:ascii="仿宋_GB2312" w:hAnsi="仿宋_GB2312" w:eastAsia="仿宋_GB2312" w:cs="仿宋_GB2312"/>
                <w:szCs w:val="21"/>
                <w:highlight w:val="none"/>
                <w:lang w:val="en-US" w:eastAsia="zh-CN"/>
              </w:rPr>
              <w:t>7</w:t>
            </w:r>
            <w:r>
              <w:rPr>
                <w:rFonts w:hint="eastAsia" w:ascii="仿宋_GB2312" w:hAnsi="仿宋_GB2312" w:eastAsia="仿宋_GB2312" w:cs="仿宋_GB2312"/>
                <w:szCs w:val="21"/>
                <w:highlight w:val="none"/>
                <w:lang w:eastAsia="zh-CN"/>
              </w:rPr>
              <w:t>月份至今）完成类似本项目业绩，应提供施工合同或中标通知书复印件，每个有效证明得</w:t>
            </w: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lang w:eastAsia="zh-CN"/>
              </w:rPr>
              <w:t>分，最多得</w:t>
            </w: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lang w:eastAsia="zh-CN"/>
              </w:rPr>
              <w:t>分。</w:t>
            </w:r>
          </w:p>
        </w:tc>
        <w:tc>
          <w:tcPr>
            <w:tcW w:w="84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088" w:type="dxa"/>
            <w:vMerge w:val="continue"/>
            <w:tcBorders>
              <w:left w:val="single" w:color="auto" w:sz="4" w:space="0"/>
              <w:right w:val="single" w:color="auto" w:sz="4" w:space="0"/>
            </w:tcBorders>
            <w:vAlign w:val="center"/>
          </w:tcPr>
          <w:p>
            <w:pPr>
              <w:widowControl/>
              <w:adjustRightInd w:val="0"/>
              <w:snapToGrid w:val="0"/>
              <w:jc w:val="center"/>
              <w:rPr>
                <w:rFonts w:hint="eastAsia" w:ascii="仿宋_GB2312" w:hAnsi="仿宋_GB2312" w:eastAsia="仿宋_GB2312" w:cs="仿宋_GB2312"/>
                <w:szCs w:val="21"/>
                <w:highlight w:val="none"/>
              </w:rPr>
            </w:pPr>
          </w:p>
        </w:tc>
        <w:tc>
          <w:tcPr>
            <w:tcW w:w="1121" w:type="dxa"/>
            <w:tcBorders>
              <w:left w:val="single" w:color="auto" w:sz="4" w:space="0"/>
              <w:right w:val="single" w:color="auto" w:sz="4" w:space="0"/>
            </w:tcBorders>
            <w:vAlign w:val="center"/>
          </w:tcPr>
          <w:p>
            <w:pPr>
              <w:autoSpaceDE w:val="0"/>
              <w:autoSpaceDN w:val="0"/>
              <w:adjustRightInd w:val="0"/>
              <w:spacing w:line="24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技术负责人资格</w:t>
            </w:r>
          </w:p>
        </w:tc>
        <w:tc>
          <w:tcPr>
            <w:tcW w:w="5519" w:type="dxa"/>
            <w:tcBorders>
              <w:top w:val="single" w:color="auto" w:sz="4" w:space="0"/>
              <w:left w:val="single" w:color="auto" w:sz="4" w:space="0"/>
              <w:bottom w:val="single" w:color="auto" w:sz="4" w:space="0"/>
              <w:right w:val="single" w:color="auto" w:sz="4" w:space="0"/>
            </w:tcBorders>
            <w:vAlign w:val="center"/>
          </w:tcPr>
          <w:p>
            <w:pPr>
              <w:tabs>
                <w:tab w:val="left" w:pos="233"/>
              </w:tabs>
              <w:autoSpaceDE w:val="0"/>
              <w:autoSpaceDN w:val="0"/>
              <w:adjustRightInd w:val="0"/>
              <w:spacing w:line="240" w:lineRule="exact"/>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具有中级及以上职称证，同时提供与供应商签订</w:t>
            </w:r>
            <w:r>
              <w:rPr>
                <w:rFonts w:hint="eastAsia" w:ascii="仿宋_GB2312" w:hAnsi="仿宋_GB2312" w:eastAsia="仿宋_GB2312" w:cs="仿宋_GB2312"/>
                <w:szCs w:val="21"/>
                <w:highlight w:val="none"/>
                <w:lang w:eastAsia="zh-CN"/>
              </w:rPr>
              <w:t>的</w:t>
            </w:r>
            <w:r>
              <w:rPr>
                <w:rFonts w:hint="eastAsia" w:ascii="仿宋_GB2312" w:hAnsi="仿宋_GB2312" w:eastAsia="仿宋_GB2312" w:cs="仿宋_GB2312"/>
                <w:szCs w:val="21"/>
                <w:highlight w:val="none"/>
              </w:rPr>
              <w:t>劳动合同或社会养老保险缴费证明</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退休人员提供退休证及</w:t>
            </w:r>
            <w:r>
              <w:rPr>
                <w:rFonts w:hint="eastAsia" w:ascii="仿宋_GB2312" w:hAnsi="仿宋_GB2312" w:eastAsia="仿宋_GB2312" w:cs="仿宋_GB2312"/>
                <w:szCs w:val="21"/>
                <w:highlight w:val="none"/>
                <w:lang w:val="en-US" w:eastAsia="zh-CN"/>
              </w:rPr>
              <w:t>劳动合同</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得</w:t>
            </w: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rPr>
              <w:t>分。</w:t>
            </w:r>
          </w:p>
        </w:tc>
        <w:tc>
          <w:tcPr>
            <w:tcW w:w="84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7728" w:type="dxa"/>
            <w:gridSpan w:val="3"/>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before="0" w:beforeAutospacing="0" w:after="0" w:afterAutospacing="0" w:line="400" w:lineRule="exact"/>
              <w:jc w:val="center"/>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合  计</w:t>
            </w:r>
          </w:p>
        </w:tc>
        <w:tc>
          <w:tcPr>
            <w:tcW w:w="841"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before="0" w:beforeAutospacing="0" w:after="0" w:afterAutospacing="0"/>
              <w:jc w:val="center"/>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100分</w:t>
            </w:r>
          </w:p>
        </w:tc>
      </w:tr>
    </w:tbl>
    <w:p>
      <w:pPr>
        <w:jc w:val="left"/>
        <w:rPr>
          <w:rFonts w:hint="eastAsia" w:ascii="仿宋_GB2312" w:hAnsi="仿宋_GB2312" w:eastAsia="仿宋_GB2312" w:cs="仿宋_GB2312"/>
          <w:b/>
          <w:szCs w:val="21"/>
          <w:highlight w:val="none"/>
        </w:rPr>
      </w:pPr>
    </w:p>
    <w:p>
      <w:pPr>
        <w:jc w:val="left"/>
        <w:rPr>
          <w:rFonts w:hint="eastAsia" w:ascii="仿宋_GB2312" w:hAnsi="仿宋_GB2312" w:eastAsia="仿宋_GB2312" w:cs="仿宋_GB2312"/>
          <w:b/>
          <w:szCs w:val="21"/>
          <w:highlight w:val="none"/>
        </w:rPr>
      </w:pPr>
    </w:p>
    <w:p>
      <w:pPr>
        <w:jc w:val="left"/>
        <w:rPr>
          <w:rFonts w:hint="eastAsia" w:ascii="仿宋_GB2312" w:hAnsi="仿宋_GB2312" w:eastAsia="仿宋_GB2312" w:cs="仿宋_GB2312"/>
          <w:b/>
          <w:szCs w:val="21"/>
          <w:highlight w:val="none"/>
        </w:rPr>
      </w:pPr>
    </w:p>
    <w:p>
      <w:pPr>
        <w:jc w:val="center"/>
        <w:rPr>
          <w:rFonts w:hint="eastAsia" w:ascii="仿宋_GB2312" w:hAnsi="仿宋_GB2312" w:eastAsia="仿宋_GB2312" w:cs="仿宋_GB2312"/>
          <w:szCs w:val="44"/>
          <w:highlight w:val="none"/>
        </w:rPr>
      </w:pPr>
      <w:bookmarkStart w:id="109" w:name="_Toc115433467"/>
      <w:r>
        <w:rPr>
          <w:rFonts w:hint="eastAsia" w:ascii="仿宋_GB2312" w:hAnsi="仿宋_GB2312" w:eastAsia="仿宋_GB2312" w:cs="仿宋_GB2312"/>
          <w:b/>
          <w:kern w:val="44"/>
          <w:sz w:val="44"/>
          <w:szCs w:val="44"/>
          <w:highlight w:val="none"/>
          <w:lang w:val="en-US" w:eastAsia="zh-CN" w:bidi="ar-SA"/>
        </w:rPr>
        <w:t>第六章 合同条款</w:t>
      </w:r>
      <w:bookmarkEnd w:id="109"/>
    </w:p>
    <w:p>
      <w:pPr>
        <w:autoSpaceDE w:val="0"/>
        <w:autoSpaceDN w:val="0"/>
        <w:adjustRightInd w:val="0"/>
        <w:spacing w:line="360" w:lineRule="auto"/>
        <w:rPr>
          <w:rFonts w:hint="eastAsia" w:ascii="仿宋_GB2312" w:hAnsi="仿宋_GB2312" w:eastAsia="仿宋_GB2312" w:cs="仿宋_GB2312"/>
          <w:szCs w:val="21"/>
          <w:highlight w:val="none"/>
          <w:lang w:val="zh-CN"/>
        </w:rPr>
      </w:pPr>
      <w:r>
        <w:rPr>
          <w:rFonts w:hint="eastAsia" w:ascii="仿宋_GB2312" w:hAnsi="仿宋_GB2312" w:eastAsia="仿宋_GB2312" w:cs="仿宋_GB2312"/>
          <w:szCs w:val="21"/>
          <w:highlight w:val="none"/>
          <w:lang w:val="zh-CN"/>
        </w:rPr>
        <w:t>一、合同内容</w:t>
      </w:r>
    </w:p>
    <w:p>
      <w:pPr>
        <w:autoSpaceDE w:val="0"/>
        <w:autoSpaceDN w:val="0"/>
        <w:adjustRightInd w:val="0"/>
        <w:spacing w:line="360" w:lineRule="auto"/>
        <w:rPr>
          <w:rFonts w:hint="eastAsia" w:ascii="仿宋_GB2312" w:hAnsi="仿宋_GB2312" w:eastAsia="仿宋_GB2312" w:cs="仿宋_GB2312"/>
          <w:szCs w:val="21"/>
          <w:highlight w:val="none"/>
          <w:lang w:val="zh-CN"/>
        </w:rPr>
      </w:pPr>
      <w:r>
        <w:rPr>
          <w:rFonts w:hint="eastAsia" w:ascii="仿宋_GB2312" w:hAnsi="仿宋_GB2312" w:eastAsia="仿宋_GB2312" w:cs="仿宋_GB2312"/>
          <w:szCs w:val="21"/>
          <w:highlight w:val="none"/>
          <w:lang w:val="zh-CN"/>
        </w:rPr>
        <w:t xml:space="preserve">    合同协议条款将由采购人（甲方）与成交供应商（乙方）结合本工程具体情况协商后签订。</w:t>
      </w:r>
    </w:p>
    <w:p>
      <w:pPr>
        <w:autoSpaceDE w:val="0"/>
        <w:autoSpaceDN w:val="0"/>
        <w:adjustRightInd w:val="0"/>
        <w:spacing w:line="360" w:lineRule="auto"/>
        <w:rPr>
          <w:rFonts w:hint="eastAsia" w:ascii="仿宋_GB2312" w:hAnsi="仿宋_GB2312" w:eastAsia="仿宋_GB2312" w:cs="仿宋_GB2312"/>
          <w:szCs w:val="21"/>
          <w:highlight w:val="none"/>
          <w:lang w:val="zh-CN"/>
        </w:rPr>
      </w:pPr>
      <w:r>
        <w:rPr>
          <w:rFonts w:hint="eastAsia" w:ascii="仿宋_GB2312" w:hAnsi="仿宋_GB2312" w:eastAsia="仿宋_GB2312" w:cs="仿宋_GB2312"/>
          <w:szCs w:val="21"/>
          <w:highlight w:val="none"/>
          <w:lang w:val="zh-CN"/>
        </w:rPr>
        <w:t>二、合同签署</w:t>
      </w:r>
    </w:p>
    <w:p>
      <w:pPr>
        <w:autoSpaceDE w:val="0"/>
        <w:autoSpaceDN w:val="0"/>
        <w:adjustRightInd w:val="0"/>
        <w:spacing w:line="360" w:lineRule="auto"/>
        <w:ind w:firstLine="420" w:firstLineChars="200"/>
        <w:rPr>
          <w:rFonts w:hint="eastAsia" w:ascii="仿宋_GB2312" w:hAnsi="仿宋_GB2312" w:eastAsia="仿宋_GB2312" w:cs="仿宋_GB2312"/>
          <w:szCs w:val="21"/>
          <w:highlight w:val="none"/>
          <w:lang w:val="zh-CN"/>
        </w:rPr>
      </w:pPr>
      <w:r>
        <w:rPr>
          <w:rFonts w:hint="eastAsia" w:ascii="仿宋_GB2312" w:hAnsi="仿宋_GB2312" w:eastAsia="仿宋_GB2312" w:cs="仿宋_GB2312"/>
          <w:szCs w:val="21"/>
          <w:highlight w:val="none"/>
          <w:lang w:val="zh-CN"/>
        </w:rPr>
        <w:t>1、合同按建设工程施工合同示范文本的要求和格式填写；</w:t>
      </w:r>
    </w:p>
    <w:p>
      <w:pPr>
        <w:autoSpaceDE w:val="0"/>
        <w:autoSpaceDN w:val="0"/>
        <w:adjustRightInd w:val="0"/>
        <w:spacing w:line="360" w:lineRule="auto"/>
        <w:ind w:firstLine="420" w:firstLineChars="200"/>
        <w:rPr>
          <w:rFonts w:hint="eastAsia" w:ascii="仿宋_GB2312" w:hAnsi="仿宋_GB2312" w:eastAsia="仿宋_GB2312" w:cs="仿宋_GB2312"/>
          <w:szCs w:val="21"/>
          <w:highlight w:val="none"/>
          <w:lang w:val="zh-CN"/>
        </w:rPr>
      </w:pPr>
      <w:r>
        <w:rPr>
          <w:rFonts w:hint="eastAsia" w:ascii="仿宋_GB2312" w:hAnsi="仿宋_GB2312" w:eastAsia="仿宋_GB2312" w:cs="仿宋_GB2312"/>
          <w:szCs w:val="21"/>
          <w:highlight w:val="none"/>
          <w:lang w:val="zh-CN"/>
        </w:rPr>
        <w:t>2、合同由采购人与成交供应商签署，一式四份，采购人二份、成交供应商二份。</w:t>
      </w:r>
    </w:p>
    <w:p>
      <w:pPr>
        <w:autoSpaceDE w:val="0"/>
        <w:autoSpaceDN w:val="0"/>
        <w:adjustRightInd w:val="0"/>
        <w:spacing w:line="360" w:lineRule="auto"/>
        <w:rPr>
          <w:rFonts w:hint="eastAsia" w:ascii="仿宋_GB2312" w:hAnsi="仿宋_GB2312" w:eastAsia="仿宋_GB2312" w:cs="仿宋_GB2312"/>
          <w:szCs w:val="21"/>
          <w:highlight w:val="none"/>
          <w:lang w:val="zh-CN"/>
        </w:rPr>
      </w:pPr>
      <w:r>
        <w:rPr>
          <w:rFonts w:hint="eastAsia" w:ascii="仿宋_GB2312" w:hAnsi="仿宋_GB2312" w:eastAsia="仿宋_GB2312" w:cs="仿宋_GB2312"/>
          <w:szCs w:val="21"/>
          <w:highlight w:val="none"/>
          <w:lang w:val="zh-CN"/>
        </w:rPr>
        <w:t>三、</w:t>
      </w:r>
      <w:r>
        <w:rPr>
          <w:rFonts w:hint="eastAsia" w:ascii="仿宋_GB2312" w:hAnsi="仿宋_GB2312" w:eastAsia="仿宋_GB2312" w:cs="仿宋_GB2312"/>
          <w:szCs w:val="21"/>
          <w:highlight w:val="none"/>
          <w:lang w:val="en-US" w:eastAsia="zh-CN"/>
        </w:rPr>
        <w:t>建设</w:t>
      </w:r>
      <w:r>
        <w:rPr>
          <w:rFonts w:hint="eastAsia" w:ascii="仿宋_GB2312" w:hAnsi="仿宋_GB2312" w:eastAsia="仿宋_GB2312" w:cs="仿宋_GB2312"/>
          <w:szCs w:val="21"/>
          <w:highlight w:val="none"/>
          <w:lang w:val="zh-CN"/>
        </w:rPr>
        <w:t>工期</w:t>
      </w:r>
    </w:p>
    <w:p>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eastAsia="zh-CN"/>
        </w:rPr>
        <w:t>自签订合同之日起</w:t>
      </w:r>
      <w:r>
        <w:rPr>
          <w:rFonts w:hint="eastAsia" w:ascii="仿宋_GB2312" w:hAnsi="仿宋_GB2312" w:eastAsia="仿宋_GB2312" w:cs="仿宋_GB2312"/>
          <w:szCs w:val="21"/>
          <w:highlight w:val="none"/>
          <w:lang w:val="en-US" w:eastAsia="zh-CN"/>
        </w:rPr>
        <w:t>60</w:t>
      </w:r>
      <w:r>
        <w:rPr>
          <w:rFonts w:hint="eastAsia" w:ascii="仿宋_GB2312" w:hAnsi="仿宋_GB2312" w:eastAsia="仿宋_GB2312" w:cs="仿宋_GB2312"/>
          <w:szCs w:val="21"/>
          <w:highlight w:val="none"/>
          <w:lang w:eastAsia="zh-CN"/>
        </w:rPr>
        <w:t>日历日内施工完毕</w:t>
      </w:r>
      <w:r>
        <w:rPr>
          <w:rFonts w:hint="eastAsia" w:ascii="仿宋_GB2312" w:hAnsi="仿宋_GB2312" w:eastAsia="仿宋_GB2312" w:cs="仿宋_GB2312"/>
          <w:szCs w:val="21"/>
          <w:highlight w:val="none"/>
        </w:rPr>
        <w:t>；</w:t>
      </w:r>
    </w:p>
    <w:p>
      <w:pPr>
        <w:autoSpaceDE w:val="0"/>
        <w:autoSpaceDN w:val="0"/>
        <w:adjustRightInd w:val="0"/>
        <w:spacing w:line="360" w:lineRule="auto"/>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zh-CN"/>
        </w:rPr>
        <w:t>四、质量</w:t>
      </w:r>
      <w:r>
        <w:rPr>
          <w:rFonts w:hint="eastAsia" w:ascii="仿宋_GB2312" w:hAnsi="仿宋_GB2312" w:eastAsia="仿宋_GB2312" w:cs="仿宋_GB2312"/>
          <w:szCs w:val="21"/>
          <w:highlight w:val="none"/>
          <w:lang w:val="en-US" w:eastAsia="zh-CN"/>
        </w:rPr>
        <w:t>要求</w:t>
      </w:r>
    </w:p>
    <w:p>
      <w:pPr>
        <w:autoSpaceDE w:val="0"/>
        <w:autoSpaceDN w:val="0"/>
        <w:adjustRightInd w:val="0"/>
        <w:spacing w:line="360" w:lineRule="auto"/>
        <w:ind w:firstLine="420" w:firstLineChars="200"/>
        <w:rPr>
          <w:rFonts w:hint="eastAsia" w:ascii="仿宋_GB2312" w:hAnsi="仿宋_GB2312" w:eastAsia="仿宋_GB2312" w:cs="仿宋_GB2312"/>
          <w:szCs w:val="21"/>
          <w:highlight w:val="none"/>
          <w:lang w:val="zh-CN"/>
        </w:rPr>
      </w:pPr>
      <w:r>
        <w:rPr>
          <w:rFonts w:hint="eastAsia" w:ascii="仿宋_GB2312" w:hAnsi="仿宋_GB2312" w:eastAsia="仿宋_GB2312" w:cs="仿宋_GB2312"/>
          <w:szCs w:val="21"/>
          <w:highlight w:val="none"/>
          <w:lang w:val="zh-CN"/>
        </w:rPr>
        <w:t>达到国家规定的合格质量标准。</w:t>
      </w:r>
    </w:p>
    <w:p>
      <w:pPr>
        <w:autoSpaceDE w:val="0"/>
        <w:autoSpaceDN w:val="0"/>
        <w:adjustRightInd w:val="0"/>
        <w:spacing w:line="360" w:lineRule="auto"/>
        <w:rPr>
          <w:rFonts w:hint="eastAsia" w:ascii="仿宋_GB2312" w:hAnsi="仿宋_GB2312" w:eastAsia="仿宋_GB2312" w:cs="仿宋_GB2312"/>
          <w:szCs w:val="21"/>
          <w:highlight w:val="none"/>
          <w:lang w:val="zh-CN"/>
        </w:rPr>
      </w:pPr>
      <w:r>
        <w:rPr>
          <w:rFonts w:hint="eastAsia" w:ascii="仿宋_GB2312" w:hAnsi="仿宋_GB2312" w:eastAsia="仿宋_GB2312" w:cs="仿宋_GB2312"/>
          <w:szCs w:val="21"/>
          <w:highlight w:val="none"/>
          <w:lang w:val="zh-CN"/>
        </w:rPr>
        <w:t>五、合同生效</w:t>
      </w:r>
    </w:p>
    <w:p>
      <w:pPr>
        <w:autoSpaceDE w:val="0"/>
        <w:autoSpaceDN w:val="0"/>
        <w:adjustRightInd w:val="0"/>
        <w:spacing w:line="360" w:lineRule="auto"/>
        <w:ind w:firstLine="420" w:firstLineChars="200"/>
        <w:rPr>
          <w:rFonts w:hint="eastAsia" w:ascii="仿宋_GB2312" w:hAnsi="仿宋_GB2312" w:eastAsia="仿宋_GB2312" w:cs="仿宋_GB2312"/>
          <w:szCs w:val="21"/>
          <w:highlight w:val="none"/>
          <w:lang w:val="zh-CN"/>
        </w:rPr>
      </w:pPr>
      <w:r>
        <w:rPr>
          <w:rFonts w:hint="eastAsia" w:ascii="仿宋_GB2312" w:hAnsi="仿宋_GB2312" w:eastAsia="仿宋_GB2312" w:cs="仿宋_GB2312"/>
          <w:szCs w:val="21"/>
          <w:highlight w:val="none"/>
          <w:lang w:val="zh-CN"/>
        </w:rPr>
        <w:t xml:space="preserve">本合同在双方签字后生效。 </w:t>
      </w:r>
    </w:p>
    <w:p>
      <w:pPr>
        <w:autoSpaceDE w:val="0"/>
        <w:autoSpaceDN w:val="0"/>
        <w:adjustRightInd w:val="0"/>
        <w:spacing w:line="360" w:lineRule="auto"/>
        <w:rPr>
          <w:rFonts w:hint="eastAsia" w:ascii="仿宋_GB2312" w:hAnsi="仿宋_GB2312" w:eastAsia="仿宋_GB2312" w:cs="仿宋_GB2312"/>
          <w:szCs w:val="21"/>
          <w:highlight w:val="none"/>
          <w:lang w:val="zh-CN"/>
        </w:rPr>
      </w:pPr>
      <w:r>
        <w:rPr>
          <w:rFonts w:hint="eastAsia" w:ascii="仿宋_GB2312" w:hAnsi="仿宋_GB2312" w:eastAsia="仿宋_GB2312" w:cs="仿宋_GB2312"/>
          <w:szCs w:val="21"/>
          <w:highlight w:val="none"/>
          <w:lang w:val="zh-CN"/>
        </w:rPr>
        <w:t>六、验收</w:t>
      </w:r>
    </w:p>
    <w:p>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仿宋_GB2312" w:hAnsi="仿宋_GB2312" w:eastAsia="仿宋_GB2312" w:cs="仿宋_GB2312"/>
          <w:szCs w:val="21"/>
          <w:highlight w:val="none"/>
          <w:lang w:val="zh-CN"/>
        </w:rPr>
      </w:pPr>
      <w:r>
        <w:rPr>
          <w:rFonts w:hint="eastAsia" w:ascii="仿宋_GB2312" w:hAnsi="仿宋_GB2312" w:eastAsia="仿宋_GB2312" w:cs="仿宋_GB2312"/>
          <w:szCs w:val="21"/>
          <w:highlight w:val="none"/>
          <w:lang w:val="zh-CN"/>
        </w:rPr>
        <w:t>工程竣工时应由甲方携同有关部门对其进行验收，合格后由施工方出具验收单交与甲方。工程不合格不予验收，损失由施工方自负。</w:t>
      </w: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_GB2312" w:hAnsi="仿宋_GB2312" w:eastAsia="仿宋_GB2312" w:cs="仿宋_GB2312"/>
          <w:szCs w:val="21"/>
          <w:highlight w:val="none"/>
          <w:lang w:val="zh-CN"/>
        </w:rPr>
      </w:pPr>
      <w:r>
        <w:rPr>
          <w:rFonts w:hint="eastAsia" w:ascii="仿宋_GB2312" w:hAnsi="仿宋_GB2312" w:eastAsia="仿宋_GB2312" w:cs="仿宋_GB2312"/>
          <w:szCs w:val="21"/>
          <w:highlight w:val="none"/>
          <w:lang w:val="zh-CN"/>
        </w:rPr>
        <w:t>七、付款方式</w:t>
      </w:r>
    </w:p>
    <w:p>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仿宋_GB2312" w:hAnsi="仿宋_GB2312" w:eastAsia="仿宋_GB2312" w:cs="仿宋_GB2312"/>
          <w:szCs w:val="44"/>
          <w:highlight w:val="none"/>
        </w:rPr>
      </w:pPr>
      <w:r>
        <w:rPr>
          <w:rFonts w:hint="eastAsia" w:ascii="仿宋_GB2312" w:hAnsi="仿宋_GB2312" w:eastAsia="仿宋_GB2312" w:cs="仿宋_GB2312"/>
          <w:szCs w:val="21"/>
          <w:highlight w:val="none"/>
          <w:lang w:val="en-US" w:eastAsia="zh-CN"/>
        </w:rPr>
        <w:t>工程竣工验收合格后，结算经审计后支付总价的 70%。工程交付使用6个月无质量问题后，支付总价的 97%。剩余3%为质量保证金，工程交付使用 12 个月无质量问题后，无息付清。</w:t>
      </w:r>
      <w:r>
        <w:rPr>
          <w:rFonts w:hint="eastAsia" w:ascii="仿宋_GB2312" w:hAnsi="仿宋_GB2312" w:eastAsia="仿宋_GB2312" w:cs="仿宋_GB2312"/>
          <w:szCs w:val="44"/>
          <w:highlight w:val="none"/>
        </w:rPr>
        <w:br w:type="page"/>
      </w:r>
    </w:p>
    <w:p>
      <w:pPr>
        <w:jc w:val="center"/>
        <w:rPr>
          <w:rFonts w:ascii="Times New Roman" w:hAnsi="Times New Roman" w:eastAsia="华文中宋"/>
          <w:b/>
          <w:color w:val="000000"/>
          <w:sz w:val="52"/>
          <w:szCs w:val="52"/>
          <w:highlight w:val="none"/>
        </w:rPr>
      </w:pPr>
      <w:r>
        <w:rPr>
          <w:rFonts w:ascii="Times New Roman" w:hAnsi="Times New Roman" w:eastAsia="仿宋_GB2312"/>
          <w:bCs/>
          <w:color w:val="000000"/>
          <w:sz w:val="32"/>
          <w:szCs w:val="32"/>
          <w:highlight w:val="none"/>
        </w:rPr>
        <w:t>（GF—201</w:t>
      </w:r>
      <w:r>
        <w:rPr>
          <w:rFonts w:hint="eastAsia" w:ascii="Times New Roman" w:hAnsi="Times New Roman" w:eastAsia="仿宋_GB2312"/>
          <w:bCs/>
          <w:color w:val="000000"/>
          <w:sz w:val="32"/>
          <w:szCs w:val="32"/>
          <w:highlight w:val="none"/>
        </w:rPr>
        <w:t>7</w:t>
      </w:r>
      <w:r>
        <w:rPr>
          <w:rFonts w:ascii="Times New Roman" w:hAnsi="Times New Roman" w:eastAsia="仿宋_GB2312"/>
          <w:bCs/>
          <w:color w:val="000000"/>
          <w:sz w:val="32"/>
          <w:szCs w:val="32"/>
          <w:highlight w:val="none"/>
        </w:rPr>
        <w:t>—</w:t>
      </w:r>
      <w:r>
        <w:rPr>
          <w:rFonts w:hint="eastAsia" w:ascii="Times New Roman" w:hAnsi="Times New Roman" w:eastAsia="仿宋_GB2312"/>
          <w:bCs/>
          <w:color w:val="000000"/>
          <w:sz w:val="32"/>
          <w:szCs w:val="32"/>
          <w:highlight w:val="none"/>
        </w:rPr>
        <w:t>0201）</w:t>
      </w:r>
      <w:r>
        <w:rPr>
          <w:rFonts w:hint="eastAsia" w:ascii="Times New Roman" w:hAnsi="Times New Roman" w:eastAsia="仿宋_GB2312"/>
          <w:bCs/>
          <w:color w:val="000000"/>
          <w:sz w:val="32"/>
          <w:szCs w:val="32"/>
          <w:highlight w:val="none"/>
          <w:lang w:val="en-US" w:eastAsia="zh-CN"/>
        </w:rPr>
        <w:t xml:space="preserve">                              </w:t>
      </w:r>
    </w:p>
    <w:p>
      <w:pPr>
        <w:jc w:val="center"/>
        <w:rPr>
          <w:rFonts w:ascii="Times New Roman" w:hAnsi="Times New Roman" w:eastAsia="华文中宋"/>
          <w:b/>
          <w:color w:val="000000"/>
          <w:sz w:val="52"/>
          <w:szCs w:val="52"/>
          <w:highlight w:val="none"/>
        </w:rPr>
      </w:pPr>
    </w:p>
    <w:p>
      <w:pPr>
        <w:jc w:val="center"/>
        <w:rPr>
          <w:rFonts w:ascii="Times New Roman" w:hAnsi="Times New Roman" w:eastAsia="华文中宋"/>
          <w:b/>
          <w:color w:val="000000"/>
          <w:sz w:val="52"/>
          <w:szCs w:val="52"/>
          <w:highlight w:val="none"/>
        </w:rPr>
      </w:pPr>
    </w:p>
    <w:p>
      <w:pPr>
        <w:jc w:val="center"/>
        <w:rPr>
          <w:rFonts w:ascii="Times New Roman" w:hAnsi="Times New Roman" w:eastAsia="华文中宋"/>
          <w:b/>
          <w:color w:val="000000"/>
          <w:sz w:val="52"/>
          <w:szCs w:val="52"/>
          <w:highlight w:val="none"/>
        </w:rPr>
      </w:pPr>
      <w:r>
        <w:rPr>
          <w:rFonts w:ascii="Times New Roman" w:hAnsi="Times New Roman" w:eastAsia="华文中宋"/>
          <w:b/>
          <w:color w:val="000000"/>
          <w:sz w:val="72"/>
          <w:szCs w:val="52"/>
          <w:highlight w:val="none"/>
        </w:rPr>
        <w:t>建设工程施工合同</w:t>
      </w:r>
      <w:r>
        <w:rPr>
          <w:rFonts w:ascii="Times New Roman" w:hAnsi="Times New Roman" w:eastAsia="华文中宋"/>
          <w:b/>
          <w:color w:val="000000"/>
          <w:sz w:val="52"/>
          <w:szCs w:val="52"/>
          <w:highlight w:val="none"/>
        </w:rPr>
        <w:br w:type="textWrapping"/>
      </w:r>
    </w:p>
    <w:p>
      <w:pPr>
        <w:jc w:val="center"/>
        <w:rPr>
          <w:rFonts w:ascii="Times New Roman" w:hAnsi="Times New Roman" w:eastAsia="华文中宋"/>
          <w:b/>
          <w:color w:val="000000"/>
          <w:sz w:val="52"/>
          <w:szCs w:val="52"/>
          <w:highlight w:val="none"/>
        </w:rPr>
      </w:pPr>
    </w:p>
    <w:p>
      <w:pPr>
        <w:jc w:val="center"/>
        <w:rPr>
          <w:rFonts w:ascii="Times New Roman" w:hAnsi="Times New Roman" w:eastAsia="黑体"/>
          <w:b/>
          <w:color w:val="000000"/>
          <w:sz w:val="72"/>
          <w:szCs w:val="72"/>
          <w:highlight w:val="none"/>
        </w:rPr>
      </w:pPr>
    </w:p>
    <w:p>
      <w:pPr>
        <w:jc w:val="center"/>
        <w:rPr>
          <w:rFonts w:ascii="Times New Roman" w:hAnsi="Times New Roman" w:eastAsia="楷体_GB2312"/>
          <w:b/>
          <w:color w:val="000000"/>
          <w:sz w:val="72"/>
          <w:szCs w:val="72"/>
          <w:highlight w:val="none"/>
        </w:rPr>
      </w:pPr>
    </w:p>
    <w:p>
      <w:pPr>
        <w:jc w:val="center"/>
        <w:rPr>
          <w:rFonts w:ascii="Times New Roman" w:hAnsi="Times New Roman" w:eastAsia="黑体"/>
          <w:b/>
          <w:color w:val="000000"/>
          <w:sz w:val="52"/>
          <w:szCs w:val="52"/>
          <w:highlight w:val="none"/>
        </w:rPr>
      </w:pPr>
    </w:p>
    <w:p>
      <w:pPr>
        <w:rPr>
          <w:rFonts w:ascii="Times New Roman" w:hAnsi="Times New Roman"/>
          <w:b/>
          <w:color w:val="000000"/>
          <w:sz w:val="28"/>
          <w:szCs w:val="28"/>
          <w:highlight w:val="none"/>
        </w:rPr>
      </w:pPr>
    </w:p>
    <w:p>
      <w:pPr>
        <w:rPr>
          <w:rFonts w:ascii="Times New Roman" w:hAnsi="Times New Roman"/>
          <w:b/>
          <w:color w:val="000000"/>
          <w:sz w:val="28"/>
          <w:szCs w:val="28"/>
          <w:highlight w:val="none"/>
        </w:rPr>
      </w:pPr>
    </w:p>
    <w:p>
      <w:pPr>
        <w:rPr>
          <w:rFonts w:ascii="Times New Roman" w:hAnsi="Times New Roman"/>
          <w:b/>
          <w:color w:val="000000"/>
          <w:sz w:val="28"/>
          <w:szCs w:val="28"/>
          <w:highlight w:val="none"/>
        </w:rPr>
      </w:pPr>
    </w:p>
    <w:p>
      <w:pPr>
        <w:rPr>
          <w:rFonts w:ascii="Times New Roman" w:hAnsi="Times New Roman"/>
          <w:b/>
          <w:color w:val="000000"/>
          <w:sz w:val="28"/>
          <w:szCs w:val="28"/>
          <w:highlight w:val="none"/>
        </w:rPr>
      </w:pPr>
    </w:p>
    <w:p>
      <w:pPr>
        <w:rPr>
          <w:rFonts w:ascii="Times New Roman" w:hAnsi="Times New Roman"/>
          <w:b/>
          <w:color w:val="000000"/>
          <w:sz w:val="28"/>
          <w:szCs w:val="28"/>
          <w:highlight w:val="none"/>
        </w:rPr>
      </w:pPr>
    </w:p>
    <w:p>
      <w:pPr>
        <w:ind w:right="2719" w:rightChars="1295" w:firstLine="2738" w:firstLineChars="1304"/>
        <w:jc w:val="distribute"/>
        <w:rPr>
          <w:rFonts w:ascii="Times New Roman" w:hAnsi="Times New Roman"/>
          <w:b/>
          <w:color w:val="000000"/>
          <w:sz w:val="32"/>
          <w:szCs w:val="28"/>
          <w:highlight w:val="none"/>
        </w:rPr>
      </w:pPr>
      <w:r>
        <w:rPr>
          <w:rFonts w:ascii="Times New Roman" w:hAnsi="Times New Roman"/>
          <w:highlight w:val="none"/>
        </w:rPr>
        <mc:AlternateContent>
          <mc:Choice Requires="wps">
            <w:drawing>
              <wp:anchor distT="0" distB="0" distL="114300" distR="114300" simplePos="0" relativeHeight="25166438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cmpd="sng">
                          <a:solidFill>
                            <a:srgbClr val="FFFFFF"/>
                          </a:solidFill>
                          <a:miter lim="800000"/>
                        </a:ln>
                      </wps:spPr>
                      <wps:txbx>
                        <w:txbxContent>
                          <w:p>
                            <w:pPr>
                              <w:rPr>
                                <w:rFonts w:hint="eastAsia"/>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12.6pt;margin-top:9.45pt;height:36pt;width:57pt;z-index:25166438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Qc0tcdgAAAAJAQAADwAAAAAAAAABACAAAAAi&#10;AAAAZHJzL2Rvd25yZXYueG1sUEsBAhQAFAAAAAgAh07iQKlJ/NVDAgAAaAQAAA4AAAAAAAAAAQAg&#10;AAAAJwEAAGRycy9lMm9Eb2MueG1sUEsFBgAAAAAGAAYAWQEAANwFAAAAAA==&#10;">
                <v:fill on="f" focussize="0,0"/>
                <v:stroke color="#FFFFFF" miterlimit="8" joinstyle="miter"/>
                <v:imagedata o:title=""/>
                <o:lock v:ext="edit" aspectratio="f"/>
                <v:textbox>
                  <w:txbxContent>
                    <w:p>
                      <w:pPr>
                        <w:rPr>
                          <w:rFonts w:hint="eastAsia"/>
                          <w:b/>
                          <w:bCs/>
                          <w:sz w:val="32"/>
                        </w:rPr>
                      </w:pPr>
                      <w:r>
                        <w:rPr>
                          <w:rFonts w:hint="eastAsia"/>
                          <w:b/>
                          <w:bCs/>
                          <w:sz w:val="32"/>
                        </w:rPr>
                        <w:t>制定</w:t>
                      </w:r>
                    </w:p>
                  </w:txbxContent>
                </v:textbox>
              </v:shape>
            </w:pict>
          </mc:Fallback>
        </mc:AlternateContent>
      </w:r>
      <w:r>
        <w:rPr>
          <w:rFonts w:ascii="Times New Roman" w:hAnsi="Times New Roman"/>
          <w:b/>
          <w:color w:val="000000"/>
          <w:sz w:val="32"/>
          <w:szCs w:val="28"/>
          <w:highlight w:val="none"/>
        </w:rPr>
        <w:t>住房城乡建设部</w:t>
      </w:r>
    </w:p>
    <w:p>
      <w:pPr>
        <w:ind w:right="2719" w:rightChars="1295" w:firstLine="2750" w:firstLineChars="856"/>
        <w:jc w:val="distribute"/>
        <w:rPr>
          <w:rFonts w:ascii="Times New Roman" w:hAnsi="Times New Roman"/>
          <w:b/>
          <w:color w:val="000000"/>
          <w:sz w:val="32"/>
          <w:szCs w:val="28"/>
          <w:highlight w:val="none"/>
        </w:rPr>
      </w:pPr>
      <w:r>
        <w:rPr>
          <w:rFonts w:ascii="Times New Roman" w:hAnsi="Times New Roman"/>
          <w:b/>
          <w:color w:val="000000"/>
          <w:sz w:val="32"/>
          <w:szCs w:val="28"/>
          <w:highlight w:val="none"/>
        </w:rPr>
        <w:t>国家工商行政管理总局</w:t>
      </w:r>
    </w:p>
    <w:p>
      <w:pPr>
        <w:rPr>
          <w:rFonts w:ascii="Times New Roman" w:hAnsi="Times New Roman"/>
          <w:b/>
          <w:color w:val="000000"/>
          <w:highlight w:val="none"/>
        </w:rPr>
      </w:pPr>
    </w:p>
    <w:p>
      <w:pPr>
        <w:pStyle w:val="4"/>
        <w:pageBreakBefore w:val="0"/>
        <w:kinsoku/>
        <w:wordWrap/>
        <w:overflowPunct/>
        <w:topLinePunct w:val="0"/>
        <w:bidi w:val="0"/>
        <w:snapToGrid/>
        <w:spacing w:line="440" w:lineRule="exact"/>
        <w:jc w:val="center"/>
        <w:textAlignment w:val="auto"/>
        <w:rPr>
          <w:rFonts w:ascii="Times New Roman" w:hAnsi="Times New Roman" w:eastAsia="仿宋_GB2312"/>
          <w:sz w:val="28"/>
          <w:szCs w:val="28"/>
          <w:highlight w:val="none"/>
        </w:rPr>
        <w:sectPr>
          <w:footerReference r:id="rId9" w:type="first"/>
          <w:footerReference r:id="rId8" w:type="default"/>
          <w:pgSz w:w="11906" w:h="16838"/>
          <w:pgMar w:top="1418" w:right="1555" w:bottom="1418" w:left="1531" w:header="851" w:footer="992" w:gutter="0"/>
          <w:pgNumType w:fmt="decimal"/>
          <w:cols w:space="720" w:num="1"/>
          <w:titlePg/>
          <w:docGrid w:type="lines" w:linePitch="312" w:charSpace="0"/>
        </w:sectPr>
      </w:pPr>
      <w:r>
        <w:rPr>
          <w:rFonts w:ascii="Times New Roman" w:hAnsi="Times New Roman"/>
          <w:b w:val="0"/>
          <w:color w:val="000000"/>
          <w:highlight w:val="none"/>
        </w:rPr>
        <w:br w:type="page"/>
      </w:r>
      <w:bookmarkStart w:id="110" w:name="_Toc296890982"/>
      <w:bookmarkStart w:id="111" w:name="_Toc296503025"/>
      <w:bookmarkStart w:id="112" w:name="_Toc351203480"/>
    </w:p>
    <w:bookmarkEnd w:id="110"/>
    <w:bookmarkEnd w:id="111"/>
    <w:bookmarkEnd w:id="112"/>
    <w:p>
      <w:pPr>
        <w:pStyle w:val="4"/>
        <w:pageBreakBefore w:val="0"/>
        <w:kinsoku/>
        <w:wordWrap/>
        <w:overflowPunct/>
        <w:topLinePunct w:val="0"/>
        <w:bidi w:val="0"/>
        <w:snapToGrid/>
        <w:spacing w:line="440" w:lineRule="exact"/>
        <w:jc w:val="center"/>
        <w:textAlignment w:val="auto"/>
        <w:rPr>
          <w:rFonts w:ascii="Times New Roman" w:hAnsi="Times New Roman" w:eastAsia="华文中宋"/>
          <w:b w:val="0"/>
          <w:color w:val="000000"/>
          <w:sz w:val="28"/>
          <w:szCs w:val="28"/>
          <w:highlight w:val="none"/>
        </w:rPr>
      </w:pPr>
      <w:r>
        <w:rPr>
          <w:rFonts w:ascii="华文中宋" w:hAnsi="华文中宋" w:eastAsia="华文中宋"/>
          <w:sz w:val="28"/>
          <w:szCs w:val="28"/>
          <w:highlight w:val="none"/>
        </w:rPr>
        <w:t>第一部分 合同协议书</w:t>
      </w:r>
    </w:p>
    <w:p>
      <w:pPr>
        <w:pageBreakBefore w:val="0"/>
        <w:kinsoku/>
        <w:wordWrap/>
        <w:overflowPunct/>
        <w:topLinePunct w:val="0"/>
        <w:bidi w:val="0"/>
        <w:snapToGrid/>
        <w:spacing w:line="440" w:lineRule="exact"/>
        <w:textAlignment w:val="auto"/>
        <w:rPr>
          <w:rFonts w:ascii="Times New Roman" w:hAnsi="Times New Roman" w:eastAsia="仿宋_GB2312"/>
          <w:b/>
          <w:color w:val="000000"/>
          <w:sz w:val="28"/>
          <w:szCs w:val="28"/>
          <w:highlight w:val="none"/>
          <w:u w:val="single"/>
        </w:rPr>
      </w:pPr>
      <w:r>
        <w:rPr>
          <w:rFonts w:ascii="Times New Roman" w:hAnsi="Times New Roman" w:eastAsia="仿宋_GB2312"/>
          <w:b/>
          <w:color w:val="000000"/>
          <w:sz w:val="28"/>
          <w:szCs w:val="28"/>
          <w:highlight w:val="none"/>
        </w:rPr>
        <w:t>发包人（全称）：</w:t>
      </w:r>
      <w:r>
        <w:rPr>
          <w:rFonts w:ascii="Times New Roman" w:hAnsi="Times New Roman" w:eastAsia="仿宋_GB2312"/>
          <w:b w:val="0"/>
          <w:bCs/>
          <w:color w:val="000000"/>
          <w:sz w:val="28"/>
          <w:szCs w:val="28"/>
          <w:highlight w:val="none"/>
          <w:u w:val="single"/>
        </w:rPr>
        <w:t></w:t>
      </w:r>
      <w:r>
        <w:rPr>
          <w:rFonts w:hint="eastAsia" w:ascii="Times New Roman" w:hAnsi="Times New Roman" w:eastAsia="仿宋_GB2312"/>
          <w:b w:val="0"/>
          <w:bCs/>
          <w:color w:val="000000"/>
          <w:sz w:val="28"/>
          <w:szCs w:val="28"/>
          <w:highlight w:val="none"/>
          <w:u w:val="single"/>
          <w:lang w:val="en-US" w:eastAsia="zh-CN"/>
        </w:rPr>
        <w:t xml:space="preserve">                            </w:t>
      </w:r>
      <w:r>
        <w:rPr>
          <w:rFonts w:hint="eastAsia" w:ascii="Times New Roman" w:hAnsi="Times New Roman" w:eastAsia="仿宋_GB2312"/>
          <w:b w:val="0"/>
          <w:bCs/>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b/>
          <w:color w:val="000000"/>
          <w:sz w:val="28"/>
          <w:szCs w:val="28"/>
          <w:highlight w:val="none"/>
          <w:u w:val="single"/>
        </w:rPr>
      </w:pPr>
      <w:r>
        <w:rPr>
          <w:rFonts w:ascii="Times New Roman" w:hAnsi="Times New Roman" w:eastAsia="仿宋_GB2312"/>
          <w:b/>
          <w:color w:val="000000"/>
          <w:sz w:val="28"/>
          <w:szCs w:val="28"/>
          <w:highlight w:val="none"/>
        </w:rPr>
        <w:t>承包人（全称）：</w:t>
      </w:r>
      <w:r>
        <w:rPr>
          <w:rFonts w:ascii="Times New Roman" w:hAnsi="Times New Roman" w:eastAsia="仿宋_GB2312"/>
          <w:b w:val="0"/>
          <w:bCs/>
          <w:color w:val="000000"/>
          <w:sz w:val="28"/>
          <w:szCs w:val="28"/>
          <w:highlight w:val="none"/>
          <w:u w:val="single"/>
        </w:rPr>
        <w:t></w:t>
      </w:r>
      <w:r>
        <w:rPr>
          <w:rFonts w:hint="eastAsia" w:ascii="Times New Roman" w:hAnsi="Times New Roman" w:eastAsia="仿宋_GB2312"/>
          <w:b w:val="0"/>
          <w:bCs/>
          <w:color w:val="000000"/>
          <w:sz w:val="28"/>
          <w:szCs w:val="28"/>
          <w:highlight w:val="none"/>
          <w:u w:val="single"/>
          <w:lang w:val="en-US" w:eastAsia="zh-CN"/>
        </w:rPr>
        <w:t xml:space="preserve">                            </w:t>
      </w:r>
      <w:r>
        <w:rPr>
          <w:rFonts w:hint="eastAsia" w:ascii="Times New Roman" w:hAnsi="Times New Roman" w:eastAsia="仿宋_GB2312"/>
          <w:b w:val="0"/>
          <w:bCs/>
          <w:color w:val="000000"/>
          <w:sz w:val="28"/>
          <w:szCs w:val="28"/>
          <w:highlight w:val="none"/>
          <w:u w:val="single"/>
        </w:rPr>
        <w:t xml:space="preserve">        </w:t>
      </w:r>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根据《中华人民共和国合同法》、《中华人民共和国建筑法》及有关法律规定，遵循平等、自愿、公平和诚实信用的原则，双方就</w:t>
      </w:r>
    </w:p>
    <w:p>
      <w:pPr>
        <w:pageBreakBefore w:val="0"/>
        <w:widowControl w:val="0"/>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r>
        <w:rPr>
          <w:rFonts w:ascii="Times New Roman" w:hAnsi="Times New Roman" w:eastAsia="仿宋_GB2312"/>
          <w:b w:val="0"/>
          <w:bCs/>
          <w:color w:val="000000"/>
          <w:sz w:val="28"/>
          <w:szCs w:val="28"/>
          <w:highlight w:val="none"/>
          <w:u w:val="single"/>
        </w:rPr>
        <w:t xml:space="preserve">   </w:t>
      </w:r>
      <w:r>
        <w:rPr>
          <w:rFonts w:hint="eastAsia" w:ascii="Times New Roman" w:hAnsi="Times New Roman" w:eastAsia="仿宋_GB2312"/>
          <w:b w:val="0"/>
          <w:bCs/>
          <w:color w:val="000000"/>
          <w:sz w:val="28"/>
          <w:szCs w:val="28"/>
          <w:highlight w:val="none"/>
          <w:u w:val="single"/>
          <w:lang w:val="en-US" w:eastAsia="zh-CN"/>
        </w:rPr>
        <w:t xml:space="preserve">                            </w:t>
      </w:r>
      <w:r>
        <w:rPr>
          <w:rFonts w:hint="eastAsia" w:ascii="Times New Roman" w:hAnsi="Times New Roman" w:eastAsia="仿宋_GB2312"/>
          <w:b w:val="0"/>
          <w:bCs/>
          <w:color w:val="000000"/>
          <w:sz w:val="28"/>
          <w:szCs w:val="28"/>
          <w:highlight w:val="none"/>
          <w:u w:val="single"/>
        </w:rPr>
        <w:t xml:space="preserve">         </w:t>
      </w:r>
      <w:r>
        <w:rPr>
          <w:rFonts w:ascii="Times New Roman" w:hAnsi="Times New Roman" w:eastAsia="仿宋_GB2312"/>
          <w:color w:val="000000"/>
          <w:sz w:val="28"/>
          <w:szCs w:val="28"/>
          <w:highlight w:val="none"/>
        </w:rPr>
        <w:t>工程施工及有关事项协商一致</w:t>
      </w:r>
      <w:r>
        <w:rPr>
          <w:rFonts w:hint="eastAsia" w:ascii="Times New Roman" w:hAnsi="Times New Roman" w:eastAsia="仿宋_GB2312"/>
          <w:color w:val="000000"/>
          <w:sz w:val="28"/>
          <w:szCs w:val="28"/>
          <w:highlight w:val="none"/>
        </w:rPr>
        <w:t>，</w:t>
      </w:r>
      <w:r>
        <w:rPr>
          <w:rFonts w:ascii="Times New Roman" w:hAnsi="Times New Roman" w:eastAsia="仿宋_GB2312"/>
          <w:color w:val="000000"/>
          <w:sz w:val="28"/>
          <w:szCs w:val="28"/>
          <w:highlight w:val="none"/>
        </w:rPr>
        <w:t>共同达成如下协议：</w:t>
      </w:r>
    </w:p>
    <w:p>
      <w:pPr>
        <w:pStyle w:val="5"/>
        <w:pageBreakBefore w:val="0"/>
        <w:widowControl w:val="0"/>
        <w:kinsoku/>
        <w:wordWrap/>
        <w:overflowPunct/>
        <w:topLinePunct w:val="0"/>
        <w:bidi w:val="0"/>
        <w:snapToGrid w:val="0"/>
        <w:spacing w:before="120" w:after="120" w:line="420" w:lineRule="exact"/>
        <w:textAlignment w:val="auto"/>
        <w:rPr>
          <w:rFonts w:ascii="Times New Roman" w:hAnsi="Times New Roman"/>
          <w:bCs w:val="0"/>
          <w:color w:val="000000"/>
          <w:sz w:val="28"/>
          <w:szCs w:val="28"/>
          <w:highlight w:val="none"/>
        </w:rPr>
      </w:pPr>
      <w:r>
        <w:rPr>
          <w:rFonts w:ascii="Times New Roman" w:hAnsi="Times New Roman"/>
          <w:bCs w:val="0"/>
          <w:color w:val="000000"/>
          <w:sz w:val="28"/>
          <w:szCs w:val="28"/>
          <w:highlight w:val="none"/>
        </w:rPr>
        <w:t xml:space="preserve">   </w:t>
      </w:r>
      <w:r>
        <w:rPr>
          <w:rFonts w:ascii="Times New Roman" w:hAnsi="Times New Roman"/>
          <w:color w:val="000000"/>
          <w:sz w:val="28"/>
          <w:szCs w:val="28"/>
          <w:highlight w:val="none"/>
        </w:rPr>
        <w:t xml:space="preserve"> </w:t>
      </w:r>
      <w:bookmarkStart w:id="113" w:name="_Toc351203481"/>
      <w:r>
        <w:rPr>
          <w:rFonts w:ascii="Times New Roman" w:hAnsi="Times New Roman"/>
          <w:color w:val="000000"/>
          <w:sz w:val="28"/>
          <w:szCs w:val="28"/>
          <w:highlight w:val="none"/>
        </w:rPr>
        <w:t>一、工程概况</w:t>
      </w:r>
      <w:bookmarkEnd w:id="113"/>
    </w:p>
    <w:p>
      <w:pPr>
        <w:pageBreakBefore w:val="0"/>
        <w:widowControl w:val="0"/>
        <w:kinsoku/>
        <w:wordWrap/>
        <w:overflowPunct/>
        <w:topLinePunct w:val="0"/>
        <w:bidi w:val="0"/>
        <w:snapToGrid w:val="0"/>
        <w:spacing w:line="420" w:lineRule="exact"/>
        <w:ind w:firstLine="548" w:firstLineChars="196"/>
        <w:textAlignment w:val="auto"/>
        <w:rPr>
          <w:rFonts w:hint="eastAsia" w:ascii="仿宋" w:hAnsi="仿宋" w:eastAsia="仿宋" w:cs="仿宋"/>
          <w:b/>
          <w:bCs/>
          <w:color w:val="000000"/>
          <w:sz w:val="28"/>
          <w:szCs w:val="28"/>
          <w:highlight w:val="none"/>
          <w:u w:val="single"/>
        </w:rPr>
      </w:pPr>
      <w:r>
        <w:rPr>
          <w:rFonts w:ascii="Times New Roman" w:hAnsi="Times New Roman" w:eastAsia="仿宋_GB2312"/>
          <w:bCs/>
          <w:color w:val="000000"/>
          <w:sz w:val="28"/>
          <w:szCs w:val="28"/>
          <w:highlight w:val="none"/>
        </w:rPr>
        <w:t>1.工程名称</w:t>
      </w:r>
      <w:r>
        <w:rPr>
          <w:rFonts w:ascii="Times New Roman" w:hAnsi="Times New Roman" w:eastAsia="仿宋_GB2312"/>
          <w:color w:val="000000"/>
          <w:sz w:val="28"/>
          <w:szCs w:val="28"/>
          <w:highlight w:val="none"/>
        </w:rPr>
        <w:t>：</w:t>
      </w:r>
      <w:r>
        <w:rPr>
          <w:rFonts w:hint="eastAsia" w:ascii="仿宋" w:hAnsi="仿宋" w:eastAsia="仿宋" w:cs="仿宋"/>
          <w:b w:val="0"/>
          <w:bCs w:val="0"/>
          <w:color w:val="000000"/>
          <w:sz w:val="28"/>
          <w:szCs w:val="28"/>
          <w:highlight w:val="none"/>
          <w:u w:val="single"/>
        </w:rPr>
        <w:t xml:space="preserve"> </w:t>
      </w:r>
      <w:r>
        <w:rPr>
          <w:rFonts w:ascii="Times New Roman" w:hAnsi="Times New Roman" w:eastAsia="仿宋_GB2312"/>
          <w:b w:val="0"/>
          <w:bCs w:val="0"/>
          <w:color w:val="000000"/>
          <w:sz w:val="28"/>
          <w:szCs w:val="28"/>
          <w:highlight w:val="none"/>
          <w:u w:val="single"/>
        </w:rPr>
        <w:t></w:t>
      </w:r>
      <w:r>
        <w:rPr>
          <w:rFonts w:hint="eastAsia" w:ascii="Times New Roman" w:hAnsi="Times New Roman" w:eastAsia="仿宋_GB2312"/>
          <w:b w:val="0"/>
          <w:bCs w:val="0"/>
          <w:color w:val="000000"/>
          <w:sz w:val="28"/>
          <w:szCs w:val="28"/>
          <w:highlight w:val="none"/>
          <w:u w:val="single"/>
          <w:lang w:val="en-US" w:eastAsia="zh-CN"/>
        </w:rPr>
        <w:t xml:space="preserve">                            </w:t>
      </w:r>
      <w:r>
        <w:rPr>
          <w:rFonts w:hint="eastAsia" w:ascii="Times New Roman" w:hAnsi="Times New Roman" w:eastAsia="仿宋_GB2312"/>
          <w:b w:val="0"/>
          <w:bCs w:val="0"/>
          <w:color w:val="000000"/>
          <w:sz w:val="28"/>
          <w:szCs w:val="28"/>
          <w:highlight w:val="none"/>
          <w:u w:val="single"/>
        </w:rPr>
        <w:t xml:space="preserve">        </w:t>
      </w:r>
    </w:p>
    <w:p>
      <w:pPr>
        <w:pageBreakBefore w:val="0"/>
        <w:widowControl w:val="0"/>
        <w:kinsoku/>
        <w:wordWrap/>
        <w:overflowPunct/>
        <w:topLinePunct w:val="0"/>
        <w:bidi w:val="0"/>
        <w:snapToGrid w:val="0"/>
        <w:spacing w:line="420" w:lineRule="exact"/>
        <w:ind w:firstLine="548" w:firstLineChars="196"/>
        <w:textAlignment w:val="auto"/>
        <w:rPr>
          <w:rFonts w:ascii="仿宋" w:hAnsi="仿宋" w:eastAsia="仿宋" w:cs="仿宋"/>
          <w:b/>
          <w:color w:val="000000"/>
          <w:sz w:val="28"/>
          <w:szCs w:val="28"/>
          <w:highlight w:val="none"/>
          <w:u w:val="single"/>
        </w:rPr>
      </w:pPr>
      <w:r>
        <w:rPr>
          <w:rFonts w:ascii="Times New Roman" w:hAnsi="Times New Roman" w:eastAsia="仿宋_GB2312"/>
          <w:bCs/>
          <w:color w:val="000000"/>
          <w:sz w:val="28"/>
          <w:szCs w:val="28"/>
          <w:highlight w:val="none"/>
        </w:rPr>
        <w:t>2.工程地点：</w:t>
      </w:r>
      <w:r>
        <w:rPr>
          <w:rFonts w:ascii="Times New Roman" w:hAnsi="Times New Roman" w:eastAsia="仿宋_GB2312"/>
          <w:b w:val="0"/>
          <w:bCs/>
          <w:color w:val="000000"/>
          <w:sz w:val="28"/>
          <w:szCs w:val="28"/>
          <w:highlight w:val="none"/>
          <w:u w:val="single"/>
        </w:rPr>
        <w:t></w:t>
      </w:r>
      <w:r>
        <w:rPr>
          <w:rFonts w:hint="eastAsia" w:ascii="Times New Roman" w:hAnsi="Times New Roman" w:eastAsia="仿宋_GB2312"/>
          <w:b w:val="0"/>
          <w:bCs/>
          <w:color w:val="000000"/>
          <w:sz w:val="28"/>
          <w:szCs w:val="28"/>
          <w:highlight w:val="none"/>
          <w:u w:val="single"/>
          <w:lang w:val="en-US" w:eastAsia="zh-CN"/>
        </w:rPr>
        <w:t xml:space="preserve">                            </w:t>
      </w:r>
      <w:r>
        <w:rPr>
          <w:rFonts w:hint="eastAsia" w:ascii="Times New Roman" w:hAnsi="Times New Roman" w:eastAsia="仿宋_GB2312"/>
          <w:b w:val="0"/>
          <w:bCs/>
          <w:color w:val="000000"/>
          <w:sz w:val="28"/>
          <w:szCs w:val="28"/>
          <w:highlight w:val="none"/>
          <w:u w:val="single"/>
        </w:rPr>
        <w:t xml:space="preserve">        </w:t>
      </w:r>
    </w:p>
    <w:p>
      <w:pPr>
        <w:pageBreakBefore w:val="0"/>
        <w:widowControl w:val="0"/>
        <w:kinsoku/>
        <w:wordWrap/>
        <w:overflowPunct/>
        <w:topLinePunct w:val="0"/>
        <w:bidi w:val="0"/>
        <w:snapToGrid w:val="0"/>
        <w:spacing w:line="420" w:lineRule="exact"/>
        <w:ind w:firstLine="548" w:firstLineChars="196"/>
        <w:textAlignment w:val="auto"/>
        <w:rPr>
          <w:rFonts w:ascii="Times New Roman" w:hAnsi="Times New Roman" w:eastAsia="仿宋_GB2312"/>
          <w:bCs/>
          <w:color w:val="000000"/>
          <w:sz w:val="28"/>
          <w:szCs w:val="28"/>
          <w:highlight w:val="none"/>
        </w:rPr>
      </w:pPr>
      <w:r>
        <w:rPr>
          <w:rFonts w:ascii="Times New Roman" w:hAnsi="Times New Roman" w:eastAsia="仿宋_GB2312"/>
          <w:bCs/>
          <w:color w:val="000000"/>
          <w:sz w:val="28"/>
          <w:szCs w:val="28"/>
          <w:highlight w:val="none"/>
        </w:rPr>
        <w:t>3.工程立项批准文号：</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bCs/>
          <w:color w:val="000000"/>
          <w:sz w:val="28"/>
          <w:szCs w:val="28"/>
          <w:highlight w:val="none"/>
        </w:rPr>
        <w:t>。</w:t>
      </w:r>
    </w:p>
    <w:p>
      <w:pPr>
        <w:pageBreakBefore w:val="0"/>
        <w:widowControl w:val="0"/>
        <w:kinsoku/>
        <w:wordWrap/>
        <w:overflowPunct/>
        <w:topLinePunct w:val="0"/>
        <w:bidi w:val="0"/>
        <w:snapToGrid w:val="0"/>
        <w:spacing w:line="420" w:lineRule="exact"/>
        <w:ind w:firstLine="548" w:firstLineChars="196"/>
        <w:jc w:val="left"/>
        <w:textAlignment w:val="auto"/>
        <w:rPr>
          <w:rFonts w:hint="default" w:ascii="Times New Roman" w:hAnsi="Times New Roman" w:eastAsia="仿宋_GB2312"/>
          <w:bCs/>
          <w:sz w:val="28"/>
          <w:szCs w:val="28"/>
          <w:highlight w:val="none"/>
          <w:u w:val="single"/>
          <w:lang w:val="en-US" w:eastAsia="zh-CN"/>
        </w:rPr>
      </w:pPr>
      <w:r>
        <w:rPr>
          <w:rFonts w:ascii="Times New Roman" w:hAnsi="Times New Roman" w:eastAsia="仿宋_GB2312"/>
          <w:bCs/>
          <w:color w:val="000000"/>
          <w:sz w:val="28"/>
          <w:szCs w:val="28"/>
          <w:highlight w:val="none"/>
        </w:rPr>
        <w:t>4.资金来</w:t>
      </w:r>
      <w:r>
        <w:rPr>
          <w:rFonts w:ascii="Times New Roman" w:hAnsi="Times New Roman" w:eastAsia="仿宋_GB2312"/>
          <w:bCs/>
          <w:sz w:val="28"/>
          <w:szCs w:val="28"/>
          <w:highlight w:val="none"/>
        </w:rPr>
        <w:t>源：</w:t>
      </w:r>
      <w:r>
        <w:rPr>
          <w:rFonts w:hint="eastAsia" w:ascii="Times New Roman" w:hAnsi="Times New Roman" w:eastAsia="仿宋_GB2312"/>
          <w:bCs/>
          <w:sz w:val="28"/>
          <w:szCs w:val="28"/>
          <w:highlight w:val="none"/>
          <w:u w:val="single"/>
          <w:lang w:val="en-US" w:eastAsia="zh-CN"/>
        </w:rPr>
        <w:t xml:space="preserve">                </w:t>
      </w:r>
      <w:r>
        <w:rPr>
          <w:rFonts w:hint="eastAsia" w:ascii="Times New Roman" w:hAnsi="Times New Roman" w:eastAsia="仿宋_GB2312"/>
          <w:bCs/>
          <w:sz w:val="28"/>
          <w:szCs w:val="28"/>
          <w:highlight w:val="none"/>
          <w:u w:val="none"/>
          <w:lang w:val="en-US" w:eastAsia="zh-CN"/>
        </w:rPr>
        <w:t>。</w:t>
      </w:r>
    </w:p>
    <w:p>
      <w:pPr>
        <w:pageBreakBefore w:val="0"/>
        <w:widowControl w:val="0"/>
        <w:kinsoku/>
        <w:wordWrap/>
        <w:overflowPunct/>
        <w:topLinePunct w:val="0"/>
        <w:bidi w:val="0"/>
        <w:snapToGrid w:val="0"/>
        <w:spacing w:line="420" w:lineRule="exact"/>
        <w:ind w:firstLine="548" w:firstLineChars="196"/>
        <w:textAlignment w:val="auto"/>
        <w:rPr>
          <w:rFonts w:hint="eastAsia" w:ascii="仿宋" w:hAnsi="仿宋" w:eastAsia="仿宋" w:cs="仿宋"/>
          <w:b/>
          <w:bCs/>
          <w:sz w:val="28"/>
          <w:szCs w:val="28"/>
          <w:highlight w:val="none"/>
          <w:u w:val="single"/>
          <w:lang w:eastAsia="zh-CN"/>
        </w:rPr>
      </w:pPr>
      <w:r>
        <w:rPr>
          <w:rFonts w:hint="eastAsia" w:ascii="Times New Roman" w:hAnsi="Times New Roman" w:eastAsia="仿宋_GB2312"/>
          <w:bCs/>
          <w:sz w:val="28"/>
          <w:szCs w:val="28"/>
          <w:highlight w:val="none"/>
        </w:rPr>
        <w:t>5.工程内容：</w:t>
      </w:r>
      <w:r>
        <w:rPr>
          <w:rFonts w:ascii="Times New Roman" w:hAnsi="Times New Roman" w:eastAsia="仿宋_GB2312"/>
          <w:b w:val="0"/>
          <w:bCs/>
          <w:color w:val="000000"/>
          <w:sz w:val="28"/>
          <w:szCs w:val="28"/>
          <w:highlight w:val="none"/>
          <w:u w:val="single"/>
        </w:rPr>
        <w:t></w:t>
      </w:r>
      <w:r>
        <w:rPr>
          <w:rFonts w:hint="eastAsia" w:ascii="Times New Roman" w:hAnsi="Times New Roman" w:eastAsia="仿宋_GB2312"/>
          <w:b w:val="0"/>
          <w:bCs/>
          <w:color w:val="000000"/>
          <w:sz w:val="28"/>
          <w:szCs w:val="28"/>
          <w:highlight w:val="none"/>
          <w:u w:val="single"/>
          <w:lang w:val="en-US" w:eastAsia="zh-CN"/>
        </w:rPr>
        <w:t xml:space="preserve">                            </w:t>
      </w:r>
      <w:r>
        <w:rPr>
          <w:rFonts w:hint="eastAsia" w:ascii="Times New Roman" w:hAnsi="Times New Roman" w:eastAsia="仿宋_GB2312"/>
          <w:b w:val="0"/>
          <w:bCs/>
          <w:color w:val="000000"/>
          <w:sz w:val="28"/>
          <w:szCs w:val="28"/>
          <w:highlight w:val="none"/>
          <w:u w:val="single"/>
        </w:rPr>
        <w:t xml:space="preserve">        </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none"/>
          <w:lang w:eastAsia="zh-CN"/>
        </w:rPr>
        <w:t>。</w:t>
      </w:r>
    </w:p>
    <w:p>
      <w:pPr>
        <w:pageBreakBefore w:val="0"/>
        <w:widowControl w:val="0"/>
        <w:kinsoku/>
        <w:wordWrap/>
        <w:overflowPunct/>
        <w:topLinePunct w:val="0"/>
        <w:bidi w:val="0"/>
        <w:snapToGrid w:val="0"/>
        <w:spacing w:line="420" w:lineRule="exact"/>
        <w:ind w:firstLine="551" w:firstLineChars="196"/>
        <w:textAlignment w:val="auto"/>
        <w:rPr>
          <w:rFonts w:ascii="仿宋" w:hAnsi="仿宋" w:eastAsia="仿宋" w:cs="仿宋"/>
          <w:b/>
          <w:bCs/>
          <w:sz w:val="28"/>
          <w:szCs w:val="28"/>
          <w:highlight w:val="none"/>
        </w:rPr>
      </w:pPr>
      <w:r>
        <w:rPr>
          <w:rFonts w:hint="eastAsia" w:ascii="仿宋" w:hAnsi="仿宋" w:eastAsia="仿宋" w:cs="仿宋"/>
          <w:b/>
          <w:bCs/>
          <w:sz w:val="28"/>
          <w:szCs w:val="28"/>
          <w:highlight w:val="none"/>
        </w:rPr>
        <w:t>群体工程应附《承包人承揽工程项目一览表》（附件1）。</w:t>
      </w:r>
    </w:p>
    <w:p>
      <w:pPr>
        <w:pageBreakBefore w:val="0"/>
        <w:widowControl w:val="0"/>
        <w:kinsoku/>
        <w:wordWrap/>
        <w:overflowPunct/>
        <w:topLinePunct w:val="0"/>
        <w:bidi w:val="0"/>
        <w:snapToGrid w:val="0"/>
        <w:spacing w:line="420" w:lineRule="exact"/>
        <w:ind w:firstLine="548" w:firstLineChars="196"/>
        <w:textAlignment w:val="auto"/>
        <w:rPr>
          <w:rFonts w:hint="eastAsia" w:ascii="Times New Roman" w:hAnsi="Times New Roman" w:eastAsia="仿宋_GB2312"/>
          <w:b/>
          <w:color w:val="000000"/>
          <w:sz w:val="28"/>
          <w:szCs w:val="28"/>
          <w:highlight w:val="none"/>
          <w:u w:val="single"/>
          <w:lang w:eastAsia="zh-CN"/>
        </w:rPr>
      </w:pPr>
      <w:r>
        <w:rPr>
          <w:rFonts w:hint="eastAsia" w:ascii="Times New Roman" w:hAnsi="Times New Roman" w:eastAsia="仿宋_GB2312"/>
          <w:bCs/>
          <w:sz w:val="28"/>
          <w:szCs w:val="28"/>
          <w:highlight w:val="none"/>
        </w:rPr>
        <w:t>6</w:t>
      </w:r>
      <w:r>
        <w:rPr>
          <w:rFonts w:ascii="Times New Roman" w:hAnsi="Times New Roman" w:eastAsia="仿宋_GB2312"/>
          <w:bCs/>
          <w:sz w:val="28"/>
          <w:szCs w:val="28"/>
          <w:highlight w:val="none"/>
        </w:rPr>
        <w:t>.工程承包范围：</w:t>
      </w:r>
      <w:r>
        <w:rPr>
          <w:rFonts w:ascii="Times New Roman" w:hAnsi="Times New Roman" w:eastAsia="仿宋_GB2312"/>
          <w:b w:val="0"/>
          <w:bCs/>
          <w:color w:val="000000"/>
          <w:sz w:val="28"/>
          <w:szCs w:val="28"/>
          <w:highlight w:val="none"/>
          <w:u w:val="single"/>
        </w:rPr>
        <w:t></w:t>
      </w:r>
      <w:r>
        <w:rPr>
          <w:rFonts w:hint="eastAsia" w:ascii="Times New Roman" w:hAnsi="Times New Roman" w:eastAsia="仿宋_GB2312"/>
          <w:b w:val="0"/>
          <w:bCs/>
          <w:color w:val="000000"/>
          <w:sz w:val="28"/>
          <w:szCs w:val="28"/>
          <w:highlight w:val="none"/>
          <w:u w:val="single"/>
          <w:lang w:val="en-US" w:eastAsia="zh-CN"/>
        </w:rPr>
        <w:t xml:space="preserve">                            </w:t>
      </w:r>
      <w:r>
        <w:rPr>
          <w:rFonts w:hint="eastAsia" w:ascii="Times New Roman" w:hAnsi="Times New Roman" w:eastAsia="仿宋_GB2312"/>
          <w:b w:val="0"/>
          <w:bCs/>
          <w:color w:val="000000"/>
          <w:sz w:val="28"/>
          <w:szCs w:val="28"/>
          <w:highlight w:val="none"/>
          <w:u w:val="single"/>
        </w:rPr>
        <w:t xml:space="preserve">        </w:t>
      </w:r>
      <w:r>
        <w:rPr>
          <w:rFonts w:hint="eastAsia" w:ascii="Times New Roman" w:hAnsi="Times New Roman" w:eastAsia="仿宋_GB2312"/>
          <w:b w:val="0"/>
          <w:bCs/>
          <w:color w:val="000000"/>
          <w:sz w:val="28"/>
          <w:szCs w:val="28"/>
          <w:highlight w:val="none"/>
          <w:u w:val="none"/>
          <w:lang w:eastAsia="zh-CN"/>
        </w:rPr>
        <w:t>。</w:t>
      </w:r>
    </w:p>
    <w:p>
      <w:pPr>
        <w:pStyle w:val="5"/>
        <w:pageBreakBefore w:val="0"/>
        <w:widowControl w:val="0"/>
        <w:kinsoku/>
        <w:wordWrap/>
        <w:overflowPunct/>
        <w:topLinePunct w:val="0"/>
        <w:bidi w:val="0"/>
        <w:snapToGrid w:val="0"/>
        <w:spacing w:before="120" w:after="120" w:line="420" w:lineRule="exact"/>
        <w:textAlignment w:val="auto"/>
        <w:rPr>
          <w:rFonts w:ascii="Times New Roman" w:hAnsi="Times New Roman"/>
          <w:color w:val="000000"/>
          <w:sz w:val="28"/>
          <w:szCs w:val="28"/>
          <w:highlight w:val="none"/>
        </w:rPr>
      </w:pPr>
      <w:r>
        <w:rPr>
          <w:rFonts w:ascii="Times New Roman" w:hAnsi="Times New Roman"/>
          <w:color w:val="000000"/>
          <w:sz w:val="28"/>
          <w:szCs w:val="28"/>
          <w:highlight w:val="none"/>
        </w:rPr>
        <w:t xml:space="preserve">   </w:t>
      </w:r>
      <w:bookmarkStart w:id="114" w:name="_Toc351203482"/>
      <w:r>
        <w:rPr>
          <w:rFonts w:ascii="Times New Roman" w:hAnsi="Times New Roman"/>
          <w:color w:val="000000"/>
          <w:sz w:val="28"/>
          <w:szCs w:val="28"/>
          <w:highlight w:val="none"/>
        </w:rPr>
        <w:t>二、合同工期</w:t>
      </w:r>
      <w:bookmarkEnd w:id="114"/>
    </w:p>
    <w:p>
      <w:pPr>
        <w:pageBreakBefore w:val="0"/>
        <w:widowControl w:val="0"/>
        <w:kinsoku/>
        <w:wordWrap/>
        <w:overflowPunct/>
        <w:topLinePunct w:val="0"/>
        <w:bidi w:val="0"/>
        <w:snapToGrid w:val="0"/>
        <w:spacing w:line="420" w:lineRule="exact"/>
        <w:ind w:firstLine="459"/>
        <w:textAlignment w:val="auto"/>
        <w:rPr>
          <w:rFonts w:ascii="Times New Roman" w:hAnsi="Times New Roman" w:eastAsia="仿宋_GB2312"/>
          <w:color w:val="000000"/>
          <w:sz w:val="28"/>
          <w:szCs w:val="28"/>
          <w:highlight w:val="none"/>
        </w:rPr>
      </w:pPr>
      <w:r>
        <w:rPr>
          <w:rFonts w:hint="eastAsia" w:ascii="Times New Roman" w:hAnsi="Times New Roman" w:eastAsia="仿宋_GB2312"/>
          <w:sz w:val="28"/>
          <w:szCs w:val="28"/>
          <w:highlight w:val="none"/>
          <w:lang w:eastAsia="zh-CN"/>
        </w:rPr>
        <w:t>自签订合同起，有效</w:t>
      </w:r>
      <w:r>
        <w:rPr>
          <w:rFonts w:ascii="Times New Roman" w:hAnsi="Times New Roman" w:eastAsia="仿宋_GB2312"/>
          <w:sz w:val="28"/>
          <w:szCs w:val="28"/>
          <w:highlight w:val="none"/>
        </w:rPr>
        <w:t>工期总日历天数：</w:t>
      </w:r>
      <w:r>
        <w:rPr>
          <w:rFonts w:ascii="Times New Roman" w:hAnsi="Times New Roman" w:eastAsia="仿宋_GB2312"/>
          <w:sz w:val="28"/>
          <w:szCs w:val="28"/>
          <w:highlight w:val="none"/>
          <w:u w:val="single"/>
        </w:rPr>
        <w:t></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w:t>
      </w:r>
      <w:r>
        <w:rPr>
          <w:rFonts w:ascii="Times New Roman" w:hAnsi="Times New Roman" w:eastAsia="仿宋_GB2312"/>
          <w:sz w:val="28"/>
          <w:szCs w:val="28"/>
          <w:highlight w:val="none"/>
        </w:rPr>
        <w:t>天</w:t>
      </w:r>
      <w:r>
        <w:rPr>
          <w:rFonts w:hint="eastAsia" w:ascii="Times New Roman" w:hAnsi="Times New Roman" w:eastAsia="仿宋_GB2312"/>
          <w:sz w:val="28"/>
          <w:szCs w:val="28"/>
          <w:highlight w:val="none"/>
          <w:lang w:eastAsia="zh-CN"/>
        </w:rPr>
        <w:t>，遇冬季无法施工工期顺延。</w:t>
      </w:r>
      <w:r>
        <w:rPr>
          <w:rFonts w:ascii="Times New Roman" w:hAnsi="Times New Roman" w:eastAsia="仿宋_GB2312"/>
          <w:sz w:val="28"/>
          <w:szCs w:val="28"/>
          <w:highlight w:val="none"/>
        </w:rPr>
        <w:t>工期总日历天数与根据前述计划开竣工日期计算的工期天数不一致的，以工期</w:t>
      </w:r>
      <w:r>
        <w:rPr>
          <w:rFonts w:ascii="Times New Roman" w:hAnsi="Times New Roman" w:eastAsia="仿宋_GB2312"/>
          <w:color w:val="000000"/>
          <w:sz w:val="28"/>
          <w:szCs w:val="28"/>
          <w:highlight w:val="none"/>
        </w:rPr>
        <w:t>总日历天数为准。</w:t>
      </w:r>
    </w:p>
    <w:p>
      <w:pPr>
        <w:pStyle w:val="5"/>
        <w:pageBreakBefore w:val="0"/>
        <w:widowControl w:val="0"/>
        <w:kinsoku/>
        <w:wordWrap/>
        <w:overflowPunct/>
        <w:topLinePunct w:val="0"/>
        <w:bidi w:val="0"/>
        <w:snapToGrid w:val="0"/>
        <w:spacing w:before="120" w:after="120" w:line="420" w:lineRule="exact"/>
        <w:textAlignment w:val="auto"/>
        <w:rPr>
          <w:rFonts w:ascii="Times New Roman" w:hAnsi="Times New Roman"/>
          <w:bCs w:val="0"/>
          <w:color w:val="000000"/>
          <w:sz w:val="28"/>
          <w:szCs w:val="28"/>
          <w:highlight w:val="none"/>
        </w:rPr>
      </w:pPr>
      <w:r>
        <w:rPr>
          <w:rFonts w:ascii="Times New Roman" w:hAnsi="Times New Roman"/>
          <w:bCs w:val="0"/>
          <w:color w:val="000000"/>
          <w:sz w:val="28"/>
          <w:szCs w:val="28"/>
          <w:highlight w:val="none"/>
        </w:rPr>
        <w:t xml:space="preserve">    </w:t>
      </w:r>
      <w:bookmarkStart w:id="115" w:name="_Toc351203483"/>
      <w:r>
        <w:rPr>
          <w:rFonts w:ascii="Times New Roman" w:hAnsi="Times New Roman"/>
          <w:color w:val="000000"/>
          <w:sz w:val="28"/>
          <w:szCs w:val="28"/>
          <w:highlight w:val="none"/>
        </w:rPr>
        <w:t>三、质量标准</w:t>
      </w:r>
      <w:bookmarkEnd w:id="115"/>
    </w:p>
    <w:p>
      <w:pPr>
        <w:pageBreakBefore w:val="0"/>
        <w:widowControl w:val="0"/>
        <w:kinsoku/>
        <w:wordWrap/>
        <w:overflowPunct/>
        <w:topLinePunct w:val="0"/>
        <w:bidi w:val="0"/>
        <w:snapToGrid w:val="0"/>
        <w:spacing w:line="420" w:lineRule="exact"/>
        <w:ind w:firstLine="459"/>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工程质量符合</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标准。</w:t>
      </w:r>
    </w:p>
    <w:p>
      <w:pPr>
        <w:pStyle w:val="5"/>
        <w:pageBreakBefore w:val="0"/>
        <w:widowControl w:val="0"/>
        <w:kinsoku/>
        <w:wordWrap/>
        <w:overflowPunct/>
        <w:topLinePunct w:val="0"/>
        <w:bidi w:val="0"/>
        <w:snapToGrid w:val="0"/>
        <w:spacing w:before="120" w:after="120" w:line="420" w:lineRule="exact"/>
        <w:textAlignment w:val="auto"/>
        <w:rPr>
          <w:rFonts w:ascii="Times New Roman" w:hAnsi="Times New Roman"/>
          <w:bCs w:val="0"/>
          <w:color w:val="000000"/>
          <w:sz w:val="28"/>
          <w:szCs w:val="28"/>
          <w:highlight w:val="none"/>
        </w:rPr>
      </w:pPr>
      <w:r>
        <w:rPr>
          <w:rFonts w:ascii="Times New Roman" w:hAnsi="Times New Roman"/>
          <w:bCs w:val="0"/>
          <w:color w:val="000000"/>
          <w:sz w:val="28"/>
          <w:szCs w:val="28"/>
          <w:highlight w:val="none"/>
        </w:rPr>
        <w:t xml:space="preserve">   </w:t>
      </w:r>
      <w:r>
        <w:rPr>
          <w:rFonts w:ascii="Times New Roman" w:hAnsi="Times New Roman"/>
          <w:color w:val="000000"/>
          <w:sz w:val="28"/>
          <w:szCs w:val="28"/>
          <w:highlight w:val="none"/>
        </w:rPr>
        <w:t xml:space="preserve"> </w:t>
      </w:r>
      <w:bookmarkStart w:id="116" w:name="_Toc351203484"/>
      <w:r>
        <w:rPr>
          <w:rFonts w:ascii="Times New Roman" w:hAnsi="Times New Roman"/>
          <w:color w:val="000000"/>
          <w:sz w:val="28"/>
          <w:szCs w:val="28"/>
          <w:highlight w:val="none"/>
        </w:rPr>
        <w:t>四、签约合同价与合同价格形式</w:t>
      </w:r>
      <w:bookmarkEnd w:id="116"/>
      <w:r>
        <w:rPr>
          <w:rFonts w:ascii="Times New Roman" w:hAnsi="Times New Roman"/>
          <w:color w:val="000000"/>
          <w:sz w:val="28"/>
          <w:szCs w:val="28"/>
          <w:highlight w:val="none"/>
        </w:rPr>
        <w:tab/>
      </w:r>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1.签约合同价为：</w:t>
      </w:r>
    </w:p>
    <w:p>
      <w:pPr>
        <w:pageBreakBefore w:val="0"/>
        <w:widowControl w:val="0"/>
        <w:kinsoku/>
        <w:wordWrap/>
        <w:overflowPunct/>
        <w:topLinePunct w:val="0"/>
        <w:bidi w:val="0"/>
        <w:snapToGrid w:val="0"/>
        <w:spacing w:line="420" w:lineRule="exact"/>
        <w:ind w:firstLine="700" w:firstLineChars="25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人民币（大写）</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元)；</w:t>
      </w:r>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其中：</w:t>
      </w:r>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（1）安全文明施工费：</w:t>
      </w:r>
    </w:p>
    <w:p>
      <w:pPr>
        <w:pageBreakBefore w:val="0"/>
        <w:widowControl w:val="0"/>
        <w:kinsoku/>
        <w:wordWrap/>
        <w:overflowPunct/>
        <w:topLinePunct w:val="0"/>
        <w:bidi w:val="0"/>
        <w:snapToGrid w:val="0"/>
        <w:spacing w:line="420" w:lineRule="exact"/>
        <w:ind w:firstLine="840" w:firstLineChars="3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人民币（大写）</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元)；</w:t>
      </w:r>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（2）材料和工程设备暂估价金额：</w:t>
      </w:r>
    </w:p>
    <w:p>
      <w:pPr>
        <w:pageBreakBefore w:val="0"/>
        <w:widowControl w:val="0"/>
        <w:kinsoku/>
        <w:wordWrap/>
        <w:overflowPunct/>
        <w:topLinePunct w:val="0"/>
        <w:bidi w:val="0"/>
        <w:snapToGrid w:val="0"/>
        <w:spacing w:line="420" w:lineRule="exact"/>
        <w:ind w:firstLine="840" w:firstLineChars="3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人民币（大写）</w:t>
      </w:r>
      <w:r>
        <w:rPr>
          <w:rFonts w:hint="eastAsia"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元)；</w:t>
      </w:r>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（3）专业工程暂估价金额：</w:t>
      </w:r>
    </w:p>
    <w:p>
      <w:pPr>
        <w:pageBreakBefore w:val="0"/>
        <w:widowControl w:val="0"/>
        <w:kinsoku/>
        <w:wordWrap/>
        <w:overflowPunct/>
        <w:topLinePunct w:val="0"/>
        <w:bidi w:val="0"/>
        <w:snapToGrid w:val="0"/>
        <w:spacing w:line="420" w:lineRule="exact"/>
        <w:ind w:firstLine="1260" w:firstLineChars="450"/>
        <w:textAlignment w:val="auto"/>
        <w:rPr>
          <w:rFonts w:hint="default" w:ascii="Times New Roman" w:hAnsi="Times New Roman" w:eastAsia="仿宋_GB2312"/>
          <w:color w:val="000000"/>
          <w:sz w:val="28"/>
          <w:szCs w:val="28"/>
          <w:highlight w:val="none"/>
          <w:lang w:val="en-US" w:eastAsia="zh-CN"/>
        </w:rPr>
      </w:pPr>
      <w:r>
        <w:rPr>
          <w:rFonts w:ascii="Times New Roman" w:hAnsi="Times New Roman" w:eastAsia="仿宋_GB2312"/>
          <w:color w:val="000000"/>
          <w:sz w:val="28"/>
          <w:szCs w:val="28"/>
          <w:highlight w:val="none"/>
        </w:rPr>
        <w:t>人民币（大写）</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元)；</w:t>
      </w:r>
      <w:r>
        <w:rPr>
          <w:rFonts w:hint="eastAsia" w:ascii="Times New Roman" w:hAnsi="Times New Roman" w:eastAsia="仿宋_GB2312"/>
          <w:color w:val="000000"/>
          <w:sz w:val="28"/>
          <w:szCs w:val="28"/>
          <w:highlight w:val="none"/>
          <w:lang w:val="en-US" w:eastAsia="zh-CN"/>
        </w:rPr>
        <w:t xml:space="preserve">    </w:t>
      </w:r>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（4）暂列金额：</w:t>
      </w:r>
    </w:p>
    <w:p>
      <w:pPr>
        <w:pageBreakBefore w:val="0"/>
        <w:widowControl w:val="0"/>
        <w:kinsoku/>
        <w:wordWrap/>
        <w:overflowPunct/>
        <w:topLinePunct w:val="0"/>
        <w:bidi w:val="0"/>
        <w:snapToGrid w:val="0"/>
        <w:spacing w:line="420" w:lineRule="exact"/>
        <w:ind w:firstLine="1260" w:firstLineChars="450"/>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人民币（大写）</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元)。</w:t>
      </w:r>
    </w:p>
    <w:p>
      <w:pPr>
        <w:pageBreakBefore w:val="0"/>
        <w:widowControl w:val="0"/>
        <w:kinsoku/>
        <w:wordWrap/>
        <w:overflowPunct/>
        <w:topLinePunct w:val="0"/>
        <w:bidi w:val="0"/>
        <w:snapToGrid w:val="0"/>
        <w:spacing w:line="420" w:lineRule="exact"/>
        <w:ind w:firstLine="840" w:firstLineChars="300"/>
        <w:textAlignment w:val="auto"/>
        <w:rPr>
          <w:rFonts w:ascii="Times New Roman" w:hAnsi="Times New Roman" w:eastAsia="仿宋_GB2312"/>
          <w:color w:val="000000"/>
          <w:sz w:val="28"/>
          <w:szCs w:val="28"/>
          <w:highlight w:val="none"/>
        </w:rPr>
      </w:pPr>
      <w:r>
        <w:rPr>
          <w:rFonts w:ascii="Times New Roman" w:hAnsi="Times New Roman" w:eastAsia="仿宋_GB2312"/>
          <w:sz w:val="28"/>
          <w:szCs w:val="28"/>
          <w:highlight w:val="none"/>
        </w:rPr>
        <w:t>2.合同价格形式：</w:t>
      </w:r>
      <w:r>
        <w:rPr>
          <w:rFonts w:ascii="Times New Roman" w:hAnsi="Times New Roman" w:eastAsia="仿宋_GB2312"/>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hint="eastAsia" w:ascii="Times New Roman" w:hAnsi="Times New Roman" w:eastAsia="仿宋_GB2312"/>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Style w:val="5"/>
        <w:pageBreakBefore w:val="0"/>
        <w:widowControl w:val="0"/>
        <w:kinsoku/>
        <w:wordWrap/>
        <w:overflowPunct/>
        <w:topLinePunct w:val="0"/>
        <w:bidi w:val="0"/>
        <w:snapToGrid w:val="0"/>
        <w:spacing w:before="120" w:after="120" w:line="420" w:lineRule="exact"/>
        <w:textAlignment w:val="auto"/>
        <w:rPr>
          <w:rFonts w:ascii="Times New Roman" w:hAnsi="Times New Roman"/>
          <w:color w:val="000000"/>
          <w:sz w:val="28"/>
          <w:szCs w:val="28"/>
          <w:highlight w:val="none"/>
        </w:rPr>
      </w:pPr>
      <w:r>
        <w:rPr>
          <w:rFonts w:ascii="Times New Roman" w:hAnsi="Times New Roman"/>
          <w:bCs w:val="0"/>
          <w:color w:val="000000"/>
          <w:sz w:val="28"/>
          <w:szCs w:val="28"/>
          <w:highlight w:val="none"/>
        </w:rPr>
        <w:t xml:space="preserve">   </w:t>
      </w:r>
      <w:r>
        <w:rPr>
          <w:rFonts w:ascii="Times New Roman" w:hAnsi="Times New Roman"/>
          <w:color w:val="000000"/>
          <w:sz w:val="28"/>
          <w:szCs w:val="28"/>
          <w:highlight w:val="none"/>
        </w:rPr>
        <w:t xml:space="preserve"> </w:t>
      </w:r>
      <w:bookmarkStart w:id="117" w:name="_Toc351203485"/>
      <w:r>
        <w:rPr>
          <w:rFonts w:ascii="Times New Roman" w:hAnsi="Times New Roman"/>
          <w:color w:val="000000"/>
          <w:sz w:val="28"/>
          <w:szCs w:val="28"/>
          <w:highlight w:val="none"/>
        </w:rPr>
        <w:t>五、</w:t>
      </w:r>
      <w:bookmarkEnd w:id="117"/>
      <w:r>
        <w:rPr>
          <w:rFonts w:ascii="Times New Roman" w:hAnsi="Times New Roman"/>
          <w:color w:val="000000"/>
          <w:sz w:val="28"/>
          <w:szCs w:val="28"/>
          <w:highlight w:val="none"/>
        </w:rPr>
        <w:t>项目经理</w:t>
      </w:r>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承包人项目经理：</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Style w:val="5"/>
        <w:pageBreakBefore w:val="0"/>
        <w:widowControl w:val="0"/>
        <w:kinsoku/>
        <w:wordWrap/>
        <w:overflowPunct/>
        <w:topLinePunct w:val="0"/>
        <w:bidi w:val="0"/>
        <w:snapToGrid w:val="0"/>
        <w:spacing w:before="120" w:after="120" w:line="420" w:lineRule="exact"/>
        <w:textAlignment w:val="auto"/>
        <w:rPr>
          <w:rFonts w:ascii="Times New Roman" w:hAnsi="Times New Roman"/>
          <w:bCs w:val="0"/>
          <w:color w:val="000000"/>
          <w:sz w:val="28"/>
          <w:szCs w:val="28"/>
          <w:highlight w:val="none"/>
        </w:rPr>
      </w:pPr>
      <w:r>
        <w:rPr>
          <w:rFonts w:ascii="Times New Roman" w:hAnsi="Times New Roman"/>
          <w:bCs w:val="0"/>
          <w:color w:val="000000"/>
          <w:sz w:val="28"/>
          <w:szCs w:val="28"/>
          <w:highlight w:val="none"/>
        </w:rPr>
        <w:t xml:space="preserve">   </w:t>
      </w:r>
      <w:r>
        <w:rPr>
          <w:rFonts w:ascii="Times New Roman" w:hAnsi="Times New Roman"/>
          <w:color w:val="000000"/>
          <w:sz w:val="28"/>
          <w:szCs w:val="28"/>
          <w:highlight w:val="none"/>
        </w:rPr>
        <w:t xml:space="preserve"> </w:t>
      </w:r>
      <w:bookmarkStart w:id="118" w:name="_Toc351203486"/>
      <w:r>
        <w:rPr>
          <w:rFonts w:ascii="Times New Roman" w:hAnsi="Times New Roman"/>
          <w:color w:val="000000"/>
          <w:sz w:val="28"/>
          <w:szCs w:val="28"/>
          <w:highlight w:val="none"/>
        </w:rPr>
        <w:t>六、合同文件构成</w:t>
      </w:r>
      <w:bookmarkEnd w:id="118"/>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bCs/>
          <w:color w:val="000000"/>
          <w:sz w:val="28"/>
          <w:szCs w:val="28"/>
          <w:highlight w:val="none"/>
        </w:rPr>
      </w:pPr>
      <w:r>
        <w:rPr>
          <w:rFonts w:ascii="Times New Roman" w:hAnsi="Times New Roman" w:eastAsia="仿宋_GB2312"/>
          <w:bCs/>
          <w:color w:val="000000"/>
          <w:sz w:val="28"/>
          <w:szCs w:val="28"/>
          <w:highlight w:val="none"/>
        </w:rPr>
        <w:t>本协议书与下列文件一起构成合同文件：</w:t>
      </w:r>
    </w:p>
    <w:p>
      <w:pPr>
        <w:pageBreakBefore w:val="0"/>
        <w:widowControl w:val="0"/>
        <w:kinsoku/>
        <w:wordWrap/>
        <w:overflowPunct/>
        <w:topLinePunct w:val="0"/>
        <w:autoSpaceDE w:val="0"/>
        <w:autoSpaceDN w:val="0"/>
        <w:bidi w:val="0"/>
        <w:adjustRightInd w:val="0"/>
        <w:snapToGrid w:val="0"/>
        <w:spacing w:line="42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（1）中标通知书（如果有）；</w:t>
      </w:r>
    </w:p>
    <w:p>
      <w:pPr>
        <w:pageBreakBefore w:val="0"/>
        <w:widowControl w:val="0"/>
        <w:kinsoku/>
        <w:wordWrap/>
        <w:overflowPunct/>
        <w:topLinePunct w:val="0"/>
        <w:autoSpaceDE w:val="0"/>
        <w:autoSpaceDN w:val="0"/>
        <w:bidi w:val="0"/>
        <w:adjustRightInd w:val="0"/>
        <w:snapToGrid w:val="0"/>
        <w:spacing w:line="42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xml:space="preserve">（2）投标函及其附录（如果有）； </w:t>
      </w:r>
    </w:p>
    <w:p>
      <w:pPr>
        <w:pageBreakBefore w:val="0"/>
        <w:widowControl w:val="0"/>
        <w:kinsoku/>
        <w:wordWrap/>
        <w:overflowPunct/>
        <w:topLinePunct w:val="0"/>
        <w:autoSpaceDE w:val="0"/>
        <w:autoSpaceDN w:val="0"/>
        <w:bidi w:val="0"/>
        <w:adjustRightInd w:val="0"/>
        <w:snapToGrid w:val="0"/>
        <w:spacing w:line="42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（3）专用合同条款及其附件；</w:t>
      </w:r>
    </w:p>
    <w:p>
      <w:pPr>
        <w:pageBreakBefore w:val="0"/>
        <w:widowControl w:val="0"/>
        <w:kinsoku/>
        <w:wordWrap/>
        <w:overflowPunct/>
        <w:topLinePunct w:val="0"/>
        <w:autoSpaceDE w:val="0"/>
        <w:autoSpaceDN w:val="0"/>
        <w:bidi w:val="0"/>
        <w:adjustRightInd w:val="0"/>
        <w:snapToGrid w:val="0"/>
        <w:spacing w:line="42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（4）通用合同条款；</w:t>
      </w:r>
    </w:p>
    <w:p>
      <w:pPr>
        <w:pageBreakBefore w:val="0"/>
        <w:widowControl w:val="0"/>
        <w:kinsoku/>
        <w:wordWrap/>
        <w:overflowPunct/>
        <w:topLinePunct w:val="0"/>
        <w:autoSpaceDE w:val="0"/>
        <w:autoSpaceDN w:val="0"/>
        <w:bidi w:val="0"/>
        <w:adjustRightInd w:val="0"/>
        <w:snapToGrid w:val="0"/>
        <w:spacing w:line="42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（5）技术标准和要求；</w:t>
      </w:r>
    </w:p>
    <w:p>
      <w:pPr>
        <w:pageBreakBefore w:val="0"/>
        <w:widowControl w:val="0"/>
        <w:kinsoku/>
        <w:wordWrap/>
        <w:overflowPunct/>
        <w:topLinePunct w:val="0"/>
        <w:autoSpaceDE w:val="0"/>
        <w:autoSpaceDN w:val="0"/>
        <w:bidi w:val="0"/>
        <w:adjustRightInd w:val="0"/>
        <w:snapToGrid w:val="0"/>
        <w:spacing w:line="42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（6）图纸；</w:t>
      </w:r>
    </w:p>
    <w:p>
      <w:pPr>
        <w:pageBreakBefore w:val="0"/>
        <w:widowControl w:val="0"/>
        <w:kinsoku/>
        <w:wordWrap/>
        <w:overflowPunct/>
        <w:topLinePunct w:val="0"/>
        <w:autoSpaceDE w:val="0"/>
        <w:autoSpaceDN w:val="0"/>
        <w:bidi w:val="0"/>
        <w:adjustRightInd w:val="0"/>
        <w:snapToGrid w:val="0"/>
        <w:spacing w:line="42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（7）已标价工程量清单或预算书；</w:t>
      </w:r>
    </w:p>
    <w:p>
      <w:pPr>
        <w:pageBreakBefore w:val="0"/>
        <w:widowControl w:val="0"/>
        <w:kinsoku/>
        <w:wordWrap/>
        <w:overflowPunct/>
        <w:topLinePunct w:val="0"/>
        <w:autoSpaceDE w:val="0"/>
        <w:autoSpaceDN w:val="0"/>
        <w:bidi w:val="0"/>
        <w:adjustRightInd w:val="0"/>
        <w:snapToGrid w:val="0"/>
        <w:spacing w:line="42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（8）其他合同文件。</w:t>
      </w:r>
    </w:p>
    <w:p>
      <w:pPr>
        <w:pageBreakBefore w:val="0"/>
        <w:widowControl w:val="0"/>
        <w:kinsoku/>
        <w:wordWrap/>
        <w:overflowPunct/>
        <w:topLinePunct w:val="0"/>
        <w:autoSpaceDE w:val="0"/>
        <w:autoSpaceDN w:val="0"/>
        <w:bidi w:val="0"/>
        <w:adjustRightInd w:val="0"/>
        <w:snapToGrid w:val="0"/>
        <w:spacing w:line="42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在合同订立及履行过程中形成的与合同有关的文件均构成合同文件组成部分。</w:t>
      </w:r>
    </w:p>
    <w:p>
      <w:pPr>
        <w:pageBreakBefore w:val="0"/>
        <w:widowControl w:val="0"/>
        <w:kinsoku/>
        <w:wordWrap/>
        <w:overflowPunct/>
        <w:topLinePunct w:val="0"/>
        <w:autoSpaceDE w:val="0"/>
        <w:autoSpaceDN w:val="0"/>
        <w:bidi w:val="0"/>
        <w:adjustRightInd w:val="0"/>
        <w:snapToGrid w:val="0"/>
        <w:spacing w:line="42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上述各项合同文件包括合同当事人就该项合同文件所作出的补充和修改，属于同一类内容的文件，应以最新签署的为准。</w:t>
      </w:r>
      <w:r>
        <w:rPr>
          <w:rFonts w:hint="eastAsia" w:ascii="Times New Roman" w:hAnsi="Times New Roman" w:eastAsia="仿宋_GB2312"/>
          <w:color w:val="000000"/>
          <w:sz w:val="28"/>
          <w:szCs w:val="28"/>
          <w:highlight w:val="none"/>
        </w:rPr>
        <w:t>专用合同条款及其附件须经合同当事人签字或盖章。</w:t>
      </w:r>
    </w:p>
    <w:p>
      <w:pPr>
        <w:pStyle w:val="5"/>
        <w:pageBreakBefore w:val="0"/>
        <w:widowControl w:val="0"/>
        <w:kinsoku/>
        <w:wordWrap/>
        <w:overflowPunct/>
        <w:topLinePunct w:val="0"/>
        <w:bidi w:val="0"/>
        <w:snapToGrid w:val="0"/>
        <w:spacing w:before="120" w:after="120" w:line="420" w:lineRule="exact"/>
        <w:textAlignment w:val="auto"/>
        <w:rPr>
          <w:rFonts w:ascii="Times New Roman" w:hAnsi="Times New Roman"/>
          <w:bCs w:val="0"/>
          <w:color w:val="000000"/>
          <w:sz w:val="28"/>
          <w:szCs w:val="28"/>
          <w:highlight w:val="none"/>
        </w:rPr>
      </w:pPr>
      <w:r>
        <w:rPr>
          <w:rFonts w:ascii="Times New Roman" w:hAnsi="Times New Roman"/>
          <w:bCs w:val="0"/>
          <w:color w:val="000000"/>
          <w:sz w:val="28"/>
          <w:szCs w:val="28"/>
          <w:highlight w:val="none"/>
        </w:rPr>
        <w:t xml:space="preserve">   </w:t>
      </w:r>
      <w:r>
        <w:rPr>
          <w:rFonts w:ascii="Times New Roman" w:hAnsi="Times New Roman"/>
          <w:color w:val="000000"/>
          <w:sz w:val="28"/>
          <w:szCs w:val="28"/>
          <w:highlight w:val="none"/>
        </w:rPr>
        <w:t xml:space="preserve"> </w:t>
      </w:r>
      <w:bookmarkStart w:id="119" w:name="_Toc351203487"/>
      <w:r>
        <w:rPr>
          <w:rFonts w:ascii="Times New Roman" w:hAnsi="Times New Roman"/>
          <w:color w:val="000000"/>
          <w:sz w:val="28"/>
          <w:szCs w:val="28"/>
          <w:highlight w:val="none"/>
        </w:rPr>
        <w:t>七、承诺</w:t>
      </w:r>
      <w:bookmarkEnd w:id="119"/>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bCs/>
          <w:color w:val="000000"/>
          <w:sz w:val="28"/>
          <w:szCs w:val="28"/>
          <w:highlight w:val="none"/>
        </w:rPr>
      </w:pPr>
      <w:r>
        <w:rPr>
          <w:rFonts w:ascii="Times New Roman" w:hAnsi="Times New Roman" w:eastAsia="仿宋_GB2312"/>
          <w:bCs/>
          <w:color w:val="000000"/>
          <w:sz w:val="28"/>
          <w:szCs w:val="28"/>
          <w:highlight w:val="none"/>
        </w:rPr>
        <w:t>1.发包人承诺按照法律规定履行项目审批手续、筹集工程建设资金并按照合同约定的期限和方式支付合同价款。</w:t>
      </w:r>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bCs/>
          <w:color w:val="000000"/>
          <w:sz w:val="28"/>
          <w:szCs w:val="28"/>
          <w:highlight w:val="none"/>
        </w:rPr>
      </w:pPr>
      <w:r>
        <w:rPr>
          <w:rFonts w:ascii="Times New Roman" w:hAnsi="Times New Roman" w:eastAsia="仿宋_GB2312"/>
          <w:bCs/>
          <w:color w:val="000000"/>
          <w:sz w:val="28"/>
          <w:szCs w:val="28"/>
          <w:highlight w:val="none"/>
        </w:rPr>
        <w:t>2.承包人承诺按照法律规定及合同约定组织完成工程施工，确保工程质量和安全，不进行转包及违法分包，并在缺陷责任期及保修期内承担相应的工程维修责任。</w:t>
      </w:r>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bCs/>
          <w:color w:val="000000"/>
          <w:sz w:val="28"/>
          <w:szCs w:val="28"/>
          <w:highlight w:val="none"/>
        </w:rPr>
      </w:pPr>
      <w:r>
        <w:rPr>
          <w:rFonts w:ascii="Times New Roman" w:hAnsi="Times New Roman" w:eastAsia="仿宋_GB2312"/>
          <w:bCs/>
          <w:color w:val="000000"/>
          <w:sz w:val="28"/>
          <w:szCs w:val="28"/>
          <w:highlight w:val="none"/>
        </w:rPr>
        <w:t>3.发包人和承包人通过招投标形式签订合同的，双方理解并</w:t>
      </w:r>
      <w:r>
        <w:rPr>
          <w:rFonts w:hint="eastAsia" w:ascii="Times New Roman" w:hAnsi="Times New Roman" w:eastAsia="仿宋_GB2312"/>
          <w:bCs/>
          <w:color w:val="000000"/>
          <w:sz w:val="28"/>
          <w:szCs w:val="28"/>
          <w:highlight w:val="none"/>
        </w:rPr>
        <w:t>承诺</w:t>
      </w:r>
      <w:r>
        <w:rPr>
          <w:rFonts w:ascii="Times New Roman" w:hAnsi="Times New Roman" w:eastAsia="仿宋_GB2312"/>
          <w:bCs/>
          <w:color w:val="000000"/>
          <w:sz w:val="28"/>
          <w:szCs w:val="28"/>
          <w:highlight w:val="none"/>
        </w:rPr>
        <w:t>不再就同一工程另行签订与合同实质性内容相背离的协议。</w:t>
      </w:r>
    </w:p>
    <w:p>
      <w:pPr>
        <w:pageBreakBefore w:val="0"/>
        <w:widowControl w:val="0"/>
        <w:kinsoku/>
        <w:wordWrap/>
        <w:overflowPunct/>
        <w:topLinePunct w:val="0"/>
        <w:bidi w:val="0"/>
        <w:snapToGrid w:val="0"/>
        <w:spacing w:line="420" w:lineRule="exact"/>
        <w:textAlignment w:val="auto"/>
        <w:rPr>
          <w:rFonts w:ascii="Times New Roman" w:hAnsi="Times New Roman" w:eastAsia="黑体"/>
          <w:bCs/>
          <w:color w:val="000000"/>
          <w:sz w:val="28"/>
          <w:szCs w:val="28"/>
          <w:highlight w:val="none"/>
        </w:rPr>
      </w:pPr>
      <w:bookmarkStart w:id="120" w:name="_Toc351203488"/>
      <w:r>
        <w:rPr>
          <w:rFonts w:hint="eastAsia" w:ascii="Times New Roman" w:hAnsi="Times New Roman" w:eastAsia="黑体"/>
          <w:b/>
          <w:color w:val="000000"/>
          <w:sz w:val="28"/>
          <w:szCs w:val="28"/>
          <w:highlight w:val="none"/>
        </w:rPr>
        <w:t xml:space="preserve">    </w:t>
      </w:r>
      <w:r>
        <w:rPr>
          <w:rFonts w:ascii="Times New Roman" w:hAnsi="Times New Roman" w:eastAsia="黑体"/>
          <w:b/>
          <w:color w:val="000000"/>
          <w:sz w:val="28"/>
          <w:szCs w:val="28"/>
          <w:highlight w:val="none"/>
        </w:rPr>
        <w:t>八、词语含义</w:t>
      </w:r>
      <w:bookmarkEnd w:id="120"/>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bCs/>
          <w:color w:val="000000"/>
          <w:sz w:val="28"/>
          <w:szCs w:val="28"/>
          <w:highlight w:val="none"/>
        </w:rPr>
      </w:pPr>
      <w:r>
        <w:rPr>
          <w:rFonts w:ascii="Times New Roman" w:hAnsi="Times New Roman" w:eastAsia="仿宋_GB2312"/>
          <w:bCs/>
          <w:color w:val="000000"/>
          <w:sz w:val="28"/>
          <w:szCs w:val="28"/>
          <w:highlight w:val="none"/>
        </w:rPr>
        <w:t>本协议书中词语含义与第二部分通用合同条款中赋予的含义相同。</w:t>
      </w:r>
    </w:p>
    <w:p>
      <w:pPr>
        <w:pStyle w:val="5"/>
        <w:pageBreakBefore w:val="0"/>
        <w:widowControl w:val="0"/>
        <w:kinsoku/>
        <w:wordWrap/>
        <w:overflowPunct/>
        <w:topLinePunct w:val="0"/>
        <w:bidi w:val="0"/>
        <w:snapToGrid w:val="0"/>
        <w:spacing w:before="120" w:after="120" w:line="420" w:lineRule="exact"/>
        <w:textAlignment w:val="auto"/>
        <w:rPr>
          <w:rFonts w:ascii="Times New Roman" w:hAnsi="Times New Roman"/>
          <w:bCs w:val="0"/>
          <w:color w:val="000000"/>
          <w:sz w:val="28"/>
          <w:szCs w:val="28"/>
          <w:highlight w:val="none"/>
        </w:rPr>
      </w:pPr>
      <w:r>
        <w:rPr>
          <w:rFonts w:ascii="Times New Roman" w:hAnsi="Times New Roman"/>
          <w:bCs w:val="0"/>
          <w:color w:val="000000"/>
          <w:sz w:val="28"/>
          <w:szCs w:val="28"/>
          <w:highlight w:val="none"/>
        </w:rPr>
        <w:t xml:space="preserve">  </w:t>
      </w:r>
      <w:r>
        <w:rPr>
          <w:rFonts w:ascii="Times New Roman" w:hAnsi="Times New Roman"/>
          <w:color w:val="000000"/>
          <w:sz w:val="28"/>
          <w:szCs w:val="28"/>
          <w:highlight w:val="none"/>
        </w:rPr>
        <w:t xml:space="preserve">  </w:t>
      </w:r>
      <w:bookmarkStart w:id="121" w:name="_Toc351203489"/>
      <w:r>
        <w:rPr>
          <w:rFonts w:ascii="Times New Roman" w:hAnsi="Times New Roman"/>
          <w:color w:val="000000"/>
          <w:sz w:val="28"/>
          <w:szCs w:val="28"/>
          <w:highlight w:val="none"/>
        </w:rPr>
        <w:t>九、签订时间</w:t>
      </w:r>
      <w:bookmarkEnd w:id="121"/>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bCs/>
          <w:color w:val="000000"/>
          <w:sz w:val="28"/>
          <w:szCs w:val="28"/>
          <w:highlight w:val="none"/>
        </w:rPr>
      </w:pPr>
      <w:r>
        <w:rPr>
          <w:rFonts w:ascii="Times New Roman" w:hAnsi="Times New Roman" w:eastAsia="仿宋_GB2312"/>
          <w:bCs/>
          <w:color w:val="000000"/>
          <w:sz w:val="28"/>
          <w:szCs w:val="28"/>
          <w:highlight w:val="none"/>
        </w:rPr>
        <w:t>本合同于</w:t>
      </w:r>
      <w:r>
        <w:rPr>
          <w:rFonts w:ascii="Times New Roman" w:hAnsi="Times New Roman" w:eastAsia="仿宋_GB2312"/>
          <w:bCs/>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bCs/>
          <w:color w:val="000000"/>
          <w:sz w:val="28"/>
          <w:szCs w:val="28"/>
          <w:highlight w:val="none"/>
          <w:u w:val="single"/>
        </w:rPr>
        <w:t xml:space="preserve">  </w:t>
      </w:r>
      <w:r>
        <w:rPr>
          <w:rFonts w:ascii="Times New Roman" w:hAnsi="Times New Roman" w:eastAsia="仿宋_GB2312"/>
          <w:bCs/>
          <w:color w:val="000000"/>
          <w:sz w:val="28"/>
          <w:szCs w:val="28"/>
          <w:highlight w:val="none"/>
        </w:rPr>
        <w:t>年</w:t>
      </w:r>
      <w:r>
        <w:rPr>
          <w:rFonts w:ascii="Times New Roman" w:hAnsi="Times New Roman" w:eastAsia="仿宋_GB2312"/>
          <w:bCs/>
          <w:color w:val="000000"/>
          <w:sz w:val="28"/>
          <w:szCs w:val="28"/>
          <w:highlight w:val="none"/>
          <w:u w:val="single"/>
        </w:rPr>
        <w:t xml:space="preserve"> </w:t>
      </w:r>
      <w:r>
        <w:rPr>
          <w:rFonts w:hint="eastAsia" w:ascii="Times New Roman" w:hAnsi="Times New Roman" w:eastAsia="仿宋_GB2312"/>
          <w:bCs/>
          <w:color w:val="000000"/>
          <w:sz w:val="28"/>
          <w:szCs w:val="28"/>
          <w:highlight w:val="none"/>
          <w:u w:val="single"/>
          <w:lang w:val="en-US" w:eastAsia="zh-CN"/>
        </w:rPr>
        <w:t xml:space="preserve">   </w:t>
      </w:r>
      <w:r>
        <w:rPr>
          <w:rFonts w:ascii="Times New Roman" w:hAnsi="Times New Roman" w:eastAsia="仿宋_GB2312"/>
          <w:bCs/>
          <w:color w:val="000000"/>
          <w:sz w:val="28"/>
          <w:szCs w:val="28"/>
          <w:highlight w:val="none"/>
        </w:rPr>
        <w:t>月</w:t>
      </w:r>
      <w:r>
        <w:rPr>
          <w:rFonts w:ascii="Times New Roman" w:hAnsi="Times New Roman" w:eastAsia="仿宋_GB2312"/>
          <w:bCs/>
          <w:color w:val="000000"/>
          <w:sz w:val="28"/>
          <w:szCs w:val="28"/>
          <w:highlight w:val="none"/>
          <w:u w:val="single"/>
        </w:rPr>
        <w:t xml:space="preserve"> </w:t>
      </w:r>
      <w:r>
        <w:rPr>
          <w:rFonts w:hint="eastAsia" w:ascii="Times New Roman" w:hAnsi="Times New Roman" w:eastAsia="仿宋_GB2312"/>
          <w:bCs/>
          <w:color w:val="000000"/>
          <w:sz w:val="28"/>
          <w:szCs w:val="28"/>
          <w:highlight w:val="none"/>
          <w:u w:val="single"/>
          <w:lang w:val="en-US" w:eastAsia="zh-CN"/>
        </w:rPr>
        <w:t xml:space="preserve">    </w:t>
      </w:r>
      <w:r>
        <w:rPr>
          <w:rFonts w:ascii="Times New Roman" w:hAnsi="Times New Roman" w:eastAsia="仿宋_GB2312"/>
          <w:bCs/>
          <w:color w:val="000000"/>
          <w:sz w:val="28"/>
          <w:szCs w:val="28"/>
          <w:highlight w:val="none"/>
        </w:rPr>
        <w:t>日签订。</w:t>
      </w:r>
    </w:p>
    <w:p>
      <w:pPr>
        <w:pStyle w:val="5"/>
        <w:pageBreakBefore w:val="0"/>
        <w:widowControl w:val="0"/>
        <w:kinsoku/>
        <w:wordWrap/>
        <w:overflowPunct/>
        <w:topLinePunct w:val="0"/>
        <w:bidi w:val="0"/>
        <w:snapToGrid w:val="0"/>
        <w:spacing w:before="120" w:after="120" w:line="420" w:lineRule="exact"/>
        <w:textAlignment w:val="auto"/>
        <w:rPr>
          <w:rFonts w:ascii="Times New Roman" w:hAnsi="Times New Roman"/>
          <w:bCs w:val="0"/>
          <w:color w:val="000000"/>
          <w:sz w:val="28"/>
          <w:szCs w:val="28"/>
          <w:highlight w:val="none"/>
        </w:rPr>
      </w:pPr>
      <w:r>
        <w:rPr>
          <w:rFonts w:ascii="Times New Roman" w:hAnsi="Times New Roman"/>
          <w:bCs w:val="0"/>
          <w:color w:val="000000"/>
          <w:sz w:val="28"/>
          <w:szCs w:val="28"/>
          <w:highlight w:val="none"/>
        </w:rPr>
        <w:t xml:space="preserve">    </w:t>
      </w:r>
      <w:bookmarkStart w:id="122" w:name="_Toc351203490"/>
      <w:r>
        <w:rPr>
          <w:rFonts w:ascii="Times New Roman" w:hAnsi="Times New Roman"/>
          <w:color w:val="000000"/>
          <w:sz w:val="28"/>
          <w:szCs w:val="28"/>
          <w:highlight w:val="none"/>
        </w:rPr>
        <w:t>十、签订地点</w:t>
      </w:r>
      <w:bookmarkEnd w:id="122"/>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bCs/>
          <w:color w:val="000000"/>
          <w:sz w:val="28"/>
          <w:szCs w:val="28"/>
          <w:highlight w:val="none"/>
        </w:rPr>
      </w:pPr>
      <w:r>
        <w:rPr>
          <w:rFonts w:ascii="Times New Roman" w:hAnsi="Times New Roman" w:eastAsia="仿宋_GB2312"/>
          <w:bCs/>
          <w:color w:val="000000"/>
          <w:sz w:val="28"/>
          <w:szCs w:val="28"/>
          <w:highlight w:val="none"/>
        </w:rPr>
        <w:t>本合同在</w:t>
      </w:r>
      <w:r>
        <w:rPr>
          <w:rFonts w:ascii="Times New Roman" w:hAnsi="Times New Roman" w:eastAsia="仿宋_GB2312"/>
          <w:bCs/>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bCs/>
          <w:color w:val="000000"/>
          <w:sz w:val="28"/>
          <w:szCs w:val="28"/>
          <w:highlight w:val="none"/>
          <w:u w:val="single"/>
        </w:rPr>
        <w:t xml:space="preserve">    </w:t>
      </w:r>
      <w:r>
        <w:rPr>
          <w:rFonts w:ascii="Times New Roman" w:hAnsi="Times New Roman" w:eastAsia="仿宋_GB2312"/>
          <w:bCs/>
          <w:color w:val="000000"/>
          <w:sz w:val="28"/>
          <w:szCs w:val="28"/>
          <w:highlight w:val="none"/>
        </w:rPr>
        <w:t>签订。</w:t>
      </w:r>
    </w:p>
    <w:p>
      <w:pPr>
        <w:pStyle w:val="5"/>
        <w:pageBreakBefore w:val="0"/>
        <w:widowControl w:val="0"/>
        <w:kinsoku/>
        <w:wordWrap/>
        <w:overflowPunct/>
        <w:topLinePunct w:val="0"/>
        <w:bidi w:val="0"/>
        <w:snapToGrid w:val="0"/>
        <w:spacing w:before="120" w:after="120" w:line="420" w:lineRule="exact"/>
        <w:textAlignment w:val="auto"/>
        <w:rPr>
          <w:rFonts w:ascii="Times New Roman" w:hAnsi="Times New Roman"/>
          <w:bCs w:val="0"/>
          <w:color w:val="000000"/>
          <w:sz w:val="28"/>
          <w:szCs w:val="28"/>
          <w:highlight w:val="none"/>
        </w:rPr>
      </w:pPr>
      <w:r>
        <w:rPr>
          <w:rFonts w:ascii="Times New Roman" w:hAnsi="Times New Roman"/>
          <w:bCs w:val="0"/>
          <w:color w:val="000000"/>
          <w:sz w:val="28"/>
          <w:szCs w:val="28"/>
          <w:highlight w:val="none"/>
        </w:rPr>
        <w:t xml:space="preserve">    </w:t>
      </w:r>
      <w:bookmarkStart w:id="123" w:name="_Toc351203491"/>
      <w:r>
        <w:rPr>
          <w:rFonts w:ascii="Times New Roman" w:hAnsi="Times New Roman"/>
          <w:color w:val="000000"/>
          <w:sz w:val="28"/>
          <w:szCs w:val="28"/>
          <w:highlight w:val="none"/>
        </w:rPr>
        <w:t>十一、补充协议</w:t>
      </w:r>
      <w:bookmarkEnd w:id="123"/>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b/>
          <w:bCs/>
          <w:color w:val="000000"/>
          <w:sz w:val="28"/>
          <w:szCs w:val="28"/>
          <w:highlight w:val="none"/>
        </w:rPr>
      </w:pPr>
      <w:r>
        <w:rPr>
          <w:rFonts w:ascii="Times New Roman" w:hAnsi="Times New Roman" w:eastAsia="仿宋_GB2312"/>
          <w:bCs/>
          <w:color w:val="000000"/>
          <w:sz w:val="28"/>
          <w:szCs w:val="28"/>
          <w:highlight w:val="none"/>
        </w:rPr>
        <w:t>合同未尽事宜，合同当事人另行签订补充协议</w:t>
      </w:r>
      <w:r>
        <w:rPr>
          <w:rFonts w:hint="eastAsia" w:ascii="Times New Roman" w:hAnsi="Times New Roman" w:eastAsia="仿宋_GB2312"/>
          <w:bCs/>
          <w:color w:val="000000"/>
          <w:sz w:val="28"/>
          <w:szCs w:val="28"/>
          <w:highlight w:val="none"/>
        </w:rPr>
        <w:t>，</w:t>
      </w:r>
      <w:r>
        <w:rPr>
          <w:rFonts w:ascii="Times New Roman" w:hAnsi="Times New Roman" w:eastAsia="仿宋_GB2312"/>
          <w:bCs/>
          <w:color w:val="000000"/>
          <w:sz w:val="28"/>
          <w:szCs w:val="28"/>
          <w:highlight w:val="none"/>
        </w:rPr>
        <w:t>补充协议是合同的组成部分。</w:t>
      </w:r>
    </w:p>
    <w:p>
      <w:pPr>
        <w:pStyle w:val="5"/>
        <w:pageBreakBefore w:val="0"/>
        <w:widowControl w:val="0"/>
        <w:kinsoku/>
        <w:wordWrap/>
        <w:overflowPunct/>
        <w:topLinePunct w:val="0"/>
        <w:bidi w:val="0"/>
        <w:snapToGrid w:val="0"/>
        <w:spacing w:before="120" w:after="120" w:line="420" w:lineRule="exact"/>
        <w:textAlignment w:val="auto"/>
        <w:rPr>
          <w:rFonts w:ascii="Times New Roman" w:hAnsi="Times New Roman"/>
          <w:bCs w:val="0"/>
          <w:color w:val="000000"/>
          <w:sz w:val="28"/>
          <w:szCs w:val="28"/>
          <w:highlight w:val="none"/>
        </w:rPr>
      </w:pPr>
      <w:r>
        <w:rPr>
          <w:rFonts w:ascii="Times New Roman" w:hAnsi="Times New Roman"/>
          <w:bCs w:val="0"/>
          <w:color w:val="000000"/>
          <w:sz w:val="28"/>
          <w:szCs w:val="28"/>
          <w:highlight w:val="none"/>
        </w:rPr>
        <w:t xml:space="preserve">    </w:t>
      </w:r>
      <w:bookmarkStart w:id="124" w:name="_Toc351203492"/>
      <w:r>
        <w:rPr>
          <w:rFonts w:ascii="Times New Roman" w:hAnsi="Times New Roman"/>
          <w:color w:val="000000"/>
          <w:sz w:val="28"/>
          <w:szCs w:val="28"/>
          <w:highlight w:val="none"/>
        </w:rPr>
        <w:t>十二、合同生效</w:t>
      </w:r>
      <w:bookmarkEnd w:id="124"/>
    </w:p>
    <w:p>
      <w:pPr>
        <w:pageBreakBefore w:val="0"/>
        <w:widowControl w:val="0"/>
        <w:kinsoku/>
        <w:wordWrap/>
        <w:overflowPunct/>
        <w:topLinePunct w:val="0"/>
        <w:bidi w:val="0"/>
        <w:snapToGrid w:val="0"/>
        <w:spacing w:line="420" w:lineRule="exact"/>
        <w:ind w:firstLine="560" w:firstLineChars="200"/>
        <w:textAlignment w:val="auto"/>
        <w:rPr>
          <w:rFonts w:ascii="Times New Roman" w:hAnsi="Times New Roman" w:eastAsia="仿宋_GB2312"/>
          <w:bCs/>
          <w:color w:val="000000"/>
          <w:sz w:val="28"/>
          <w:szCs w:val="28"/>
          <w:highlight w:val="none"/>
        </w:rPr>
      </w:pPr>
      <w:r>
        <w:rPr>
          <w:rFonts w:ascii="Times New Roman" w:hAnsi="Times New Roman" w:eastAsia="仿宋_GB2312"/>
          <w:bCs/>
          <w:color w:val="000000"/>
          <w:sz w:val="28"/>
          <w:szCs w:val="28"/>
          <w:highlight w:val="none"/>
        </w:rPr>
        <w:t>本合同自</w:t>
      </w:r>
      <w:r>
        <w:rPr>
          <w:rFonts w:ascii="Times New Roman" w:hAnsi="Times New Roman" w:eastAsia="仿宋_GB2312"/>
          <w:bCs/>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bCs/>
          <w:color w:val="000000"/>
          <w:sz w:val="28"/>
          <w:szCs w:val="28"/>
          <w:highlight w:val="none"/>
          <w:u w:val="single"/>
        </w:rPr>
        <w:t xml:space="preserve">        </w:t>
      </w:r>
      <w:r>
        <w:rPr>
          <w:rFonts w:ascii="Times New Roman" w:hAnsi="Times New Roman" w:eastAsia="仿宋_GB2312"/>
          <w:bCs/>
          <w:color w:val="000000"/>
          <w:sz w:val="28"/>
          <w:szCs w:val="28"/>
          <w:highlight w:val="none"/>
        </w:rPr>
        <w:t>生效。</w:t>
      </w:r>
    </w:p>
    <w:p>
      <w:pPr>
        <w:pStyle w:val="5"/>
        <w:pageBreakBefore w:val="0"/>
        <w:widowControl w:val="0"/>
        <w:kinsoku/>
        <w:wordWrap/>
        <w:overflowPunct/>
        <w:topLinePunct w:val="0"/>
        <w:bidi w:val="0"/>
        <w:snapToGrid w:val="0"/>
        <w:spacing w:before="120" w:after="120" w:line="420" w:lineRule="exact"/>
        <w:textAlignment w:val="auto"/>
        <w:rPr>
          <w:rFonts w:ascii="Times New Roman" w:hAnsi="Times New Roman"/>
          <w:bCs w:val="0"/>
          <w:color w:val="000000"/>
          <w:sz w:val="28"/>
          <w:szCs w:val="28"/>
          <w:highlight w:val="none"/>
        </w:rPr>
      </w:pPr>
      <w:r>
        <w:rPr>
          <w:rFonts w:ascii="Times New Roman" w:hAnsi="Times New Roman"/>
          <w:bCs w:val="0"/>
          <w:color w:val="000000"/>
          <w:sz w:val="28"/>
          <w:szCs w:val="28"/>
          <w:highlight w:val="none"/>
        </w:rPr>
        <w:t xml:space="preserve">    </w:t>
      </w:r>
      <w:bookmarkStart w:id="125" w:name="_Toc351203493"/>
      <w:r>
        <w:rPr>
          <w:rFonts w:ascii="Times New Roman" w:hAnsi="Times New Roman"/>
          <w:color w:val="000000"/>
          <w:sz w:val="28"/>
          <w:szCs w:val="28"/>
          <w:highlight w:val="none"/>
        </w:rPr>
        <w:t>十三、合同份数</w:t>
      </w:r>
      <w:bookmarkEnd w:id="125"/>
    </w:p>
    <w:p>
      <w:pPr>
        <w:pageBreakBefore w:val="0"/>
        <w:widowControl w:val="0"/>
        <w:kinsoku/>
        <w:wordWrap/>
        <w:overflowPunct/>
        <w:topLinePunct w:val="0"/>
        <w:bidi w:val="0"/>
        <w:snapToGrid w:val="0"/>
        <w:spacing w:line="420" w:lineRule="exact"/>
        <w:ind w:firstLine="560" w:firstLineChars="200"/>
        <w:textAlignment w:val="auto"/>
        <w:rPr>
          <w:rFonts w:hint="eastAsia" w:ascii="Times New Roman" w:hAnsi="Times New Roman" w:eastAsia="仿宋_GB2312"/>
          <w:bCs/>
          <w:color w:val="000000"/>
          <w:sz w:val="28"/>
          <w:szCs w:val="28"/>
          <w:highlight w:val="none"/>
        </w:rPr>
      </w:pPr>
      <w:r>
        <w:rPr>
          <w:rFonts w:ascii="Times New Roman" w:hAnsi="Times New Roman" w:eastAsia="仿宋_GB2312"/>
          <w:bCs/>
          <w:color w:val="000000"/>
          <w:sz w:val="28"/>
          <w:szCs w:val="28"/>
          <w:highlight w:val="none"/>
        </w:rPr>
        <w:t>本合同一式</w:t>
      </w:r>
      <w:r>
        <w:rPr>
          <w:rFonts w:ascii="Times New Roman" w:hAnsi="Times New Roman" w:eastAsia="仿宋_GB2312"/>
          <w:bCs/>
          <w:color w:val="000000"/>
          <w:sz w:val="28"/>
          <w:szCs w:val="28"/>
          <w:highlight w:val="none"/>
          <w:u w:val="single"/>
        </w:rPr>
        <w:t xml:space="preserve"> </w:t>
      </w:r>
      <w:r>
        <w:rPr>
          <w:rFonts w:hint="eastAsia" w:ascii="Times New Roman" w:hAnsi="Times New Roman" w:eastAsia="仿宋_GB2312"/>
          <w:bCs/>
          <w:color w:val="000000"/>
          <w:sz w:val="28"/>
          <w:szCs w:val="28"/>
          <w:highlight w:val="none"/>
          <w:u w:val="single"/>
          <w:lang w:val="en-US" w:eastAsia="zh-CN"/>
        </w:rPr>
        <w:t xml:space="preserve">    </w:t>
      </w:r>
      <w:r>
        <w:rPr>
          <w:rFonts w:ascii="Times New Roman" w:hAnsi="Times New Roman" w:eastAsia="仿宋_GB2312"/>
          <w:bCs/>
          <w:color w:val="000000"/>
          <w:sz w:val="28"/>
          <w:szCs w:val="28"/>
          <w:highlight w:val="none"/>
          <w:u w:val="single"/>
        </w:rPr>
        <w:t xml:space="preserve"> </w:t>
      </w:r>
      <w:r>
        <w:rPr>
          <w:rFonts w:ascii="Times New Roman" w:hAnsi="Times New Roman" w:eastAsia="仿宋_GB2312"/>
          <w:bCs/>
          <w:color w:val="000000"/>
          <w:sz w:val="28"/>
          <w:szCs w:val="28"/>
          <w:highlight w:val="none"/>
        </w:rPr>
        <w:t>份，均具有同等法律效力，发包人执</w:t>
      </w:r>
      <w:r>
        <w:rPr>
          <w:rFonts w:ascii="Times New Roman" w:hAnsi="Times New Roman" w:eastAsia="仿宋_GB2312"/>
          <w:bCs/>
          <w:color w:val="000000"/>
          <w:sz w:val="28"/>
          <w:szCs w:val="28"/>
          <w:highlight w:val="none"/>
          <w:u w:val="single"/>
        </w:rPr>
        <w:t xml:space="preserve"> </w:t>
      </w:r>
      <w:r>
        <w:rPr>
          <w:rFonts w:hint="eastAsia" w:ascii="Times New Roman" w:hAnsi="Times New Roman" w:eastAsia="仿宋_GB2312"/>
          <w:bCs/>
          <w:color w:val="000000"/>
          <w:sz w:val="28"/>
          <w:szCs w:val="28"/>
          <w:highlight w:val="none"/>
          <w:u w:val="single"/>
          <w:lang w:val="en-US" w:eastAsia="zh-CN"/>
        </w:rPr>
        <w:t xml:space="preserve">   </w:t>
      </w:r>
      <w:r>
        <w:rPr>
          <w:rFonts w:ascii="Times New Roman" w:hAnsi="Times New Roman" w:eastAsia="仿宋_GB2312"/>
          <w:bCs/>
          <w:color w:val="000000"/>
          <w:sz w:val="28"/>
          <w:szCs w:val="28"/>
          <w:highlight w:val="none"/>
          <w:u w:val="single"/>
        </w:rPr>
        <w:t xml:space="preserve"> </w:t>
      </w:r>
      <w:r>
        <w:rPr>
          <w:rFonts w:ascii="Times New Roman" w:hAnsi="Times New Roman" w:eastAsia="仿宋_GB2312"/>
          <w:bCs/>
          <w:color w:val="000000"/>
          <w:sz w:val="28"/>
          <w:szCs w:val="28"/>
          <w:highlight w:val="none"/>
        </w:rPr>
        <w:t>份，承包人执</w:t>
      </w:r>
      <w:r>
        <w:rPr>
          <w:rFonts w:ascii="Times New Roman" w:hAnsi="Times New Roman" w:eastAsia="仿宋_GB2312"/>
          <w:bCs/>
          <w:color w:val="000000"/>
          <w:sz w:val="28"/>
          <w:szCs w:val="28"/>
          <w:highlight w:val="none"/>
          <w:u w:val="single"/>
        </w:rPr>
        <w:t xml:space="preserve"> </w:t>
      </w:r>
      <w:r>
        <w:rPr>
          <w:rFonts w:hint="eastAsia" w:ascii="Times New Roman" w:hAnsi="Times New Roman" w:eastAsia="仿宋_GB2312"/>
          <w:bCs/>
          <w:color w:val="000000"/>
          <w:sz w:val="28"/>
          <w:szCs w:val="28"/>
          <w:highlight w:val="none"/>
          <w:u w:val="single"/>
          <w:lang w:val="en-US" w:eastAsia="zh-CN"/>
        </w:rPr>
        <w:t xml:space="preserve">   </w:t>
      </w:r>
      <w:r>
        <w:rPr>
          <w:rFonts w:ascii="Times New Roman" w:hAnsi="Times New Roman" w:eastAsia="仿宋_GB2312"/>
          <w:bCs/>
          <w:color w:val="000000"/>
          <w:sz w:val="28"/>
          <w:szCs w:val="28"/>
          <w:highlight w:val="none"/>
          <w:u w:val="single"/>
        </w:rPr>
        <w:t xml:space="preserve"> </w:t>
      </w:r>
      <w:r>
        <w:rPr>
          <w:rFonts w:ascii="Times New Roman" w:hAnsi="Times New Roman" w:eastAsia="仿宋_GB2312"/>
          <w:bCs/>
          <w:color w:val="000000"/>
          <w:sz w:val="28"/>
          <w:szCs w:val="28"/>
          <w:highlight w:val="none"/>
        </w:rPr>
        <w:t>份。</w:t>
      </w:r>
    </w:p>
    <w:p>
      <w:pPr>
        <w:pageBreakBefore w:val="0"/>
        <w:widowControl w:val="0"/>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p>
    <w:p>
      <w:pPr>
        <w:pageBreakBefore w:val="0"/>
        <w:widowControl w:val="0"/>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p>
    <w:p>
      <w:pPr>
        <w:pageBreakBefore w:val="0"/>
        <w:widowControl w:val="0"/>
        <w:kinsoku/>
        <w:wordWrap/>
        <w:overflowPunct/>
        <w:topLinePunct w:val="0"/>
        <w:bidi w:val="0"/>
        <w:snapToGrid w:val="0"/>
        <w:spacing w:line="420" w:lineRule="exact"/>
        <w:textAlignment w:val="auto"/>
        <w:rPr>
          <w:rFonts w:hint="eastAsia"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(公章)</w:t>
      </w:r>
      <w:r>
        <w:rPr>
          <w:rFonts w:hint="eastAsia"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lang w:val="en-US" w:eastAsia="zh-CN"/>
        </w:rPr>
        <w:t xml:space="preserve"> </w:t>
      </w:r>
      <w:r>
        <w:rPr>
          <w:rFonts w:ascii="Times New Roman" w:hAnsi="Times New Roman" w:eastAsia="仿宋_GB2312"/>
          <w:color w:val="000000"/>
          <w:sz w:val="28"/>
          <w:szCs w:val="28"/>
          <w:highlight w:val="none"/>
        </w:rPr>
        <w:t>承包人</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(公章)</w:t>
      </w:r>
    </w:p>
    <w:p>
      <w:pPr>
        <w:pageBreakBefore w:val="0"/>
        <w:widowControl w:val="0"/>
        <w:kinsoku/>
        <w:wordWrap/>
        <w:overflowPunct/>
        <w:topLinePunct w:val="0"/>
        <w:bidi w:val="0"/>
        <w:snapToGrid w:val="0"/>
        <w:spacing w:line="420" w:lineRule="exact"/>
        <w:textAlignment w:val="auto"/>
        <w:rPr>
          <w:rFonts w:hint="eastAsia" w:ascii="Times New Roman" w:hAnsi="Times New Roman" w:eastAsia="仿宋_GB2312"/>
          <w:color w:val="000000"/>
          <w:sz w:val="28"/>
          <w:szCs w:val="28"/>
          <w:highlight w:val="none"/>
          <w:u w:val="single"/>
        </w:rPr>
      </w:pPr>
      <w:r>
        <w:rPr>
          <w:rFonts w:hint="eastAsia" w:ascii="Times New Roman" w:hAnsi="Times New Roman" w:eastAsia="仿宋_GB2312"/>
          <w:color w:val="000000"/>
          <w:sz w:val="28"/>
          <w:szCs w:val="28"/>
          <w:highlight w:val="none"/>
        </w:rPr>
        <w:t xml:space="preserve">                                 </w:t>
      </w:r>
    </w:p>
    <w:p>
      <w:pPr>
        <w:pageBreakBefore w:val="0"/>
        <w:widowControl w:val="0"/>
        <w:kinsoku/>
        <w:wordWrap/>
        <w:overflowPunct/>
        <w:topLinePunct w:val="0"/>
        <w:bidi w:val="0"/>
        <w:snapToGrid w:val="0"/>
        <w:spacing w:line="420" w:lineRule="exact"/>
        <w:textAlignment w:val="auto"/>
        <w:rPr>
          <w:rFonts w:hint="eastAsia"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法定代表人或其委托代理人：  </w:t>
      </w:r>
      <w:r>
        <w:rPr>
          <w:rFonts w:hint="eastAsia" w:ascii="Times New Roman" w:hAnsi="Times New Roman" w:eastAsia="仿宋_GB2312"/>
          <w:color w:val="000000"/>
          <w:sz w:val="28"/>
          <w:szCs w:val="28"/>
          <w:highlight w:val="none"/>
          <w:lang w:val="en-US" w:eastAsia="zh-CN"/>
        </w:rPr>
        <w:t xml:space="preserve"> </w:t>
      </w:r>
      <w:r>
        <w:rPr>
          <w:rFonts w:hint="eastAsia" w:ascii="Times New Roman" w:hAnsi="Times New Roman" w:eastAsia="仿宋_GB2312"/>
          <w:color w:val="000000"/>
          <w:sz w:val="28"/>
          <w:szCs w:val="28"/>
          <w:highlight w:val="none"/>
        </w:rPr>
        <w:t>法定代表人或其委托代理人：</w:t>
      </w:r>
    </w:p>
    <w:p>
      <w:pPr>
        <w:pageBreakBefore w:val="0"/>
        <w:widowControl w:val="0"/>
        <w:kinsoku/>
        <w:wordWrap/>
        <w:overflowPunct/>
        <w:topLinePunct w:val="0"/>
        <w:bidi w:val="0"/>
        <w:snapToGrid w:val="0"/>
        <w:spacing w:line="420" w:lineRule="exact"/>
        <w:textAlignment w:val="auto"/>
        <w:rPr>
          <w:rFonts w:hint="eastAsia"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（签字）                    （签字）</w:t>
      </w:r>
    </w:p>
    <w:p>
      <w:pPr>
        <w:pStyle w:val="10"/>
        <w:pageBreakBefore w:val="0"/>
        <w:widowControl w:val="0"/>
        <w:kinsoku/>
        <w:wordWrap/>
        <w:overflowPunct/>
        <w:topLinePunct w:val="0"/>
        <w:bidi w:val="0"/>
        <w:snapToGrid w:val="0"/>
        <w:spacing w:line="420" w:lineRule="exact"/>
        <w:textAlignment w:val="auto"/>
        <w:rPr>
          <w:rFonts w:hint="eastAsia"/>
          <w:highlight w:val="none"/>
        </w:rPr>
      </w:pPr>
    </w:p>
    <w:p>
      <w:pPr>
        <w:pageBreakBefore w:val="0"/>
        <w:widowControl w:val="0"/>
        <w:tabs>
          <w:tab w:val="left" w:pos="4410"/>
        </w:tabs>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组织机构代码：</w:t>
      </w:r>
      <w:r>
        <w:rPr>
          <w:rFonts w:hint="eastAsia" w:ascii="Times New Roman" w:hAnsi="Times New Roman" w:eastAsia="仿宋_GB2312"/>
          <w:color w:val="000000"/>
          <w:sz w:val="21"/>
          <w:szCs w:val="21"/>
          <w:highlight w:val="none"/>
          <w:u w:val="single"/>
          <w:lang w:val="en-US" w:eastAsia="zh-CN"/>
        </w:rPr>
        <w:t xml:space="preserve">                  </w:t>
      </w:r>
      <w:r>
        <w:rPr>
          <w:rFonts w:hint="eastAsia" w:ascii="Times New Roman" w:hAnsi="Times New Roman" w:eastAsia="仿宋_GB2312"/>
          <w:color w:val="000000"/>
          <w:sz w:val="21"/>
          <w:szCs w:val="21"/>
          <w:highlight w:val="none"/>
          <w:u w:val="none"/>
          <w:lang w:val="en-US" w:eastAsia="zh-CN"/>
        </w:rPr>
        <w:t xml:space="preserve">  </w:t>
      </w:r>
      <w:r>
        <w:rPr>
          <w:rFonts w:hint="eastAsia" w:ascii="Times New Roman" w:hAnsi="Times New Roman" w:eastAsia="仿宋_GB2312"/>
          <w:color w:val="000000"/>
          <w:sz w:val="28"/>
          <w:szCs w:val="28"/>
          <w:highlight w:val="none"/>
        </w:rPr>
        <w:t>组织机构代码：</w:t>
      </w:r>
      <w:r>
        <w:rPr>
          <w:rFonts w:ascii="宋体" w:hAnsi="宋体" w:cs="宋体"/>
          <w:color w:val="000000"/>
          <w:sz w:val="22"/>
          <w:highlight w:val="none"/>
          <w:u w:val="single"/>
        </w:rPr>
        <w:t xml:space="preserve"> </w:t>
      </w:r>
      <w:r>
        <w:rPr>
          <w:rFonts w:hint="eastAsia" w:ascii="宋体" w:hAnsi="宋体" w:cs="宋体"/>
          <w:color w:val="000000"/>
          <w:sz w:val="22"/>
          <w:highlight w:val="none"/>
          <w:u w:val="single"/>
          <w:lang w:val="en-US" w:eastAsia="zh-CN"/>
        </w:rPr>
        <w:t xml:space="preserve">                   </w:t>
      </w:r>
      <w:r>
        <w:rPr>
          <w:rFonts w:ascii="宋体" w:hAnsi="宋体" w:cs="宋体"/>
          <w:color w:val="000000"/>
          <w:sz w:val="22"/>
          <w:highlight w:val="none"/>
          <w:u w:val="single"/>
        </w:rPr>
        <w:t xml:space="preserve">   </w:t>
      </w:r>
    </w:p>
    <w:p>
      <w:pPr>
        <w:pageBreakBefore w:val="0"/>
        <w:widowControl w:val="0"/>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地  址：</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1"/>
          <w:szCs w:val="21"/>
          <w:highlight w:val="none"/>
          <w:u w:val="single"/>
          <w:lang w:val="en-US" w:eastAsia="zh-CN"/>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地  址：</w:t>
      </w:r>
      <w:r>
        <w:rPr>
          <w:rFonts w:ascii="Times New Roman" w:hAnsi="Times New Roman" w:eastAsia="仿宋_GB2312"/>
          <w:color w:val="000000"/>
          <w:sz w:val="28"/>
          <w:szCs w:val="28"/>
          <w:highlight w:val="none"/>
          <w:u w:val="single"/>
        </w:rPr>
        <w:t></w:t>
      </w:r>
      <w:r>
        <w:rPr>
          <w:rFonts w:hint="eastAsia" w:ascii="宋体" w:hAnsi="宋体" w:eastAsia="仿宋_GB2312" w:cs="宋体"/>
          <w:color w:val="000000"/>
          <w:sz w:val="22"/>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widowControl w:val="0"/>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邮政编码：</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邮政编码：</w:t>
      </w:r>
      <w:r>
        <w:rPr>
          <w:rFonts w:ascii="Times New Roman" w:hAnsi="Times New Roman" w:eastAsia="仿宋_GB2312"/>
          <w:color w:val="000000"/>
          <w:sz w:val="28"/>
          <w:szCs w:val="28"/>
          <w:highlight w:val="none"/>
          <w:u w:val="single"/>
        </w:rPr>
        <w:t></w:t>
      </w:r>
      <w:r>
        <w:rPr>
          <w:rFonts w:hint="eastAsia" w:ascii="宋体" w:hAnsi="宋体" w:cs="宋体"/>
          <w:color w:val="000000"/>
          <w:sz w:val="22"/>
          <w:highlight w:val="none"/>
          <w:u w:val="single"/>
        </w:rPr>
        <w:t></w:t>
      </w:r>
      <w:r>
        <w:rPr>
          <w:rFonts w:hint="eastAsia" w:ascii="宋体" w:hAnsi="宋体" w:cs="宋体"/>
          <w:color w:val="000000"/>
          <w:sz w:val="22"/>
          <w:highlight w:val="none"/>
          <w:u w:val="single"/>
          <w:lang w:val="en-US" w:eastAsia="zh-CN"/>
        </w:rPr>
        <w:t xml:space="preserve">      </w:t>
      </w:r>
      <w:r>
        <w:rPr>
          <w:rFonts w:hint="eastAsia" w:ascii="宋体" w:hAnsi="宋体" w:cs="宋体"/>
          <w:color w:val="000000"/>
          <w:sz w:val="22"/>
          <w:highlight w:val="none"/>
          <w:u w:val="single"/>
        </w:rPr>
        <w:t></w:t>
      </w:r>
      <w:r>
        <w:rPr>
          <w:rFonts w:ascii="Times New Roman" w:hAnsi="Times New Roman" w:eastAsia="仿宋_GB2312"/>
          <w:color w:val="000000"/>
          <w:sz w:val="28"/>
          <w:szCs w:val="28"/>
          <w:highlight w:val="none"/>
          <w:u w:val="single"/>
        </w:rPr>
        <w:t xml:space="preserve">   </w:t>
      </w:r>
    </w:p>
    <w:p>
      <w:pPr>
        <w:pageBreakBefore w:val="0"/>
        <w:widowControl w:val="0"/>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法定代表人：</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法定代表人：</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widowControl w:val="0"/>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委托代理人：</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委托代理人：</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widowControl w:val="0"/>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电  话：</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电  话：</w:t>
      </w:r>
      <w:r>
        <w:rPr>
          <w:rFonts w:hint="eastAsia" w:ascii="Times New Roman" w:hAnsi="Times New Roman" w:eastAsia="仿宋_GB2312"/>
          <w:color w:val="000000"/>
          <w:sz w:val="28"/>
          <w:szCs w:val="28"/>
          <w:highlight w:val="none"/>
          <w:u w:val="single"/>
          <w:lang w:val="en-US" w:eastAsia="zh-CN"/>
        </w:rPr>
        <w:t xml:space="preserve">                   </w:t>
      </w:r>
    </w:p>
    <w:p>
      <w:pPr>
        <w:pageBreakBefore w:val="0"/>
        <w:widowControl w:val="0"/>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传  真：</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传  真：</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p>
    <w:p>
      <w:pPr>
        <w:pageBreakBefore w:val="0"/>
        <w:widowControl w:val="0"/>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电子信箱：</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1"/>
          <w:szCs w:val="21"/>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电子信箱：</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w:t>
      </w:r>
    </w:p>
    <w:p>
      <w:pPr>
        <w:pageBreakBefore w:val="0"/>
        <w:widowControl w:val="0"/>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开户银行：</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开户银行：</w:t>
      </w:r>
      <w:r>
        <w:rPr>
          <w:rFonts w:hint="eastAsia" w:ascii="Times New Roman" w:hAnsi="Times New Roman" w:eastAsia="仿宋_GB2312"/>
          <w:color w:val="000000"/>
          <w:sz w:val="28"/>
          <w:szCs w:val="28"/>
          <w:highlight w:val="none"/>
          <w:u w:val="single"/>
          <w:lang w:val="en-US" w:eastAsia="zh-CN"/>
        </w:rPr>
        <w:t xml:space="preserve">                   </w:t>
      </w:r>
    </w:p>
    <w:p>
      <w:pPr>
        <w:pageBreakBefore w:val="0"/>
        <w:widowControl w:val="0"/>
        <w:kinsoku/>
        <w:wordWrap/>
        <w:overflowPunct/>
        <w:topLinePunct w:val="0"/>
        <w:bidi w:val="0"/>
        <w:snapToGrid w:val="0"/>
        <w:spacing w:line="42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账  号：</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账</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 xml:space="preserve"> 号：</w:t>
      </w:r>
      <w:r>
        <w:rPr>
          <w:rFonts w:hint="eastAsia" w:ascii="Times New Roman" w:hAnsi="Times New Roman" w:eastAsia="仿宋_GB2312"/>
          <w:color w:val="000000"/>
          <w:sz w:val="28"/>
          <w:szCs w:val="28"/>
          <w:highlight w:val="none"/>
          <w:u w:val="single"/>
          <w:lang w:val="en-US" w:eastAsia="zh-CN"/>
        </w:rPr>
        <w:t xml:space="preserve">                   </w:t>
      </w:r>
    </w:p>
    <w:p>
      <w:pPr>
        <w:pStyle w:val="4"/>
        <w:pageBreakBefore w:val="0"/>
        <w:kinsoku/>
        <w:wordWrap/>
        <w:overflowPunct/>
        <w:topLinePunct w:val="0"/>
        <w:bidi w:val="0"/>
        <w:snapToGrid/>
        <w:spacing w:line="440" w:lineRule="exact"/>
        <w:jc w:val="center"/>
        <w:textAlignment w:val="auto"/>
        <w:rPr>
          <w:rFonts w:ascii="华文中宋" w:hAnsi="华文中宋" w:eastAsia="华文中宋"/>
          <w:sz w:val="28"/>
          <w:szCs w:val="28"/>
          <w:highlight w:val="none"/>
        </w:rPr>
      </w:pPr>
      <w:r>
        <w:rPr>
          <w:rFonts w:eastAsia="仿宋_GB2312"/>
          <w:sz w:val="28"/>
          <w:szCs w:val="28"/>
          <w:highlight w:val="none"/>
        </w:rPr>
        <w:br w:type="page"/>
      </w:r>
      <w:bookmarkStart w:id="126" w:name="_Toc351203632"/>
      <w:r>
        <w:rPr>
          <w:rFonts w:ascii="华文中宋" w:hAnsi="华文中宋" w:eastAsia="华文中宋"/>
          <w:sz w:val="28"/>
          <w:szCs w:val="28"/>
          <w:highlight w:val="none"/>
        </w:rPr>
        <w:t xml:space="preserve">第三部分 </w:t>
      </w:r>
      <w:r>
        <w:rPr>
          <w:rFonts w:hint="eastAsia" w:ascii="华文中宋" w:hAnsi="华文中宋" w:eastAsia="华文中宋"/>
          <w:sz w:val="28"/>
          <w:szCs w:val="28"/>
          <w:highlight w:val="none"/>
        </w:rPr>
        <w:t>专用合同条款</w:t>
      </w:r>
      <w:bookmarkEnd w:id="126"/>
    </w:p>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127" w:name="_Toc351203633"/>
      <w:r>
        <w:rPr>
          <w:rFonts w:ascii="Times New Roman" w:hAnsi="Times New Roman"/>
          <w:b/>
          <w:color w:val="000000"/>
          <w:sz w:val="28"/>
          <w:szCs w:val="28"/>
          <w:highlight w:val="none"/>
        </w:rPr>
        <w:t>1</w:t>
      </w:r>
      <w:bookmarkStart w:id="128" w:name="_Toc292559361"/>
      <w:bookmarkStart w:id="129" w:name="_Toc296891196"/>
      <w:bookmarkStart w:id="130" w:name="_Toc296944495"/>
      <w:bookmarkStart w:id="131" w:name="_Toc297120456"/>
      <w:bookmarkStart w:id="132" w:name="_Toc297048342"/>
      <w:bookmarkStart w:id="133" w:name="_Toc296347155"/>
      <w:bookmarkStart w:id="134" w:name="_Toc296346657"/>
      <w:bookmarkStart w:id="135" w:name="_Toc296890984"/>
      <w:bookmarkStart w:id="136" w:name="_Toc292559866"/>
      <w:bookmarkStart w:id="137" w:name="_Toc296503156"/>
      <w:r>
        <w:rPr>
          <w:rFonts w:ascii="Times New Roman" w:hAnsi="Times New Roman"/>
          <w:b/>
          <w:color w:val="000000"/>
          <w:sz w:val="28"/>
          <w:szCs w:val="28"/>
          <w:highlight w:val="none"/>
        </w:rPr>
        <w:t>. 一般约定</w:t>
      </w:r>
      <w:bookmarkEnd w:id="127"/>
    </w:p>
    <w:bookmarkEnd w:id="128"/>
    <w:bookmarkEnd w:id="129"/>
    <w:bookmarkEnd w:id="130"/>
    <w:bookmarkEnd w:id="131"/>
    <w:bookmarkEnd w:id="132"/>
    <w:bookmarkEnd w:id="133"/>
    <w:bookmarkEnd w:id="134"/>
    <w:bookmarkEnd w:id="135"/>
    <w:bookmarkEnd w:id="136"/>
    <w:bookmarkEnd w:id="137"/>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1.1 词语定义</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1.1.1合同</w:t>
      </w:r>
    </w:p>
    <w:p>
      <w:pPr>
        <w:pageBreakBefore w:val="0"/>
        <w:kinsoku/>
        <w:wordWrap/>
        <w:overflowPunct/>
        <w:topLinePunct w:val="0"/>
        <w:bidi w:val="0"/>
        <w:snapToGrid/>
        <w:spacing w:line="440" w:lineRule="exact"/>
        <w:ind w:left="1576" w:leftChars="284" w:hanging="980" w:hangingChars="350"/>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1.1.1.10其他合同文件包括：</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1.1.2 合同当事人及其他相关方</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1.1.2.4监理人：</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名    称：</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资质类别和等级：</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联系电话：</w:t>
      </w:r>
      <w:r>
        <w:rPr>
          <w:rFonts w:ascii="Times New Roman" w:hAnsi="Times New Roman" w:eastAsia="仿宋_GB2312"/>
          <w:color w:val="000000"/>
          <w:sz w:val="28"/>
          <w:szCs w:val="28"/>
          <w:highlight w:val="none"/>
          <w:u w:val="single"/>
        </w:rPr>
        <w:t>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电子信箱：</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通信地址：</w:t>
      </w:r>
      <w:r>
        <w:rPr>
          <w:rFonts w:ascii="Times New Roman" w:hAnsi="Times New Roman" w:eastAsia="仿宋_GB2312"/>
          <w:color w:val="000000"/>
          <w:sz w:val="28"/>
          <w:szCs w:val="28"/>
          <w:highlight w:val="none"/>
          <w:u w:val="single"/>
        </w:rPr>
        <w:t>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1.1.2.5 设计人：</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名    称：</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资质类别和等级：</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联系电话：</w:t>
      </w:r>
      <w:r>
        <w:rPr>
          <w:rFonts w:ascii="Times New Roman" w:hAnsi="Times New Roman" w:eastAsia="仿宋_GB2312"/>
          <w:color w:val="000000"/>
          <w:sz w:val="28"/>
          <w:szCs w:val="28"/>
          <w:highlight w:val="none"/>
          <w:u w:val="single"/>
        </w:rPr>
        <w:t>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电子信箱：</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hint="eastAsia"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通信地址：</w:t>
      </w:r>
      <w:r>
        <w:rPr>
          <w:rFonts w:ascii="Times New Roman" w:hAnsi="Times New Roman" w:eastAsia="仿宋_GB2312"/>
          <w:color w:val="000000"/>
          <w:sz w:val="28"/>
          <w:szCs w:val="28"/>
          <w:highlight w:val="none"/>
          <w:u w:val="single"/>
        </w:rPr>
        <w:t>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1.1.3 工程和设备</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1.1.3.7 作为施工现场组成部分的其他场所包括：</w:t>
      </w:r>
      <w:r>
        <w:rPr>
          <w:rFonts w:hint="eastAsia"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1.1.3.9 永久占地包括：</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kern w:val="0"/>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kern w:val="0"/>
          <w:sz w:val="28"/>
          <w:szCs w:val="28"/>
          <w:highlight w:val="none"/>
        </w:rPr>
        <w:t>1.1.3.10 临时占地包括：</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kern w:val="0"/>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 xml:space="preserve">1.3法律 </w:t>
      </w:r>
    </w:p>
    <w:p>
      <w:pPr>
        <w:pageBreakBefore w:val="0"/>
        <w:kinsoku/>
        <w:wordWrap/>
        <w:overflowPunct/>
        <w:topLinePunct w:val="0"/>
        <w:autoSpaceDE w:val="0"/>
        <w:autoSpaceDN w:val="0"/>
        <w:bidi w:val="0"/>
        <w:adjustRightInd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适用于合同的其他规范性文件：</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1.4 标准和规范</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1.4.1适用于工程的标准规范包括：</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1.4.2 发包人提供国外标准、规范的名称：</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kern w:val="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发包人提供国外标准、规范的份数：</w:t>
      </w:r>
      <w:r>
        <w:rPr>
          <w:rFonts w:ascii="Times New Roman" w:hAnsi="Times New Roman" w:eastAsia="仿宋_GB2312"/>
          <w:color w:val="000000"/>
          <w:kern w:val="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kern w:val="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kern w:val="0"/>
          <w:sz w:val="28"/>
          <w:szCs w:val="28"/>
          <w:highlight w:val="none"/>
        </w:rPr>
        <w:t>发包人提供国外标准、规范的名称：</w:t>
      </w:r>
      <w:r>
        <w:rPr>
          <w:rFonts w:ascii="Times New Roman" w:hAnsi="Times New Roman" w:eastAsia="仿宋_GB2312"/>
          <w:color w:val="000000"/>
          <w:kern w:val="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kern w:val="0"/>
          <w:sz w:val="28"/>
          <w:szCs w:val="28"/>
          <w:highlight w:val="none"/>
        </w:rPr>
        <w:t>。</w:t>
      </w:r>
    </w:p>
    <w:p>
      <w:pPr>
        <w:pageBreakBefore w:val="0"/>
        <w:kinsoku/>
        <w:wordWrap/>
        <w:overflowPunct/>
        <w:topLinePunct w:val="0"/>
        <w:bidi w:val="0"/>
        <w:snapToGrid/>
        <w:spacing w:line="440" w:lineRule="exact"/>
        <w:ind w:left="596" w:leftChars="284"/>
        <w:textAlignment w:val="auto"/>
        <w:rPr>
          <w:rFonts w:hint="eastAsia"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1.4.3发包人对工程的技术标准和功能要求的特殊要求：</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1.5 合同文件的优先顺序</w:t>
      </w:r>
    </w:p>
    <w:p>
      <w:pPr>
        <w:pageBreakBefore w:val="0"/>
        <w:kinsoku/>
        <w:wordWrap/>
        <w:overflowPunct/>
        <w:topLinePunct w:val="0"/>
        <w:bidi w:val="0"/>
        <w:snapToGrid/>
        <w:spacing w:line="440" w:lineRule="exact"/>
        <w:ind w:firstLine="560" w:firstLineChars="200"/>
        <w:textAlignment w:val="auto"/>
        <w:rPr>
          <w:rFonts w:hint="eastAsia"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合同文件组成及优先顺序为：</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1.6 图纸和承包人文件</w:t>
      </w:r>
      <w:r>
        <w:rPr>
          <w:rFonts w:ascii="Times New Roman" w:hAnsi="Times New Roman" w:eastAsia="黑体"/>
          <w:color w:val="000000"/>
          <w:sz w:val="28"/>
          <w:szCs w:val="28"/>
          <w:highlight w:val="none"/>
        </w:rPr>
        <w:tab/>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1.6.1 图纸的提供</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发包人向承包人提供图纸的期限：</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bCs/>
          <w:color w:val="000000"/>
          <w:sz w:val="28"/>
          <w:szCs w:val="28"/>
          <w:highlight w:val="none"/>
          <w:u w:val="single"/>
        </w:rPr>
        <w:t></w:t>
      </w:r>
      <w:r>
        <w:rPr>
          <w:rFonts w:ascii="Times New Roman" w:hAnsi="Times New Roman" w:eastAsia="仿宋_GB2312"/>
          <w:color w:val="000000"/>
          <w:sz w:val="28"/>
          <w:szCs w:val="28"/>
          <w:highlight w:val="none"/>
          <w:u w:val="singl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发包人向承包人提供图纸的数量：</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发包人向承包人提供图纸的内容：</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1.6.4 承包人文件</w:t>
      </w:r>
    </w:p>
    <w:p>
      <w:pPr>
        <w:pageBreakBefore w:val="0"/>
        <w:kinsoku/>
        <w:wordWrap/>
        <w:overflowPunct/>
        <w:topLinePunct w:val="0"/>
        <w:bidi w:val="0"/>
        <w:snapToGrid/>
        <w:spacing w:line="440" w:lineRule="exact"/>
        <w:ind w:left="596" w:leftChars="284"/>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需要由承包人提供的文件，包括：</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承包人提供的文件的期限为：</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承包人提供的文件的数量为：</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承包人提供的文件的形式为：</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w:t>
      </w:r>
      <w:r>
        <w:rPr>
          <w:rFonts w:hint="eastAsia" w:ascii="Times New Roman" w:hAnsi="Times New Roman" w:eastAsia="仿宋_GB2312"/>
          <w:color w:val="000000"/>
          <w:sz w:val="28"/>
          <w:szCs w:val="28"/>
          <w:highlight w:val="none"/>
        </w:rPr>
        <w:t>审批</w:t>
      </w:r>
      <w:r>
        <w:rPr>
          <w:rFonts w:ascii="Times New Roman" w:hAnsi="Times New Roman" w:eastAsia="仿宋_GB2312"/>
          <w:color w:val="000000"/>
          <w:sz w:val="28"/>
          <w:szCs w:val="28"/>
          <w:highlight w:val="none"/>
        </w:rPr>
        <w:t>承包人文件的期限：</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1.6.5 现场图纸准备</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关于现场图纸准备的约定：</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1.7 联络</w:t>
      </w:r>
    </w:p>
    <w:p>
      <w:pPr>
        <w:pageBreakBefore w:val="0"/>
        <w:kinsoku/>
        <w:wordWrap/>
        <w:overflowPunct/>
        <w:topLinePunct w:val="0"/>
        <w:bidi w:val="0"/>
        <w:snapToGrid/>
        <w:spacing w:line="440" w:lineRule="exact"/>
        <w:ind w:firstLine="560" w:firstLineChars="200"/>
        <w:textAlignment w:val="auto"/>
        <w:rPr>
          <w:rFonts w:hint="eastAsia"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1.7.1发包人和承包人应当在</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kern w:val="0"/>
          <w:sz w:val="28"/>
          <w:szCs w:val="28"/>
          <w:highlight w:val="none"/>
        </w:rPr>
        <w:t>天内将与合同有关的通知、批准、证明、证书、指示、指令、要求、请求、同意、意见、确定和决定等书面函件送达对方当事人</w:t>
      </w:r>
      <w:r>
        <w:rPr>
          <w:rFonts w:hint="eastAsia" w:ascii="Times New Roman" w:hAnsi="Times New Roman" w:eastAsia="仿宋_GB2312"/>
          <w:color w:val="000000"/>
          <w:kern w:val="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1.7.2 发包人接收文件的地点：</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kern w:val="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发包人指定的接收人为：</w:t>
      </w:r>
      <w:r>
        <w:rPr>
          <w:rFonts w:ascii="Times New Roman" w:hAnsi="Times New Roman" w:eastAsia="仿宋_GB2312"/>
          <w:color w:val="000000"/>
          <w:sz w:val="28"/>
          <w:szCs w:val="28"/>
          <w:highlight w:val="none"/>
          <w:u w:val="single"/>
        </w:rPr>
        <w:t>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kern w:val="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承包人接收文件的地点：</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kern w:val="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承包人指定的接收人为：</w:t>
      </w:r>
      <w:r>
        <w:rPr>
          <w:rFonts w:ascii="Times New Roman" w:hAnsi="Times New Roman" w:eastAsia="仿宋_GB2312"/>
          <w:color w:val="000000"/>
          <w:sz w:val="28"/>
          <w:szCs w:val="28"/>
          <w:highlight w:val="none"/>
          <w:u w:val="single"/>
        </w:rPr>
        <w:t>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kern w:val="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监理人接收文件的地点：</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kern w:val="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监理人指定的接收人为：</w:t>
      </w:r>
      <w:r>
        <w:rPr>
          <w:rFonts w:ascii="Times New Roman" w:hAnsi="Times New Roman" w:eastAsia="仿宋_GB2312"/>
          <w:color w:val="000000"/>
          <w:sz w:val="28"/>
          <w:szCs w:val="28"/>
          <w:highlight w:val="none"/>
          <w:u w:val="single"/>
        </w:rPr>
        <w:t>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kern w:val="0"/>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1.10 交通运输</w:t>
      </w:r>
    </w:p>
    <w:p>
      <w:pPr>
        <w:pageBreakBefore w:val="0"/>
        <w:kinsoku/>
        <w:wordWrap/>
        <w:overflowPunct/>
        <w:topLinePunct w:val="0"/>
        <w:bidi w:val="0"/>
        <w:snapToGrid/>
        <w:spacing w:line="440" w:lineRule="exact"/>
        <w:ind w:firstLine="560" w:firstLineChars="200"/>
        <w:textAlignment w:val="auto"/>
        <w:outlineLvl w:val="0"/>
        <w:rPr>
          <w:rFonts w:ascii="Times New Roman" w:hAnsi="Times New Roman" w:eastAsia="仿宋_GB2312"/>
          <w:sz w:val="28"/>
          <w:szCs w:val="28"/>
          <w:highlight w:val="none"/>
        </w:rPr>
      </w:pPr>
      <w:r>
        <w:rPr>
          <w:rFonts w:ascii="Times New Roman" w:hAnsi="Times New Roman" w:eastAsia="仿宋_GB2312"/>
          <w:sz w:val="28"/>
          <w:szCs w:val="28"/>
          <w:highlight w:val="none"/>
        </w:rPr>
        <w:t>1</w:t>
      </w:r>
      <w:bookmarkStart w:id="138" w:name="_Toc312677986"/>
      <w:bookmarkStart w:id="139" w:name="_Toc304295521"/>
      <w:bookmarkStart w:id="140" w:name="_Toc303539100"/>
      <w:bookmarkStart w:id="141" w:name="_Toc318581155"/>
      <w:bookmarkStart w:id="142" w:name="_Toc300934943"/>
      <w:r>
        <w:rPr>
          <w:rFonts w:ascii="Times New Roman" w:hAnsi="Times New Roman" w:eastAsia="仿宋_GB2312"/>
          <w:sz w:val="28"/>
          <w:szCs w:val="28"/>
          <w:highlight w:val="none"/>
        </w:rPr>
        <w:t>.10.1 出入现场的权利</w:t>
      </w:r>
    </w:p>
    <w:p>
      <w:pPr>
        <w:pageBreakBefore w:val="0"/>
        <w:kinsoku/>
        <w:wordWrap/>
        <w:overflowPunct/>
        <w:topLinePunct w:val="0"/>
        <w:bidi w:val="0"/>
        <w:snapToGrid/>
        <w:spacing w:line="440" w:lineRule="exac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关于出入现场的权利的约定：</w:t>
      </w:r>
      <w:r>
        <w:rPr>
          <w:rFonts w:hint="eastAsia" w:ascii="仿宋" w:hAnsi="仿宋" w:eastAsia="仿宋" w:cs="仿宋"/>
          <w:b/>
          <w:bCs/>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仿宋" w:hAnsi="仿宋" w:eastAsia="仿宋" w:cs="仿宋"/>
          <w:b/>
          <w:bCs/>
          <w:color w:val="000000"/>
          <w:sz w:val="28"/>
          <w:szCs w:val="28"/>
          <w:highlight w:val="none"/>
          <w:u w:val="single"/>
        </w:rPr>
        <w:t xml:space="preserve">  </w:t>
      </w:r>
      <w:r>
        <w:rPr>
          <w:rFonts w:ascii="Times New Roman" w:hAnsi="Times New Roman" w:eastAsia="仿宋_GB2312"/>
          <w:sz w:val="28"/>
          <w:szCs w:val="28"/>
          <w:highlight w:val="none"/>
        </w:rPr>
        <w:t>。</w:t>
      </w:r>
    </w:p>
    <w:bookmarkEnd w:id="138"/>
    <w:bookmarkEnd w:id="139"/>
    <w:bookmarkEnd w:id="140"/>
    <w:bookmarkEnd w:id="141"/>
    <w:bookmarkEnd w:id="142"/>
    <w:p>
      <w:pPr>
        <w:pageBreakBefore w:val="0"/>
        <w:kinsoku/>
        <w:wordWrap/>
        <w:overflowPunct/>
        <w:topLinePunct w:val="0"/>
        <w:bidi w:val="0"/>
        <w:snapToGrid/>
        <w:spacing w:line="440" w:lineRule="exact"/>
        <w:ind w:firstLine="560" w:firstLineChars="200"/>
        <w:jc w:val="left"/>
        <w:textAlignment w:val="auto"/>
        <w:outlineLvl w:val="0"/>
        <w:rPr>
          <w:rFonts w:ascii="Times New Roman" w:hAnsi="Times New Roman" w:eastAsia="仿宋_GB2312"/>
          <w:sz w:val="28"/>
          <w:szCs w:val="28"/>
          <w:highlight w:val="none"/>
        </w:rPr>
      </w:pPr>
      <w:r>
        <w:rPr>
          <w:rFonts w:ascii="Times New Roman" w:hAnsi="Times New Roman" w:eastAsia="仿宋_GB2312"/>
          <w:sz w:val="28"/>
          <w:szCs w:val="28"/>
          <w:highlight w:val="none"/>
        </w:rPr>
        <w:t>1</w:t>
      </w:r>
      <w:bookmarkStart w:id="143" w:name="_Toc304295522"/>
      <w:bookmarkStart w:id="144" w:name="_Toc303539101"/>
      <w:bookmarkStart w:id="145" w:name="_Toc312677987"/>
      <w:bookmarkStart w:id="146" w:name="_Toc300934944"/>
      <w:bookmarkStart w:id="147" w:name="_Toc318581156"/>
      <w:r>
        <w:rPr>
          <w:rFonts w:ascii="Times New Roman" w:hAnsi="Times New Roman" w:eastAsia="仿宋_GB2312"/>
          <w:sz w:val="28"/>
          <w:szCs w:val="28"/>
          <w:highlight w:val="none"/>
        </w:rPr>
        <w:t>.10.3 场内交通</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关于场外交通和场内交通的边界的约定：</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关于发包人向承包人免费提供满足工程施工需要的场内道路和交通设施的约定：</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sz w:val="28"/>
          <w:szCs w:val="28"/>
          <w:highlight w:val="none"/>
        </w:rPr>
        <w:t>。</w:t>
      </w:r>
      <w:bookmarkEnd w:id="143"/>
      <w:bookmarkEnd w:id="144"/>
      <w:bookmarkEnd w:id="145"/>
      <w:bookmarkEnd w:id="146"/>
      <w:bookmarkEnd w:id="147"/>
      <w:r>
        <w:rPr>
          <w:rFonts w:ascii="Times New Roman" w:hAnsi="Times New Roman" w:eastAsia="仿宋_GB2312"/>
          <w:sz w:val="28"/>
          <w:szCs w:val="28"/>
          <w:highlight w:val="none"/>
        </w:rPr>
        <w:t xml:space="preserve">  </w:t>
      </w:r>
      <w:bookmarkStart w:id="148" w:name="_Toc318581157"/>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1.10.4超大件和超重件的运输</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运输超大件或超重件所需的道路和桥梁临时加固改造费用和其他有关费用由</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承担。</w:t>
      </w:r>
    </w:p>
    <w:bookmarkEnd w:id="148"/>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1.11 知识产权</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1.11.1关于发包人提供给承包人的图纸、发包人为实施工程自行编制或委托编制的技术规范以及反映发包人关于合同要求或其他类似性质的文件的著作权的归属：</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关于发包人提供的上述文件的使用限制的要求：</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hint="eastAsia" w:ascii="Times New Roman" w:hAnsi="Times New Roman" w:eastAsia="仿宋_GB2312"/>
          <w:color w:val="000000"/>
          <w:sz w:val="28"/>
          <w:szCs w:val="28"/>
          <w:highlight w:val="none"/>
          <w:lang w:val="en-US" w:eastAsia="zh-CN"/>
        </w:rPr>
      </w:pPr>
      <w:r>
        <w:rPr>
          <w:rFonts w:ascii="Times New Roman" w:hAnsi="Times New Roman" w:eastAsia="仿宋_GB2312"/>
          <w:color w:val="000000"/>
          <w:sz w:val="28"/>
          <w:szCs w:val="28"/>
          <w:highlight w:val="none"/>
        </w:rPr>
        <w:t>1.11.2 关于承包人为实施工程所编制文件的著作权的归属：</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1.11.3</w:t>
      </w:r>
      <w:r>
        <w:rPr>
          <w:rFonts w:ascii="Times New Roman" w:hAnsi="Times New Roman" w:eastAsia="仿宋_GB2312"/>
          <w:color w:val="000000"/>
          <w:sz w:val="28"/>
          <w:szCs w:val="28"/>
          <w:highlight w:val="none"/>
        </w:rPr>
        <w:t>关于承包人提供的上述文件的使用限制的要求：</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outlineLvl w:val="0"/>
        <w:rPr>
          <w:rFonts w:ascii="Times New Roman" w:hAnsi="Times New Roman" w:eastAsia="仿宋_GB2312"/>
          <w:color w:val="000000"/>
          <w:kern w:val="0"/>
          <w:sz w:val="28"/>
          <w:szCs w:val="28"/>
          <w:highlight w:val="none"/>
        </w:rPr>
      </w:pPr>
      <w:r>
        <w:rPr>
          <w:rFonts w:ascii="Times New Roman" w:hAnsi="Times New Roman" w:eastAsia="仿宋_GB2312"/>
          <w:color w:val="000000"/>
          <w:sz w:val="28"/>
          <w:szCs w:val="28"/>
          <w:highlight w:val="none"/>
        </w:rPr>
        <w:t>1.11.4 承包人在施工过程中所采用的专利、专有技术、技术秘密的使用费的承担方式：</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1.13工程量清单错误的修正</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出现工程量清单错误时，是否调整合同价格：</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允许调整合同价格的工程量偏差范围：</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149" w:name="_Toc351203634"/>
      <w:r>
        <w:rPr>
          <w:rFonts w:ascii="Times New Roman" w:hAnsi="Times New Roman"/>
          <w:b/>
          <w:color w:val="000000"/>
          <w:sz w:val="28"/>
          <w:szCs w:val="28"/>
          <w:highlight w:val="none"/>
        </w:rPr>
        <w:t>2</w:t>
      </w:r>
      <w:bookmarkStart w:id="150" w:name="_Toc296347156"/>
      <w:bookmarkStart w:id="151" w:name="_Toc296944496"/>
      <w:bookmarkStart w:id="152" w:name="_Toc297120457"/>
      <w:bookmarkStart w:id="153" w:name="_Toc296503157"/>
      <w:bookmarkStart w:id="154" w:name="_Toc297048343"/>
      <w:bookmarkStart w:id="155" w:name="_Toc296891197"/>
      <w:bookmarkStart w:id="156" w:name="_Toc296346658"/>
      <w:bookmarkStart w:id="157" w:name="_Toc296890985"/>
      <w:bookmarkStart w:id="158" w:name="_Toc292559362"/>
      <w:bookmarkStart w:id="159" w:name="_Toc292559867"/>
      <w:r>
        <w:rPr>
          <w:rFonts w:ascii="Times New Roman" w:hAnsi="Times New Roman"/>
          <w:b/>
          <w:color w:val="000000"/>
          <w:sz w:val="28"/>
          <w:szCs w:val="28"/>
          <w:highlight w:val="none"/>
        </w:rPr>
        <w:t>. 发包人</w:t>
      </w:r>
      <w:bookmarkEnd w:id="149"/>
    </w:p>
    <w:bookmarkEnd w:id="150"/>
    <w:bookmarkEnd w:id="151"/>
    <w:bookmarkEnd w:id="152"/>
    <w:bookmarkEnd w:id="153"/>
    <w:bookmarkEnd w:id="154"/>
    <w:bookmarkEnd w:id="155"/>
    <w:bookmarkEnd w:id="156"/>
    <w:bookmarkEnd w:id="157"/>
    <w:bookmarkEnd w:id="158"/>
    <w:bookmarkEnd w:id="159"/>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2.2 发包人代表</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发包人代表：</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姓    名：</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身份证号：</w:t>
      </w:r>
      <w:r>
        <w:rPr>
          <w:rFonts w:ascii="Times New Roman" w:hAnsi="Times New Roman" w:eastAsia="仿宋_GB2312"/>
          <w:color w:val="000000"/>
          <w:sz w:val="28"/>
          <w:szCs w:val="28"/>
          <w:highlight w:val="none"/>
          <w:u w:val="single"/>
        </w:rPr>
        <w:t xml:space="preserve"> 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职    务：</w:t>
      </w:r>
      <w:r>
        <w:rPr>
          <w:rFonts w:ascii="Times New Roman" w:hAnsi="Times New Roman" w:eastAsia="仿宋_GB2312"/>
          <w:color w:val="000000"/>
          <w:sz w:val="28"/>
          <w:szCs w:val="28"/>
          <w:highlight w:val="none"/>
          <w:u w:val="single"/>
        </w:rPr>
        <w:t>   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联系电话：</w:t>
      </w:r>
      <w:r>
        <w:rPr>
          <w:rFonts w:ascii="Times New Roman" w:hAnsi="Times New Roman" w:eastAsia="仿宋_GB2312"/>
          <w:color w:val="000000"/>
          <w:sz w:val="28"/>
          <w:szCs w:val="28"/>
          <w:highlight w:val="none"/>
          <w:u w:val="single"/>
        </w:rPr>
        <w:t>  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电子信箱：</w:t>
      </w:r>
      <w:r>
        <w:rPr>
          <w:rFonts w:ascii="Times New Roman" w:hAnsi="Times New Roman" w:eastAsia="仿宋_GB2312"/>
          <w:color w:val="000000"/>
          <w:sz w:val="28"/>
          <w:szCs w:val="28"/>
          <w:highlight w:val="none"/>
          <w:u w:val="single"/>
        </w:rPr>
        <w:t>  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通信地址：</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textAlignment w:val="auto"/>
        <w:rPr>
          <w:rFonts w:ascii="Times New Roman" w:hAnsi="Times New Roman" w:eastAsia="仿宋_GB2312"/>
          <w:b/>
          <w:color w:val="000000"/>
          <w:sz w:val="28"/>
          <w:szCs w:val="28"/>
          <w:highlight w:val="none"/>
        </w:rPr>
      </w:pPr>
      <w:r>
        <w:rPr>
          <w:rFonts w:ascii="Times New Roman" w:hAnsi="Times New Roman" w:eastAsia="仿宋_GB2312"/>
          <w:color w:val="000000"/>
          <w:sz w:val="28"/>
          <w:szCs w:val="28"/>
          <w:highlight w:val="none"/>
        </w:rPr>
        <w:t>发包人对发包人代表的授权范围如下：</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2.4 施工现场、施工条件和基础资料的提供</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2.4.1 提供施工现场</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关于发包人移交施工现场的期限要求：</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2.4.2 提供施工条件</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u w:val="single"/>
        </w:rPr>
      </w:pPr>
      <w:r>
        <w:rPr>
          <w:rFonts w:ascii="Times New Roman" w:hAnsi="Times New Roman" w:eastAsia="仿宋_GB2312"/>
          <w:color w:val="000000"/>
          <w:sz w:val="28"/>
          <w:szCs w:val="28"/>
          <w:highlight w:val="none"/>
        </w:rPr>
        <w:t>关于发包人应负责提供施工</w:t>
      </w:r>
      <w:r>
        <w:rPr>
          <w:rFonts w:hint="eastAsia" w:ascii="Times New Roman" w:hAnsi="Times New Roman" w:eastAsia="仿宋_GB2312"/>
          <w:color w:val="000000"/>
          <w:sz w:val="28"/>
          <w:szCs w:val="28"/>
          <w:highlight w:val="none"/>
        </w:rPr>
        <w:t>所需要的条件，</w:t>
      </w:r>
      <w:r>
        <w:rPr>
          <w:rFonts w:ascii="Times New Roman" w:hAnsi="Times New Roman" w:eastAsia="仿宋_GB2312"/>
          <w:color w:val="000000"/>
          <w:sz w:val="28"/>
          <w:szCs w:val="28"/>
          <w:highlight w:val="none"/>
        </w:rPr>
        <w:t>包括：</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2.5 资金来源证明及支付担保</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发包人提供资金来源证明的期限要求：</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发包人是否提供支付担保：</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u w:val="single"/>
        </w:rPr>
      </w:pPr>
      <w:r>
        <w:rPr>
          <w:rFonts w:ascii="Times New Roman" w:hAnsi="Times New Roman" w:eastAsia="仿宋_GB2312"/>
          <w:color w:val="000000"/>
          <w:sz w:val="28"/>
          <w:szCs w:val="28"/>
          <w:highlight w:val="none"/>
        </w:rPr>
        <w:t>发包人提供支付担保的形式：</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160" w:name="_Toc351203635"/>
      <w:r>
        <w:rPr>
          <w:rFonts w:ascii="Times New Roman" w:hAnsi="Times New Roman"/>
          <w:b/>
          <w:color w:val="000000"/>
          <w:sz w:val="28"/>
          <w:szCs w:val="28"/>
          <w:highlight w:val="none"/>
        </w:rPr>
        <w:t>3</w:t>
      </w:r>
      <w:bookmarkStart w:id="161" w:name="_Toc297048344"/>
      <w:bookmarkStart w:id="162" w:name="_Toc296346659"/>
      <w:bookmarkStart w:id="163" w:name="_Toc296891198"/>
      <w:bookmarkStart w:id="164" w:name="_Toc296347157"/>
      <w:bookmarkStart w:id="165" w:name="_Toc292559868"/>
      <w:bookmarkStart w:id="166" w:name="_Toc296503158"/>
      <w:bookmarkStart w:id="167" w:name="_Toc296890986"/>
      <w:bookmarkStart w:id="168" w:name="_Toc292559363"/>
      <w:bookmarkStart w:id="169" w:name="_Toc297120458"/>
      <w:bookmarkStart w:id="170" w:name="_Toc296944497"/>
      <w:r>
        <w:rPr>
          <w:rFonts w:ascii="Times New Roman" w:hAnsi="Times New Roman"/>
          <w:b/>
          <w:color w:val="000000"/>
          <w:sz w:val="28"/>
          <w:szCs w:val="28"/>
          <w:highlight w:val="none"/>
        </w:rPr>
        <w:t>. 承包人</w:t>
      </w:r>
      <w:bookmarkEnd w:id="160"/>
    </w:p>
    <w:bookmarkEnd w:id="161"/>
    <w:bookmarkEnd w:id="162"/>
    <w:bookmarkEnd w:id="163"/>
    <w:bookmarkEnd w:id="164"/>
    <w:bookmarkEnd w:id="165"/>
    <w:bookmarkEnd w:id="166"/>
    <w:bookmarkEnd w:id="167"/>
    <w:bookmarkEnd w:id="168"/>
    <w:bookmarkEnd w:id="169"/>
    <w:bookmarkEnd w:id="170"/>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3.1 承包人的一般义务</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kern w:val="0"/>
          <w:sz w:val="28"/>
          <w:szCs w:val="28"/>
          <w:highlight w:val="none"/>
        </w:rPr>
        <w:t>（</w:t>
      </w:r>
      <w:r>
        <w:rPr>
          <w:rFonts w:hint="eastAsia" w:ascii="Times New Roman" w:hAnsi="Times New Roman" w:eastAsia="仿宋_GB2312"/>
          <w:color w:val="000000"/>
          <w:kern w:val="0"/>
          <w:sz w:val="28"/>
          <w:szCs w:val="28"/>
          <w:highlight w:val="none"/>
        </w:rPr>
        <w:t>9</w:t>
      </w:r>
      <w:r>
        <w:rPr>
          <w:rFonts w:ascii="Times New Roman" w:hAnsi="Times New Roman" w:eastAsia="仿宋_GB2312"/>
          <w:color w:val="000000"/>
          <w:kern w:val="0"/>
          <w:sz w:val="28"/>
          <w:szCs w:val="28"/>
          <w:highlight w:val="none"/>
        </w:rPr>
        <w:t>）</w:t>
      </w:r>
      <w:r>
        <w:rPr>
          <w:rFonts w:ascii="Times New Roman" w:hAnsi="Times New Roman" w:eastAsia="仿宋_GB2312"/>
          <w:color w:val="000000"/>
          <w:sz w:val="28"/>
          <w:szCs w:val="28"/>
          <w:highlight w:val="none"/>
        </w:rPr>
        <w:t>承包人提交的竣工资料的内容：</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承包人需要提交的竣工资料套数：</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left="638" w:leftChars="304"/>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承包人提交的竣工资料的费用承担：</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left="638" w:leftChars="304"/>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承包人提交的竣工资料移交时间：</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承包人提交的竣工资料形式要求：</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kern w:val="0"/>
          <w:sz w:val="28"/>
          <w:szCs w:val="28"/>
          <w:highlight w:val="none"/>
        </w:rPr>
        <w:t>（</w:t>
      </w:r>
      <w:r>
        <w:rPr>
          <w:rFonts w:hint="eastAsia" w:ascii="Times New Roman" w:hAnsi="Times New Roman" w:eastAsia="仿宋_GB2312"/>
          <w:color w:val="000000"/>
          <w:kern w:val="0"/>
          <w:sz w:val="28"/>
          <w:szCs w:val="28"/>
          <w:highlight w:val="none"/>
        </w:rPr>
        <w:t>10</w:t>
      </w:r>
      <w:r>
        <w:rPr>
          <w:rFonts w:ascii="Times New Roman" w:hAnsi="Times New Roman" w:eastAsia="仿宋_GB2312"/>
          <w:color w:val="000000"/>
          <w:kern w:val="0"/>
          <w:sz w:val="28"/>
          <w:szCs w:val="28"/>
          <w:highlight w:val="none"/>
        </w:rPr>
        <w:t>）承包人应履行的其他义务：</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3.2 项目经理</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kern w:val="0"/>
          <w:sz w:val="28"/>
          <w:szCs w:val="28"/>
          <w:highlight w:val="none"/>
        </w:rPr>
        <w:t xml:space="preserve">3.2.1 </w:t>
      </w:r>
      <w:r>
        <w:rPr>
          <w:rFonts w:ascii="Times New Roman" w:hAnsi="Times New Roman" w:eastAsia="仿宋_GB2312"/>
          <w:color w:val="000000"/>
          <w:sz w:val="28"/>
          <w:szCs w:val="28"/>
          <w:highlight w:val="none"/>
        </w:rPr>
        <w:t>项目经理：</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姓    名：</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身份证号：</w:t>
      </w:r>
      <w:r>
        <w:rPr>
          <w:rFonts w:ascii="Times New Roman" w:hAnsi="Times New Roman" w:eastAsia="仿宋_GB2312"/>
          <w:color w:val="000000"/>
          <w:sz w:val="28"/>
          <w:szCs w:val="28"/>
          <w:highlight w:val="none"/>
          <w:u w:val="single"/>
        </w:rPr>
        <w:t></w:t>
      </w:r>
      <w:r>
        <w:rPr>
          <w:rFonts w:hint="eastAsia" w:ascii="宋体" w:hAnsi="宋体" w:eastAsia="仿宋_GB2312" w:cs="宋体"/>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建造师执业资格等级：</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建造师注册证书号：</w:t>
      </w:r>
      <w:r>
        <w:rPr>
          <w:rFonts w:ascii="Times New Roman" w:hAnsi="Times New Roman" w:eastAsia="仿宋_GB2312"/>
          <w:color w:val="000000"/>
          <w:sz w:val="28"/>
          <w:szCs w:val="28"/>
          <w:highlight w:val="none"/>
          <w:u w:val="single"/>
        </w:rPr>
        <w:t></w:t>
      </w:r>
      <w:r>
        <w:rPr>
          <w:rFonts w:hint="eastAsia" w:ascii="宋体" w:hAnsi="宋体" w:eastAsia="仿宋_GB2312" w:cs="宋体"/>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建造师执业印章号：</w:t>
      </w:r>
      <w:r>
        <w:rPr>
          <w:rFonts w:ascii="Times New Roman" w:hAnsi="Times New Roman" w:eastAsia="仿宋_GB2312"/>
          <w:color w:val="000000"/>
          <w:sz w:val="28"/>
          <w:szCs w:val="28"/>
          <w:highlight w:val="none"/>
          <w:u w:val="single"/>
        </w:rPr>
        <w:t></w:t>
      </w:r>
      <w:r>
        <w:rPr>
          <w:rFonts w:hint="eastAsia" w:ascii="宋体" w:hAnsi="宋体" w:eastAsia="仿宋_GB2312" w:cs="宋体"/>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安全生产考核合格证书号：</w:t>
      </w:r>
      <w:r>
        <w:rPr>
          <w:rFonts w:ascii="Times New Roman" w:hAnsi="Times New Roman" w:eastAsia="仿宋_GB2312"/>
          <w:color w:val="000000"/>
          <w:sz w:val="28"/>
          <w:szCs w:val="28"/>
          <w:highlight w:val="none"/>
          <w:u w:val="single"/>
        </w:rPr>
        <w:t></w:t>
      </w:r>
      <w:r>
        <w:rPr>
          <w:rFonts w:hint="eastAsia" w:ascii="宋体" w:hAnsi="宋体" w:cs="宋体"/>
          <w:color w:val="000000"/>
          <w:sz w:val="28"/>
          <w:szCs w:val="28"/>
          <w:highlight w:val="none"/>
          <w:u w:val="single"/>
        </w:rPr>
        <w:t> </w:t>
      </w:r>
      <w:r>
        <w:rPr>
          <w:rFonts w:hint="eastAsia" w:ascii="宋体" w:hAnsi="宋体" w:cs="宋体"/>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联系电话：</w:t>
      </w:r>
      <w:r>
        <w:rPr>
          <w:rFonts w:ascii="Times New Roman" w:hAnsi="Times New Roman" w:eastAsia="仿宋_GB2312"/>
          <w:color w:val="000000"/>
          <w:sz w:val="28"/>
          <w:szCs w:val="28"/>
          <w:highlight w:val="none"/>
          <w:u w:val="single"/>
        </w:rPr>
        <w:t></w:t>
      </w:r>
      <w:r>
        <w:rPr>
          <w:rFonts w:hint="eastAsia" w:ascii="宋体" w:hAnsi="宋体" w:eastAsia="仿宋_GB2312"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电子信箱：</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通信地址：</w:t>
      </w:r>
      <w:r>
        <w:rPr>
          <w:rFonts w:ascii="Times New Roman" w:hAnsi="Times New Roman" w:eastAsia="仿宋_GB2312"/>
          <w:color w:val="000000"/>
          <w:sz w:val="28"/>
          <w:szCs w:val="28"/>
          <w:highlight w:val="none"/>
          <w:u w:val="single"/>
        </w:rPr>
        <w:t></w:t>
      </w:r>
      <w:r>
        <w:rPr>
          <w:rFonts w:hint="eastAsia" w:ascii="宋体" w:hAnsi="宋体" w:eastAsia="仿宋_GB2312" w:cs="宋体"/>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承包人对项目经理的授权范围如下：</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关于项目经理每月在施工现场的时间要求：</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承包人未提交劳动合同，以及没有为项目经理缴纳社会保险证明的违约责任：</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u w:val="single"/>
        </w:rPr>
      </w:pPr>
      <w:r>
        <w:rPr>
          <w:rFonts w:ascii="Times New Roman" w:hAnsi="Times New Roman" w:eastAsia="仿宋_GB2312"/>
          <w:color w:val="000000"/>
          <w:kern w:val="0"/>
          <w:sz w:val="28"/>
          <w:szCs w:val="28"/>
          <w:highlight w:val="none"/>
        </w:rPr>
        <w:t>项目经理未经批准，擅自离开施工现场的违约责任：</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3.2.3 承包人擅自更换项目经理的违约责任：</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textAlignment w:val="auto"/>
        <w:outlineLvl w:val="0"/>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xml:space="preserve">    3.2.4 承包人无正当理由拒绝更换项目经理的违约责任：</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3.3 承包人人员</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3.3.1 承包人提交项目管理机构及施工现场管理人员安排报告的期限：</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3.3.3 承包人无正当理由拒绝撤换主要施工管理人员的违约责任：</w:t>
      </w:r>
      <w:r>
        <w:rPr>
          <w:rFonts w:ascii="Times New Roman" w:hAnsi="Times New Roman" w:eastAsia="仿宋_GB2312"/>
          <w:color w:val="000000"/>
          <w:sz w:val="28"/>
          <w:szCs w:val="28"/>
          <w:highlight w:val="none"/>
          <w:u w:val="single"/>
        </w:rPr>
        <w:t xml:space="preserve">  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u w:val="single"/>
        </w:rPr>
      </w:pPr>
      <w:r>
        <w:rPr>
          <w:rFonts w:ascii="Times New Roman" w:hAnsi="Times New Roman" w:eastAsia="仿宋_GB2312"/>
          <w:color w:val="000000"/>
          <w:sz w:val="28"/>
          <w:szCs w:val="28"/>
          <w:highlight w:val="none"/>
        </w:rPr>
        <w:t>3.3.4 承包人主要施工管理人员离开施工现场的批准要求：</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3.3.5承包人擅自更换主要施工管理人员的违约责任：</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承包人主要施工管理人员擅自离开施工现场的违约责任：</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3</w:t>
      </w:r>
      <w:bookmarkStart w:id="171" w:name="_Toc312677988"/>
      <w:bookmarkStart w:id="172" w:name="_Toc297048345"/>
      <w:bookmarkStart w:id="173" w:name="_Toc292559364"/>
      <w:bookmarkStart w:id="174" w:name="_Toc296346660"/>
      <w:bookmarkStart w:id="175" w:name="_Toc297123492"/>
      <w:bookmarkStart w:id="176" w:name="_Toc297120459"/>
      <w:bookmarkStart w:id="177" w:name="_Toc292559869"/>
      <w:bookmarkStart w:id="178" w:name="_Toc296891199"/>
      <w:bookmarkStart w:id="179" w:name="_Toc296944498"/>
      <w:bookmarkStart w:id="180" w:name="_Toc296890987"/>
      <w:bookmarkStart w:id="181" w:name="_Toc300934945"/>
      <w:bookmarkStart w:id="182" w:name="_Toc303539102"/>
      <w:bookmarkStart w:id="183" w:name="_Toc296347158"/>
      <w:bookmarkStart w:id="184" w:name="_Toc297216151"/>
      <w:bookmarkStart w:id="185" w:name="_Toc296503159"/>
      <w:bookmarkStart w:id="186" w:name="_Toc304295523"/>
      <w:r>
        <w:rPr>
          <w:rFonts w:ascii="Times New Roman" w:hAnsi="Times New Roman" w:eastAsia="黑体"/>
          <w:color w:val="000000"/>
          <w:sz w:val="28"/>
          <w:szCs w:val="28"/>
          <w:highlight w:val="none"/>
        </w:rPr>
        <w:t>.5 分包</w:t>
      </w:r>
    </w:p>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3</w:t>
      </w:r>
      <w:bookmarkStart w:id="187" w:name="_Toc296944499"/>
      <w:bookmarkStart w:id="188" w:name="_Toc292559365"/>
      <w:bookmarkStart w:id="189" w:name="_Toc304295524"/>
      <w:bookmarkStart w:id="190" w:name="_Toc297048346"/>
      <w:bookmarkStart w:id="191" w:name="_Toc296347159"/>
      <w:bookmarkStart w:id="192" w:name="_Toc297216152"/>
      <w:bookmarkStart w:id="193" w:name="_Toc297123493"/>
      <w:bookmarkStart w:id="194" w:name="_Toc292559870"/>
      <w:bookmarkStart w:id="195" w:name="_Toc296890988"/>
      <w:bookmarkStart w:id="196" w:name="_Toc296891200"/>
      <w:bookmarkStart w:id="197" w:name="_Toc297120460"/>
      <w:bookmarkStart w:id="198" w:name="_Toc296503160"/>
      <w:bookmarkStart w:id="199" w:name="_Toc300934946"/>
      <w:bookmarkStart w:id="200" w:name="_Toc303539103"/>
      <w:bookmarkStart w:id="201" w:name="_Toc296346661"/>
      <w:bookmarkStart w:id="202" w:name="_Toc312677989"/>
      <w:bookmarkStart w:id="203" w:name="_Toc318581158"/>
      <w:r>
        <w:rPr>
          <w:rFonts w:ascii="Times New Roman" w:hAnsi="Times New Roman" w:eastAsia="仿宋_GB2312"/>
          <w:sz w:val="28"/>
          <w:szCs w:val="28"/>
          <w:highlight w:val="none"/>
        </w:rPr>
        <w:t>.5.1 分包的一般约定</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sz w:val="28"/>
          <w:szCs w:val="28"/>
          <w:highlight w:val="none"/>
        </w:rPr>
      </w:pPr>
      <w:r>
        <w:rPr>
          <w:rFonts w:ascii="Times New Roman" w:hAnsi="Times New Roman" w:eastAsia="仿宋_GB2312"/>
          <w:sz w:val="28"/>
          <w:szCs w:val="28"/>
          <w:highlight w:val="none"/>
        </w:rPr>
        <w:t>禁止分包的工程包括：</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u w:val="single"/>
        </w:rPr>
      </w:pPr>
      <w:r>
        <w:rPr>
          <w:rFonts w:ascii="Times New Roman" w:hAnsi="Times New Roman" w:eastAsia="仿宋_GB2312"/>
          <w:sz w:val="28"/>
          <w:szCs w:val="28"/>
          <w:highlight w:val="none"/>
        </w:rPr>
        <w:t>主体结构、关键性工作的范围：</w:t>
      </w:r>
      <w:r>
        <w:rPr>
          <w:rFonts w:ascii="Times New Roman" w:hAnsi="Times New Roman" w:eastAsia="仿宋_GB2312"/>
          <w:color w:val="000000"/>
          <w:sz w:val="28"/>
          <w:szCs w:val="28"/>
          <w:highlight w:val="none"/>
          <w:u w:val="single"/>
        </w:rPr>
        <w:t></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Start w:id="204" w:name="_Toc300934947"/>
      <w:bookmarkStart w:id="205" w:name="_Toc296503161"/>
      <w:bookmarkStart w:id="206" w:name="_Toc304295525"/>
      <w:bookmarkStart w:id="207" w:name="_Toc296346662"/>
      <w:bookmarkStart w:id="208" w:name="_Toc297048347"/>
      <w:bookmarkStart w:id="209" w:name="_Toc303539104"/>
      <w:bookmarkStart w:id="210" w:name="_Toc296347160"/>
      <w:bookmarkStart w:id="211" w:name="_Toc297216153"/>
      <w:bookmarkStart w:id="212" w:name="_Toc297123494"/>
      <w:bookmarkStart w:id="213" w:name="_Toc296944500"/>
      <w:bookmarkStart w:id="214" w:name="_Toc296891201"/>
      <w:bookmarkStart w:id="215" w:name="_Toc297120461"/>
      <w:bookmarkStart w:id="216" w:name="_Toc296890989"/>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Pr>
        <w:pageBreakBefore w:val="0"/>
        <w:kinsoku/>
        <w:wordWrap/>
        <w:overflowPunct/>
        <w:topLinePunct w:val="0"/>
        <w:bidi w:val="0"/>
        <w:snapToGrid/>
        <w:spacing w:line="440" w:lineRule="exac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 xml:space="preserve">    3</w:t>
      </w:r>
      <w:bookmarkStart w:id="217" w:name="_Toc318581159"/>
      <w:bookmarkStart w:id="218" w:name="_Toc312677990"/>
      <w:r>
        <w:rPr>
          <w:rFonts w:ascii="Times New Roman" w:hAnsi="Times New Roman" w:eastAsia="仿宋_GB2312"/>
          <w:sz w:val="28"/>
          <w:szCs w:val="28"/>
          <w:highlight w:val="none"/>
        </w:rPr>
        <w:t>.5.2分包的确定</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u w:val="single"/>
        </w:rPr>
      </w:pPr>
      <w:r>
        <w:rPr>
          <w:rFonts w:ascii="Times New Roman" w:hAnsi="Times New Roman" w:eastAsia="仿宋_GB2312"/>
          <w:sz w:val="28"/>
          <w:szCs w:val="28"/>
          <w:highlight w:val="none"/>
        </w:rPr>
        <w:t>允许分包的专业工程包括：</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sz w:val="28"/>
          <w:szCs w:val="28"/>
          <w:highlight w:val="none"/>
        </w:rPr>
      </w:pPr>
      <w:r>
        <w:rPr>
          <w:rFonts w:ascii="Times New Roman" w:hAnsi="Times New Roman" w:eastAsia="仿宋_GB2312"/>
          <w:color w:val="000000"/>
          <w:sz w:val="28"/>
          <w:szCs w:val="28"/>
          <w:highlight w:val="none"/>
        </w:rPr>
        <w:t>其他关于分包的约定：</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3.5.4 分包合同价款</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关于分包合同价款支付的约定：</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bookmarkEnd w:id="217"/>
    <w:bookmarkEnd w:id="218"/>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3.6 工程照管与成品、半成品保护</w:t>
      </w:r>
    </w:p>
    <w:p>
      <w:pPr>
        <w:pageBreakBefore w:val="0"/>
        <w:kinsoku/>
        <w:wordWrap/>
        <w:overflowPunct/>
        <w:topLinePunct w:val="0"/>
        <w:bidi w:val="0"/>
        <w:snapToGrid/>
        <w:spacing w:before="120" w:after="120" w:line="440" w:lineRule="exact"/>
        <w:ind w:firstLine="560" w:firstLineChars="200"/>
        <w:textAlignment w:val="auto"/>
        <w:rPr>
          <w:rFonts w:ascii="Times New Roman" w:hAnsi="Times New Roman" w:eastAsia="仿宋_GB2312"/>
          <w:color w:val="000000"/>
          <w:kern w:val="0"/>
          <w:sz w:val="28"/>
          <w:szCs w:val="28"/>
          <w:highlight w:val="none"/>
          <w:u w:val="single"/>
        </w:rPr>
      </w:pPr>
      <w:r>
        <w:rPr>
          <w:rFonts w:ascii="Times New Roman" w:hAnsi="Times New Roman" w:eastAsia="仿宋_GB2312"/>
          <w:color w:val="000000"/>
          <w:kern w:val="0"/>
          <w:sz w:val="28"/>
          <w:szCs w:val="28"/>
          <w:highlight w:val="none"/>
        </w:rPr>
        <w:t>承包人负责照管工程及工程相关的材料、工程设备的起始时间：</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kern w:val="0"/>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3.7 履约担保</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承包人是否提供履约担保：</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承包人提供履约担保的形式</w:t>
      </w:r>
      <w:r>
        <w:rPr>
          <w:rFonts w:hint="eastAsia" w:ascii="Times New Roman" w:hAnsi="Times New Roman" w:eastAsia="仿宋_GB2312"/>
          <w:color w:val="000000"/>
          <w:sz w:val="28"/>
          <w:szCs w:val="28"/>
          <w:highlight w:val="none"/>
        </w:rPr>
        <w:t>、金额及期限的</w:t>
      </w:r>
      <w:r>
        <w:rPr>
          <w:rFonts w:ascii="Times New Roman" w:hAnsi="Times New Roman" w:eastAsia="仿宋_GB2312"/>
          <w:color w:val="000000"/>
          <w:sz w:val="28"/>
          <w:szCs w:val="28"/>
          <w:highlight w:val="non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219" w:name="_Toc351203636"/>
      <w:r>
        <w:rPr>
          <w:rFonts w:ascii="Times New Roman" w:hAnsi="Times New Roman"/>
          <w:b/>
          <w:color w:val="000000"/>
          <w:sz w:val="28"/>
          <w:szCs w:val="28"/>
          <w:highlight w:val="none"/>
        </w:rPr>
        <w:t>4</w:t>
      </w:r>
      <w:bookmarkStart w:id="220" w:name="_Toc296891202"/>
      <w:bookmarkStart w:id="221" w:name="_Toc267251413"/>
      <w:bookmarkStart w:id="222" w:name="_Toc297120462"/>
      <w:bookmarkStart w:id="223" w:name="_Toc297048348"/>
      <w:bookmarkStart w:id="224" w:name="_Toc296890990"/>
      <w:bookmarkStart w:id="225" w:name="_Toc296346663"/>
      <w:bookmarkStart w:id="226" w:name="_Toc296503162"/>
      <w:bookmarkStart w:id="227" w:name="_Toc292559871"/>
      <w:bookmarkStart w:id="228" w:name="_Toc296944501"/>
      <w:bookmarkStart w:id="229" w:name="_Toc292559366"/>
      <w:bookmarkStart w:id="230" w:name="_Toc296347161"/>
      <w:r>
        <w:rPr>
          <w:rFonts w:ascii="Times New Roman" w:hAnsi="Times New Roman"/>
          <w:b/>
          <w:color w:val="000000"/>
          <w:sz w:val="28"/>
          <w:szCs w:val="28"/>
          <w:highlight w:val="none"/>
        </w:rPr>
        <w:t>. 监</w:t>
      </w:r>
      <w:bookmarkEnd w:id="220"/>
      <w:bookmarkEnd w:id="221"/>
      <w:bookmarkEnd w:id="222"/>
      <w:bookmarkEnd w:id="223"/>
      <w:bookmarkEnd w:id="224"/>
      <w:bookmarkEnd w:id="225"/>
      <w:bookmarkEnd w:id="226"/>
      <w:bookmarkEnd w:id="227"/>
      <w:bookmarkEnd w:id="228"/>
      <w:bookmarkEnd w:id="229"/>
      <w:bookmarkEnd w:id="230"/>
      <w:r>
        <w:rPr>
          <w:rFonts w:ascii="Times New Roman" w:hAnsi="Times New Roman"/>
          <w:b/>
          <w:color w:val="000000"/>
          <w:sz w:val="28"/>
          <w:szCs w:val="28"/>
          <w:highlight w:val="none"/>
        </w:rPr>
        <w:t>理人</w:t>
      </w:r>
      <w:bookmarkEnd w:id="219"/>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4.1监理人的一般规定</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关于监理人的监理内容：</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关于监理人的监理权限：</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 </w:t>
      </w:r>
    </w:p>
    <w:p>
      <w:pPr>
        <w:pageBreakBefore w:val="0"/>
        <w:kinsoku/>
        <w:wordWrap/>
        <w:overflowPunct/>
        <w:topLinePunct w:val="0"/>
        <w:bidi w:val="0"/>
        <w:snapToGrid/>
        <w:spacing w:line="440" w:lineRule="exact"/>
        <w:textAlignment w:val="auto"/>
        <w:rPr>
          <w:rFonts w:hint="eastAsia"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关于监理人在施工现场的办公场所、生活场所的提供和费用承担的约定：</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4.2 监理人员</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总监理工程师：</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姓    名：</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职    务：</w:t>
      </w:r>
      <w:r>
        <w:rPr>
          <w:rFonts w:ascii="Times New Roman" w:hAnsi="Times New Roman" w:eastAsia="仿宋_GB2312"/>
          <w:color w:val="000000"/>
          <w:sz w:val="28"/>
          <w:szCs w:val="28"/>
          <w:highlight w:val="none"/>
          <w:u w:val="single"/>
        </w:rPr>
        <w:t>  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监理工程师执业资格证书号：</w:t>
      </w:r>
      <w:r>
        <w:rPr>
          <w:rFonts w:ascii="Times New Roman" w:hAnsi="Times New Roman" w:eastAsia="仿宋_GB2312"/>
          <w:color w:val="000000"/>
          <w:sz w:val="28"/>
          <w:szCs w:val="28"/>
          <w:highlight w:val="none"/>
          <w:u w:val="single"/>
        </w:rPr>
        <w:t>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联系电话：</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电子信箱：</w:t>
      </w:r>
      <w:r>
        <w:rPr>
          <w:rFonts w:ascii="Times New Roman" w:hAnsi="Times New Roman" w:eastAsia="仿宋_GB2312"/>
          <w:color w:val="000000"/>
          <w:sz w:val="28"/>
          <w:szCs w:val="28"/>
          <w:highlight w:val="none"/>
          <w:u w:val="single"/>
        </w:rPr>
        <w:t>  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通信地址：</w:t>
      </w:r>
      <w:r>
        <w:rPr>
          <w:rFonts w:ascii="Times New Roman" w:hAnsi="Times New Roman" w:eastAsia="仿宋_GB2312"/>
          <w:color w:val="000000"/>
          <w:sz w:val="28"/>
          <w:szCs w:val="28"/>
          <w:highlight w:val="none"/>
          <w:u w:val="single"/>
        </w:rPr>
        <w:t>  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关于监理人的其他约定：</w:t>
      </w:r>
      <w:r>
        <w:rPr>
          <w:rFonts w:ascii="Times New Roman" w:hAnsi="Times New Roman" w:eastAsia="仿宋_GB2312"/>
          <w:color w:val="000000"/>
          <w:sz w:val="28"/>
          <w:szCs w:val="28"/>
          <w:highlight w:val="none"/>
          <w:u w:val="single"/>
        </w:rPr>
        <w:t>  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4.4 商定或确定</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bookmarkStart w:id="231" w:name="_Toc267251418"/>
      <w:r>
        <w:rPr>
          <w:rFonts w:ascii="Times New Roman" w:hAnsi="Times New Roman" w:eastAsia="仿宋_GB2312"/>
          <w:color w:val="000000"/>
          <w:sz w:val="28"/>
          <w:szCs w:val="28"/>
          <w:highlight w:val="none"/>
        </w:rPr>
        <w:t>在发包人和承包人不能通过协商达成一致意见时，发包人授权监理人对以下事项进行确定：</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（2）</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（3）</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232" w:name="_Toc351203637"/>
      <w:r>
        <w:rPr>
          <w:rFonts w:ascii="Times New Roman" w:hAnsi="Times New Roman"/>
          <w:b/>
          <w:color w:val="000000"/>
          <w:sz w:val="28"/>
          <w:szCs w:val="28"/>
          <w:highlight w:val="none"/>
        </w:rPr>
        <w:t>5</w:t>
      </w:r>
      <w:bookmarkEnd w:id="231"/>
      <w:bookmarkStart w:id="233" w:name="_Toc296503163"/>
      <w:bookmarkStart w:id="234" w:name="_Toc296891203"/>
      <w:bookmarkStart w:id="235" w:name="_Toc297120463"/>
      <w:bookmarkStart w:id="236" w:name="_Toc296890991"/>
      <w:bookmarkStart w:id="237" w:name="_Toc292559872"/>
      <w:bookmarkStart w:id="238" w:name="_Toc296944502"/>
      <w:bookmarkStart w:id="239" w:name="_Toc296346664"/>
      <w:bookmarkStart w:id="240" w:name="_Toc292559367"/>
      <w:bookmarkStart w:id="241" w:name="_Toc297048349"/>
      <w:bookmarkStart w:id="242" w:name="_Toc296347162"/>
      <w:r>
        <w:rPr>
          <w:rFonts w:ascii="Times New Roman" w:hAnsi="Times New Roman"/>
          <w:b/>
          <w:color w:val="000000"/>
          <w:sz w:val="28"/>
          <w:szCs w:val="28"/>
          <w:highlight w:val="none"/>
        </w:rPr>
        <w:t>. 工程质量</w:t>
      </w:r>
      <w:bookmarkEnd w:id="232"/>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5.1 质量要求</w:t>
      </w:r>
    </w:p>
    <w:p>
      <w:pPr>
        <w:pageBreakBefore w:val="0"/>
        <w:kinsoku/>
        <w:wordWrap/>
        <w:overflowPunct/>
        <w:topLinePunct w:val="0"/>
        <w:bidi w:val="0"/>
        <w:snapToGrid/>
        <w:spacing w:line="440" w:lineRule="exact"/>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5</w:t>
      </w:r>
      <w:bookmarkStart w:id="243" w:name="_Toc304295527"/>
      <w:bookmarkStart w:id="244" w:name="_Toc303539106"/>
      <w:bookmarkStart w:id="245" w:name="_Toc297216155"/>
      <w:bookmarkStart w:id="246" w:name="_Toc300934949"/>
      <w:bookmarkStart w:id="247" w:name="_Toc297123496"/>
      <w:bookmarkStart w:id="248" w:name="_Toc312677997"/>
      <w:bookmarkStart w:id="249" w:name="_Toc318581164"/>
      <w:r>
        <w:rPr>
          <w:rFonts w:ascii="Times New Roman" w:hAnsi="Times New Roman" w:eastAsia="仿宋_GB2312"/>
          <w:sz w:val="28"/>
          <w:szCs w:val="28"/>
          <w:highlight w:val="none"/>
        </w:rPr>
        <w:t>.1.1 特殊质量标准和要求：</w:t>
      </w:r>
      <w:r>
        <w:rPr>
          <w:rFonts w:ascii="Times New Roman" w:hAnsi="Times New Roman" w:eastAsia="仿宋_GB2312"/>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jc w:val="left"/>
        <w:textAlignment w:val="auto"/>
        <w:rPr>
          <w:rFonts w:hint="eastAsia" w:ascii="Times New Roman" w:hAnsi="Times New Roman" w:eastAsia="黑体"/>
          <w:color w:val="000000"/>
          <w:sz w:val="28"/>
          <w:szCs w:val="28"/>
          <w:highlight w:val="none"/>
        </w:rPr>
      </w:pPr>
      <w:r>
        <w:rPr>
          <w:rFonts w:ascii="Times New Roman" w:hAnsi="Times New Roman" w:eastAsia="仿宋_GB2312"/>
          <w:sz w:val="28"/>
          <w:szCs w:val="28"/>
          <w:highlight w:val="none"/>
        </w:rPr>
        <w:t>关于工程奖项的约定：</w:t>
      </w:r>
      <w:r>
        <w:rPr>
          <w:rFonts w:ascii="Times New Roman" w:hAnsi="Times New Roman" w:eastAsia="仿宋_GB2312"/>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5.3 隐蔽工程检查</w:t>
      </w:r>
    </w:p>
    <w:p>
      <w:pPr>
        <w:pageBreakBefore w:val="0"/>
        <w:kinsoku/>
        <w:wordWrap/>
        <w:overflowPunct/>
        <w:topLinePunct w:val="0"/>
        <w:bidi w:val="0"/>
        <w:snapToGrid/>
        <w:spacing w:line="440" w:lineRule="exact"/>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5.3.2承包人提前通知监理人隐蔽工程检查的期限的约定：</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监理人不能按时进行检查时，应提前</w:t>
      </w:r>
      <w:r>
        <w:rPr>
          <w:rFonts w:hint="eastAsia" w:ascii="仿宋" w:hAnsi="仿宋" w:eastAsia="仿宋" w:cs="仿宋"/>
          <w:b/>
          <w:bCs/>
          <w:sz w:val="28"/>
          <w:szCs w:val="28"/>
          <w:highlight w:val="none"/>
          <w:u w:val="single"/>
        </w:rPr>
        <w:t xml:space="preserve">  </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u w:val="single"/>
        </w:rPr>
        <w:t xml:space="preserve">  </w:t>
      </w:r>
      <w:r>
        <w:rPr>
          <w:rFonts w:ascii="Times New Roman" w:hAnsi="Times New Roman" w:eastAsia="仿宋_GB2312"/>
          <w:sz w:val="28"/>
          <w:szCs w:val="28"/>
          <w:highlight w:val="none"/>
        </w:rPr>
        <w:t>小时提交书面延期要求。</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关于延期最长不得超过：</w:t>
      </w:r>
      <w:r>
        <w:rPr>
          <w:rFonts w:hint="eastAsia" w:ascii="仿宋" w:hAnsi="仿宋" w:eastAsia="仿宋" w:cs="仿宋"/>
          <w:b/>
          <w:bCs/>
          <w:sz w:val="28"/>
          <w:szCs w:val="28"/>
          <w:highlight w:val="none"/>
          <w:u w:val="single"/>
        </w:rPr>
        <w:t xml:space="preserve">   </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u w:val="single"/>
        </w:rPr>
        <w:t xml:space="preserve">    </w:t>
      </w:r>
      <w:r>
        <w:rPr>
          <w:rFonts w:ascii="Times New Roman" w:hAnsi="Times New Roman" w:eastAsia="仿宋_GB2312"/>
          <w:sz w:val="28"/>
          <w:szCs w:val="28"/>
          <w:highlight w:val="none"/>
        </w:rPr>
        <w:t>小时。</w:t>
      </w:r>
    </w:p>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250" w:name="_Toc351203638"/>
      <w:r>
        <w:rPr>
          <w:rFonts w:ascii="Times New Roman" w:hAnsi="Times New Roman"/>
          <w:b/>
          <w:color w:val="000000"/>
          <w:sz w:val="28"/>
          <w:szCs w:val="28"/>
          <w:highlight w:val="none"/>
        </w:rPr>
        <w:t>6. 安全文明施工与环境保护</w:t>
      </w:r>
      <w:bookmarkEnd w:id="250"/>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6.1安全文明施工</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sz w:val="28"/>
          <w:szCs w:val="28"/>
          <w:highlight w:val="none"/>
          <w:lang w:eastAsia="zh-CN"/>
        </w:rPr>
      </w:pPr>
      <w:r>
        <w:rPr>
          <w:rFonts w:ascii="Times New Roman" w:hAnsi="Times New Roman" w:eastAsia="仿宋_GB2312"/>
          <w:sz w:val="28"/>
          <w:szCs w:val="28"/>
          <w:highlight w:val="none"/>
        </w:rPr>
        <w:t>6.1.1</w:t>
      </w:r>
      <w:r>
        <w:rPr>
          <w:rFonts w:ascii="Times New Roman" w:hAnsi="Times New Roman" w:eastAsia="仿宋_GB2312"/>
          <w:color w:val="000000"/>
          <w:sz w:val="28"/>
          <w:szCs w:val="28"/>
          <w:highlight w:val="none"/>
        </w:rPr>
        <w:t xml:space="preserve"> 项目安全生产的达标目标及相应事项的约定：</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bidi w:val="0"/>
        <w:snapToGrid/>
        <w:spacing w:line="440" w:lineRule="exact"/>
        <w:ind w:left="279" w:leftChars="133" w:firstLine="280" w:firstLineChars="1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6.1.4 关于治安保卫的特别约定：</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sz w:val="28"/>
          <w:szCs w:val="28"/>
          <w:highlight w:val="none"/>
        </w:rPr>
      </w:pPr>
      <w:r>
        <w:rPr>
          <w:rFonts w:ascii="Times New Roman" w:hAnsi="Times New Roman" w:eastAsia="仿宋_GB2312"/>
          <w:sz w:val="28"/>
          <w:szCs w:val="28"/>
          <w:highlight w:val="none"/>
        </w:rPr>
        <w:t>关于编制施工场地治安管理计划的约定：</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sz w:val="28"/>
          <w:szCs w:val="28"/>
          <w:highlight w:val="none"/>
        </w:rPr>
      </w:pPr>
      <w:r>
        <w:rPr>
          <w:rFonts w:hint="eastAsia" w:ascii="Times New Roman" w:hAnsi="Times New Roman" w:eastAsia="仿宋_GB2312"/>
          <w:sz w:val="28"/>
          <w:szCs w:val="28"/>
          <w:highlight w:val="none"/>
        </w:rPr>
        <w:t>6.1.5 文明施工</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hint="eastAsia" w:ascii="Times New Roman" w:hAnsi="Times New Roman" w:eastAsia="仿宋_GB2312"/>
          <w:sz w:val="28"/>
          <w:szCs w:val="28"/>
          <w:highlight w:val="none"/>
        </w:rPr>
        <w:t>合同当事人对文明施工的要求：</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bidi w:val="0"/>
        <w:snapToGrid/>
        <w:spacing w:line="440" w:lineRule="exac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6.1.6 关于安全文明施工费支付比例和支付期限的约定：</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bookmarkEnd w:id="243"/>
    <w:bookmarkEnd w:id="244"/>
    <w:bookmarkEnd w:id="245"/>
    <w:bookmarkEnd w:id="246"/>
    <w:bookmarkEnd w:id="247"/>
    <w:bookmarkEnd w:id="248"/>
    <w:bookmarkEnd w:id="249"/>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251" w:name="_Toc351203639"/>
      <w:r>
        <w:rPr>
          <w:rFonts w:ascii="Times New Roman" w:hAnsi="Times New Roman"/>
          <w:b/>
          <w:color w:val="000000"/>
          <w:sz w:val="28"/>
          <w:szCs w:val="28"/>
          <w:highlight w:val="none"/>
        </w:rPr>
        <w:t>7. 工期和进度</w:t>
      </w:r>
      <w:bookmarkEnd w:id="251"/>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7.1 施工组织设计</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sz w:val="28"/>
          <w:szCs w:val="28"/>
          <w:highlight w:val="none"/>
        </w:rPr>
        <w:t>7.1.</w:t>
      </w:r>
      <w:r>
        <w:rPr>
          <w:rFonts w:hint="eastAsia" w:ascii="Times New Roman" w:hAnsi="Times New Roman" w:eastAsia="仿宋_GB2312"/>
          <w:sz w:val="28"/>
          <w:szCs w:val="28"/>
          <w:highlight w:val="none"/>
        </w:rPr>
        <w:t xml:space="preserve">1 </w:t>
      </w:r>
      <w:r>
        <w:rPr>
          <w:rFonts w:hint="eastAsia" w:ascii="Times New Roman" w:hAnsi="Times New Roman" w:eastAsia="仿宋_GB2312"/>
          <w:color w:val="000000"/>
          <w:sz w:val="28"/>
          <w:szCs w:val="28"/>
          <w:highlight w:val="none"/>
        </w:rPr>
        <w:t>合</w:t>
      </w:r>
      <w:r>
        <w:rPr>
          <w:rFonts w:hint="eastAsia" w:ascii="Times New Roman" w:hAnsi="Times New Roman" w:eastAsia="仿宋_GB2312"/>
          <w:color w:val="000000"/>
          <w:kern w:val="0"/>
          <w:sz w:val="28"/>
          <w:szCs w:val="28"/>
          <w:highlight w:val="none"/>
        </w:rPr>
        <w:t>同当事人约定的</w:t>
      </w:r>
      <w:r>
        <w:rPr>
          <w:rFonts w:ascii="Times New Roman" w:hAnsi="Times New Roman" w:eastAsia="仿宋_GB2312"/>
          <w:color w:val="000000"/>
          <w:kern w:val="0"/>
          <w:sz w:val="28"/>
          <w:szCs w:val="28"/>
          <w:highlight w:val="none"/>
        </w:rPr>
        <w:t>施工组织设计</w:t>
      </w:r>
      <w:r>
        <w:rPr>
          <w:rFonts w:hint="eastAsia" w:ascii="Times New Roman" w:hAnsi="Times New Roman" w:eastAsia="仿宋_GB2312"/>
          <w:color w:val="000000"/>
          <w:kern w:val="0"/>
          <w:sz w:val="28"/>
          <w:szCs w:val="28"/>
          <w:highlight w:val="none"/>
        </w:rPr>
        <w:t>应包括的其他内</w:t>
      </w:r>
      <w:r>
        <w:rPr>
          <w:rFonts w:hint="eastAsia" w:ascii="Times New Roman" w:hAnsi="Times New Roman" w:eastAsia="仿宋_GB2312"/>
          <w:color w:val="000000"/>
          <w:kern w:val="0"/>
          <w:sz w:val="28"/>
          <w:szCs w:val="28"/>
          <w:highlight w:val="none"/>
          <w:lang w:val="en-US" w:eastAsia="zh-CN"/>
        </w:rPr>
        <w:t>容</w:t>
      </w:r>
      <w:r>
        <w:rPr>
          <w:rFonts w:ascii="Times New Roman" w:hAnsi="Times New Roman" w:eastAsia="仿宋_GB2312"/>
          <w:color w:val="000000"/>
          <w:kern w:val="0"/>
          <w:sz w:val="28"/>
          <w:szCs w:val="28"/>
          <w:highlight w:val="none"/>
        </w:rPr>
        <w:t>：</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sz w:val="28"/>
          <w:szCs w:val="28"/>
          <w:highlight w:val="none"/>
        </w:rPr>
        <w:t>7.1.2</w:t>
      </w:r>
      <w:r>
        <w:rPr>
          <w:rFonts w:ascii="Times New Roman" w:hAnsi="Times New Roman" w:eastAsia="仿宋_GB2312"/>
          <w:color w:val="000000"/>
          <w:sz w:val="28"/>
          <w:szCs w:val="28"/>
          <w:highlight w:val="none"/>
        </w:rPr>
        <w:t xml:space="preserve"> </w:t>
      </w:r>
      <w:r>
        <w:rPr>
          <w:rFonts w:ascii="Times New Roman" w:hAnsi="Times New Roman" w:eastAsia="仿宋_GB2312"/>
          <w:color w:val="000000"/>
          <w:kern w:val="0"/>
          <w:sz w:val="28"/>
          <w:szCs w:val="28"/>
          <w:highlight w:val="none"/>
        </w:rPr>
        <w:t>施工组织设计的提交和修改</w:t>
      </w:r>
    </w:p>
    <w:p>
      <w:pPr>
        <w:pageBreakBefore w:val="0"/>
        <w:kinsoku/>
        <w:wordWrap/>
        <w:overflowPunct/>
        <w:topLinePunct w:val="0"/>
        <w:autoSpaceDE w:val="0"/>
        <w:autoSpaceDN w:val="0"/>
        <w:bidi w:val="0"/>
        <w:adjustRightInd w:val="0"/>
        <w:snapToGrid/>
        <w:spacing w:line="440" w:lineRule="exact"/>
        <w:jc w:val="left"/>
        <w:textAlignment w:val="auto"/>
        <w:rPr>
          <w:rFonts w:hint="eastAsia" w:ascii="Times New Roman" w:hAnsi="Times New Roman" w:eastAsia="仿宋_GB2312"/>
          <w:sz w:val="28"/>
          <w:szCs w:val="28"/>
          <w:highlight w:val="none"/>
        </w:rPr>
      </w:pPr>
      <w:r>
        <w:rPr>
          <w:rFonts w:ascii="Times New Roman" w:hAnsi="Times New Roman" w:eastAsia="仿宋_GB2312"/>
          <w:color w:val="000000"/>
          <w:kern w:val="0"/>
          <w:sz w:val="28"/>
          <w:szCs w:val="28"/>
          <w:highlight w:val="none"/>
        </w:rPr>
        <w:t>承包人提交详细施工组织设计的期限的约定：</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发包人和监理人在收到</w:t>
      </w:r>
      <w:r>
        <w:rPr>
          <w:rFonts w:hint="eastAsia" w:ascii="Times New Roman" w:hAnsi="Times New Roman" w:eastAsia="仿宋_GB2312"/>
          <w:color w:val="000000"/>
          <w:sz w:val="28"/>
          <w:szCs w:val="28"/>
          <w:highlight w:val="none"/>
        </w:rPr>
        <w:t>详细的施工组织设计</w:t>
      </w:r>
      <w:r>
        <w:rPr>
          <w:rFonts w:ascii="Times New Roman" w:hAnsi="Times New Roman" w:eastAsia="仿宋_GB2312"/>
          <w:color w:val="000000"/>
          <w:sz w:val="28"/>
          <w:szCs w:val="28"/>
          <w:highlight w:val="none"/>
        </w:rPr>
        <w:t>后确认或提出修改意见的期限：</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7</w:t>
      </w:r>
      <w:bookmarkStart w:id="252" w:name="_Toc300934966"/>
      <w:bookmarkStart w:id="253" w:name="_Toc304295541"/>
      <w:bookmarkStart w:id="254" w:name="_Toc297216173"/>
      <w:bookmarkStart w:id="255" w:name="_Toc312677479"/>
      <w:bookmarkStart w:id="256" w:name="_Toc303539123"/>
      <w:bookmarkStart w:id="257" w:name="_Toc297123514"/>
      <w:bookmarkStart w:id="258" w:name="_Toc312678005"/>
      <w:r>
        <w:rPr>
          <w:rFonts w:ascii="Times New Roman" w:hAnsi="Times New Roman" w:eastAsia="黑体"/>
          <w:color w:val="000000"/>
          <w:sz w:val="28"/>
          <w:szCs w:val="28"/>
          <w:highlight w:val="none"/>
        </w:rPr>
        <w:t>.2 施工进度计划</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7.2.2 施工进度计划的修订</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发包人和监理人在收到修订的施工进度计划后确认或提出修改意见的期限：</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7.3 开工</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7.3.1 开工准备</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u w:val="single"/>
        </w:rPr>
      </w:pPr>
      <w:r>
        <w:rPr>
          <w:rFonts w:ascii="Times New Roman" w:hAnsi="Times New Roman" w:eastAsia="仿宋_GB2312"/>
          <w:color w:val="000000"/>
          <w:sz w:val="28"/>
          <w:szCs w:val="28"/>
          <w:highlight w:val="none"/>
        </w:rPr>
        <w:t>关于承包人提交</w:t>
      </w:r>
      <w:r>
        <w:rPr>
          <w:rFonts w:ascii="Times New Roman" w:hAnsi="Times New Roman" w:eastAsia="仿宋_GB2312"/>
          <w:color w:val="000000"/>
          <w:kern w:val="0"/>
          <w:sz w:val="28"/>
          <w:szCs w:val="28"/>
          <w:highlight w:val="none"/>
        </w:rPr>
        <w:t>工程开工报审表的期限：</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u w:val="none"/>
          <w:lang w:eastAsia="zh-CN"/>
        </w:rPr>
      </w:pPr>
      <w:r>
        <w:rPr>
          <w:rFonts w:ascii="Times New Roman" w:hAnsi="Times New Roman" w:eastAsia="仿宋_GB2312"/>
          <w:color w:val="000000"/>
          <w:sz w:val="28"/>
          <w:szCs w:val="28"/>
          <w:highlight w:val="none"/>
        </w:rPr>
        <w:t>关于发包人应完成的其他开工准备工作及期限：</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color w:val="000000"/>
          <w:sz w:val="28"/>
          <w:szCs w:val="28"/>
          <w:highlight w:val="none"/>
        </w:rPr>
        <w:t>关于承包人应完成的其他开工准备工作及期限：</w:t>
      </w:r>
      <w:r>
        <w:rPr>
          <w:rFonts w:hint="eastAsia" w:ascii="仿宋" w:hAnsi="仿宋" w:eastAsia="仿宋" w:cs="仿宋"/>
          <w:b/>
          <w:bCs/>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bidi w:val="0"/>
        <w:snapToGrid/>
        <w:spacing w:line="440" w:lineRule="exact"/>
        <w:ind w:firstLine="560" w:firstLineChars="200"/>
        <w:jc w:val="left"/>
        <w:textAlignment w:val="auto"/>
        <w:rPr>
          <w:rFonts w:hint="default" w:ascii="Times New Roman" w:hAnsi="Times New Roman" w:eastAsia="仿宋_GB2312"/>
          <w:color w:val="000000"/>
          <w:sz w:val="28"/>
          <w:szCs w:val="28"/>
          <w:highlight w:val="none"/>
          <w:lang w:val="en-US" w:eastAsia="zh-CN"/>
        </w:rPr>
      </w:pPr>
      <w:r>
        <w:rPr>
          <w:rFonts w:ascii="Times New Roman" w:hAnsi="Times New Roman" w:eastAsia="仿宋_GB2312"/>
          <w:color w:val="000000"/>
          <w:sz w:val="28"/>
          <w:szCs w:val="28"/>
          <w:highlight w:val="none"/>
        </w:rPr>
        <w:t>7.3.2开工通知</w:t>
      </w:r>
      <w:r>
        <w:rPr>
          <w:rFonts w:hint="eastAsia" w:ascii="Times New Roman" w:hAnsi="Times New Roman" w:eastAsia="仿宋_GB2312"/>
          <w:color w:val="000000"/>
          <w:sz w:val="28"/>
          <w:szCs w:val="28"/>
          <w:highlight w:val="none"/>
          <w:lang w:val="en-US" w:eastAsia="zh-CN"/>
        </w:rPr>
        <w:t xml:space="preserve">  </w:t>
      </w:r>
    </w:p>
    <w:bookmarkEnd w:id="252"/>
    <w:bookmarkEnd w:id="253"/>
    <w:bookmarkEnd w:id="254"/>
    <w:bookmarkEnd w:id="255"/>
    <w:bookmarkEnd w:id="256"/>
    <w:bookmarkEnd w:id="257"/>
    <w:bookmarkEnd w:id="258"/>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因发包人原因造成监理人未能在计划开工日期之日起</w:t>
      </w:r>
      <w:r>
        <w:rPr>
          <w:rFonts w:hint="eastAsia"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none"/>
          <w:lang w:val="en-US" w:eastAsia="zh-CN"/>
        </w:rPr>
        <w:t xml:space="preserve"> </w:t>
      </w:r>
      <w:r>
        <w:rPr>
          <w:rFonts w:hint="eastAsia" w:ascii="Times New Roman" w:hAnsi="Times New Roman" w:eastAsia="仿宋_GB2312"/>
          <w:color w:val="000000"/>
          <w:sz w:val="28"/>
          <w:szCs w:val="28"/>
          <w:highlight w:val="none"/>
          <w:u w:val="none"/>
        </w:rPr>
        <w:t>天</w:t>
      </w:r>
      <w:r>
        <w:rPr>
          <w:rFonts w:hint="eastAsia" w:ascii="Times New Roman" w:hAnsi="Times New Roman" w:eastAsia="仿宋_GB2312"/>
          <w:color w:val="000000"/>
          <w:sz w:val="28"/>
          <w:szCs w:val="28"/>
          <w:highlight w:val="none"/>
        </w:rPr>
        <w:t>内发出开工通知的，承包人有权提出工期顺延要求，发包人不承担任何经济赔尝</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7.4 测量放线</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sz w:val="28"/>
          <w:szCs w:val="28"/>
          <w:highlight w:val="none"/>
          <w:u w:val="single"/>
        </w:rPr>
      </w:pPr>
      <w:r>
        <w:rPr>
          <w:rFonts w:ascii="Times New Roman" w:hAnsi="Times New Roman" w:eastAsia="仿宋_GB2312"/>
          <w:sz w:val="28"/>
          <w:szCs w:val="28"/>
          <w:highlight w:val="none"/>
        </w:rPr>
        <w:t>7.4.1发包人通过监理人向承包人提供测量基准点、基准线和水准点及其书面资料的期限：</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7</w:t>
      </w:r>
      <w:bookmarkStart w:id="259" w:name="_Toc303539125"/>
      <w:bookmarkStart w:id="260" w:name="_Toc300934968"/>
      <w:bookmarkStart w:id="261" w:name="_Toc304295546"/>
      <w:bookmarkStart w:id="262" w:name="_Toc312677484"/>
      <w:bookmarkStart w:id="263" w:name="_Toc297123516"/>
      <w:bookmarkStart w:id="264" w:name="_Toc312678010"/>
      <w:bookmarkStart w:id="265" w:name="_Toc297216175"/>
      <w:r>
        <w:rPr>
          <w:rFonts w:ascii="Times New Roman" w:hAnsi="Times New Roman" w:eastAsia="黑体"/>
          <w:color w:val="000000"/>
          <w:sz w:val="28"/>
          <w:szCs w:val="28"/>
          <w:highlight w:val="none"/>
        </w:rPr>
        <w:t>.5 工期延误</w:t>
      </w:r>
    </w:p>
    <w:bookmarkEnd w:id="259"/>
    <w:bookmarkEnd w:id="260"/>
    <w:bookmarkEnd w:id="261"/>
    <w:bookmarkEnd w:id="262"/>
    <w:bookmarkEnd w:id="263"/>
    <w:bookmarkEnd w:id="264"/>
    <w:bookmarkEnd w:id="265"/>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7.5.1 因发包人原因导致工期延误</w:t>
      </w:r>
    </w:p>
    <w:p>
      <w:pPr>
        <w:pageBreakBefore w:val="0"/>
        <w:kinsoku/>
        <w:wordWrap/>
        <w:overflowPunct/>
        <w:topLinePunct w:val="0"/>
        <w:bidi w:val="0"/>
        <w:snapToGrid/>
        <w:spacing w:line="440" w:lineRule="exact"/>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（7）因发包人原因导致工期延误的其他情形：</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7</w:t>
      </w:r>
      <w:bookmarkStart w:id="266" w:name="_Toc318581169"/>
      <w:bookmarkStart w:id="267" w:name="_Toc312678012"/>
      <w:bookmarkStart w:id="268" w:name="_Toc312677486"/>
      <w:bookmarkStart w:id="269" w:name="_Toc303539127"/>
      <w:bookmarkStart w:id="270" w:name="_Toc297123518"/>
      <w:bookmarkStart w:id="271" w:name="_Toc300934970"/>
      <w:bookmarkStart w:id="272" w:name="_Toc297216177"/>
      <w:bookmarkStart w:id="273" w:name="_Toc304295548"/>
      <w:r>
        <w:rPr>
          <w:rFonts w:ascii="Times New Roman" w:hAnsi="Times New Roman" w:eastAsia="仿宋_GB2312"/>
          <w:sz w:val="28"/>
          <w:szCs w:val="28"/>
          <w:highlight w:val="none"/>
        </w:rPr>
        <w:t>.5.2 因承包人原因导致工期延误</w:t>
      </w:r>
    </w:p>
    <w:bookmarkEnd w:id="266"/>
    <w:bookmarkEnd w:id="267"/>
    <w:bookmarkEnd w:id="268"/>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sz w:val="28"/>
          <w:szCs w:val="28"/>
          <w:highlight w:val="none"/>
          <w:u w:val="single"/>
        </w:rPr>
      </w:pPr>
      <w:r>
        <w:rPr>
          <w:rFonts w:ascii="Times New Roman" w:hAnsi="Times New Roman" w:eastAsia="仿宋_GB2312"/>
          <w:sz w:val="28"/>
          <w:szCs w:val="28"/>
          <w:highlight w:val="none"/>
        </w:rPr>
        <w:t>因</w:t>
      </w:r>
      <w:bookmarkStart w:id="274" w:name="_Toc312677487"/>
      <w:bookmarkStart w:id="275" w:name="_Toc312678013"/>
      <w:bookmarkStart w:id="276" w:name="_Toc318581170"/>
      <w:r>
        <w:rPr>
          <w:rFonts w:ascii="Times New Roman" w:hAnsi="Times New Roman" w:eastAsia="仿宋_GB2312"/>
          <w:sz w:val="28"/>
          <w:szCs w:val="28"/>
          <w:highlight w:val="none"/>
        </w:rPr>
        <w:t>承包人原因造成工期延误，逾期竣工违约金的计算方法为：</w:t>
      </w:r>
    </w:p>
    <w:bookmarkEnd w:id="269"/>
    <w:bookmarkEnd w:id="270"/>
    <w:bookmarkEnd w:id="271"/>
    <w:bookmarkEnd w:id="272"/>
    <w:bookmarkEnd w:id="273"/>
    <w:bookmarkEnd w:id="274"/>
    <w:bookmarkEnd w:id="275"/>
    <w:bookmarkEnd w:id="276"/>
    <w:p>
      <w:pPr>
        <w:pageBreakBefore w:val="0"/>
        <w:kinsoku/>
        <w:wordWrap/>
        <w:overflowPunct/>
        <w:topLinePunct w:val="0"/>
        <w:bidi w:val="0"/>
        <w:snapToGrid/>
        <w:spacing w:line="440" w:lineRule="exact"/>
        <w:textAlignment w:val="auto"/>
        <w:rPr>
          <w:rFonts w:ascii="Times New Roman" w:hAnsi="Times New Roman" w:eastAsia="仿宋_GB2312"/>
          <w:sz w:val="28"/>
          <w:szCs w:val="28"/>
          <w:highlight w:val="none"/>
        </w:rPr>
      </w:pP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r>
        <w:rPr>
          <w:rFonts w:ascii="Times New Roman" w:hAnsi="Times New Roman" w:eastAsia="仿宋_GB2312"/>
          <w:sz w:val="28"/>
          <w:szCs w:val="28"/>
          <w:highlight w:val="none"/>
        </w:rPr>
        <w:t>因承包人原因造成工期延误，逾</w:t>
      </w:r>
      <w:bookmarkStart w:id="277" w:name="_Toc318581171"/>
      <w:bookmarkStart w:id="278" w:name="_Toc312678014"/>
      <w:r>
        <w:rPr>
          <w:rFonts w:ascii="Times New Roman" w:hAnsi="Times New Roman" w:eastAsia="仿宋_GB2312"/>
          <w:sz w:val="28"/>
          <w:szCs w:val="28"/>
          <w:highlight w:val="none"/>
        </w:rPr>
        <w:t>期竣工违约金的上限：</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bookmarkEnd w:id="277"/>
    <w:bookmarkEnd w:id="278"/>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7</w:t>
      </w:r>
      <w:bookmarkStart w:id="279" w:name="_Toc303539128"/>
      <w:bookmarkStart w:id="280" w:name="_Toc297123519"/>
      <w:bookmarkStart w:id="281" w:name="_Toc300934971"/>
      <w:bookmarkStart w:id="282" w:name="_Toc297216178"/>
      <w:bookmarkStart w:id="283" w:name="_Toc312678015"/>
      <w:bookmarkStart w:id="284" w:name="_Toc304295549"/>
      <w:r>
        <w:rPr>
          <w:rFonts w:ascii="Times New Roman" w:hAnsi="Times New Roman" w:eastAsia="黑体"/>
          <w:color w:val="000000"/>
          <w:sz w:val="28"/>
          <w:szCs w:val="28"/>
          <w:highlight w:val="none"/>
        </w:rPr>
        <w:t>.6 不</w:t>
      </w:r>
      <w:bookmarkEnd w:id="279"/>
      <w:bookmarkEnd w:id="280"/>
      <w:bookmarkEnd w:id="281"/>
      <w:bookmarkEnd w:id="282"/>
      <w:bookmarkEnd w:id="283"/>
      <w:bookmarkEnd w:id="284"/>
      <w:r>
        <w:rPr>
          <w:rFonts w:ascii="Times New Roman" w:hAnsi="Times New Roman" w:eastAsia="黑体"/>
          <w:color w:val="000000"/>
          <w:sz w:val="28"/>
          <w:szCs w:val="28"/>
          <w:highlight w:val="none"/>
        </w:rPr>
        <w:t>利物质条件</w:t>
      </w:r>
    </w:p>
    <w:p>
      <w:pPr>
        <w:pageBreakBefore w:val="0"/>
        <w:kinsoku/>
        <w:wordWrap/>
        <w:overflowPunct/>
        <w:topLinePunct w:val="0"/>
        <w:bidi w:val="0"/>
        <w:snapToGrid/>
        <w:spacing w:line="440" w:lineRule="exact"/>
        <w:ind w:firstLine="560"/>
        <w:jc w:val="left"/>
        <w:textAlignment w:val="auto"/>
        <w:rPr>
          <w:rFonts w:ascii="Times New Roman" w:hAnsi="Times New Roman" w:eastAsia="仿宋_GB2312"/>
          <w:sz w:val="28"/>
          <w:szCs w:val="28"/>
          <w:highlight w:val="none"/>
        </w:rPr>
      </w:pPr>
      <w:bookmarkStart w:id="285" w:name="_Toc297123520"/>
      <w:bookmarkStart w:id="286" w:name="_Toc300934972"/>
      <w:bookmarkStart w:id="287" w:name="_Toc312678016"/>
      <w:bookmarkStart w:id="288" w:name="_Toc297216179"/>
      <w:bookmarkStart w:id="289" w:name="_Toc318581172"/>
      <w:bookmarkStart w:id="290" w:name="_Toc303539129"/>
      <w:bookmarkStart w:id="291" w:name="_Toc304295550"/>
      <w:r>
        <w:rPr>
          <w:rFonts w:ascii="Times New Roman" w:hAnsi="Times New Roman" w:eastAsia="仿宋_GB2312"/>
          <w:sz w:val="28"/>
          <w:szCs w:val="28"/>
          <w:highlight w:val="none"/>
        </w:rPr>
        <w:t>不利物质条件的其他情形和有关约定：</w:t>
      </w:r>
      <w:r>
        <w:rPr>
          <w:rFonts w:ascii="Times New Roman" w:hAnsi="Times New Roman" w:eastAsia="仿宋_GB2312"/>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none"/>
          <w:lang w:eastAsia="zh-CN"/>
        </w:rPr>
        <w:t>。</w:t>
      </w:r>
    </w:p>
    <w:bookmarkEnd w:id="285"/>
    <w:bookmarkEnd w:id="286"/>
    <w:bookmarkEnd w:id="287"/>
    <w:bookmarkEnd w:id="288"/>
    <w:bookmarkEnd w:id="289"/>
    <w:bookmarkEnd w:id="290"/>
    <w:bookmarkEnd w:id="291"/>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7</w:t>
      </w:r>
      <w:bookmarkStart w:id="292" w:name="_Toc297123521"/>
      <w:bookmarkStart w:id="293" w:name="_Toc297216180"/>
      <w:bookmarkStart w:id="294" w:name="_Toc312678017"/>
      <w:bookmarkStart w:id="295" w:name="_Toc300934973"/>
      <w:bookmarkStart w:id="296" w:name="_Toc303539130"/>
      <w:bookmarkStart w:id="297" w:name="_Toc304295551"/>
      <w:r>
        <w:rPr>
          <w:rFonts w:ascii="Times New Roman" w:hAnsi="Times New Roman" w:eastAsia="黑体"/>
          <w:color w:val="000000"/>
          <w:sz w:val="28"/>
          <w:szCs w:val="28"/>
          <w:highlight w:val="none"/>
        </w:rPr>
        <w:t>.7异常恶劣的气候条件</w:t>
      </w:r>
    </w:p>
    <w:bookmarkEnd w:id="292"/>
    <w:bookmarkEnd w:id="293"/>
    <w:bookmarkEnd w:id="294"/>
    <w:bookmarkEnd w:id="295"/>
    <w:bookmarkEnd w:id="296"/>
    <w:bookmarkEnd w:id="297"/>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发包人和承包人同意以下情形视为异常恶劣的气候条件：</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（1）</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（2）</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（3）</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7.9 提前竣工的奖励</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sz w:val="28"/>
          <w:szCs w:val="28"/>
          <w:highlight w:val="none"/>
        </w:rPr>
      </w:pPr>
      <w:r>
        <w:rPr>
          <w:rFonts w:ascii="Times New Roman" w:hAnsi="Times New Roman" w:eastAsia="仿宋_GB2312"/>
          <w:sz w:val="28"/>
          <w:szCs w:val="28"/>
          <w:highlight w:val="none"/>
        </w:rPr>
        <w:t>7.9.2提前竣工的奖励：</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298" w:name="_Toc351203640"/>
      <w:r>
        <w:rPr>
          <w:rFonts w:ascii="Times New Roman" w:hAnsi="Times New Roman"/>
          <w:b/>
          <w:color w:val="000000"/>
          <w:sz w:val="28"/>
          <w:szCs w:val="28"/>
          <w:highlight w:val="none"/>
        </w:rPr>
        <w:t>8. 材料与设备</w:t>
      </w:r>
      <w:bookmarkEnd w:id="298"/>
    </w:p>
    <w:bookmarkEnd w:id="233"/>
    <w:bookmarkEnd w:id="234"/>
    <w:bookmarkEnd w:id="235"/>
    <w:bookmarkEnd w:id="236"/>
    <w:bookmarkEnd w:id="237"/>
    <w:bookmarkEnd w:id="238"/>
    <w:bookmarkEnd w:id="239"/>
    <w:bookmarkEnd w:id="240"/>
    <w:bookmarkEnd w:id="241"/>
    <w:bookmarkEnd w:id="242"/>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8</w:t>
      </w:r>
      <w:bookmarkStart w:id="299" w:name="_Toc292559372"/>
      <w:bookmarkStart w:id="300" w:name="_Toc300934979"/>
      <w:bookmarkStart w:id="301" w:name="_Toc280868654"/>
      <w:bookmarkStart w:id="302" w:name="_Toc312677493"/>
      <w:bookmarkStart w:id="303" w:name="_Toc296346668"/>
      <w:bookmarkStart w:id="304" w:name="_Toc296891207"/>
      <w:bookmarkStart w:id="305" w:name="_Toc303539136"/>
      <w:bookmarkStart w:id="306" w:name="_Toc297123527"/>
      <w:bookmarkStart w:id="307" w:name="_Toc296347166"/>
      <w:bookmarkStart w:id="308" w:name="_Toc297120467"/>
      <w:bookmarkStart w:id="309" w:name="_Toc296890995"/>
      <w:bookmarkStart w:id="310" w:name="_Toc312678019"/>
      <w:bookmarkStart w:id="311" w:name="_Toc297216186"/>
      <w:bookmarkStart w:id="312" w:name="_Toc292559877"/>
      <w:bookmarkStart w:id="313" w:name="_Toc304295556"/>
      <w:bookmarkStart w:id="314" w:name="_Toc296944506"/>
      <w:bookmarkStart w:id="315" w:name="_Toc297048353"/>
      <w:bookmarkStart w:id="316" w:name="_Toc296503167"/>
      <w:bookmarkStart w:id="317" w:name="_Toc280868655"/>
      <w:bookmarkStart w:id="318" w:name="_Toc267251424"/>
      <w:bookmarkStart w:id="319" w:name="_Toc280868656"/>
      <w:r>
        <w:rPr>
          <w:rFonts w:ascii="Times New Roman" w:hAnsi="Times New Roman" w:eastAsia="黑体"/>
          <w:color w:val="000000"/>
          <w:sz w:val="28"/>
          <w:szCs w:val="28"/>
          <w:highlight w:val="none"/>
        </w:rPr>
        <w:t>.4材料与工程设备的保管与使用</w:t>
      </w:r>
    </w:p>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Pr>
        <w:pageBreakBefore w:val="0"/>
        <w:kinsoku/>
        <w:wordWrap/>
        <w:overflowPunct/>
        <w:topLinePunct w:val="0"/>
        <w:bidi w:val="0"/>
        <w:snapToGrid/>
        <w:spacing w:line="440" w:lineRule="exact"/>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8</w:t>
      </w:r>
      <w:bookmarkStart w:id="320" w:name="_Toc292559373"/>
      <w:bookmarkStart w:id="321" w:name="_Toc292559878"/>
      <w:bookmarkStart w:id="322" w:name="_Toc297123528"/>
      <w:bookmarkStart w:id="323" w:name="_Toc318581173"/>
      <w:bookmarkStart w:id="324" w:name="_Toc312677494"/>
      <w:bookmarkStart w:id="325" w:name="_Toc303539137"/>
      <w:bookmarkStart w:id="326" w:name="_Toc297216187"/>
      <w:bookmarkStart w:id="327" w:name="_Toc296347167"/>
      <w:bookmarkStart w:id="328" w:name="_Toc296346669"/>
      <w:bookmarkStart w:id="329" w:name="_Toc296890996"/>
      <w:bookmarkStart w:id="330" w:name="_Toc296944507"/>
      <w:bookmarkStart w:id="331" w:name="_Toc312678020"/>
      <w:bookmarkStart w:id="332" w:name="_Toc296891208"/>
      <w:bookmarkStart w:id="333" w:name="_Toc300934980"/>
      <w:bookmarkStart w:id="334" w:name="_Toc296503168"/>
      <w:bookmarkStart w:id="335" w:name="_Toc304295557"/>
      <w:bookmarkStart w:id="336" w:name="_Toc297120468"/>
      <w:bookmarkStart w:id="337" w:name="_Toc297048354"/>
      <w:r>
        <w:rPr>
          <w:rFonts w:ascii="Times New Roman" w:hAnsi="Times New Roman" w:eastAsia="仿宋_GB2312"/>
          <w:sz w:val="28"/>
          <w:szCs w:val="28"/>
          <w:highlight w:val="none"/>
        </w:rPr>
        <w:t>.4.1发包人供应的材料设备的保管费用的承担：</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bookmarkEnd w:id="320"/>
      <w:bookmarkEnd w:id="321"/>
    </w:p>
    <w:p>
      <w:pPr>
        <w:pageBreakBefore w:val="0"/>
        <w:kinsoku/>
        <w:wordWrap/>
        <w:overflowPunct/>
        <w:topLinePunct w:val="0"/>
        <w:bidi w:val="0"/>
        <w:snapToGrid/>
        <w:spacing w:after="120" w:line="440" w:lineRule="exact"/>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8.6 样品</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8.6.1</w:t>
      </w:r>
      <w:r>
        <w:rPr>
          <w:rFonts w:ascii="Times New Roman" w:hAnsi="Times New Roman" w:eastAsia="仿宋_GB2312"/>
          <w:color w:val="000000"/>
          <w:kern w:val="0"/>
          <w:sz w:val="28"/>
          <w:szCs w:val="28"/>
          <w:highlight w:val="none"/>
        </w:rPr>
        <w:tab/>
      </w:r>
      <w:r>
        <w:rPr>
          <w:rFonts w:ascii="Times New Roman" w:hAnsi="Times New Roman" w:eastAsia="仿宋_GB2312"/>
          <w:color w:val="000000"/>
          <w:kern w:val="0"/>
          <w:sz w:val="28"/>
          <w:szCs w:val="28"/>
          <w:highlight w:val="none"/>
        </w:rPr>
        <w:t>样品的报送</w:t>
      </w:r>
      <w:r>
        <w:rPr>
          <w:rFonts w:hint="eastAsia" w:ascii="Times New Roman" w:hAnsi="Times New Roman" w:eastAsia="仿宋_GB2312"/>
          <w:color w:val="000000"/>
          <w:kern w:val="0"/>
          <w:sz w:val="28"/>
          <w:szCs w:val="28"/>
          <w:highlight w:val="none"/>
        </w:rPr>
        <w:t>与封存</w:t>
      </w:r>
    </w:p>
    <w:p>
      <w:pPr>
        <w:pageBreakBefore w:val="0"/>
        <w:kinsoku/>
        <w:wordWrap/>
        <w:overflowPunct/>
        <w:topLinePunct w:val="0"/>
        <w:autoSpaceDE w:val="0"/>
        <w:autoSpaceDN w:val="0"/>
        <w:bidi w:val="0"/>
        <w:adjustRightInd w:val="0"/>
        <w:snapToGrid/>
        <w:spacing w:line="440" w:lineRule="exact"/>
        <w:jc w:val="left"/>
        <w:textAlignment w:val="auto"/>
        <w:rPr>
          <w:rFonts w:ascii="Times New Roman" w:hAnsi="Times New Roman" w:eastAsia="仿宋_GB2312"/>
          <w:sz w:val="28"/>
          <w:szCs w:val="28"/>
          <w:highlight w:val="none"/>
        </w:rPr>
      </w:pPr>
      <w:r>
        <w:rPr>
          <w:rFonts w:ascii="Times New Roman" w:hAnsi="Times New Roman" w:eastAsia="仿宋_GB2312"/>
          <w:color w:val="000000"/>
          <w:kern w:val="0"/>
          <w:sz w:val="28"/>
          <w:szCs w:val="28"/>
          <w:highlight w:val="none"/>
        </w:rPr>
        <w:t>需要承包人报送样品的材料或工程设备，样品的种类、名称、规格、数量要求：</w:t>
      </w:r>
      <w:r>
        <w:rPr>
          <w:rFonts w:hint="eastAsia" w:ascii="Times New Roman" w:hAnsi="Times New Roman" w:eastAsia="仿宋_GB2312"/>
          <w:sz w:val="28"/>
          <w:szCs w:val="28"/>
          <w:highlight w:val="none"/>
          <w:u w:val="single"/>
          <w:lang w:val="en-US" w:eastAsia="zh-CN"/>
        </w:rPr>
        <w:t xml:space="preserve">                 。</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8.8 施工设备和临时设施</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8.8.1 承包人提供的施工设备和临时设施</w:t>
      </w:r>
    </w:p>
    <w:p>
      <w:pPr>
        <w:pageBreakBefore w:val="0"/>
        <w:kinsoku/>
        <w:wordWrap/>
        <w:overflowPunct/>
        <w:topLinePunct w:val="0"/>
        <w:autoSpaceDE w:val="0"/>
        <w:autoSpaceDN w:val="0"/>
        <w:bidi w:val="0"/>
        <w:adjustRightInd w:val="0"/>
        <w:snapToGrid/>
        <w:spacing w:line="440" w:lineRule="exact"/>
        <w:jc w:val="left"/>
        <w:textAlignment w:val="auto"/>
        <w:rPr>
          <w:rFonts w:ascii="Times New Roman" w:hAnsi="Times New Roman" w:eastAsia="仿宋_GB2312"/>
          <w:sz w:val="28"/>
          <w:szCs w:val="28"/>
          <w:highlight w:val="none"/>
        </w:rPr>
      </w:pPr>
      <w:r>
        <w:rPr>
          <w:rFonts w:hint="eastAsia" w:ascii="仿宋_GB2312" w:hAnsi="仿宋_GB2312" w:eastAsia="仿宋_GB2312" w:cs="仿宋_GB2312"/>
          <w:sz w:val="28"/>
          <w:szCs w:val="28"/>
          <w:highlight w:val="none"/>
        </w:rPr>
        <w:t>关于修建临时设施费用承担的约定：</w:t>
      </w:r>
      <w:r>
        <w:rPr>
          <w:rFonts w:hint="eastAsia" w:ascii="仿宋_GB2312" w:hAnsi="仿宋_GB2312" w:eastAsia="仿宋_GB2312" w:cs="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338" w:name="_Toc351203641"/>
      <w:r>
        <w:rPr>
          <w:rFonts w:ascii="Times New Roman" w:hAnsi="Times New Roman"/>
          <w:b/>
          <w:color w:val="000000"/>
          <w:sz w:val="28"/>
          <w:szCs w:val="28"/>
          <w:highlight w:val="none"/>
        </w:rPr>
        <w:t>9</w:t>
      </w:r>
      <w:bookmarkEnd w:id="317"/>
      <w:bookmarkEnd w:id="318"/>
      <w:bookmarkEnd w:id="319"/>
      <w:bookmarkStart w:id="339" w:name="_Toc300934982"/>
      <w:bookmarkStart w:id="340" w:name="_Toc304295559"/>
      <w:bookmarkStart w:id="341" w:name="_Toc312678021"/>
      <w:bookmarkStart w:id="342" w:name="_Toc312677495"/>
      <w:bookmarkStart w:id="343" w:name="_Toc297216192"/>
      <w:bookmarkStart w:id="344" w:name="_Toc303539139"/>
      <w:bookmarkStart w:id="345" w:name="_Toc297123533"/>
      <w:bookmarkStart w:id="346" w:name="_Toc296891213"/>
      <w:bookmarkStart w:id="347" w:name="_Toc267251427"/>
      <w:bookmarkStart w:id="348" w:name="_Toc296944512"/>
      <w:bookmarkStart w:id="349" w:name="_Toc292559883"/>
      <w:bookmarkStart w:id="350" w:name="_Toc296347172"/>
      <w:bookmarkStart w:id="351" w:name="_Toc292559378"/>
      <w:bookmarkStart w:id="352" w:name="_Toc297120473"/>
      <w:bookmarkStart w:id="353" w:name="_Toc267251428"/>
      <w:bookmarkStart w:id="354" w:name="_Toc296503173"/>
      <w:bookmarkStart w:id="355" w:name="_Toc297048359"/>
      <w:bookmarkStart w:id="356" w:name="_Toc296891001"/>
      <w:bookmarkStart w:id="357" w:name="_Toc296346674"/>
      <w:r>
        <w:rPr>
          <w:rFonts w:ascii="Times New Roman" w:hAnsi="Times New Roman"/>
          <w:b/>
          <w:color w:val="000000"/>
          <w:sz w:val="28"/>
          <w:szCs w:val="28"/>
          <w:highlight w:val="none"/>
        </w:rPr>
        <w:t>. 试验与检验</w:t>
      </w:r>
      <w:bookmarkEnd w:id="338"/>
    </w:p>
    <w:bookmarkEnd w:id="339"/>
    <w:bookmarkEnd w:id="340"/>
    <w:bookmarkEnd w:id="341"/>
    <w:bookmarkEnd w:id="342"/>
    <w:bookmarkEnd w:id="343"/>
    <w:bookmarkEnd w:id="344"/>
    <w:bookmarkEnd w:id="345"/>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9</w:t>
      </w:r>
      <w:bookmarkStart w:id="358" w:name="_Toc297123534"/>
      <w:bookmarkStart w:id="359" w:name="_Toc312677496"/>
      <w:bookmarkStart w:id="360" w:name="_Toc300934983"/>
      <w:bookmarkStart w:id="361" w:name="_Toc312678022"/>
      <w:bookmarkStart w:id="362" w:name="_Toc297216193"/>
      <w:bookmarkStart w:id="363" w:name="_Toc304295560"/>
      <w:bookmarkStart w:id="364" w:name="_Toc303539140"/>
      <w:r>
        <w:rPr>
          <w:rFonts w:ascii="Times New Roman" w:hAnsi="Times New Roman" w:eastAsia="黑体"/>
          <w:color w:val="000000"/>
          <w:sz w:val="28"/>
          <w:szCs w:val="28"/>
          <w:highlight w:val="none"/>
        </w:rPr>
        <w:t>.1试验设备与试验人员</w:t>
      </w:r>
    </w:p>
    <w:bookmarkEnd w:id="358"/>
    <w:bookmarkEnd w:id="359"/>
    <w:bookmarkEnd w:id="360"/>
    <w:bookmarkEnd w:id="361"/>
    <w:bookmarkEnd w:id="362"/>
    <w:bookmarkEnd w:id="363"/>
    <w:bookmarkEnd w:id="364"/>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9</w:t>
      </w:r>
      <w:bookmarkStart w:id="365" w:name="_Toc297123535"/>
      <w:bookmarkStart w:id="366" w:name="_Toc304295561"/>
      <w:bookmarkStart w:id="367" w:name="_Toc303539141"/>
      <w:bookmarkStart w:id="368" w:name="_Toc312678023"/>
      <w:bookmarkStart w:id="369" w:name="_Toc300934984"/>
      <w:bookmarkStart w:id="370" w:name="_Toc297216194"/>
      <w:bookmarkStart w:id="371" w:name="_Toc312677497"/>
      <w:bookmarkStart w:id="372" w:name="_Toc318581174"/>
      <w:r>
        <w:rPr>
          <w:rFonts w:ascii="Times New Roman" w:hAnsi="Times New Roman" w:eastAsia="仿宋_GB2312"/>
          <w:sz w:val="28"/>
          <w:szCs w:val="28"/>
          <w:highlight w:val="none"/>
        </w:rPr>
        <w:t>.1.2 试验设备</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施工现场需要配置的试验场所：</w:t>
      </w:r>
      <w:bookmarkEnd w:id="365"/>
      <w:bookmarkEnd w:id="366"/>
      <w:bookmarkEnd w:id="367"/>
      <w:bookmarkEnd w:id="368"/>
      <w:bookmarkEnd w:id="369"/>
      <w:bookmarkEnd w:id="370"/>
      <w:bookmarkEnd w:id="371"/>
      <w:bookmarkStart w:id="373" w:name="_Toc303539142"/>
      <w:bookmarkStart w:id="374" w:name="_Toc312677498"/>
      <w:bookmarkStart w:id="375" w:name="_Toc297216195"/>
      <w:bookmarkStart w:id="376" w:name="_Toc297123536"/>
      <w:bookmarkStart w:id="377" w:name="_Toc312678024"/>
      <w:bookmarkStart w:id="378" w:name="_Toc300934985"/>
      <w:bookmarkStart w:id="379" w:name="_Toc304295562"/>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r>
        <w:rPr>
          <w:rFonts w:hint="eastAsia" w:ascii="Times New Roman" w:hAnsi="Times New Roman" w:eastAsia="仿宋_GB2312"/>
          <w:sz w:val="28"/>
          <w:szCs w:val="28"/>
          <w:highlight w:val="none"/>
        </w:rPr>
        <w:t xml:space="preserve"> </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施工现场需要配备的试验设备：</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施工现场需要具备的其他试验条件：</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9.4 现场工艺试验</w:t>
      </w:r>
      <w:r>
        <w:rPr>
          <w:rFonts w:hint="eastAsia" w:ascii="Times New Roman" w:hAnsi="Times New Roman" w:eastAsia="黑体"/>
          <w:color w:val="000000"/>
          <w:sz w:val="28"/>
          <w:szCs w:val="28"/>
          <w:highlight w:val="none"/>
        </w:rPr>
        <w:t xml:space="preserve"> </w:t>
      </w:r>
    </w:p>
    <w:p>
      <w:pPr>
        <w:pageBreakBefore w:val="0"/>
        <w:kinsoku/>
        <w:wordWrap/>
        <w:overflowPunct/>
        <w:topLinePunct w:val="0"/>
        <w:bidi w:val="0"/>
        <w:snapToGrid/>
        <w:spacing w:line="440" w:lineRule="exact"/>
        <w:jc w:val="left"/>
        <w:textAlignment w:val="auto"/>
        <w:rPr>
          <w:rFonts w:hint="eastAsia" w:ascii="Times New Roman" w:hAnsi="Times New Roman" w:eastAsia="仿宋_GB2312"/>
          <w:sz w:val="28"/>
          <w:szCs w:val="28"/>
          <w:highlight w:val="none"/>
        </w:rPr>
      </w:pPr>
      <w:r>
        <w:rPr>
          <w:rFonts w:hint="eastAsia" w:ascii="仿宋_GB2312" w:hAnsi="仿宋_GB2312" w:eastAsia="仿宋_GB2312" w:cs="仿宋_GB2312"/>
          <w:sz w:val="28"/>
          <w:szCs w:val="28"/>
          <w:highlight w:val="none"/>
        </w:rPr>
        <w:t>现场工艺试验的有关约定：</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b/>
          <w:bCs/>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bookmarkEnd w:id="372"/>
    <w:bookmarkEnd w:id="373"/>
    <w:bookmarkEnd w:id="374"/>
    <w:bookmarkEnd w:id="375"/>
    <w:bookmarkEnd w:id="376"/>
    <w:bookmarkEnd w:id="377"/>
    <w:bookmarkEnd w:id="378"/>
    <w:bookmarkEnd w:id="379"/>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380" w:name="_Toc351203642"/>
      <w:r>
        <w:rPr>
          <w:rFonts w:ascii="Times New Roman" w:hAnsi="Times New Roman"/>
          <w:b/>
          <w:color w:val="000000"/>
          <w:sz w:val="28"/>
          <w:szCs w:val="28"/>
          <w:highlight w:val="none"/>
        </w:rPr>
        <w:t>1</w:t>
      </w:r>
      <w:bookmarkEnd w:id="346"/>
      <w:bookmarkEnd w:id="347"/>
      <w:bookmarkEnd w:id="348"/>
      <w:bookmarkEnd w:id="349"/>
      <w:bookmarkEnd w:id="350"/>
      <w:bookmarkEnd w:id="351"/>
      <w:bookmarkEnd w:id="352"/>
      <w:bookmarkEnd w:id="353"/>
      <w:bookmarkEnd w:id="354"/>
      <w:bookmarkEnd w:id="355"/>
      <w:bookmarkEnd w:id="356"/>
      <w:bookmarkEnd w:id="357"/>
      <w:bookmarkStart w:id="381" w:name="_Toc296503193"/>
      <w:bookmarkStart w:id="382" w:name="_Toc297123540"/>
      <w:bookmarkStart w:id="383" w:name="_Toc296347192"/>
      <w:bookmarkStart w:id="384" w:name="_Toc296346694"/>
      <w:bookmarkStart w:id="385" w:name="_Toc297120493"/>
      <w:bookmarkStart w:id="386" w:name="_Toc296891233"/>
      <w:bookmarkStart w:id="387" w:name="_Toc297048379"/>
      <w:bookmarkStart w:id="388" w:name="_Toc297216199"/>
      <w:bookmarkStart w:id="389" w:name="_Toc303539146"/>
      <w:bookmarkStart w:id="390" w:name="_Toc300934989"/>
      <w:bookmarkStart w:id="391" w:name="_Toc304295566"/>
      <w:bookmarkStart w:id="392" w:name="_Toc292559398"/>
      <w:bookmarkStart w:id="393" w:name="_Toc296944532"/>
      <w:bookmarkStart w:id="394" w:name="_Toc292559903"/>
      <w:bookmarkStart w:id="395" w:name="_Toc296891021"/>
      <w:bookmarkStart w:id="396" w:name="_Toc312677499"/>
      <w:bookmarkStart w:id="397" w:name="_Toc312678025"/>
      <w:bookmarkStart w:id="398" w:name="_Toc267251433"/>
      <w:bookmarkStart w:id="399" w:name="_Toc267251435"/>
      <w:bookmarkStart w:id="400" w:name="_Toc267251439"/>
      <w:bookmarkStart w:id="401" w:name="_Toc267251441"/>
      <w:bookmarkStart w:id="402" w:name="_Toc267251440"/>
      <w:bookmarkStart w:id="403" w:name="_Toc267251437"/>
      <w:bookmarkStart w:id="404" w:name="_Toc267251442"/>
      <w:r>
        <w:rPr>
          <w:rFonts w:ascii="Times New Roman" w:hAnsi="Times New Roman"/>
          <w:b/>
          <w:color w:val="000000"/>
          <w:sz w:val="28"/>
          <w:szCs w:val="28"/>
          <w:highlight w:val="none"/>
        </w:rPr>
        <w:t>0. 变更</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bookmarkEnd w:id="396"/>
    <w:bookmarkEnd w:id="397"/>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w:t>
      </w:r>
      <w:bookmarkStart w:id="405" w:name="_Toc312677500"/>
      <w:bookmarkStart w:id="406" w:name="_Toc296503194"/>
      <w:bookmarkStart w:id="407" w:name="_Toc297048380"/>
      <w:bookmarkStart w:id="408" w:name="_Toc296891234"/>
      <w:bookmarkStart w:id="409" w:name="_Toc300934990"/>
      <w:bookmarkStart w:id="410" w:name="_Toc296944533"/>
      <w:bookmarkStart w:id="411" w:name="_Toc303539147"/>
      <w:bookmarkStart w:id="412" w:name="_Toc312678026"/>
      <w:bookmarkStart w:id="413" w:name="_Toc297123541"/>
      <w:bookmarkStart w:id="414" w:name="_Toc297216200"/>
      <w:bookmarkStart w:id="415" w:name="_Toc292559904"/>
      <w:bookmarkStart w:id="416" w:name="_Toc296346695"/>
      <w:bookmarkStart w:id="417" w:name="_Toc297120494"/>
      <w:bookmarkStart w:id="418" w:name="_Toc292559399"/>
      <w:bookmarkStart w:id="419" w:name="_Toc296891022"/>
      <w:bookmarkStart w:id="420" w:name="_Toc296347193"/>
      <w:bookmarkStart w:id="421" w:name="_Toc304295567"/>
      <w:r>
        <w:rPr>
          <w:rFonts w:ascii="Times New Roman" w:hAnsi="Times New Roman" w:eastAsia="黑体"/>
          <w:color w:val="000000"/>
          <w:sz w:val="28"/>
          <w:szCs w:val="28"/>
          <w:highlight w:val="none"/>
        </w:rPr>
        <w:t>0.1变更的范围</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关于变更的范围的约定：</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10.4 变更估价</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sz w:val="28"/>
          <w:szCs w:val="28"/>
          <w:highlight w:val="none"/>
        </w:rPr>
      </w:pPr>
      <w:r>
        <w:rPr>
          <w:rFonts w:hint="eastAsia" w:ascii="Times New Roman" w:hAnsi="Times New Roman" w:eastAsia="仿宋_GB2312"/>
          <w:sz w:val="28"/>
          <w:szCs w:val="28"/>
          <w:highlight w:val="none"/>
        </w:rPr>
        <w:t>10.4.1 变更估价原则</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u w:val="single"/>
        </w:rPr>
      </w:pPr>
      <w:r>
        <w:rPr>
          <w:rFonts w:ascii="Times New Roman" w:hAnsi="Times New Roman" w:eastAsia="仿宋_GB2312"/>
          <w:color w:val="000000"/>
          <w:sz w:val="28"/>
          <w:szCs w:val="28"/>
          <w:highlight w:val="none"/>
        </w:rPr>
        <w:t xml:space="preserve">关于变更估价的约定: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Start w:id="422" w:name="_Toc296347196"/>
      <w:bookmarkStart w:id="423" w:name="_Toc300934993"/>
      <w:bookmarkStart w:id="424" w:name="_Toc297123544"/>
      <w:bookmarkStart w:id="425" w:name="_Toc303539150"/>
      <w:bookmarkStart w:id="426" w:name="_Toc296891237"/>
      <w:bookmarkStart w:id="427" w:name="_Toc292559402"/>
      <w:bookmarkStart w:id="428" w:name="_Toc296944536"/>
      <w:bookmarkStart w:id="429" w:name="_Toc297120497"/>
      <w:bookmarkStart w:id="430" w:name="_Toc296891025"/>
      <w:bookmarkStart w:id="431" w:name="_Toc292559907"/>
      <w:bookmarkStart w:id="432" w:name="_Toc297048383"/>
      <w:bookmarkStart w:id="433" w:name="_Toc296503197"/>
      <w:bookmarkStart w:id="434" w:name="_Toc296346698"/>
      <w:bookmarkStart w:id="435" w:name="_Toc297216203"/>
      <w:bookmarkStart w:id="436" w:name="_Toc312677503"/>
      <w:bookmarkStart w:id="437" w:name="_Toc312678029"/>
      <w:bookmarkStart w:id="438" w:name="_Toc304295570"/>
      <w:r>
        <w:rPr>
          <w:rFonts w:ascii="Times New Roman" w:hAnsi="Times New Roman" w:eastAsia="黑体"/>
          <w:color w:val="000000"/>
          <w:sz w:val="28"/>
          <w:szCs w:val="28"/>
          <w:highlight w:val="none"/>
        </w:rPr>
        <w:t>0.5承</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Start w:id="439" w:name="_Toc297216204"/>
      <w:bookmarkStart w:id="440" w:name="_Toc292559913"/>
      <w:bookmarkStart w:id="441" w:name="_Toc296346704"/>
      <w:bookmarkStart w:id="442" w:name="_Toc297123545"/>
      <w:bookmarkStart w:id="443" w:name="_Toc296891031"/>
      <w:bookmarkStart w:id="444" w:name="_Toc300934994"/>
      <w:bookmarkStart w:id="445" w:name="_Toc296891243"/>
      <w:bookmarkStart w:id="446" w:name="_Toc296347202"/>
      <w:bookmarkStart w:id="447" w:name="_Toc297120503"/>
      <w:bookmarkStart w:id="448" w:name="_Toc303539151"/>
      <w:bookmarkStart w:id="449" w:name="_Toc292559408"/>
      <w:bookmarkStart w:id="450" w:name="_Toc296503203"/>
      <w:bookmarkStart w:id="451" w:name="_Toc296944542"/>
      <w:bookmarkStart w:id="452" w:name="_Toc297048389"/>
      <w:r>
        <w:rPr>
          <w:rFonts w:ascii="Times New Roman" w:hAnsi="Times New Roman" w:eastAsia="黑体"/>
          <w:color w:val="000000"/>
          <w:sz w:val="28"/>
          <w:szCs w:val="28"/>
          <w:highlight w:val="none"/>
        </w:rPr>
        <w:t>包人的合理化建议</w:t>
      </w:r>
    </w:p>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监理人审查承包人合理化建议的期限：</w:t>
      </w:r>
      <w:r>
        <w:rPr>
          <w:rFonts w:ascii="Times New Roman" w:hAnsi="Times New Roman" w:eastAsia="仿宋_GB2312"/>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发包人审批承包人合理化建议的期限：</w:t>
      </w:r>
      <w:r>
        <w:rPr>
          <w:rFonts w:ascii="Times New Roman" w:hAnsi="Times New Roman" w:eastAsia="仿宋_GB2312"/>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u w:val="single"/>
        </w:rPr>
      </w:pPr>
      <w:bookmarkStart w:id="453" w:name="_Toc296347203"/>
      <w:bookmarkStart w:id="454" w:name="_Toc300934995"/>
      <w:bookmarkStart w:id="455" w:name="_Toc296346705"/>
      <w:bookmarkStart w:id="456" w:name="_Toc312677504"/>
      <w:bookmarkStart w:id="457" w:name="_Toc312678030"/>
      <w:bookmarkStart w:id="458" w:name="_Toc296503204"/>
      <w:bookmarkStart w:id="459" w:name="_Toc304295571"/>
      <w:bookmarkStart w:id="460" w:name="_Toc296891244"/>
      <w:bookmarkStart w:id="461" w:name="_Toc292559409"/>
      <w:bookmarkStart w:id="462" w:name="_Toc297216205"/>
      <w:bookmarkStart w:id="463" w:name="_Toc303539152"/>
      <w:bookmarkStart w:id="464" w:name="_Toc297048390"/>
      <w:bookmarkStart w:id="465" w:name="_Toc297123546"/>
      <w:bookmarkStart w:id="466" w:name="_Toc292559914"/>
      <w:bookmarkStart w:id="467" w:name="_Toc296891032"/>
      <w:bookmarkStart w:id="468" w:name="_Toc296944543"/>
      <w:bookmarkStart w:id="469" w:name="_Toc318581175"/>
      <w:bookmarkStart w:id="470" w:name="_Toc297120504"/>
      <w:r>
        <w:rPr>
          <w:rFonts w:hint="eastAsia" w:ascii="仿宋_GB2312" w:hAnsi="仿宋_GB2312" w:eastAsia="仿宋_GB2312" w:cs="仿宋_GB2312"/>
          <w:sz w:val="28"/>
          <w:szCs w:val="28"/>
          <w:highlight w:val="none"/>
        </w:rPr>
        <w:t>承包人提出的合理化建议降低了合同价格或者提高了工程经济效益的奖励的方法和金额为：</w:t>
      </w:r>
      <w:r>
        <w:rPr>
          <w:rFonts w:hint="eastAsia" w:ascii="仿宋_GB2312" w:hAnsi="仿宋_GB2312" w:eastAsia="仿宋_GB2312" w:cs="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w:t>
      </w:r>
      <w:bookmarkStart w:id="471" w:name="_Toc297120499"/>
      <w:bookmarkStart w:id="472" w:name="_Toc304295574"/>
      <w:bookmarkStart w:id="473" w:name="_Toc300934997"/>
      <w:bookmarkStart w:id="474" w:name="_Toc312678033"/>
      <w:bookmarkStart w:id="475" w:name="_Toc296347198"/>
      <w:bookmarkStart w:id="476" w:name="_Toc296891027"/>
      <w:bookmarkStart w:id="477" w:name="_Toc296891239"/>
      <w:bookmarkStart w:id="478" w:name="_Toc296944538"/>
      <w:bookmarkStart w:id="479" w:name="_Toc312677507"/>
      <w:bookmarkStart w:id="480" w:name="_Toc292559404"/>
      <w:bookmarkStart w:id="481" w:name="_Toc292559909"/>
      <w:bookmarkStart w:id="482" w:name="_Toc297123548"/>
      <w:bookmarkStart w:id="483" w:name="_Toc303539154"/>
      <w:bookmarkStart w:id="484" w:name="_Toc296503199"/>
      <w:bookmarkStart w:id="485" w:name="_Toc297216207"/>
      <w:bookmarkStart w:id="486" w:name="_Toc297048385"/>
      <w:bookmarkStart w:id="487" w:name="_Toc296346700"/>
      <w:r>
        <w:rPr>
          <w:rFonts w:ascii="Times New Roman" w:hAnsi="Times New Roman" w:eastAsia="黑体"/>
          <w:color w:val="000000"/>
          <w:sz w:val="28"/>
          <w:szCs w:val="28"/>
          <w:highlight w:val="none"/>
        </w:rPr>
        <w:t>0.7 暂估价</w:t>
      </w:r>
    </w:p>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kern w:val="0"/>
          <w:sz w:val="28"/>
          <w:szCs w:val="28"/>
          <w:highlight w:val="none"/>
        </w:rPr>
        <w:t>暂</w:t>
      </w:r>
      <w:bookmarkStart w:id="488" w:name="_Toc312678034"/>
      <w:bookmarkStart w:id="489" w:name="_Toc318581176"/>
      <w:bookmarkStart w:id="490" w:name="_Toc312677508"/>
      <w:r>
        <w:rPr>
          <w:rFonts w:ascii="Times New Roman" w:hAnsi="Times New Roman" w:eastAsia="仿宋_GB2312"/>
          <w:kern w:val="0"/>
          <w:sz w:val="28"/>
          <w:szCs w:val="28"/>
          <w:highlight w:val="none"/>
        </w:rPr>
        <w:t>估价材料和工程设备的明细详见附件</w:t>
      </w:r>
      <w:r>
        <w:rPr>
          <w:rFonts w:hint="eastAsia" w:ascii="Times New Roman" w:hAnsi="Times New Roman" w:eastAsia="仿宋_GB2312"/>
          <w:kern w:val="0"/>
          <w:sz w:val="28"/>
          <w:szCs w:val="28"/>
          <w:highlight w:val="none"/>
          <w:lang w:val="en-US" w:eastAsia="zh-CN"/>
        </w:rPr>
        <w:t>9</w:t>
      </w:r>
      <w:r>
        <w:rPr>
          <w:rFonts w:hint="eastAsia" w:ascii="Times New Roman" w:hAnsi="Times New Roman" w:eastAsia="仿宋_GB2312"/>
          <w:kern w:val="0"/>
          <w:sz w:val="28"/>
          <w:szCs w:val="28"/>
          <w:highlight w:val="none"/>
        </w:rPr>
        <w:t>：《</w:t>
      </w:r>
      <w:r>
        <w:rPr>
          <w:rFonts w:ascii="Times New Roman" w:hAnsi="Times New Roman" w:eastAsia="仿宋_GB2312"/>
          <w:color w:val="000000"/>
          <w:sz w:val="28"/>
          <w:szCs w:val="28"/>
          <w:highlight w:val="none"/>
        </w:rPr>
        <w:t>暂估价一览表</w:t>
      </w:r>
      <w:r>
        <w:rPr>
          <w:rFonts w:hint="eastAsia" w:ascii="Times New Roman" w:hAnsi="Times New Roman" w:eastAsia="仿宋_GB2312"/>
          <w:color w:val="000000"/>
          <w:sz w:val="28"/>
          <w:szCs w:val="28"/>
          <w:highlight w:val="none"/>
        </w:rPr>
        <w:t>》</w:t>
      </w:r>
      <w:r>
        <w:rPr>
          <w:rFonts w:hint="eastAsia" w:ascii="Times New Roman" w:hAnsi="Times New Roman" w:eastAsia="仿宋_GB2312"/>
          <w:kern w:val="0"/>
          <w:sz w:val="28"/>
          <w:szCs w:val="28"/>
          <w:highlight w:val="none"/>
        </w:rPr>
        <w:t>。</w:t>
      </w:r>
    </w:p>
    <w:bookmarkEnd w:id="488"/>
    <w:bookmarkEnd w:id="489"/>
    <w:bookmarkEnd w:id="490"/>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1</w:t>
      </w:r>
      <w:bookmarkStart w:id="491" w:name="_Toc312678035"/>
      <w:bookmarkStart w:id="492" w:name="_Toc318581177"/>
      <w:bookmarkStart w:id="493" w:name="_Toc312677509"/>
      <w:r>
        <w:rPr>
          <w:rFonts w:ascii="Times New Roman" w:hAnsi="Times New Roman" w:eastAsia="仿宋_GB2312"/>
          <w:sz w:val="28"/>
          <w:szCs w:val="28"/>
          <w:highlight w:val="none"/>
        </w:rPr>
        <w:t>0.7.1 依法必须招标的暂估价项目</w:t>
      </w:r>
    </w:p>
    <w:bookmarkEnd w:id="491"/>
    <w:bookmarkEnd w:id="492"/>
    <w:bookmarkEnd w:id="493"/>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对于依法必须招标的暂估价项目的确认和批准采取第</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rPr>
        <w:t>种方式确定。</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10.7.2 不属于依法必须招标的暂估价项目</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sz w:val="28"/>
          <w:szCs w:val="28"/>
          <w:highlight w:val="none"/>
        </w:rPr>
      </w:pPr>
      <w:r>
        <w:rPr>
          <w:rFonts w:ascii="Times New Roman" w:hAnsi="Times New Roman" w:eastAsia="仿宋_GB2312"/>
          <w:sz w:val="28"/>
          <w:szCs w:val="28"/>
          <w:highlight w:val="none"/>
        </w:rPr>
        <w:t>对于不属于依法必须招标的暂估价项目的确认和批准采取第</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 xml:space="preserve"> 种方式确定。</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sz w:val="28"/>
          <w:szCs w:val="28"/>
          <w:highlight w:val="none"/>
        </w:rPr>
        <w:t>第3种方式：</w:t>
      </w:r>
      <w:r>
        <w:rPr>
          <w:rFonts w:ascii="Times New Roman" w:hAnsi="Times New Roman" w:eastAsia="仿宋_GB2312"/>
          <w:color w:val="000000"/>
          <w:kern w:val="0"/>
          <w:sz w:val="28"/>
          <w:szCs w:val="28"/>
          <w:highlight w:val="none"/>
        </w:rPr>
        <w:t>承包人直接实施的暂估价项目</w:t>
      </w:r>
    </w:p>
    <w:p>
      <w:pPr>
        <w:pageBreakBefore w:val="0"/>
        <w:kinsoku/>
        <w:wordWrap/>
        <w:overflowPunct/>
        <w:topLinePunct w:val="0"/>
        <w:bidi w:val="0"/>
        <w:snapToGrid/>
        <w:spacing w:line="440" w:lineRule="exact"/>
        <w:jc w:val="left"/>
        <w:textAlignment w:val="auto"/>
        <w:rPr>
          <w:rFonts w:hint="eastAsia" w:ascii="Times New Roman" w:hAnsi="Times New Roman" w:eastAsia="仿宋_GB2312"/>
          <w:sz w:val="28"/>
          <w:szCs w:val="28"/>
          <w:highlight w:val="none"/>
        </w:rPr>
      </w:pPr>
      <w:r>
        <w:rPr>
          <w:rFonts w:ascii="Times New Roman" w:hAnsi="Times New Roman" w:eastAsia="仿宋_GB2312"/>
          <w:sz w:val="28"/>
          <w:szCs w:val="28"/>
          <w:highlight w:val="none"/>
        </w:rPr>
        <w:t>承包人直接实施的暂估价项目的约定：</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10.8 暂列金额</w:t>
      </w:r>
    </w:p>
    <w:p>
      <w:pPr>
        <w:pageBreakBefore w:val="0"/>
        <w:kinsoku/>
        <w:wordWrap/>
        <w:overflowPunct/>
        <w:topLinePunct w:val="0"/>
        <w:autoSpaceDE w:val="0"/>
        <w:autoSpaceDN w:val="0"/>
        <w:bidi w:val="0"/>
        <w:adjustRightInd w:val="0"/>
        <w:snapToGrid/>
        <w:spacing w:line="440" w:lineRule="exact"/>
        <w:jc w:val="left"/>
        <w:textAlignment w:val="auto"/>
        <w:rPr>
          <w:rFonts w:ascii="Times New Roman" w:hAnsi="Times New Roman" w:eastAsia="仿宋_GB2312"/>
          <w:color w:val="000000"/>
          <w:kern w:val="0"/>
          <w:sz w:val="28"/>
          <w:szCs w:val="28"/>
          <w:highlight w:val="none"/>
        </w:rPr>
      </w:pPr>
      <w:r>
        <w:rPr>
          <w:rFonts w:hint="eastAsia" w:ascii="Times New Roman" w:hAnsi="Times New Roman" w:eastAsia="仿宋_GB2312"/>
          <w:color w:val="000000"/>
          <w:kern w:val="0"/>
          <w:sz w:val="28"/>
          <w:szCs w:val="28"/>
          <w:highlight w:val="none"/>
        </w:rPr>
        <w:t>合同当事人关于暂列金额使用的约定：</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hint="eastAsia" w:ascii="Times New Roman" w:hAnsi="Times New Roman" w:eastAsia="仿宋_GB2312"/>
          <w:sz w:val="28"/>
          <w:szCs w:val="28"/>
          <w:highlight w:val="none"/>
          <w:u w:val="single"/>
        </w:rPr>
        <w:t xml:space="preserve">  </w:t>
      </w:r>
      <w:r>
        <w:rPr>
          <w:rFonts w:hint="eastAsia" w:ascii="Times New Roman" w:hAnsi="Times New Roman" w:eastAsia="仿宋_GB2312"/>
          <w:color w:val="000000"/>
          <w:kern w:val="0"/>
          <w:sz w:val="28"/>
          <w:szCs w:val="28"/>
          <w:highlight w:val="none"/>
        </w:rPr>
        <w:t>。</w:t>
      </w:r>
    </w:p>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494" w:name="_Toc351203643"/>
      <w:r>
        <w:rPr>
          <w:rFonts w:ascii="Times New Roman" w:hAnsi="Times New Roman"/>
          <w:b/>
          <w:color w:val="000000"/>
          <w:sz w:val="28"/>
          <w:szCs w:val="28"/>
          <w:highlight w:val="none"/>
        </w:rPr>
        <w:t>11. 价格调整</w:t>
      </w:r>
      <w:bookmarkEnd w:id="494"/>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bookmarkStart w:id="495" w:name="_Toc297123550"/>
      <w:bookmarkStart w:id="496" w:name="_Toc303539157"/>
      <w:bookmarkStart w:id="497" w:name="_Toc296503201"/>
      <w:bookmarkStart w:id="498" w:name="_Toc297120501"/>
      <w:bookmarkStart w:id="499" w:name="_Toc292559911"/>
      <w:bookmarkStart w:id="500" w:name="_Toc296891029"/>
      <w:bookmarkStart w:id="501" w:name="_Toc312678039"/>
      <w:bookmarkStart w:id="502" w:name="_Toc296346702"/>
      <w:bookmarkStart w:id="503" w:name="_Toc300935000"/>
      <w:bookmarkStart w:id="504" w:name="_Toc297216209"/>
      <w:bookmarkStart w:id="505" w:name="_Toc304295577"/>
      <w:bookmarkStart w:id="506" w:name="_Toc296347200"/>
      <w:bookmarkStart w:id="507" w:name="_Toc292559406"/>
      <w:bookmarkStart w:id="508" w:name="_Toc297048387"/>
      <w:bookmarkStart w:id="509" w:name="_Toc296891241"/>
      <w:bookmarkStart w:id="510" w:name="_Toc296944540"/>
      <w:r>
        <w:rPr>
          <w:rFonts w:ascii="Times New Roman" w:hAnsi="Times New Roman" w:eastAsia="黑体"/>
          <w:color w:val="000000"/>
          <w:sz w:val="28"/>
          <w:szCs w:val="28"/>
          <w:highlight w:val="none"/>
        </w:rPr>
        <w:t>11.1 市场价格波动引起的调整</w:t>
      </w:r>
    </w:p>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rPr>
      </w:pPr>
      <w:r>
        <w:rPr>
          <w:rFonts w:hint="eastAsia" w:ascii="仿宋_GB2312" w:hAnsi="仿宋_GB2312" w:eastAsia="仿宋_GB2312" w:cs="仿宋_GB2312"/>
          <w:kern w:val="0"/>
          <w:sz w:val="28"/>
          <w:szCs w:val="28"/>
          <w:highlight w:val="none"/>
        </w:rPr>
        <w:t>市场价格波动是否调整合同价格的约定：</w:t>
      </w:r>
      <w:r>
        <w:rPr>
          <w:rFonts w:hint="eastAsia" w:ascii="仿宋_GB2312" w:hAnsi="仿宋_GB2312" w:eastAsia="仿宋_GB2312" w:cs="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因市场价格波动调整合同价格，采用以下</w:t>
      </w:r>
      <w:r>
        <w:rPr>
          <w:rFonts w:ascii="Times New Roman" w:hAnsi="Times New Roman" w:eastAsia="仿宋_GB2312"/>
          <w:sz w:val="28"/>
          <w:szCs w:val="28"/>
          <w:highlight w:val="none"/>
        </w:rPr>
        <w:t>第</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color w:val="000000"/>
          <w:sz w:val="28"/>
          <w:szCs w:val="28"/>
          <w:highlight w:val="none"/>
        </w:rPr>
        <w:t>种方式对合同价格进行调整：</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第1种方式：采用价格指数</w:t>
      </w:r>
      <w:r>
        <w:rPr>
          <w:rFonts w:hint="eastAsia" w:ascii="Times New Roman" w:hAnsi="Times New Roman" w:eastAsia="仿宋_GB2312"/>
          <w:color w:val="000000"/>
          <w:sz w:val="28"/>
          <w:szCs w:val="28"/>
          <w:highlight w:val="none"/>
        </w:rPr>
        <w:t>进行价格</w:t>
      </w:r>
      <w:r>
        <w:rPr>
          <w:rFonts w:ascii="Times New Roman" w:hAnsi="Times New Roman" w:eastAsia="仿宋_GB2312"/>
          <w:color w:val="000000"/>
          <w:sz w:val="28"/>
          <w:szCs w:val="28"/>
          <w:highlight w:val="none"/>
        </w:rPr>
        <w:t>调整。</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u w:val="single"/>
        </w:rPr>
      </w:pPr>
      <w:r>
        <w:rPr>
          <w:rFonts w:ascii="Times New Roman" w:hAnsi="Times New Roman" w:eastAsia="仿宋_GB2312"/>
          <w:color w:val="000000"/>
          <w:sz w:val="28"/>
          <w:szCs w:val="28"/>
          <w:highlight w:val="none"/>
        </w:rPr>
        <w:t>关于各可调因子、定值和变值权重，以及基本价格指数及其来源的约定：</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  </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第2种方式：采用造价信息</w:t>
      </w:r>
      <w:r>
        <w:rPr>
          <w:rFonts w:hint="eastAsia" w:ascii="Times New Roman" w:hAnsi="Times New Roman" w:eastAsia="仿宋_GB2312"/>
          <w:color w:val="000000"/>
          <w:sz w:val="28"/>
          <w:szCs w:val="28"/>
          <w:highlight w:val="none"/>
        </w:rPr>
        <w:t>进行价格</w:t>
      </w:r>
      <w:r>
        <w:rPr>
          <w:rFonts w:ascii="Times New Roman" w:hAnsi="Times New Roman" w:eastAsia="仿宋_GB2312"/>
          <w:color w:val="000000"/>
          <w:sz w:val="28"/>
          <w:szCs w:val="28"/>
          <w:highlight w:val="none"/>
        </w:rPr>
        <w:t>调整。</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（2）关于基准价格的约定：</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专用合同条款</w:t>
      </w:r>
      <w:r>
        <w:rPr>
          <w:rFonts w:hint="eastAsia" w:ascii="宋体" w:hAnsi="宋体" w:cs="宋体"/>
          <w:color w:val="000000"/>
          <w:sz w:val="28"/>
          <w:szCs w:val="28"/>
          <w:highlight w:val="none"/>
        </w:rPr>
        <w:t>①</w:t>
      </w:r>
      <w:r>
        <w:rPr>
          <w:rFonts w:ascii="Times New Roman" w:hAnsi="Times New Roman" w:eastAsia="仿宋_GB2312"/>
          <w:color w:val="000000"/>
          <w:sz w:val="28"/>
          <w:szCs w:val="28"/>
          <w:highlight w:val="none"/>
        </w:rPr>
        <w:t>承包人在已标价工程量清单或预算书中载明的材料单价低于基准价格的：专用合同条款合同履行期间材料单价涨幅以基准价格为基础超过</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%时，或材料单价跌幅以已标价工程量清单或预算书中载明材料单价为基础超过</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%时，其超过部分据实调整。</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宋体" w:hAnsi="宋体" w:cs="宋体"/>
          <w:color w:val="000000"/>
          <w:sz w:val="28"/>
          <w:szCs w:val="28"/>
          <w:highlight w:val="none"/>
        </w:rPr>
        <w:t>②</w:t>
      </w:r>
      <w:r>
        <w:rPr>
          <w:rFonts w:ascii="Times New Roman" w:hAnsi="Times New Roman" w:eastAsia="仿宋_GB2312"/>
          <w:color w:val="000000"/>
          <w:sz w:val="28"/>
          <w:szCs w:val="28"/>
          <w:highlight w:val="none"/>
        </w:rPr>
        <w:t>承包人在已标价工程量清单或预算书中载明的材料单价高于基准价格的：专用合同条款合同履行期间材料单价跌幅以基准价格为基础超过</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%时，材料单价涨幅以已标价工程量清单或预算书中载明材料单价为基础超过</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%时，其超过部分据实调整。</w:t>
      </w:r>
    </w:p>
    <w:p>
      <w:pPr>
        <w:pageBreakBefore w:val="0"/>
        <w:kinsoku/>
        <w:wordWrap/>
        <w:overflowPunct/>
        <w:topLinePunct w:val="0"/>
        <w:bidi w:val="0"/>
        <w:snapToGrid/>
        <w:spacing w:line="440" w:lineRule="exact"/>
        <w:ind w:firstLine="645"/>
        <w:jc w:val="left"/>
        <w:textAlignment w:val="auto"/>
        <w:rPr>
          <w:rFonts w:ascii="Times New Roman" w:hAnsi="Times New Roman" w:eastAsia="仿宋_GB2312"/>
          <w:color w:val="000000"/>
          <w:sz w:val="28"/>
          <w:szCs w:val="28"/>
          <w:highlight w:val="none"/>
        </w:rPr>
      </w:pPr>
      <w:r>
        <w:rPr>
          <w:rFonts w:hint="eastAsia" w:ascii="宋体" w:hAnsi="宋体" w:cs="宋体"/>
          <w:color w:val="000000"/>
          <w:sz w:val="28"/>
          <w:szCs w:val="28"/>
          <w:highlight w:val="none"/>
        </w:rPr>
        <w:t>③</w:t>
      </w:r>
      <w:r>
        <w:rPr>
          <w:rFonts w:ascii="Times New Roman" w:hAnsi="Times New Roman" w:eastAsia="仿宋_GB2312"/>
          <w:color w:val="000000"/>
          <w:sz w:val="28"/>
          <w:szCs w:val="28"/>
          <w:highlight w:val="none"/>
        </w:rPr>
        <w:t>承包人在已标价工程量清单或预算书中载明的材料单价等于基准单价的：专用合同条款合同履行期间材料单价涨跌幅以基准单价为基础超过±</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%时，其超过部分据实调整。</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第3种方式：其他价格调整方式：</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w:t>
      </w:r>
    </w:p>
    <w:bookmarkEnd w:id="398"/>
    <w:bookmarkEnd w:id="399"/>
    <w:bookmarkEnd w:id="400"/>
    <w:bookmarkEnd w:id="401"/>
    <w:bookmarkEnd w:id="402"/>
    <w:bookmarkEnd w:id="403"/>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511" w:name="_Toc296346706"/>
      <w:bookmarkStart w:id="512" w:name="_Toc297120505"/>
      <w:bookmarkStart w:id="513" w:name="_Toc296347204"/>
      <w:bookmarkStart w:id="514" w:name="_Toc296891245"/>
      <w:bookmarkStart w:id="515" w:name="_Toc296503205"/>
      <w:bookmarkStart w:id="516" w:name="_Toc296944544"/>
      <w:bookmarkStart w:id="517" w:name="_Toc297048391"/>
      <w:bookmarkStart w:id="518" w:name="_Toc292559915"/>
      <w:bookmarkStart w:id="519" w:name="_Toc292559410"/>
      <w:bookmarkStart w:id="520" w:name="_Toc296891033"/>
      <w:bookmarkStart w:id="521" w:name="_Toc351203644"/>
      <w:bookmarkStart w:id="522" w:name="_Toc303539159"/>
      <w:bookmarkStart w:id="523" w:name="_Toc297123552"/>
      <w:bookmarkStart w:id="524" w:name="_Toc297216211"/>
      <w:bookmarkStart w:id="525" w:name="_Toc312678040"/>
      <w:bookmarkStart w:id="526" w:name="_Toc300935002"/>
      <w:bookmarkStart w:id="527" w:name="_Toc304295579"/>
      <w:r>
        <w:rPr>
          <w:rFonts w:ascii="Times New Roman" w:hAnsi="Times New Roman"/>
          <w:b/>
          <w:color w:val="000000"/>
          <w:sz w:val="28"/>
          <w:szCs w:val="28"/>
          <w:highlight w:val="none"/>
        </w:rPr>
        <w:t xml:space="preserve">12. </w:t>
      </w:r>
      <w:bookmarkEnd w:id="511"/>
      <w:bookmarkEnd w:id="512"/>
      <w:bookmarkEnd w:id="513"/>
      <w:bookmarkEnd w:id="514"/>
      <w:bookmarkEnd w:id="515"/>
      <w:bookmarkEnd w:id="516"/>
      <w:bookmarkEnd w:id="517"/>
      <w:bookmarkEnd w:id="518"/>
      <w:bookmarkEnd w:id="519"/>
      <w:bookmarkEnd w:id="520"/>
      <w:r>
        <w:rPr>
          <w:rFonts w:ascii="Times New Roman" w:hAnsi="Times New Roman"/>
          <w:b/>
          <w:color w:val="000000"/>
          <w:sz w:val="28"/>
          <w:szCs w:val="28"/>
          <w:highlight w:val="none"/>
        </w:rPr>
        <w:t>合同价格、计量与支付</w:t>
      </w:r>
      <w:bookmarkEnd w:id="521"/>
    </w:p>
    <w:bookmarkEnd w:id="522"/>
    <w:bookmarkEnd w:id="523"/>
    <w:bookmarkEnd w:id="524"/>
    <w:bookmarkEnd w:id="525"/>
    <w:bookmarkEnd w:id="526"/>
    <w:bookmarkEnd w:id="527"/>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bookmarkStart w:id="528" w:name="_Toc292559411"/>
      <w:bookmarkStart w:id="529" w:name="_Toc267251461"/>
      <w:bookmarkStart w:id="530" w:name="_Toc292559916"/>
      <w:bookmarkStart w:id="531" w:name="_Toc296347205"/>
      <w:bookmarkStart w:id="532" w:name="_Toc296891246"/>
      <w:bookmarkStart w:id="533" w:name="_Toc297120506"/>
      <w:bookmarkStart w:id="534" w:name="_Toc296944545"/>
      <w:bookmarkStart w:id="535" w:name="_Toc296346707"/>
      <w:bookmarkStart w:id="536" w:name="_Toc296891034"/>
      <w:bookmarkStart w:id="537" w:name="_Toc297048392"/>
      <w:bookmarkStart w:id="538" w:name="_Toc296503206"/>
      <w:bookmarkStart w:id="539" w:name="_Toc300935003"/>
      <w:bookmarkStart w:id="540" w:name="_Toc297216212"/>
      <w:bookmarkStart w:id="541" w:name="_Toc312678041"/>
      <w:bookmarkStart w:id="542" w:name="_Toc304295580"/>
      <w:bookmarkStart w:id="543" w:name="_Toc297123553"/>
      <w:bookmarkStart w:id="544" w:name="_Toc303539160"/>
      <w:r>
        <w:rPr>
          <w:rFonts w:ascii="Times New Roman" w:hAnsi="Times New Roman" w:eastAsia="黑体"/>
          <w:color w:val="000000"/>
          <w:sz w:val="28"/>
          <w:szCs w:val="28"/>
          <w:highlight w:val="none"/>
        </w:rPr>
        <w:t>12.1 合</w:t>
      </w:r>
      <w:bookmarkEnd w:id="528"/>
      <w:bookmarkEnd w:id="529"/>
      <w:bookmarkEnd w:id="530"/>
      <w:r>
        <w:rPr>
          <w:rFonts w:ascii="Times New Roman" w:hAnsi="Times New Roman" w:eastAsia="黑体"/>
          <w:color w:val="000000"/>
          <w:sz w:val="28"/>
          <w:szCs w:val="28"/>
          <w:highlight w:val="none"/>
        </w:rPr>
        <w:t>同价</w:t>
      </w:r>
      <w:bookmarkEnd w:id="531"/>
      <w:bookmarkEnd w:id="532"/>
      <w:bookmarkEnd w:id="533"/>
      <w:bookmarkEnd w:id="534"/>
      <w:bookmarkEnd w:id="535"/>
      <w:bookmarkEnd w:id="536"/>
      <w:bookmarkEnd w:id="537"/>
      <w:bookmarkEnd w:id="538"/>
      <w:r>
        <w:rPr>
          <w:rFonts w:ascii="Times New Roman" w:hAnsi="Times New Roman" w:eastAsia="黑体"/>
          <w:color w:val="000000"/>
          <w:sz w:val="28"/>
          <w:szCs w:val="28"/>
          <w:highlight w:val="none"/>
        </w:rPr>
        <w:t>格形式</w:t>
      </w:r>
    </w:p>
    <w:bookmarkEnd w:id="539"/>
    <w:bookmarkEnd w:id="540"/>
    <w:bookmarkEnd w:id="541"/>
    <w:bookmarkEnd w:id="542"/>
    <w:bookmarkEnd w:id="543"/>
    <w:bookmarkEnd w:id="544"/>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1、单价合同。</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综合单价包含的风险范围：</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风险费用的计算方法：</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风险范围以外合同价格的调整方法：</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2、总价合同。</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总价包含的风险范围：</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jc w:val="left"/>
        <w:textAlignment w:val="auto"/>
        <w:rPr>
          <w:rFonts w:hint="eastAsia"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风险费用的计算方法：</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风险范围以外合同价格的调整方法：</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3、其他价格方式：</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bookmarkStart w:id="545" w:name="_Toc297216213"/>
      <w:bookmarkStart w:id="546" w:name="_Toc303539161"/>
      <w:bookmarkStart w:id="547" w:name="_Toc304295581"/>
      <w:bookmarkStart w:id="548" w:name="_Toc297123554"/>
      <w:bookmarkStart w:id="549" w:name="_Toc300935004"/>
      <w:bookmarkStart w:id="550" w:name="_Toc312678042"/>
      <w:bookmarkStart w:id="551" w:name="_Toc296891035"/>
      <w:bookmarkStart w:id="552" w:name="_Toc296891247"/>
      <w:bookmarkStart w:id="553" w:name="_Toc292559917"/>
      <w:bookmarkStart w:id="554" w:name="_Toc296347206"/>
      <w:bookmarkStart w:id="555" w:name="_Toc296944546"/>
      <w:bookmarkStart w:id="556" w:name="_Toc292559412"/>
      <w:bookmarkStart w:id="557" w:name="_Toc297120507"/>
      <w:bookmarkStart w:id="558" w:name="_Toc297048393"/>
      <w:bookmarkStart w:id="559" w:name="_Toc296346708"/>
      <w:bookmarkStart w:id="560" w:name="_Toc296503207"/>
      <w:r>
        <w:rPr>
          <w:rFonts w:ascii="Times New Roman" w:hAnsi="Times New Roman" w:eastAsia="黑体"/>
          <w:color w:val="000000"/>
          <w:sz w:val="28"/>
          <w:szCs w:val="28"/>
          <w:highlight w:val="none"/>
        </w:rPr>
        <w:t>12.2 预付款</w:t>
      </w:r>
    </w:p>
    <w:bookmarkEnd w:id="545"/>
    <w:bookmarkEnd w:id="546"/>
    <w:bookmarkEnd w:id="547"/>
    <w:bookmarkEnd w:id="548"/>
    <w:bookmarkEnd w:id="549"/>
    <w:bookmarkEnd w:id="550"/>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12.2.1 预付款的支付</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预付款支付比例或金额：</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预付款支付期限：</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预付款扣回的方式：</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12.2.2 预付款担保</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承包人提交预付款担保的期限：</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预付款担保的形式为：</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bookmarkEnd w:id="551"/>
    <w:bookmarkEnd w:id="552"/>
    <w:bookmarkEnd w:id="553"/>
    <w:bookmarkEnd w:id="554"/>
    <w:bookmarkEnd w:id="555"/>
    <w:bookmarkEnd w:id="556"/>
    <w:bookmarkEnd w:id="557"/>
    <w:bookmarkEnd w:id="558"/>
    <w:bookmarkEnd w:id="559"/>
    <w:bookmarkEnd w:id="560"/>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12.3 计量</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12.3.1 计量原则</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工程量计算规则：</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12.3.2 计量周期</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关于计量周期的约定：</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12.3.3 单价合同的计量</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关于单价合同计量的约定：</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12.3.4 总价合同的计量</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关于总价合同计量的约定：</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12.3.5总价合同采用支付分解表计量支付的，是否适用第</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kern w:val="0"/>
          <w:sz w:val="28"/>
          <w:szCs w:val="28"/>
          <w:highlight w:val="none"/>
        </w:rPr>
        <w:t xml:space="preserve">12.3.4 </w:t>
      </w:r>
      <w:r>
        <w:rPr>
          <w:rFonts w:ascii="Times New Roman" w:hAnsi="Times New Roman" w:eastAsia="仿宋_GB2312"/>
          <w:color w:val="000000"/>
          <w:sz w:val="28"/>
          <w:szCs w:val="28"/>
          <w:highlight w:val="none"/>
        </w:rPr>
        <w:t>项</w:t>
      </w:r>
      <w:r>
        <w:rPr>
          <w:rFonts w:hint="eastAsia" w:ascii="Times New Roman" w:hAnsi="Times New Roman" w:eastAsia="仿宋_GB2312"/>
          <w:color w:val="000000"/>
          <w:kern w:val="0"/>
          <w:sz w:val="28"/>
          <w:szCs w:val="28"/>
          <w:highlight w:val="none"/>
        </w:rPr>
        <w:t>〔</w:t>
      </w:r>
      <w:r>
        <w:rPr>
          <w:rFonts w:ascii="Times New Roman" w:hAnsi="Times New Roman" w:eastAsia="仿宋_GB2312"/>
          <w:color w:val="000000"/>
          <w:kern w:val="0"/>
          <w:sz w:val="28"/>
          <w:szCs w:val="28"/>
          <w:highlight w:val="none"/>
        </w:rPr>
        <w:t>总价合同的计量</w:t>
      </w:r>
      <w:r>
        <w:rPr>
          <w:rFonts w:hint="eastAsia" w:ascii="Times New Roman" w:hAnsi="Times New Roman" w:eastAsia="仿宋_GB2312"/>
          <w:color w:val="000000"/>
          <w:kern w:val="0"/>
          <w:sz w:val="28"/>
          <w:szCs w:val="28"/>
          <w:highlight w:val="none"/>
        </w:rPr>
        <w:t>〕</w:t>
      </w:r>
      <w:r>
        <w:rPr>
          <w:rFonts w:ascii="Times New Roman" w:hAnsi="Times New Roman" w:eastAsia="仿宋_GB2312"/>
          <w:color w:val="000000"/>
          <w:sz w:val="28"/>
          <w:szCs w:val="28"/>
          <w:highlight w:val="none"/>
        </w:rPr>
        <w:t>约定</w:t>
      </w:r>
      <w:r>
        <w:rPr>
          <w:rFonts w:hint="eastAsia" w:ascii="Times New Roman" w:hAnsi="Times New Roman" w:eastAsia="仿宋_GB2312"/>
          <w:color w:val="000000"/>
          <w:sz w:val="28"/>
          <w:szCs w:val="28"/>
          <w:highlight w:val="none"/>
        </w:rPr>
        <w:t>进行计量：</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12.3.6 其他价格形式合同的计量</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其他价格形式的计量方式和程序：</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12.4 工程进度款支付</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bookmarkStart w:id="561" w:name="_Toc296891039"/>
      <w:bookmarkStart w:id="562" w:name="_Toc296346712"/>
      <w:bookmarkStart w:id="563" w:name="_Toc296503211"/>
      <w:bookmarkStart w:id="564" w:name="_Toc303539163"/>
      <w:bookmarkStart w:id="565" w:name="_Toc292559921"/>
      <w:bookmarkStart w:id="566" w:name="_Toc300935006"/>
      <w:bookmarkStart w:id="567" w:name="_Toc297216215"/>
      <w:bookmarkStart w:id="568" w:name="_Toc296891251"/>
      <w:bookmarkStart w:id="569" w:name="_Toc296347210"/>
      <w:bookmarkStart w:id="570" w:name="_Toc297123556"/>
      <w:bookmarkStart w:id="571" w:name="_Toc292559416"/>
      <w:bookmarkStart w:id="572" w:name="_Toc297048397"/>
      <w:bookmarkStart w:id="573" w:name="_Toc296944550"/>
      <w:bookmarkStart w:id="574" w:name="_Toc297120511"/>
      <w:r>
        <w:rPr>
          <w:rFonts w:ascii="Times New Roman" w:hAnsi="Times New Roman" w:eastAsia="仿宋_GB2312"/>
          <w:color w:val="000000"/>
          <w:sz w:val="28"/>
          <w:szCs w:val="28"/>
          <w:highlight w:val="none"/>
        </w:rPr>
        <w:t>12.4.1 付款周期</w:t>
      </w:r>
    </w:p>
    <w:p>
      <w:pPr>
        <w:pageBreakBefore w:val="0"/>
        <w:kinsoku/>
        <w:wordWrap/>
        <w:overflowPunct/>
        <w:topLinePunct w:val="0"/>
        <w:bidi w:val="0"/>
        <w:snapToGrid/>
        <w:spacing w:line="440" w:lineRule="exact"/>
        <w:ind w:firstLine="560" w:firstLineChars="200"/>
        <w:jc w:val="left"/>
        <w:textAlignment w:val="auto"/>
        <w:rPr>
          <w:rFonts w:ascii="仿宋_GB2312" w:hAnsi="仿宋_GB2312" w:eastAsia="仿宋_GB2312" w:cs="仿宋_GB2312"/>
          <w:color w:val="000000"/>
          <w:sz w:val="28"/>
          <w:szCs w:val="28"/>
          <w:highlight w:val="none"/>
          <w:u w:val="single"/>
        </w:rPr>
      </w:pPr>
      <w:r>
        <w:rPr>
          <w:rFonts w:hint="eastAsia" w:ascii="仿宋_GB2312" w:hAnsi="仿宋_GB2312" w:eastAsia="仿宋_GB2312" w:cs="仿宋_GB2312"/>
          <w:color w:val="000000"/>
          <w:sz w:val="28"/>
          <w:szCs w:val="28"/>
          <w:highlight w:val="none"/>
        </w:rPr>
        <w:t>关于付款周期的约定：</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12.4.2 进度付款申请单的编制</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关于进度付款申请单编制的约定：</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r>
        <w:rPr>
          <w:rFonts w:ascii="Times New Roman" w:hAnsi="Times New Roman" w:eastAsia="仿宋_GB2312"/>
          <w:color w:val="000000"/>
          <w:sz w:val="28"/>
          <w:szCs w:val="28"/>
          <w:highlight w:val="none"/>
        </w:rPr>
        <w:t>2.4.3 进度付款申请单的提交</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（1）单价合同进度付款申请单提交的约定</w:t>
      </w:r>
      <w:r>
        <w:rPr>
          <w:rFonts w:hint="eastAsia" w:ascii="Times New Roman" w:hAnsi="Times New Roman" w:eastAsia="仿宋_GB2312"/>
          <w:color w:val="000000"/>
          <w:sz w:val="28"/>
          <w:szCs w:val="28"/>
          <w:highlight w:val="none"/>
        </w:rPr>
        <w:t>：</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（2）总价合同进度付款申请单提交的约定</w:t>
      </w:r>
      <w:r>
        <w:rPr>
          <w:rFonts w:hint="eastAsia" w:ascii="Times New Roman" w:hAnsi="Times New Roman" w:eastAsia="仿宋_GB2312"/>
          <w:color w:val="000000"/>
          <w:sz w:val="28"/>
          <w:szCs w:val="28"/>
          <w:highlight w:val="none"/>
        </w:rPr>
        <w:t>：</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（3）其他价格形式合同进度付款申请单提交的约定：</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12.4.4 进度款审核和支付</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u w:val="single"/>
        </w:rPr>
      </w:pPr>
      <w:r>
        <w:rPr>
          <w:rFonts w:ascii="Times New Roman" w:hAnsi="Times New Roman" w:eastAsia="仿宋_GB2312"/>
          <w:color w:val="000000"/>
          <w:sz w:val="28"/>
          <w:szCs w:val="28"/>
          <w:highlight w:val="none"/>
        </w:rPr>
        <w:t>（1）监理人审查并报送发包人的期限：</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发包人完成审批并签发进度款支付证书的期限：</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（2）发包人支付进度款的期限：</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jc w:val="left"/>
        <w:textAlignment w:val="auto"/>
        <w:rPr>
          <w:rFonts w:hint="eastAsia"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发包人逾期支付进度款的违约金的计算方式：</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700" w:firstLineChars="250"/>
        <w:jc w:val="left"/>
        <w:textAlignment w:val="auto"/>
        <w:rPr>
          <w:rFonts w:hint="eastAsia"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12.4.6 支付分解表的编制</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2、总价合同支付分解表的编制与审批：</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3、单价合同的总价项目支付分解表的编制与审批：</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bookmarkEnd w:id="404"/>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575" w:name="_Toc351203645"/>
      <w:bookmarkStart w:id="576" w:name="_Toc296503219"/>
      <w:bookmarkStart w:id="577" w:name="_Toc297216223"/>
      <w:bookmarkStart w:id="578" w:name="_Toc304295593"/>
      <w:bookmarkStart w:id="579" w:name="_Toc296347218"/>
      <w:bookmarkStart w:id="580" w:name="_Toc297123564"/>
      <w:bookmarkStart w:id="581" w:name="_Toc292559929"/>
      <w:bookmarkStart w:id="582" w:name="_Toc296346720"/>
      <w:bookmarkStart w:id="583" w:name="_Toc296891047"/>
      <w:bookmarkStart w:id="584" w:name="_Toc300935015"/>
      <w:bookmarkStart w:id="585" w:name="_Toc296891259"/>
      <w:bookmarkStart w:id="586" w:name="_Toc303539172"/>
      <w:bookmarkStart w:id="587" w:name="_Toc297120519"/>
      <w:bookmarkStart w:id="588" w:name="_Toc296944558"/>
      <w:bookmarkStart w:id="589" w:name="_Toc292559424"/>
      <w:bookmarkStart w:id="590" w:name="_Toc312678053"/>
      <w:bookmarkStart w:id="591" w:name="_Toc297048405"/>
      <w:r>
        <w:rPr>
          <w:rFonts w:ascii="Times New Roman" w:hAnsi="Times New Roman"/>
          <w:b/>
          <w:color w:val="000000"/>
          <w:sz w:val="28"/>
          <w:szCs w:val="28"/>
          <w:highlight w:val="none"/>
        </w:rPr>
        <w:t>13.</w:t>
      </w:r>
      <w:r>
        <w:rPr>
          <w:rFonts w:hint="eastAsia" w:ascii="Times New Roman" w:hAnsi="Times New Roman"/>
          <w:b/>
          <w:color w:val="000000"/>
          <w:sz w:val="28"/>
          <w:szCs w:val="28"/>
          <w:highlight w:val="none"/>
        </w:rPr>
        <w:t xml:space="preserve"> </w:t>
      </w:r>
      <w:r>
        <w:rPr>
          <w:rFonts w:ascii="Times New Roman" w:hAnsi="Times New Roman"/>
          <w:b/>
          <w:color w:val="000000"/>
          <w:sz w:val="28"/>
          <w:szCs w:val="28"/>
          <w:highlight w:val="none"/>
        </w:rPr>
        <w:t>验收和工程试车</w:t>
      </w:r>
      <w:bookmarkEnd w:id="575"/>
    </w:p>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13.1 分部分项工程验收</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13.1.2监理人不能按时进行验收时，应提前</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小时提交书面延期要求。</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b/>
          <w:color w:val="000000"/>
          <w:sz w:val="28"/>
          <w:szCs w:val="28"/>
          <w:highlight w:val="none"/>
        </w:rPr>
      </w:pPr>
      <w:r>
        <w:rPr>
          <w:rFonts w:ascii="Times New Roman" w:hAnsi="Times New Roman" w:eastAsia="仿宋_GB2312"/>
          <w:sz w:val="28"/>
          <w:szCs w:val="28"/>
          <w:highlight w:val="none"/>
        </w:rPr>
        <w:t>关于延期最长不得超过：</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小时。</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bookmarkStart w:id="592" w:name="_Toc292559428"/>
      <w:bookmarkStart w:id="593" w:name="_Toc297048409"/>
      <w:bookmarkStart w:id="594" w:name="_Toc297120523"/>
      <w:bookmarkStart w:id="595" w:name="_Toc296891263"/>
      <w:bookmarkStart w:id="596" w:name="_Toc296503223"/>
      <w:bookmarkStart w:id="597" w:name="_Toc296347222"/>
      <w:bookmarkStart w:id="598" w:name="_Toc296346724"/>
      <w:bookmarkStart w:id="599" w:name="_Toc297216224"/>
      <w:bookmarkStart w:id="600" w:name="_Toc303539173"/>
      <w:bookmarkStart w:id="601" w:name="_Toc304295596"/>
      <w:bookmarkStart w:id="602" w:name="_Toc312678056"/>
      <w:bookmarkStart w:id="603" w:name="_Toc296891051"/>
      <w:bookmarkStart w:id="604" w:name="_Toc296944562"/>
      <w:bookmarkStart w:id="605" w:name="_Toc300935016"/>
      <w:bookmarkStart w:id="606" w:name="_Toc292559933"/>
      <w:bookmarkStart w:id="607" w:name="_Toc297123565"/>
      <w:bookmarkStart w:id="608" w:name="_Toc267251475"/>
      <w:bookmarkStart w:id="609" w:name="_Toc267251470"/>
      <w:bookmarkStart w:id="610" w:name="_Toc267251474"/>
      <w:bookmarkStart w:id="611" w:name="_Toc267251472"/>
      <w:bookmarkStart w:id="612" w:name="_Toc267251473"/>
      <w:bookmarkStart w:id="613" w:name="_Toc267251471"/>
      <w:bookmarkStart w:id="614" w:name="_Toc267251476"/>
      <w:r>
        <w:rPr>
          <w:rFonts w:ascii="Times New Roman" w:hAnsi="Times New Roman" w:eastAsia="黑体"/>
          <w:color w:val="000000"/>
          <w:sz w:val="28"/>
          <w:szCs w:val="28"/>
          <w:highlight w:val="none"/>
        </w:rPr>
        <w:t>13.2 竣工验收</w:t>
      </w:r>
    </w:p>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bookmarkStart w:id="615" w:name="_Toc280868704"/>
      <w:bookmarkStart w:id="616" w:name="_Toc280868705"/>
      <w:bookmarkStart w:id="617" w:name="_Toc280868706"/>
      <w:bookmarkStart w:id="618" w:name="_Toc280868707"/>
      <w:bookmarkStart w:id="619" w:name="_Toc280868708"/>
      <w:bookmarkStart w:id="620" w:name="_Toc280868709"/>
      <w:r>
        <w:rPr>
          <w:rFonts w:ascii="Times New Roman" w:hAnsi="Times New Roman" w:eastAsia="仿宋_GB2312"/>
          <w:color w:val="000000"/>
          <w:sz w:val="28"/>
          <w:szCs w:val="28"/>
          <w:highlight w:val="none"/>
        </w:rPr>
        <w:t>13.2.2竣工验收程序</w:t>
      </w:r>
    </w:p>
    <w:bookmarkEnd w:id="615"/>
    <w:p>
      <w:pPr>
        <w:pageBreakBefore w:val="0"/>
        <w:kinsoku/>
        <w:wordWrap/>
        <w:overflowPunct/>
        <w:topLinePunct w:val="0"/>
        <w:bidi w:val="0"/>
        <w:snapToGrid/>
        <w:spacing w:line="440" w:lineRule="exact"/>
        <w:ind w:left="5636" w:leftChars="284" w:hanging="5040" w:hangingChars="18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kern w:val="0"/>
          <w:sz w:val="28"/>
          <w:szCs w:val="28"/>
          <w:highlight w:val="none"/>
        </w:rPr>
        <w:t>关于竣工验收程序的约定：</w:t>
      </w:r>
      <w:r>
        <w:rPr>
          <w:rFonts w:ascii="Times New Roman" w:hAnsi="Times New Roman" w:eastAsia="仿宋_GB2312"/>
          <w:color w:val="000000"/>
          <w:sz w:val="28"/>
          <w:szCs w:val="28"/>
          <w:highlight w:val="none"/>
          <w:u w:val="single"/>
        </w:rPr>
        <w:t xml:space="preserve">     </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rPr>
      </w:pPr>
      <w:r>
        <w:rPr>
          <w:rFonts w:hint="eastAsia" w:ascii="仿宋_GB2312" w:hAnsi="仿宋_GB2312" w:eastAsia="仿宋_GB2312" w:cs="仿宋_GB2312"/>
          <w:kern w:val="0"/>
          <w:sz w:val="28"/>
          <w:szCs w:val="28"/>
          <w:highlight w:val="none"/>
        </w:rPr>
        <w:t>发包人不按照本项约定组织竣工验收、颁发工程接收证书的违约金的计算方法：</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b/>
          <w:bCs/>
          <w:sz w:val="28"/>
          <w:szCs w:val="28"/>
          <w:highlight w:val="none"/>
          <w:u w:val="single"/>
        </w:rPr>
        <w:t xml:space="preserve"> </w:t>
      </w:r>
      <w:r>
        <w:rPr>
          <w:rFonts w:hint="eastAsia" w:ascii="仿宋" w:hAnsi="仿宋" w:eastAsia="仿宋" w:cs="仿宋"/>
          <w:b/>
          <w:bCs/>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bookmarkEnd w:id="616"/>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13.2.5移交、接收全部与部分工程</w:t>
      </w:r>
    </w:p>
    <w:bookmarkEnd w:id="617"/>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kern w:val="0"/>
          <w:sz w:val="28"/>
          <w:szCs w:val="28"/>
          <w:highlight w:val="none"/>
        </w:rPr>
      </w:pPr>
      <w:r>
        <w:rPr>
          <w:rFonts w:hint="eastAsia" w:ascii="Times New Roman" w:hAnsi="Times New Roman" w:eastAsia="仿宋_GB2312"/>
          <w:color w:val="000000"/>
          <w:kern w:val="0"/>
          <w:sz w:val="28"/>
          <w:szCs w:val="28"/>
          <w:highlight w:val="none"/>
        </w:rPr>
        <w:t>承包人向发包人移交工程的期限：</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bookmarkEnd w:id="618"/>
    <w:p>
      <w:pPr>
        <w:pageBreakBefore w:val="0"/>
        <w:kinsoku/>
        <w:wordWrap/>
        <w:overflowPunct/>
        <w:topLinePunct w:val="0"/>
        <w:bidi w:val="0"/>
        <w:snapToGrid/>
        <w:spacing w:line="440" w:lineRule="exact"/>
        <w:ind w:firstLine="560" w:firstLineChars="200"/>
        <w:jc w:val="lef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kern w:val="0"/>
          <w:sz w:val="28"/>
          <w:szCs w:val="28"/>
          <w:highlight w:val="none"/>
        </w:rPr>
        <w:t>发包人未按本合同约定接收全部或部分工程的，违约金的计算方法为：</w:t>
      </w:r>
      <w:r>
        <w:rPr>
          <w:rFonts w:hint="eastAsia" w:ascii="仿宋_GB2312" w:hAnsi="仿宋_GB2312" w:eastAsia="仿宋_GB2312" w:cs="仿宋_GB2312"/>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hint="eastAsia" w:ascii="仿宋" w:hAnsi="仿宋" w:eastAsia="仿宋" w:cs="仿宋"/>
          <w:b/>
          <w:bCs/>
          <w:color w:val="000000"/>
          <w:sz w:val="28"/>
          <w:szCs w:val="28"/>
          <w:highlight w:val="none"/>
        </w:rPr>
      </w:pPr>
      <w:r>
        <w:rPr>
          <w:rFonts w:ascii="Times New Roman" w:hAnsi="Times New Roman" w:eastAsia="仿宋_GB2312"/>
          <w:color w:val="000000"/>
          <w:sz w:val="28"/>
          <w:szCs w:val="28"/>
          <w:highlight w:val="none"/>
        </w:rPr>
        <w:t>承包人未按时移交工程的，违约金的计算方法为：</w:t>
      </w:r>
      <w:r>
        <w:rPr>
          <w:rFonts w:hint="eastAsia" w:ascii="仿宋" w:hAnsi="仿宋" w:eastAsia="仿宋" w:cs="仿宋"/>
          <w:b/>
          <w:bCs/>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13.3 工程试车</w:t>
      </w:r>
    </w:p>
    <w:bookmarkEnd w:id="619"/>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13.3.1 试车程序</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工程试车内容：</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（1）单机无负荷试车费用由</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kern w:val="0"/>
          <w:sz w:val="28"/>
          <w:szCs w:val="28"/>
          <w:highlight w:val="none"/>
        </w:rPr>
        <w:t>承担；</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（2）无负荷联动试车费用由</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kern w:val="0"/>
          <w:sz w:val="28"/>
          <w:szCs w:val="28"/>
          <w:highlight w:val="none"/>
        </w:rPr>
        <w:t>承担。</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13.3.3 投料试车</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kern w:val="0"/>
          <w:sz w:val="28"/>
          <w:szCs w:val="28"/>
          <w:highlight w:val="none"/>
        </w:rPr>
      </w:pPr>
      <w:r>
        <w:rPr>
          <w:rFonts w:hint="eastAsia" w:ascii="Times New Roman" w:hAnsi="Times New Roman" w:eastAsia="仿宋_GB2312"/>
          <w:color w:val="000000"/>
          <w:kern w:val="0"/>
          <w:sz w:val="28"/>
          <w:szCs w:val="28"/>
          <w:highlight w:val="none"/>
        </w:rPr>
        <w:t>关于投料试车相关事项的约定：</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13.6 竣工退场</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13.6.1 竣工退场</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承包人完成竣工退场的期限：</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621" w:name="_Toc351203646"/>
      <w:r>
        <w:rPr>
          <w:rFonts w:ascii="Times New Roman" w:hAnsi="Times New Roman"/>
          <w:b/>
          <w:color w:val="000000"/>
          <w:sz w:val="28"/>
          <w:szCs w:val="28"/>
          <w:highlight w:val="none"/>
        </w:rPr>
        <w:t>14. 竣工结算</w:t>
      </w:r>
      <w:bookmarkEnd w:id="621"/>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14.1 竣工</w:t>
      </w:r>
      <w:r>
        <w:rPr>
          <w:rFonts w:hint="eastAsia" w:ascii="Times New Roman" w:hAnsi="Times New Roman" w:eastAsia="黑体"/>
          <w:color w:val="000000"/>
          <w:sz w:val="28"/>
          <w:szCs w:val="28"/>
          <w:highlight w:val="none"/>
        </w:rPr>
        <w:t>结算</w:t>
      </w:r>
      <w:r>
        <w:rPr>
          <w:rFonts w:ascii="Times New Roman" w:hAnsi="Times New Roman" w:eastAsia="黑体"/>
          <w:color w:val="000000"/>
          <w:sz w:val="28"/>
          <w:szCs w:val="28"/>
          <w:highlight w:val="none"/>
        </w:rPr>
        <w:t>申请</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sz w:val="28"/>
          <w:szCs w:val="28"/>
          <w:highlight w:val="none"/>
        </w:rPr>
        <w:t>承包人提交竣工</w:t>
      </w:r>
      <w:r>
        <w:rPr>
          <w:rFonts w:hint="eastAsia" w:ascii="Times New Roman" w:hAnsi="Times New Roman" w:eastAsia="仿宋_GB2312"/>
          <w:sz w:val="28"/>
          <w:szCs w:val="28"/>
          <w:highlight w:val="none"/>
        </w:rPr>
        <w:t>结算</w:t>
      </w:r>
      <w:r>
        <w:rPr>
          <w:rFonts w:ascii="Times New Roman" w:hAnsi="Times New Roman" w:eastAsia="仿宋_GB2312"/>
          <w:sz w:val="28"/>
          <w:szCs w:val="28"/>
          <w:highlight w:val="none"/>
        </w:rPr>
        <w:t>申请单的期限：</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jc w:val="left"/>
        <w:textAlignment w:val="auto"/>
        <w:rPr>
          <w:rFonts w:ascii="Times New Roman" w:hAnsi="Times New Roman" w:eastAsia="仿宋_GB2312"/>
          <w:sz w:val="28"/>
          <w:szCs w:val="28"/>
          <w:highlight w:val="none"/>
        </w:rPr>
      </w:pPr>
      <w:r>
        <w:rPr>
          <w:rFonts w:ascii="Times New Roman" w:hAnsi="Times New Roman" w:eastAsia="仿宋_GB2312"/>
          <w:color w:val="000000"/>
          <w:sz w:val="28"/>
          <w:szCs w:val="28"/>
          <w:highlight w:val="none"/>
        </w:rPr>
        <w:t>竣工</w:t>
      </w:r>
      <w:r>
        <w:rPr>
          <w:rFonts w:hint="eastAsia" w:ascii="Times New Roman" w:hAnsi="Times New Roman" w:eastAsia="仿宋_GB2312"/>
          <w:color w:val="000000"/>
          <w:sz w:val="28"/>
          <w:szCs w:val="28"/>
          <w:highlight w:val="none"/>
        </w:rPr>
        <w:t>结算</w:t>
      </w:r>
      <w:r>
        <w:rPr>
          <w:rFonts w:ascii="Times New Roman" w:hAnsi="Times New Roman" w:eastAsia="仿宋_GB2312"/>
          <w:color w:val="000000"/>
          <w:sz w:val="28"/>
          <w:szCs w:val="28"/>
          <w:highlight w:val="none"/>
        </w:rPr>
        <w:t>申请单应包括的内容：</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14.2 竣工结算审核</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发包人</w:t>
      </w:r>
      <w:r>
        <w:rPr>
          <w:rFonts w:hint="eastAsia" w:ascii="Times New Roman" w:hAnsi="Times New Roman" w:eastAsia="仿宋_GB2312"/>
          <w:sz w:val="28"/>
          <w:szCs w:val="28"/>
          <w:highlight w:val="none"/>
        </w:rPr>
        <w:t>审批</w:t>
      </w:r>
      <w:r>
        <w:rPr>
          <w:rFonts w:ascii="Times New Roman" w:hAnsi="Times New Roman" w:eastAsia="仿宋_GB2312"/>
          <w:sz w:val="28"/>
          <w:szCs w:val="28"/>
          <w:highlight w:val="none"/>
        </w:rPr>
        <w:t>竣工付款申请单的期限：</w:t>
      </w:r>
      <w:r>
        <w:rPr>
          <w:rFonts w:hint="eastAsia" w:ascii="仿宋" w:hAnsi="仿宋" w:eastAsia="仿宋" w:cs="仿宋"/>
          <w:b/>
          <w:bCs/>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仿宋_GB2312" w:hAnsi="仿宋_GB2312" w:eastAsia="仿宋_GB2312" w:cs="仿宋_GB2312"/>
          <w:color w:val="000000"/>
          <w:sz w:val="28"/>
          <w:szCs w:val="28"/>
          <w:highlight w:val="none"/>
          <w:u w:val="single"/>
        </w:rPr>
      </w:pPr>
      <w:r>
        <w:rPr>
          <w:rFonts w:hint="eastAsia" w:ascii="仿宋_GB2312" w:hAnsi="仿宋_GB2312" w:eastAsia="仿宋_GB2312" w:cs="仿宋_GB2312"/>
          <w:sz w:val="28"/>
          <w:szCs w:val="28"/>
          <w:highlight w:val="none"/>
        </w:rPr>
        <w:t>发包人完成竣工付款的期限：</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仿宋_GB2312" w:hAnsi="仿宋_GB2312" w:eastAsia="仿宋_GB2312" w:cs="仿宋_GB2312"/>
          <w:color w:val="000000"/>
          <w:sz w:val="28"/>
          <w:szCs w:val="28"/>
          <w:highlight w:val="none"/>
        </w:rPr>
      </w:pP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关于竣工付款证书异议部分复核的方式和程序：</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14.4 最终结清</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14.4.1 最终结清申请单</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承包人提交最终结清申请单的份数：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color w:val="000000"/>
          <w:kern w:val="0"/>
          <w:sz w:val="28"/>
          <w:szCs w:val="28"/>
          <w:highlight w:val="none"/>
        </w:rPr>
        <w:t>承包人提交最终结算申请单的期限：</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 xml:space="preserve">。 </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14.4.2 最终结清证书和支付</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（1）发包人完成最终结清申请单的</w:t>
      </w:r>
      <w:r>
        <w:rPr>
          <w:rFonts w:hint="eastAsia" w:ascii="Times New Roman" w:hAnsi="Times New Roman" w:eastAsia="仿宋_GB2312"/>
          <w:sz w:val="28"/>
          <w:szCs w:val="28"/>
          <w:highlight w:val="none"/>
        </w:rPr>
        <w:t>审批</w:t>
      </w:r>
      <w:r>
        <w:rPr>
          <w:rFonts w:ascii="Times New Roman" w:hAnsi="Times New Roman" w:eastAsia="仿宋_GB2312"/>
          <w:sz w:val="28"/>
          <w:szCs w:val="28"/>
          <w:highlight w:val="none"/>
        </w:rPr>
        <w:t>并颁发最终结清证书的期限：</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sz w:val="28"/>
          <w:szCs w:val="28"/>
          <w:highlight w:val="none"/>
        </w:rPr>
        <w:t>（2）发包人完成支付的期限：</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bookmarkEnd w:id="608"/>
    <w:bookmarkEnd w:id="609"/>
    <w:bookmarkEnd w:id="610"/>
    <w:bookmarkEnd w:id="611"/>
    <w:bookmarkEnd w:id="612"/>
    <w:bookmarkEnd w:id="613"/>
    <w:bookmarkEnd w:id="614"/>
    <w:bookmarkEnd w:id="620"/>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622" w:name="_Toc351203647"/>
      <w:bookmarkStart w:id="623" w:name="_Toc267251483"/>
      <w:bookmarkStart w:id="624" w:name="_Toc267251484"/>
      <w:bookmarkStart w:id="625" w:name="_Toc267251482"/>
      <w:bookmarkStart w:id="626" w:name="_Toc267251485"/>
      <w:bookmarkStart w:id="627" w:name="_Toc267251488"/>
      <w:bookmarkStart w:id="628" w:name="_Toc267251486"/>
      <w:bookmarkStart w:id="629" w:name="_Toc267251490"/>
      <w:bookmarkStart w:id="630" w:name="_Toc267251489"/>
      <w:bookmarkStart w:id="631" w:name="_Toc267251494"/>
      <w:bookmarkStart w:id="632" w:name="_Toc267251497"/>
      <w:bookmarkStart w:id="633" w:name="_Toc267251491"/>
      <w:bookmarkStart w:id="634" w:name="_Toc267251501"/>
      <w:bookmarkStart w:id="635" w:name="_Toc267251503"/>
      <w:bookmarkStart w:id="636" w:name="_Toc267251496"/>
      <w:bookmarkStart w:id="637" w:name="_Toc267251493"/>
      <w:bookmarkStart w:id="638" w:name="_Toc267251492"/>
      <w:bookmarkStart w:id="639" w:name="_Toc267251502"/>
      <w:bookmarkStart w:id="640" w:name="_Toc267251498"/>
      <w:bookmarkStart w:id="641" w:name="_Toc267251499"/>
      <w:bookmarkStart w:id="642" w:name="_Toc267251495"/>
      <w:bookmarkStart w:id="643" w:name="_Toc267251504"/>
      <w:bookmarkStart w:id="644" w:name="_Toc267251506"/>
      <w:bookmarkStart w:id="645" w:name="_Toc267251507"/>
      <w:bookmarkStart w:id="646" w:name="_Toc267251508"/>
      <w:bookmarkStart w:id="647" w:name="_Toc267251509"/>
      <w:bookmarkStart w:id="648" w:name="_Toc267251515"/>
      <w:bookmarkStart w:id="649" w:name="_Toc267251510"/>
      <w:bookmarkStart w:id="650" w:name="_Toc267251513"/>
      <w:bookmarkStart w:id="651" w:name="_Toc267251514"/>
      <w:bookmarkStart w:id="652" w:name="_Toc267251511"/>
      <w:r>
        <w:rPr>
          <w:rFonts w:ascii="Times New Roman" w:hAnsi="Times New Roman"/>
          <w:b/>
          <w:color w:val="000000"/>
          <w:sz w:val="28"/>
          <w:szCs w:val="28"/>
          <w:highlight w:val="none"/>
        </w:rPr>
        <w:t>15. 缺陷责任期与保修</w:t>
      </w:r>
      <w:bookmarkEnd w:id="622"/>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15.2缺陷责任期</w:t>
      </w:r>
      <w:bookmarkEnd w:id="623"/>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hint="eastAsia" w:ascii="仿宋_GB2312" w:hAnsi="仿宋_GB2312" w:eastAsia="仿宋_GB2312" w:cs="仿宋_GB2312"/>
          <w:sz w:val="28"/>
          <w:szCs w:val="28"/>
          <w:highlight w:val="none"/>
        </w:rPr>
        <w:t>缺陷责任期的具体期限：</w:t>
      </w:r>
      <w:r>
        <w:rPr>
          <w:rFonts w:hint="eastAsia" w:ascii="仿宋_GB2312" w:hAnsi="仿宋_GB2312" w:eastAsia="仿宋_GB2312" w:cs="仿宋_GB2312"/>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15.3 质量保证金</w:t>
      </w:r>
    </w:p>
    <w:p>
      <w:pPr>
        <w:pageBreakBefore w:val="0"/>
        <w:kinsoku/>
        <w:wordWrap/>
        <w:overflowPunct/>
        <w:topLinePunct w:val="0"/>
        <w:bidi w:val="0"/>
        <w:snapToGrid/>
        <w:spacing w:line="440" w:lineRule="exact"/>
        <w:ind w:firstLine="560" w:firstLineChars="200"/>
        <w:jc w:val="left"/>
        <w:textAlignment w:val="auto"/>
        <w:rPr>
          <w:rFonts w:eastAsia="仿宋_GB2312"/>
          <w:color w:val="000000"/>
          <w:sz w:val="28"/>
          <w:szCs w:val="28"/>
          <w:highlight w:val="none"/>
        </w:rPr>
      </w:pPr>
      <w:r>
        <w:rPr>
          <w:rFonts w:hint="eastAsia" w:ascii="Times New Roman" w:hAnsi="Times New Roman" w:eastAsia="仿宋_GB2312"/>
          <w:color w:val="000000"/>
          <w:sz w:val="28"/>
          <w:szCs w:val="28"/>
          <w:highlight w:val="none"/>
        </w:rPr>
        <w:t>关于是否扣留质量保证金的约定：</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r>
        <w:rPr>
          <w:rFonts w:hint="eastAsia" w:eastAsia="仿宋_GB2312"/>
          <w:color w:val="000000"/>
          <w:sz w:val="28"/>
          <w:szCs w:val="28"/>
          <w:highlight w:val="none"/>
        </w:rPr>
        <w:t>在工程项目竣工前，承包人按专用合同条款第3.7条提供履约担保的，发包人不得同时预留工程质量保证金。</w:t>
      </w:r>
    </w:p>
    <w:p>
      <w:pPr>
        <w:pageBreakBefore w:val="0"/>
        <w:kinsoku/>
        <w:wordWrap/>
        <w:overflowPunct/>
        <w:topLinePunct w:val="0"/>
        <w:bidi w:val="0"/>
        <w:snapToGrid/>
        <w:spacing w:line="440" w:lineRule="exact"/>
        <w:ind w:firstLine="560" w:firstLineChars="200"/>
        <w:jc w:val="left"/>
        <w:textAlignment w:val="auto"/>
        <w:outlineLvl w:val="0"/>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xml:space="preserve">15.3.1 </w:t>
      </w:r>
      <w:r>
        <w:rPr>
          <w:rFonts w:hint="eastAsia" w:ascii="Times New Roman" w:hAnsi="Times New Roman" w:eastAsia="仿宋_GB2312"/>
          <w:color w:val="000000"/>
          <w:sz w:val="28"/>
          <w:szCs w:val="28"/>
          <w:highlight w:val="none"/>
        </w:rPr>
        <w:t>承包人提供</w:t>
      </w:r>
      <w:r>
        <w:rPr>
          <w:rFonts w:ascii="Times New Roman" w:hAnsi="Times New Roman" w:eastAsia="仿宋_GB2312"/>
          <w:color w:val="000000"/>
          <w:sz w:val="28"/>
          <w:szCs w:val="28"/>
          <w:highlight w:val="none"/>
        </w:rPr>
        <w:t>质量保证金的</w:t>
      </w:r>
      <w:r>
        <w:rPr>
          <w:rFonts w:hint="eastAsia" w:ascii="Times New Roman" w:hAnsi="Times New Roman" w:eastAsia="仿宋_GB2312"/>
          <w:color w:val="000000"/>
          <w:sz w:val="28"/>
          <w:szCs w:val="28"/>
          <w:highlight w:val="none"/>
        </w:rPr>
        <w:t>方</w:t>
      </w:r>
      <w:r>
        <w:rPr>
          <w:rFonts w:ascii="Times New Roman" w:hAnsi="Times New Roman" w:eastAsia="仿宋_GB2312"/>
          <w:color w:val="000000"/>
          <w:sz w:val="28"/>
          <w:szCs w:val="28"/>
          <w:highlight w:val="none"/>
        </w:rPr>
        <w:t>式</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质量保证金采用以下第</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种方式：</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（1）质量保证金保函，保证金额为：</w:t>
      </w:r>
      <w:r>
        <w:rPr>
          <w:rFonts w:hint="eastAsia" w:ascii="Times New Roman" w:hAnsi="Times New Roman" w:eastAsia="仿宋_GB2312"/>
          <w:b w:val="0"/>
          <w:bCs/>
          <w:color w:val="000000"/>
          <w:kern w:val="0"/>
          <w:sz w:val="28"/>
          <w:szCs w:val="28"/>
          <w:highlight w:val="none"/>
          <w:u w:val="single"/>
          <w:lang w:val="en-US" w:eastAsia="zh-CN"/>
        </w:rPr>
        <w:t xml:space="preserve">            </w:t>
      </w:r>
      <w:r>
        <w:rPr>
          <w:rFonts w:ascii="Times New Roman" w:hAnsi="Times New Roman" w:eastAsia="仿宋_GB2312"/>
          <w:b w:val="0"/>
          <w:bCs/>
          <w:color w:val="000000"/>
          <w:kern w:val="0"/>
          <w:sz w:val="28"/>
          <w:szCs w:val="28"/>
          <w:highlight w:val="none"/>
        </w:rPr>
        <w:t>；</w:t>
      </w:r>
      <w:r>
        <w:rPr>
          <w:rFonts w:ascii="Times New Roman" w:hAnsi="Times New Roman" w:eastAsia="仿宋_GB2312"/>
          <w:color w:val="000000"/>
          <w:kern w:val="0"/>
          <w:sz w:val="28"/>
          <w:szCs w:val="28"/>
          <w:highlight w:val="none"/>
        </w:rPr>
        <w:t xml:space="preserve"> </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ascii="Times New Roman" w:hAnsi="Times New Roman" w:eastAsia="仿宋_GB2312"/>
          <w:kern w:val="0"/>
          <w:sz w:val="28"/>
          <w:szCs w:val="28"/>
          <w:highlight w:val="none"/>
        </w:rPr>
      </w:pPr>
      <w:r>
        <w:rPr>
          <w:rFonts w:ascii="Times New Roman" w:hAnsi="Times New Roman" w:eastAsia="仿宋_GB2312"/>
          <w:kern w:val="0"/>
          <w:sz w:val="28"/>
          <w:szCs w:val="28"/>
          <w:highlight w:val="none"/>
        </w:rPr>
        <w:t>（2）</w:t>
      </w:r>
      <w:r>
        <w:rPr>
          <w:rFonts w:ascii="Times New Roman" w:hAnsi="Times New Roman" w:eastAsia="仿宋_GB2312"/>
          <w:kern w:val="0"/>
          <w:sz w:val="28"/>
          <w:szCs w:val="28"/>
          <w:highlight w:val="none"/>
          <w:u w:val="single"/>
        </w:rPr>
        <w:t xml:space="preserve">  </w:t>
      </w:r>
      <w:r>
        <w:rPr>
          <w:rFonts w:hint="eastAsia" w:ascii="Times New Roman" w:hAnsi="Times New Roman" w:eastAsia="仿宋_GB2312"/>
          <w:kern w:val="0"/>
          <w:sz w:val="28"/>
          <w:szCs w:val="28"/>
          <w:highlight w:val="none"/>
          <w:u w:val="single"/>
          <w:lang w:val="en-US" w:eastAsia="zh-CN"/>
        </w:rPr>
        <w:t xml:space="preserve">     </w:t>
      </w:r>
      <w:r>
        <w:rPr>
          <w:rFonts w:ascii="Times New Roman" w:hAnsi="Times New Roman" w:eastAsia="仿宋_GB2312"/>
          <w:kern w:val="0"/>
          <w:sz w:val="28"/>
          <w:szCs w:val="28"/>
          <w:highlight w:val="none"/>
        </w:rPr>
        <w:t>%的工程款；</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hint="eastAsia"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（3）其他</w:t>
      </w:r>
      <w:r>
        <w:rPr>
          <w:rFonts w:hint="eastAsia" w:ascii="Times New Roman" w:hAnsi="Times New Roman" w:eastAsia="仿宋_GB2312"/>
          <w:color w:val="000000"/>
          <w:kern w:val="0"/>
          <w:sz w:val="28"/>
          <w:szCs w:val="28"/>
          <w:highlight w:val="none"/>
        </w:rPr>
        <w:t>方</w:t>
      </w:r>
      <w:r>
        <w:rPr>
          <w:rFonts w:ascii="Times New Roman" w:hAnsi="Times New Roman" w:eastAsia="仿宋_GB2312"/>
          <w:color w:val="000000"/>
          <w:kern w:val="0"/>
          <w:sz w:val="28"/>
          <w:szCs w:val="28"/>
          <w:highlight w:val="none"/>
        </w:rPr>
        <w:t>式:</w:t>
      </w:r>
      <w:r>
        <w:rPr>
          <w:rFonts w:ascii="Times New Roman" w:hAnsi="Times New Roman" w:eastAsia="仿宋_GB2312"/>
          <w:b w:val="0"/>
          <w:bCs w:val="0"/>
          <w:color w:val="000000"/>
          <w:kern w:val="0"/>
          <w:sz w:val="28"/>
          <w:szCs w:val="28"/>
          <w:highlight w:val="none"/>
          <w:u w:val="single"/>
        </w:rPr>
        <w:t xml:space="preserve"> </w:t>
      </w:r>
      <w:r>
        <w:rPr>
          <w:rFonts w:hint="eastAsia" w:ascii="Times New Roman" w:hAnsi="Times New Roman" w:eastAsia="仿宋_GB2312"/>
          <w:b w:val="0"/>
          <w:bCs w:val="0"/>
          <w:color w:val="000000"/>
          <w:kern w:val="0"/>
          <w:sz w:val="28"/>
          <w:szCs w:val="28"/>
          <w:highlight w:val="none"/>
          <w:u w:val="single"/>
          <w:lang w:val="en-US" w:eastAsia="zh-CN"/>
        </w:rPr>
        <w:t xml:space="preserve">             </w:t>
      </w:r>
      <w:r>
        <w:rPr>
          <w:rFonts w:hint="eastAsia" w:ascii="Times New Roman" w:hAnsi="Times New Roman" w:eastAsia="仿宋_GB2312"/>
          <w:b w:val="0"/>
          <w:bCs w:val="0"/>
          <w:color w:val="000000"/>
          <w:kern w:val="0"/>
          <w:sz w:val="28"/>
          <w:szCs w:val="28"/>
          <w:highlight w:val="none"/>
          <w:u w:val="single"/>
        </w:rPr>
        <w:t xml:space="preserve"> </w:t>
      </w:r>
      <w:r>
        <w:rPr>
          <w:rFonts w:ascii="Times New Roman" w:hAnsi="Times New Roman" w:eastAsia="仿宋_GB2312"/>
          <w:b w:val="0"/>
          <w:bCs w:val="0"/>
          <w:color w:val="000000"/>
          <w:kern w:val="0"/>
          <w:sz w:val="28"/>
          <w:szCs w:val="28"/>
          <w:highlight w:val="none"/>
        </w:rPr>
        <w:t>。</w:t>
      </w:r>
    </w:p>
    <w:p>
      <w:pPr>
        <w:pageBreakBefore w:val="0"/>
        <w:kinsoku/>
        <w:wordWrap/>
        <w:overflowPunct/>
        <w:topLinePunct w:val="0"/>
        <w:bidi w:val="0"/>
        <w:snapToGrid/>
        <w:spacing w:line="440" w:lineRule="exact"/>
        <w:ind w:firstLine="560" w:firstLineChars="200"/>
        <w:jc w:val="left"/>
        <w:textAlignment w:val="auto"/>
        <w:outlineLvl w:val="0"/>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xml:space="preserve">15.3.2 质量保证金的扣留 </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质量保证金的扣留采取以下第</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种方式：</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ascii="Times New Roman" w:hAnsi="Times New Roman" w:eastAsia="仿宋_GB2312"/>
          <w:kern w:val="0"/>
          <w:sz w:val="28"/>
          <w:szCs w:val="28"/>
          <w:highlight w:val="none"/>
        </w:rPr>
      </w:pPr>
      <w:r>
        <w:rPr>
          <w:rFonts w:ascii="Times New Roman" w:hAnsi="Times New Roman" w:eastAsia="仿宋_GB2312"/>
          <w:color w:val="000000"/>
          <w:kern w:val="0"/>
          <w:sz w:val="28"/>
          <w:szCs w:val="28"/>
          <w:highlight w:val="none"/>
        </w:rPr>
        <w:t>（1）在支付工程进度款时逐次扣留，在此情形下，质量保证金的计算</w:t>
      </w:r>
      <w:r>
        <w:rPr>
          <w:rFonts w:ascii="Times New Roman" w:hAnsi="Times New Roman" w:eastAsia="仿宋_GB2312"/>
          <w:kern w:val="0"/>
          <w:sz w:val="28"/>
          <w:szCs w:val="28"/>
          <w:highlight w:val="none"/>
        </w:rPr>
        <w:t>基数不包括预付款的支付、扣回以及价格调整的金额；</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hint="eastAsia" w:ascii="仿宋_GB2312" w:hAnsi="仿宋_GB2312" w:eastAsia="仿宋_GB2312" w:cs="仿宋_GB2312"/>
          <w:b/>
          <w:bCs/>
          <w:color w:val="000000"/>
          <w:sz w:val="28"/>
          <w:szCs w:val="28"/>
          <w:highlight w:val="none"/>
          <w:u w:val="single"/>
        </w:rPr>
      </w:pPr>
      <w:r>
        <w:rPr>
          <w:rFonts w:hint="eastAsia" w:ascii="Times New Roman" w:hAnsi="Times New Roman" w:eastAsia="仿宋_GB2312"/>
          <w:color w:val="000000"/>
          <w:sz w:val="28"/>
          <w:szCs w:val="28"/>
          <w:highlight w:val="none"/>
        </w:rPr>
        <w:t>（2）</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（3）其他扣留方式:</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关于质量保证金的补充约定：</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bookmarkEnd w:id="624"/>
    <w:bookmarkEnd w:id="625"/>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15.4保修</w:t>
      </w:r>
    </w:p>
    <w:bookmarkEnd w:id="626"/>
    <w:p>
      <w:pPr>
        <w:pageBreakBefore w:val="0"/>
        <w:kinsoku/>
        <w:wordWrap/>
        <w:overflowPunct/>
        <w:topLinePunct w:val="0"/>
        <w:bidi w:val="0"/>
        <w:snapToGrid/>
        <w:spacing w:line="440" w:lineRule="exact"/>
        <w:ind w:firstLine="546" w:firstLineChars="195"/>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15.4.1 保修责任</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sz w:val="28"/>
          <w:szCs w:val="28"/>
          <w:highlight w:val="none"/>
        </w:rPr>
        <w:t>工程保修期为：</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46" w:firstLineChars="195"/>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15.4.3 修复通知</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承包人收到保修通知并到达工程现场的合理时间：</w:t>
      </w:r>
      <w:r>
        <w:rPr>
          <w:rFonts w:hint="eastAsia" w:ascii="仿宋" w:hAnsi="仿宋" w:eastAsia="仿宋" w:cs="仿宋"/>
          <w:b/>
          <w:bCs/>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bookmarkEnd w:id="627"/>
    <w:bookmarkEnd w:id="628"/>
    <w:bookmarkEnd w:id="629"/>
    <w:bookmarkEnd w:id="630"/>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653" w:name="_Toc351203648"/>
      <w:bookmarkStart w:id="654" w:name="_Toc280868717"/>
      <w:bookmarkStart w:id="655" w:name="_Toc280868718"/>
      <w:r>
        <w:rPr>
          <w:rFonts w:ascii="Times New Roman" w:hAnsi="Times New Roman"/>
          <w:b/>
          <w:color w:val="000000"/>
          <w:sz w:val="28"/>
          <w:szCs w:val="28"/>
          <w:highlight w:val="none"/>
        </w:rPr>
        <w:t>16. 违约</w:t>
      </w:r>
      <w:bookmarkEnd w:id="653"/>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16.1 发包人违约</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16.1.1发包人违约的情形</w:t>
      </w:r>
    </w:p>
    <w:p>
      <w:pPr>
        <w:pageBreakBefore w:val="0"/>
        <w:kinsoku/>
        <w:wordWrap/>
        <w:overflowPunct/>
        <w:topLinePunct w:val="0"/>
        <w:bidi w:val="0"/>
        <w:snapToGrid/>
        <w:spacing w:line="440" w:lineRule="exact"/>
        <w:ind w:left="1500" w:hanging="1400" w:hangingChars="500"/>
        <w:jc w:val="left"/>
        <w:textAlignment w:val="auto"/>
        <w:rPr>
          <w:rFonts w:hint="eastAsia"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发包人违约的其他情形：</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left="1500" w:hanging="1400" w:hangingChars="5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 xml:space="preserve">    16.1.2 发包人违约的责任</w:t>
      </w:r>
    </w:p>
    <w:p>
      <w:pPr>
        <w:pageBreakBefore w:val="0"/>
        <w:kinsoku/>
        <w:wordWrap/>
        <w:overflowPunct/>
        <w:topLinePunct w:val="0"/>
        <w:bidi w:val="0"/>
        <w:snapToGrid/>
        <w:spacing w:line="440" w:lineRule="exact"/>
        <w:ind w:firstLine="560" w:firstLineChars="200"/>
        <w:jc w:val="left"/>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发包人违约责任的承担方式和计算方法：</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u w:val="single"/>
        </w:rPr>
      </w:pPr>
      <w:r>
        <w:rPr>
          <w:rFonts w:hint="eastAsia" w:ascii="仿宋_GB2312" w:hAnsi="仿宋_GB2312" w:eastAsia="仿宋_GB2312" w:cs="仿宋_GB2312"/>
          <w:kern w:val="0"/>
          <w:sz w:val="28"/>
          <w:szCs w:val="28"/>
          <w:highlight w:val="none"/>
        </w:rPr>
        <w:t>（1）因发包人原因未能在计划开工日期前7天内下达开工通知的违约责任：</w:t>
      </w:r>
      <w:r>
        <w:rPr>
          <w:rFonts w:hint="eastAsia" w:ascii="仿宋_GB2312" w:hAnsi="仿宋_GB2312" w:eastAsia="仿宋_GB2312" w:cs="仿宋_GB2312"/>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sz w:val="28"/>
          <w:szCs w:val="28"/>
          <w:highlight w:val="none"/>
        </w:rPr>
      </w:pPr>
      <w:r>
        <w:rPr>
          <w:rFonts w:ascii="Times New Roman" w:hAnsi="Times New Roman" w:eastAsia="仿宋_GB2312"/>
          <w:color w:val="000000"/>
          <w:kern w:val="0"/>
          <w:sz w:val="28"/>
          <w:szCs w:val="28"/>
          <w:highlight w:val="none"/>
        </w:rPr>
        <w:t>（2）因发包人原因未能按合同约定支付合同价款的违约责任：</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（3）发包人违反第10.1款</w:t>
      </w:r>
      <w:r>
        <w:rPr>
          <w:rFonts w:hint="eastAsia" w:ascii="Times New Roman" w:hAnsi="Times New Roman" w:eastAsia="仿宋_GB2312"/>
          <w:color w:val="000000"/>
          <w:kern w:val="0"/>
          <w:sz w:val="28"/>
          <w:szCs w:val="28"/>
          <w:highlight w:val="none"/>
        </w:rPr>
        <w:t>〔</w:t>
      </w:r>
      <w:r>
        <w:rPr>
          <w:rFonts w:ascii="Times New Roman" w:hAnsi="Times New Roman" w:eastAsia="仿宋_GB2312"/>
          <w:color w:val="000000"/>
          <w:kern w:val="0"/>
          <w:sz w:val="28"/>
          <w:szCs w:val="28"/>
          <w:highlight w:val="none"/>
        </w:rPr>
        <w:t>变更的范围</w:t>
      </w:r>
      <w:r>
        <w:rPr>
          <w:rFonts w:hint="eastAsia" w:ascii="Times New Roman" w:hAnsi="Times New Roman" w:eastAsia="仿宋_GB2312"/>
          <w:color w:val="000000"/>
          <w:kern w:val="0"/>
          <w:sz w:val="28"/>
          <w:szCs w:val="28"/>
          <w:highlight w:val="none"/>
        </w:rPr>
        <w:t>〕</w:t>
      </w:r>
      <w:r>
        <w:rPr>
          <w:rFonts w:ascii="Times New Roman" w:hAnsi="Times New Roman" w:eastAsia="仿宋_GB2312"/>
          <w:color w:val="000000"/>
          <w:kern w:val="0"/>
          <w:sz w:val="28"/>
          <w:szCs w:val="28"/>
          <w:highlight w:val="none"/>
        </w:rPr>
        <w:t>第（2）项约定，自行实施被取消的工作或转由他人实施的违约责任：</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b/>
          <w:bCs/>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（5）因发包人违反合同约定造成暂停施工的违约责任：</w:t>
      </w:r>
      <w:bookmarkStart w:id="656" w:name="c367"/>
      <w:r>
        <w:rPr>
          <w:rFonts w:ascii="Times New Roman" w:hAnsi="Times New Roman" w:eastAsia="仿宋_GB2312"/>
          <w:b w:val="0"/>
          <w:bCs/>
          <w:color w:val="FF0000"/>
          <w:kern w:val="0"/>
          <w:sz w:val="28"/>
          <w:szCs w:val="28"/>
          <w:highlight w:val="none"/>
          <w:u w:val="single"/>
        </w:rPr>
        <w:t xml:space="preserve"> </w:t>
      </w:r>
      <w:bookmarkEnd w:id="656"/>
      <w:r>
        <w:rPr>
          <w:rFonts w:ascii="Times New Roman" w:hAnsi="Times New Roman" w:eastAsia="仿宋_GB2312"/>
          <w:b w:val="0"/>
          <w:bCs/>
          <w:color w:val="000000"/>
          <w:sz w:val="28"/>
          <w:szCs w:val="28"/>
          <w:highlight w:val="none"/>
          <w:u w:val="single"/>
        </w:rPr>
        <w:t xml:space="preserve">   </w:t>
      </w:r>
      <w:r>
        <w:rPr>
          <w:rFonts w:ascii="Times New Roman" w:hAnsi="Times New Roman" w:eastAsia="仿宋_GB2312"/>
          <w:b w:val="0"/>
          <w:bCs/>
          <w:sz w:val="28"/>
          <w:szCs w:val="28"/>
          <w:highlight w:val="none"/>
          <w:u w:val="single"/>
        </w:rPr>
        <w:t xml:space="preserve">   </w:t>
      </w:r>
      <w:r>
        <w:rPr>
          <w:rFonts w:hint="eastAsia" w:ascii="Times New Roman" w:hAnsi="Times New Roman" w:eastAsia="仿宋_GB2312"/>
          <w:b w:val="0"/>
          <w:bCs/>
          <w:sz w:val="28"/>
          <w:szCs w:val="28"/>
          <w:highlight w:val="none"/>
          <w:u w:val="single"/>
          <w:lang w:val="en-US" w:eastAsia="zh-CN"/>
        </w:rPr>
        <w:t xml:space="preserve">  </w:t>
      </w:r>
      <w:r>
        <w:rPr>
          <w:rFonts w:ascii="Times New Roman" w:hAnsi="Times New Roman" w:eastAsia="仿宋_GB2312"/>
          <w:b w:val="0"/>
          <w:bCs/>
          <w:sz w:val="28"/>
          <w:szCs w:val="28"/>
          <w:highlight w:val="none"/>
          <w:u w:val="single"/>
        </w:rPr>
        <w:t xml:space="preserve"> </w:t>
      </w:r>
      <w:r>
        <w:rPr>
          <w:rFonts w:ascii="Times New Roman" w:hAnsi="Times New Roman" w:eastAsia="仿宋_GB2312"/>
          <w:b w:val="0"/>
          <w:bCs/>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（6）</w:t>
      </w:r>
      <w:r>
        <w:rPr>
          <w:rFonts w:ascii="Times New Roman" w:hAnsi="Times New Roman" w:eastAsia="仿宋_GB2312"/>
          <w:kern w:val="0"/>
          <w:sz w:val="28"/>
          <w:szCs w:val="28"/>
          <w:highlight w:val="none"/>
        </w:rPr>
        <w:t>发包人无正当理由没有在约定期限内发出复工指示，导致承包人无法复工的违约责任：</w:t>
      </w:r>
      <w:r>
        <w:rPr>
          <w:rFonts w:ascii="Times New Roman" w:hAnsi="Times New Roman" w:eastAsia="仿宋_GB2312"/>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（7）</w:t>
      </w:r>
      <w:r>
        <w:rPr>
          <w:rFonts w:hint="eastAsia" w:ascii="Times New Roman" w:hAnsi="Times New Roman" w:eastAsia="仿宋_GB2312"/>
          <w:color w:val="000000"/>
          <w:kern w:val="0"/>
          <w:sz w:val="28"/>
          <w:szCs w:val="28"/>
          <w:highlight w:val="none"/>
        </w:rPr>
        <w:t>其他：</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16.1.3 因发包人违约解除合同</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rPr>
          <w:rFonts w:hint="eastAsia"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承包人按16.1.1项</w:t>
      </w:r>
      <w:r>
        <w:rPr>
          <w:rFonts w:hint="eastAsia" w:ascii="Times New Roman" w:hAnsi="Times New Roman" w:eastAsia="仿宋_GB2312"/>
          <w:color w:val="000000"/>
          <w:kern w:val="0"/>
          <w:sz w:val="28"/>
          <w:szCs w:val="28"/>
          <w:highlight w:val="none"/>
        </w:rPr>
        <w:t>〔</w:t>
      </w:r>
      <w:r>
        <w:rPr>
          <w:rFonts w:ascii="Times New Roman" w:hAnsi="Times New Roman" w:eastAsia="仿宋_GB2312"/>
          <w:color w:val="000000"/>
          <w:kern w:val="0"/>
          <w:sz w:val="28"/>
          <w:szCs w:val="28"/>
          <w:highlight w:val="none"/>
        </w:rPr>
        <w:t>发包人违约的情形</w:t>
      </w:r>
      <w:r>
        <w:rPr>
          <w:rFonts w:hint="eastAsia" w:ascii="Times New Roman" w:hAnsi="Times New Roman" w:eastAsia="仿宋_GB2312"/>
          <w:color w:val="000000"/>
          <w:kern w:val="0"/>
          <w:sz w:val="28"/>
          <w:szCs w:val="28"/>
          <w:highlight w:val="none"/>
        </w:rPr>
        <w:t>〕</w:t>
      </w:r>
      <w:r>
        <w:rPr>
          <w:rFonts w:ascii="Times New Roman" w:hAnsi="Times New Roman" w:eastAsia="仿宋_GB2312"/>
          <w:color w:val="000000"/>
          <w:kern w:val="0"/>
          <w:sz w:val="28"/>
          <w:szCs w:val="28"/>
          <w:highlight w:val="none"/>
        </w:rPr>
        <w:t>约定暂停施工满</w:t>
      </w:r>
      <w:r>
        <w:rPr>
          <w:rFonts w:ascii="Times New Roman" w:hAnsi="Times New Roman" w:eastAsia="仿宋_GB2312"/>
          <w:color w:val="000000"/>
          <w:kern w:val="0"/>
          <w:sz w:val="28"/>
          <w:szCs w:val="28"/>
          <w:highlight w:val="none"/>
          <w:u w:val="single"/>
        </w:rPr>
        <w:t xml:space="preserve"> </w:t>
      </w:r>
      <w:r>
        <w:rPr>
          <w:rFonts w:hint="eastAsia" w:ascii="Times New Roman" w:hAnsi="Times New Roman" w:eastAsia="仿宋_GB2312"/>
          <w:b/>
          <w:bCs/>
          <w:color w:val="000000"/>
          <w:kern w:val="0"/>
          <w:sz w:val="28"/>
          <w:szCs w:val="28"/>
          <w:highlight w:val="none"/>
          <w:u w:val="single"/>
          <w:lang w:val="en-US" w:eastAsia="zh-CN"/>
        </w:rPr>
        <w:t xml:space="preserve">     </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kern w:val="0"/>
          <w:sz w:val="28"/>
          <w:szCs w:val="28"/>
          <w:highlight w:val="none"/>
        </w:rPr>
        <w:t>天后发包人仍不纠正其违约行为并致</w:t>
      </w:r>
      <w:r>
        <w:rPr>
          <w:rFonts w:hint="eastAsia" w:ascii="Times New Roman" w:hAnsi="Times New Roman" w:eastAsia="仿宋_GB2312"/>
          <w:color w:val="000000"/>
          <w:kern w:val="0"/>
          <w:sz w:val="28"/>
          <w:szCs w:val="28"/>
          <w:highlight w:val="none"/>
        </w:rPr>
        <w:t xml:space="preserve"> </w:t>
      </w:r>
      <w:r>
        <w:rPr>
          <w:rFonts w:ascii="Times New Roman" w:hAnsi="Times New Roman" w:eastAsia="仿宋_GB2312"/>
          <w:color w:val="000000"/>
          <w:kern w:val="0"/>
          <w:sz w:val="28"/>
          <w:szCs w:val="28"/>
          <w:highlight w:val="none"/>
        </w:rPr>
        <w:t>使合同目的不能实现的，承包人有权解除合同。</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16.2 承包人违约</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16.2.1 承包人违约的情形</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承包人违约的其他情形：</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16.2.2承包人违约的责任</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u w:val="single"/>
        </w:rPr>
      </w:pPr>
      <w:r>
        <w:rPr>
          <w:rFonts w:ascii="Times New Roman" w:hAnsi="Times New Roman" w:eastAsia="仿宋_GB2312"/>
          <w:color w:val="000000"/>
          <w:kern w:val="0"/>
          <w:sz w:val="28"/>
          <w:szCs w:val="28"/>
          <w:highlight w:val="none"/>
        </w:rPr>
        <w:t>承包人违约责任的承担方式和计算方法：</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bCs/>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16.2.3 因承包人违约解除合同</w:t>
      </w:r>
    </w:p>
    <w:p>
      <w:pPr>
        <w:pageBreakBefore w:val="0"/>
        <w:kinsoku/>
        <w:wordWrap/>
        <w:overflowPunct/>
        <w:topLinePunct w:val="0"/>
        <w:bidi w:val="0"/>
        <w:snapToGrid/>
        <w:spacing w:before="120" w:after="120" w:line="440" w:lineRule="exact"/>
        <w:textAlignment w:val="auto"/>
        <w:rPr>
          <w:rFonts w:hint="eastAsia"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关于承包人违约解除合同的特别约定：</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before="120" w:after="120" w:line="440" w:lineRule="exact"/>
        <w:ind w:firstLine="560" w:firstLineChars="200"/>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发包人</w:t>
      </w:r>
      <w:r>
        <w:rPr>
          <w:rFonts w:hint="eastAsia" w:ascii="Times New Roman" w:hAnsi="Times New Roman" w:eastAsia="仿宋_GB2312"/>
          <w:color w:val="000000"/>
          <w:kern w:val="0"/>
          <w:sz w:val="28"/>
          <w:szCs w:val="28"/>
          <w:highlight w:val="none"/>
        </w:rPr>
        <w:t>继续</w:t>
      </w:r>
      <w:r>
        <w:rPr>
          <w:rFonts w:ascii="Times New Roman" w:hAnsi="Times New Roman" w:eastAsia="仿宋_GB2312"/>
          <w:color w:val="000000"/>
          <w:kern w:val="0"/>
          <w:sz w:val="28"/>
          <w:szCs w:val="28"/>
          <w:highlight w:val="none"/>
        </w:rPr>
        <w:t>使用承包人在施工现场的材料、设备、临时工程、承包人文件和由承包人或以其名义编制的其他文件</w:t>
      </w:r>
      <w:r>
        <w:rPr>
          <w:rFonts w:hint="eastAsia" w:ascii="Times New Roman" w:hAnsi="Times New Roman" w:eastAsia="仿宋_GB2312"/>
          <w:color w:val="000000"/>
          <w:kern w:val="0"/>
          <w:sz w:val="28"/>
          <w:szCs w:val="28"/>
          <w:highlight w:val="none"/>
        </w:rPr>
        <w:t>的费用承担方式</w:t>
      </w:r>
      <w:r>
        <w:rPr>
          <w:rFonts w:ascii="Times New Roman" w:hAnsi="Times New Roman" w:eastAsia="仿宋_GB2312"/>
          <w:color w:val="000000"/>
          <w:kern w:val="0"/>
          <w:sz w:val="28"/>
          <w:szCs w:val="28"/>
          <w:highlight w:val="none"/>
        </w:rPr>
        <w:t>：</w:t>
      </w:r>
      <w:r>
        <w:rPr>
          <w:rFonts w:ascii="Times New Roman" w:hAnsi="Times New Roman" w:eastAsia="仿宋_GB2312"/>
          <w:color w:val="000000"/>
          <w:kern w:val="0"/>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657" w:name="_Toc351203649"/>
      <w:r>
        <w:rPr>
          <w:rFonts w:ascii="Times New Roman" w:hAnsi="Times New Roman"/>
          <w:b/>
          <w:color w:val="000000"/>
          <w:sz w:val="28"/>
          <w:szCs w:val="28"/>
          <w:highlight w:val="none"/>
        </w:rPr>
        <w:t>17. 不可抗力</w:t>
      </w:r>
      <w:bookmarkEnd w:id="657"/>
      <w:r>
        <w:rPr>
          <w:rFonts w:ascii="Times New Roman" w:hAnsi="Times New Roman"/>
          <w:b/>
          <w:color w:val="000000"/>
          <w:sz w:val="28"/>
          <w:szCs w:val="28"/>
          <w:highlight w:val="none"/>
        </w:rPr>
        <w:t xml:space="preserve"> </w:t>
      </w:r>
      <w:bookmarkEnd w:id="654"/>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17.1 不可抗力的确认</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u w:val="single"/>
        </w:rPr>
      </w:pPr>
      <w:r>
        <w:rPr>
          <w:rFonts w:ascii="Times New Roman" w:hAnsi="Times New Roman" w:eastAsia="仿宋_GB2312"/>
          <w:color w:val="000000"/>
          <w:sz w:val="28"/>
          <w:szCs w:val="28"/>
          <w:highlight w:val="none"/>
        </w:rPr>
        <w:t xml:space="preserve">除通用合同条款约定的不可抗力事件之外，视为不可抗力的其他情形： </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17.4 因不可抗力解除合同</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合同解除后，发包人应在商定或确定发包人应支付款项后</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天内完成款项的支付。</w:t>
      </w:r>
    </w:p>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658" w:name="_Toc351203650"/>
      <w:r>
        <w:rPr>
          <w:rFonts w:ascii="Times New Roman" w:hAnsi="Times New Roman"/>
          <w:b/>
          <w:color w:val="000000"/>
          <w:sz w:val="28"/>
          <w:szCs w:val="28"/>
          <w:highlight w:val="none"/>
        </w:rPr>
        <w:t>18. 保险</w:t>
      </w:r>
      <w:bookmarkEnd w:id="658"/>
    </w:p>
    <w:bookmarkEnd w:id="655"/>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18.1 工程保险</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关于工程保险的特别约定：</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18.3 其他保险</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sz w:val="28"/>
          <w:szCs w:val="28"/>
          <w:highlight w:val="none"/>
        </w:rPr>
        <w:t>关于其他保险的约定：</w:t>
      </w:r>
      <w:r>
        <w:rPr>
          <w:rFonts w:ascii="Times New Roman" w:hAnsi="Times New Roman" w:eastAsia="仿宋_GB2312"/>
          <w:color w:val="000000"/>
          <w:kern w:val="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kern w:val="0"/>
          <w:sz w:val="28"/>
          <w:szCs w:val="28"/>
          <w:highlight w:val="none"/>
        </w:rPr>
      </w:pPr>
      <w:r>
        <w:rPr>
          <w:rFonts w:ascii="Times New Roman" w:hAnsi="Times New Roman" w:eastAsia="仿宋_GB2312"/>
          <w:color w:val="000000"/>
          <w:sz w:val="28"/>
          <w:szCs w:val="28"/>
          <w:highlight w:val="none"/>
        </w:rPr>
        <w:t>承包人是否应为其施工设备等办理财产保险：</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18.7 通知义务</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kern w:val="0"/>
          <w:sz w:val="28"/>
          <w:szCs w:val="28"/>
          <w:highlight w:val="none"/>
        </w:rPr>
        <w:t>关于变更保险合同时的通知义务的约定：</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bookmarkEnd w:id="631"/>
    <w:bookmarkEnd w:id="632"/>
    <w:bookmarkEnd w:id="633"/>
    <w:bookmarkEnd w:id="634"/>
    <w:bookmarkEnd w:id="635"/>
    <w:bookmarkEnd w:id="636"/>
    <w:bookmarkEnd w:id="637"/>
    <w:bookmarkEnd w:id="638"/>
    <w:bookmarkEnd w:id="639"/>
    <w:bookmarkEnd w:id="640"/>
    <w:bookmarkEnd w:id="641"/>
    <w:bookmarkEnd w:id="642"/>
    <w:p>
      <w:pPr>
        <w:pStyle w:val="5"/>
        <w:pageBreakBefore w:val="0"/>
        <w:kinsoku/>
        <w:wordWrap/>
        <w:overflowPunct/>
        <w:topLinePunct w:val="0"/>
        <w:bidi w:val="0"/>
        <w:snapToGrid/>
        <w:spacing w:before="120" w:after="120" w:line="440" w:lineRule="exact"/>
        <w:textAlignment w:val="auto"/>
        <w:rPr>
          <w:rFonts w:ascii="Times New Roman" w:hAnsi="Times New Roman"/>
          <w:b/>
          <w:color w:val="000000"/>
          <w:sz w:val="28"/>
          <w:szCs w:val="28"/>
          <w:highlight w:val="none"/>
        </w:rPr>
      </w:pPr>
      <w:bookmarkStart w:id="659" w:name="_Toc351203651"/>
      <w:r>
        <w:rPr>
          <w:rFonts w:ascii="Times New Roman" w:hAnsi="Times New Roman"/>
          <w:b/>
          <w:color w:val="000000"/>
          <w:sz w:val="28"/>
          <w:szCs w:val="28"/>
          <w:highlight w:val="none"/>
        </w:rPr>
        <w:t>20. 争议解决</w:t>
      </w:r>
      <w:bookmarkEnd w:id="659"/>
    </w:p>
    <w:bookmarkEnd w:id="643"/>
    <w:bookmarkEnd w:id="644"/>
    <w:p>
      <w:pPr>
        <w:pageBreakBefore w:val="0"/>
        <w:kinsoku/>
        <w:wordWrap/>
        <w:overflowPunct/>
        <w:topLinePunct w:val="0"/>
        <w:bidi w:val="0"/>
        <w:snapToGrid/>
        <w:spacing w:after="120"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20.3 争</w:t>
      </w:r>
      <w:bookmarkEnd w:id="645"/>
      <w:r>
        <w:rPr>
          <w:rFonts w:ascii="Times New Roman" w:hAnsi="Times New Roman" w:eastAsia="黑体"/>
          <w:color w:val="000000"/>
          <w:sz w:val="28"/>
          <w:szCs w:val="28"/>
          <w:highlight w:val="none"/>
        </w:rPr>
        <w:t>议评审</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合同当事人是否同意将工程争议提交争议评审小组决</w:t>
      </w:r>
      <w:r>
        <w:rPr>
          <w:rFonts w:hint="eastAsia" w:ascii="Times New Roman" w:hAnsi="Times New Roman" w:eastAsia="仿宋_GB2312"/>
          <w:color w:val="000000"/>
          <w:sz w:val="28"/>
          <w:szCs w:val="28"/>
          <w:highlight w:val="none"/>
        </w:rPr>
        <w:t>定：</w:t>
      </w:r>
      <w:r>
        <w:rPr>
          <w:rFonts w:hint="eastAsia"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rPr>
        <w:t xml:space="preserve">。  </w:t>
      </w:r>
    </w:p>
    <w:p>
      <w:pPr>
        <w:pageBreakBefore w:val="0"/>
        <w:kinsoku/>
        <w:wordWrap/>
        <w:overflowPunct/>
        <w:topLinePunct w:val="0"/>
        <w:bidi w:val="0"/>
        <w:snapToGrid/>
        <w:spacing w:line="440" w:lineRule="exact"/>
        <w:ind w:firstLine="560" w:firstLineChars="200"/>
        <w:jc w:val="left"/>
        <w:textAlignment w:val="auto"/>
        <w:outlineLvl w:val="0"/>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20.3.1 争议评审小组的确定</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u w:val="single"/>
        </w:rPr>
      </w:pPr>
      <w:r>
        <w:rPr>
          <w:rFonts w:ascii="Times New Roman" w:hAnsi="Times New Roman" w:eastAsia="仿宋_GB2312"/>
          <w:color w:val="000000"/>
          <w:sz w:val="28"/>
          <w:szCs w:val="28"/>
          <w:highlight w:val="none"/>
        </w:rPr>
        <w:t>争议评审小组成员的确定：</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选定争议评审员的期限：</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争议评审小组成员的报酬承担方式：</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其他事项的约定：</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autoSpaceDE w:val="0"/>
        <w:autoSpaceDN w:val="0"/>
        <w:bidi w:val="0"/>
        <w:adjustRightInd w:val="0"/>
        <w:snapToGrid/>
        <w:spacing w:line="440" w:lineRule="exact"/>
        <w:ind w:firstLine="560" w:firstLineChars="200"/>
        <w:jc w:val="left"/>
        <w:textAlignment w:val="auto"/>
        <w:outlineLvl w:val="0"/>
        <w:rPr>
          <w:rFonts w:ascii="Times New Roman" w:hAnsi="Times New Roman" w:eastAsia="仿宋_GB2312"/>
          <w:color w:val="000000"/>
          <w:kern w:val="0"/>
          <w:sz w:val="28"/>
          <w:szCs w:val="28"/>
          <w:highlight w:val="none"/>
        </w:rPr>
      </w:pPr>
      <w:r>
        <w:rPr>
          <w:rFonts w:ascii="Times New Roman" w:hAnsi="Times New Roman" w:eastAsia="仿宋_GB2312"/>
          <w:color w:val="000000"/>
          <w:kern w:val="0"/>
          <w:sz w:val="28"/>
          <w:szCs w:val="28"/>
          <w:highlight w:val="none"/>
        </w:rPr>
        <w:t>20.3.2 争议评审小组的决定</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合同当事人关于本项的约定：</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sz w:val="28"/>
          <w:szCs w:val="28"/>
          <w:highlight w:val="none"/>
          <w:u w:val="single"/>
        </w:rPr>
        <w:t xml:space="preserve">   </w:t>
      </w:r>
      <w:r>
        <w:rPr>
          <w:rFonts w:hint="eastAsia" w:ascii="Times New Roman" w:hAnsi="Times New Roman" w:eastAsia="仿宋_GB2312"/>
          <w:sz w:val="28"/>
          <w:szCs w:val="28"/>
          <w:highlight w:val="none"/>
          <w:u w:val="single"/>
          <w:lang w:val="en-US" w:eastAsia="zh-CN"/>
        </w:rPr>
        <w:t xml:space="preserve">            </w:t>
      </w:r>
      <w:r>
        <w:rPr>
          <w:rFonts w:ascii="Times New Roman" w:hAnsi="Times New Roman" w:eastAsia="仿宋_GB2312"/>
          <w:sz w:val="28"/>
          <w:szCs w:val="28"/>
          <w:highlight w:val="none"/>
          <w:u w:val="single"/>
        </w:rPr>
        <w:t xml:space="preserve">  </w:t>
      </w:r>
      <w:r>
        <w:rPr>
          <w:rFonts w:ascii="Times New Roman" w:hAnsi="Times New Roman" w:eastAsia="仿宋_GB2312"/>
          <w:sz w:val="28"/>
          <w:szCs w:val="28"/>
          <w:highlight w:val="none"/>
        </w:rPr>
        <w:t>。</w:t>
      </w:r>
    </w:p>
    <w:p>
      <w:pPr>
        <w:pageBreakBefore w:val="0"/>
        <w:kinsoku/>
        <w:wordWrap/>
        <w:overflowPunct/>
        <w:topLinePunct w:val="0"/>
        <w:bidi w:val="0"/>
        <w:snapToGrid/>
        <w:spacing w:after="120" w:line="440" w:lineRule="exact"/>
        <w:ind w:firstLine="560" w:firstLineChars="200"/>
        <w:textAlignment w:val="auto"/>
        <w:outlineLvl w:val="0"/>
        <w:rPr>
          <w:rFonts w:hint="eastAsia" w:ascii="Times New Roman" w:hAnsi="Times New Roman" w:eastAsia="黑体"/>
          <w:color w:val="000000"/>
          <w:sz w:val="28"/>
          <w:szCs w:val="28"/>
          <w:highlight w:val="none"/>
        </w:rPr>
      </w:pPr>
      <w:r>
        <w:rPr>
          <w:rFonts w:ascii="Times New Roman" w:hAnsi="Times New Roman" w:eastAsia="黑体"/>
          <w:color w:val="000000"/>
          <w:sz w:val="28"/>
          <w:szCs w:val="28"/>
          <w:highlight w:val="none"/>
        </w:rPr>
        <w:t>20.4仲裁或诉讼</w:t>
      </w:r>
      <w:bookmarkEnd w:id="646"/>
    </w:p>
    <w:p>
      <w:pPr>
        <w:pageBreakBefore w:val="0"/>
        <w:kinsoku/>
        <w:wordWrap/>
        <w:overflowPunct/>
        <w:topLinePunct w:val="0"/>
        <w:bidi w:val="0"/>
        <w:snapToGrid/>
        <w:spacing w:after="120" w:line="440" w:lineRule="exact"/>
        <w:ind w:firstLine="560" w:firstLineChars="200"/>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因合同及合同有关事项发生的争议，按下列第</w:t>
      </w:r>
      <w:r>
        <w:rPr>
          <w:rFonts w:hint="eastAsia" w:ascii="仿宋_GB2312" w:hAnsi="仿宋_GB2312" w:eastAsia="仿宋_GB2312" w:cs="仿宋_GB2312"/>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rPr>
        <w:t>种方式解决：</w:t>
      </w:r>
    </w:p>
    <w:p>
      <w:pPr>
        <w:pageBreakBefore w:val="0"/>
        <w:kinsoku/>
        <w:wordWrap/>
        <w:overflowPunct/>
        <w:topLinePunct w:val="0"/>
        <w:bidi w:val="0"/>
        <w:snapToGrid/>
        <w:spacing w:line="440" w:lineRule="exact"/>
        <w:ind w:firstLine="560" w:firstLineChars="200"/>
        <w:jc w:val="lef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（1）向</w:t>
      </w:r>
      <w:r>
        <w:rPr>
          <w:rFonts w:hint="eastAsia" w:ascii="仿宋_GB2312" w:hAnsi="仿宋_GB2312" w:eastAsia="仿宋_GB2312" w:cs="仿宋_GB2312"/>
          <w:b w:val="0"/>
          <w:bCs w:val="0"/>
          <w:color w:val="000000"/>
          <w:sz w:val="28"/>
          <w:szCs w:val="28"/>
          <w:highlight w:val="none"/>
          <w:u w:val="single"/>
        </w:rPr>
        <w:t xml:space="preserve">     </w:t>
      </w:r>
      <w:r>
        <w:rPr>
          <w:rFonts w:hint="eastAsia" w:ascii="仿宋_GB2312" w:hAnsi="仿宋_GB2312" w:eastAsia="仿宋_GB2312" w:cs="仿宋_GB2312"/>
          <w:b w:val="0"/>
          <w:bCs w:val="0"/>
          <w:color w:val="000000"/>
          <w:sz w:val="28"/>
          <w:szCs w:val="28"/>
          <w:highlight w:val="none"/>
          <w:u w:val="single"/>
          <w:lang w:val="en-US" w:eastAsia="zh-CN"/>
        </w:rPr>
        <w:t xml:space="preserve">    </w:t>
      </w:r>
      <w:r>
        <w:rPr>
          <w:rFonts w:hint="eastAsia" w:ascii="仿宋_GB2312" w:hAnsi="仿宋_GB2312" w:eastAsia="仿宋_GB2312" w:cs="仿宋_GB2312"/>
          <w:b w:val="0"/>
          <w:bCs w:val="0"/>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rPr>
        <w:t>仲裁委员会申请仲裁；</w:t>
      </w:r>
    </w:p>
    <w:p>
      <w:pPr>
        <w:pageBreakBefore w:val="0"/>
        <w:kinsoku/>
        <w:wordWrap/>
        <w:overflowPunct/>
        <w:topLinePunct w:val="0"/>
        <w:bidi w:val="0"/>
        <w:snapToGrid/>
        <w:spacing w:line="440" w:lineRule="exact"/>
        <w:ind w:firstLine="560" w:firstLineChars="200"/>
        <w:jc w:val="lef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（2）向</w:t>
      </w:r>
      <w:r>
        <w:rPr>
          <w:rFonts w:hint="eastAsia" w:ascii="仿宋_GB2312" w:hAnsi="仿宋_GB2312" w:eastAsia="仿宋_GB2312" w:cs="仿宋_GB2312"/>
          <w:b w:val="0"/>
          <w:bCs w:val="0"/>
          <w:color w:val="000000"/>
          <w:sz w:val="28"/>
          <w:szCs w:val="28"/>
          <w:highlight w:val="none"/>
          <w:u w:val="single"/>
        </w:rPr>
        <w:t xml:space="preserve">       </w:t>
      </w:r>
      <w:r>
        <w:rPr>
          <w:rFonts w:hint="eastAsia" w:ascii="仿宋_GB2312" w:hAnsi="仿宋_GB2312" w:eastAsia="仿宋_GB2312" w:cs="仿宋_GB2312"/>
          <w:b w:val="0"/>
          <w:bCs w:val="0"/>
          <w:color w:val="000000"/>
          <w:sz w:val="28"/>
          <w:szCs w:val="28"/>
          <w:highlight w:val="none"/>
          <w:u w:val="single"/>
          <w:lang w:val="en-US" w:eastAsia="zh-CN"/>
        </w:rPr>
        <w:t xml:space="preserve">     </w:t>
      </w:r>
      <w:r>
        <w:rPr>
          <w:rFonts w:hint="eastAsia" w:ascii="仿宋_GB2312" w:hAnsi="仿宋_GB2312" w:eastAsia="仿宋_GB2312" w:cs="仿宋_GB2312"/>
          <w:b w:val="0"/>
          <w:bCs w:val="0"/>
          <w:color w:val="000000"/>
          <w:sz w:val="28"/>
          <w:szCs w:val="28"/>
          <w:highlight w:val="none"/>
          <w:u w:val="single"/>
        </w:rPr>
        <w:t xml:space="preserve">    </w:t>
      </w:r>
      <w:r>
        <w:rPr>
          <w:rFonts w:hint="eastAsia" w:ascii="仿宋_GB2312" w:hAnsi="仿宋_GB2312" w:eastAsia="仿宋_GB2312" w:cs="仿宋_GB2312"/>
          <w:b w:val="0"/>
          <w:bCs w:val="0"/>
          <w:color w:val="000000"/>
          <w:sz w:val="28"/>
          <w:szCs w:val="28"/>
          <w:highlight w:val="none"/>
        </w:rPr>
        <w:t>人</w:t>
      </w:r>
      <w:r>
        <w:rPr>
          <w:rFonts w:hint="eastAsia" w:ascii="仿宋_GB2312" w:hAnsi="仿宋_GB2312" w:eastAsia="仿宋_GB2312" w:cs="仿宋_GB2312"/>
          <w:color w:val="000000"/>
          <w:sz w:val="28"/>
          <w:szCs w:val="28"/>
          <w:highlight w:val="none"/>
        </w:rPr>
        <w:t>民法院起诉。</w:t>
      </w:r>
      <w:bookmarkEnd w:id="647"/>
      <w:bookmarkEnd w:id="648"/>
      <w:bookmarkEnd w:id="649"/>
      <w:bookmarkEnd w:id="650"/>
      <w:bookmarkEnd w:id="651"/>
      <w:bookmarkEnd w:id="652"/>
    </w:p>
    <w:p>
      <w:pPr>
        <w:pageBreakBefore w:val="0"/>
        <w:kinsoku/>
        <w:wordWrap/>
        <w:overflowPunct/>
        <w:topLinePunct w:val="0"/>
        <w:bidi w:val="0"/>
        <w:snapToGrid/>
        <w:spacing w:line="440" w:lineRule="exact"/>
        <w:jc w:val="left"/>
        <w:textAlignment w:val="auto"/>
        <w:rPr>
          <w:rFonts w:ascii="Times New Roman" w:hAnsi="Times New Roman" w:eastAsia="黑体"/>
          <w:b/>
          <w:color w:val="000000"/>
          <w:sz w:val="28"/>
          <w:szCs w:val="28"/>
          <w:highlight w:val="none"/>
        </w:rPr>
      </w:pPr>
      <w:r>
        <w:rPr>
          <w:rFonts w:ascii="Times New Roman" w:hAnsi="Times New Roman" w:eastAsia="仿宋_GB2312"/>
          <w:color w:val="000000"/>
          <w:sz w:val="28"/>
          <w:szCs w:val="28"/>
          <w:highlight w:val="none"/>
        </w:rPr>
        <w:br w:type="page"/>
      </w:r>
      <w:bookmarkStart w:id="660" w:name="_Toc351203652"/>
      <w:r>
        <w:rPr>
          <w:rFonts w:ascii="Times New Roman" w:hAnsi="Times New Roman" w:eastAsia="黑体"/>
          <w:b/>
          <w:color w:val="000000"/>
          <w:sz w:val="28"/>
          <w:szCs w:val="28"/>
          <w:highlight w:val="none"/>
        </w:rPr>
        <w:t>附件</w:t>
      </w:r>
      <w:bookmarkEnd w:id="660"/>
    </w:p>
    <w:p>
      <w:pPr>
        <w:pageBreakBefore w:val="0"/>
        <w:kinsoku/>
        <w:wordWrap/>
        <w:overflowPunct/>
        <w:topLinePunct w:val="0"/>
        <w:bidi w:val="0"/>
        <w:snapToGrid/>
        <w:spacing w:line="440" w:lineRule="exact"/>
        <w:jc w:val="lef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协议书附件：</w:t>
      </w:r>
    </w:p>
    <w:p>
      <w:pPr>
        <w:pageBreakBefore w:val="0"/>
        <w:kinsoku/>
        <w:wordWrap/>
        <w:overflowPunct/>
        <w:topLinePunct w:val="0"/>
        <w:bidi w:val="0"/>
        <w:snapToGrid/>
        <w:spacing w:line="440" w:lineRule="exact"/>
        <w:jc w:val="lef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附件1：承包人承揽工程项目一览表</w:t>
      </w:r>
    </w:p>
    <w:p>
      <w:pPr>
        <w:pageBreakBefore w:val="0"/>
        <w:kinsoku/>
        <w:wordWrap/>
        <w:overflowPunct/>
        <w:topLinePunct w:val="0"/>
        <w:bidi w:val="0"/>
        <w:snapToGrid/>
        <w:spacing w:line="440" w:lineRule="exact"/>
        <w:jc w:val="lef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专用合同条款附件：</w:t>
      </w:r>
    </w:p>
    <w:p>
      <w:pPr>
        <w:pageBreakBefore w:val="0"/>
        <w:kinsoku/>
        <w:wordWrap/>
        <w:overflowPunct/>
        <w:topLinePunct w:val="0"/>
        <w:bidi w:val="0"/>
        <w:snapToGrid/>
        <w:spacing w:line="440" w:lineRule="exact"/>
        <w:jc w:val="lef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附件2：发包人供应材料设备一览表</w:t>
      </w:r>
    </w:p>
    <w:p>
      <w:pPr>
        <w:pageBreakBefore w:val="0"/>
        <w:kinsoku/>
        <w:wordWrap/>
        <w:overflowPunct/>
        <w:topLinePunct w:val="0"/>
        <w:bidi w:val="0"/>
        <w:snapToGrid/>
        <w:spacing w:line="440" w:lineRule="exact"/>
        <w:jc w:val="lef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附件3：工程质量保修书</w:t>
      </w:r>
    </w:p>
    <w:p>
      <w:pPr>
        <w:pageBreakBefore w:val="0"/>
        <w:kinsoku/>
        <w:wordWrap/>
        <w:overflowPunct/>
        <w:topLinePunct w:val="0"/>
        <w:bidi w:val="0"/>
        <w:snapToGrid/>
        <w:spacing w:line="440" w:lineRule="exact"/>
        <w:jc w:val="lef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附件4：主要建设工程文件目录</w:t>
      </w:r>
    </w:p>
    <w:p>
      <w:pPr>
        <w:pageBreakBefore w:val="0"/>
        <w:kinsoku/>
        <w:wordWrap/>
        <w:overflowPunct/>
        <w:topLinePunct w:val="0"/>
        <w:bidi w:val="0"/>
        <w:snapToGrid/>
        <w:spacing w:line="440" w:lineRule="exact"/>
        <w:jc w:val="lef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附件5：承包人用于本工程施工的机械设备表</w:t>
      </w:r>
    </w:p>
    <w:p>
      <w:pPr>
        <w:pageBreakBefore w:val="0"/>
        <w:kinsoku/>
        <w:wordWrap/>
        <w:overflowPunct/>
        <w:topLinePunct w:val="0"/>
        <w:bidi w:val="0"/>
        <w:snapToGrid/>
        <w:spacing w:line="440" w:lineRule="exact"/>
        <w:jc w:val="lef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附件6：承包人主要施工管理人员表</w:t>
      </w:r>
    </w:p>
    <w:p>
      <w:pPr>
        <w:pageBreakBefore w:val="0"/>
        <w:kinsoku/>
        <w:wordWrap/>
        <w:overflowPunct/>
        <w:topLinePunct w:val="0"/>
        <w:bidi w:val="0"/>
        <w:snapToGrid/>
        <w:spacing w:line="440" w:lineRule="exact"/>
        <w:jc w:val="lef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附件7：履约担保格式</w:t>
      </w:r>
    </w:p>
    <w:p>
      <w:pPr>
        <w:pageBreakBefore w:val="0"/>
        <w:kinsoku/>
        <w:wordWrap/>
        <w:overflowPunct/>
        <w:topLinePunct w:val="0"/>
        <w:bidi w:val="0"/>
        <w:snapToGrid/>
        <w:spacing w:line="440" w:lineRule="exact"/>
        <w:jc w:val="lef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附件</w:t>
      </w:r>
      <w:r>
        <w:rPr>
          <w:rFonts w:hint="eastAsia" w:ascii="仿宋_GB2312" w:hAnsi="仿宋_GB2312" w:eastAsia="仿宋_GB2312" w:cs="仿宋_GB2312"/>
          <w:color w:val="000000"/>
          <w:sz w:val="28"/>
          <w:szCs w:val="28"/>
          <w:highlight w:val="none"/>
          <w:lang w:val="en-US" w:eastAsia="zh-CN"/>
        </w:rPr>
        <w:t>8：</w:t>
      </w:r>
      <w:r>
        <w:rPr>
          <w:rFonts w:hint="eastAsia" w:ascii="仿宋_GB2312" w:hAnsi="仿宋_GB2312" w:eastAsia="仿宋_GB2312" w:cs="仿宋_GB2312"/>
          <w:color w:val="000000"/>
          <w:sz w:val="28"/>
          <w:szCs w:val="28"/>
          <w:highlight w:val="none"/>
        </w:rPr>
        <w:t>支付担保格式</w:t>
      </w:r>
    </w:p>
    <w:p>
      <w:pPr>
        <w:pageBreakBefore w:val="0"/>
        <w:kinsoku/>
        <w:wordWrap/>
        <w:overflowPunct/>
        <w:topLinePunct w:val="0"/>
        <w:bidi w:val="0"/>
        <w:snapToGrid/>
        <w:spacing w:line="440" w:lineRule="exact"/>
        <w:jc w:val="left"/>
        <w:textAlignment w:val="auto"/>
        <w:rPr>
          <w:rFonts w:hint="eastAsia" w:ascii="仿宋_GB2312" w:hAnsi="仿宋_GB2312" w:eastAsia="仿宋_GB2312" w:cs="仿宋_GB2312"/>
          <w:color w:val="000000"/>
          <w:sz w:val="28"/>
          <w:szCs w:val="28"/>
          <w:highlight w:val="none"/>
        </w:rPr>
        <w:sectPr>
          <w:pgSz w:w="11906" w:h="16838"/>
          <w:pgMar w:top="1418" w:right="1555" w:bottom="1418" w:left="1531" w:header="851" w:footer="992" w:gutter="0"/>
          <w:pgNumType w:fmt="decimal"/>
          <w:cols w:space="720" w:num="1"/>
          <w:titlePg/>
          <w:docGrid w:type="lines" w:linePitch="312" w:charSpace="0"/>
        </w:sectPr>
      </w:pPr>
      <w:r>
        <w:rPr>
          <w:rFonts w:hint="eastAsia" w:ascii="仿宋_GB2312" w:hAnsi="仿宋_GB2312" w:eastAsia="仿宋_GB2312" w:cs="仿宋_GB2312"/>
          <w:color w:val="000000"/>
          <w:sz w:val="28"/>
          <w:szCs w:val="28"/>
          <w:highlight w:val="none"/>
        </w:rPr>
        <w:t>附件</w:t>
      </w:r>
      <w:r>
        <w:rPr>
          <w:rFonts w:hint="eastAsia" w:ascii="仿宋_GB2312" w:hAnsi="仿宋_GB2312" w:eastAsia="仿宋_GB2312" w:cs="仿宋_GB2312"/>
          <w:color w:val="000000"/>
          <w:sz w:val="28"/>
          <w:szCs w:val="28"/>
          <w:highlight w:val="none"/>
          <w:lang w:val="en-US" w:eastAsia="zh-CN"/>
        </w:rPr>
        <w:t>9</w:t>
      </w:r>
      <w:r>
        <w:rPr>
          <w:rFonts w:hint="eastAsia" w:ascii="仿宋_GB2312" w:hAnsi="仿宋_GB2312" w:eastAsia="仿宋_GB2312" w:cs="仿宋_GB2312"/>
          <w:color w:val="000000"/>
          <w:sz w:val="28"/>
          <w:szCs w:val="28"/>
          <w:highlight w:val="none"/>
        </w:rPr>
        <w:t>：暂估价一览表</w:t>
      </w:r>
    </w:p>
    <w:p>
      <w:pPr>
        <w:pageBreakBefore w:val="0"/>
        <w:kinsoku/>
        <w:wordWrap/>
        <w:overflowPunct/>
        <w:topLinePunct w:val="0"/>
        <w:bidi w:val="0"/>
        <w:snapToGrid/>
        <w:spacing w:before="156" w:beforeLines="50" w:after="156" w:afterLines="50" w:line="440" w:lineRule="exact"/>
        <w:jc w:val="left"/>
        <w:textAlignment w:val="auto"/>
        <w:rPr>
          <w:rFonts w:hint="eastAsia" w:ascii="仿宋_GB2312" w:hAnsi="Times New Roman" w:eastAsia="仿宋_GB2312"/>
          <w:color w:val="000000"/>
          <w:sz w:val="28"/>
          <w:szCs w:val="28"/>
          <w:highlight w:val="none"/>
        </w:rPr>
      </w:pPr>
      <w:r>
        <w:rPr>
          <w:rFonts w:hint="eastAsia" w:ascii="仿宋_GB2312" w:hAnsi="Times New Roman" w:eastAsia="仿宋_GB2312"/>
          <w:color w:val="000000"/>
          <w:sz w:val="28"/>
          <w:szCs w:val="28"/>
          <w:highlight w:val="none"/>
        </w:rPr>
        <w:t>附件1：</w:t>
      </w:r>
    </w:p>
    <w:p>
      <w:pPr>
        <w:pageBreakBefore w:val="0"/>
        <w:kinsoku/>
        <w:wordWrap/>
        <w:overflowPunct/>
        <w:topLinePunct w:val="0"/>
        <w:bidi w:val="0"/>
        <w:snapToGrid/>
        <w:spacing w:before="156" w:beforeLines="50" w:after="156" w:afterLines="50" w:line="440" w:lineRule="exact"/>
        <w:jc w:val="center"/>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承包人承揽工程项目一览表</w:t>
      </w:r>
    </w:p>
    <w:p>
      <w:pPr>
        <w:pStyle w:val="18"/>
        <w:rPr>
          <w:rFonts w:ascii="Times New Roman" w:hAnsi="Times New Roman" w:eastAsia="黑体"/>
          <w:color w:val="000000"/>
          <w:sz w:val="28"/>
          <w:szCs w:val="28"/>
          <w:highlight w:val="none"/>
        </w:rPr>
      </w:pPr>
    </w:p>
    <w:tbl>
      <w:tblPr>
        <w:tblStyle w:val="25"/>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327"/>
        <w:gridCol w:w="1595"/>
        <w:gridCol w:w="1337"/>
        <w:gridCol w:w="1309"/>
        <w:gridCol w:w="763"/>
        <w:gridCol w:w="1378"/>
        <w:gridCol w:w="1486"/>
        <w:gridCol w:w="1323"/>
        <w:gridCol w:w="1500"/>
        <w:gridCol w:w="158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2327"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right="63" w:firstLine="280" w:firstLineChars="100"/>
              <w:textAlignment w:val="auto"/>
              <w:rPr>
                <w:rFonts w:eastAsia="仿宋_GB2312"/>
                <w:color w:val="000000"/>
                <w:sz w:val="28"/>
                <w:szCs w:val="28"/>
                <w:highlight w:val="none"/>
              </w:rPr>
            </w:pPr>
            <w:r>
              <w:rPr>
                <w:rFonts w:eastAsia="仿宋_GB2312"/>
                <w:color w:val="000000"/>
                <w:sz w:val="28"/>
                <w:szCs w:val="28"/>
                <w:highlight w:val="none"/>
              </w:rPr>
              <w:t>单位工程名称</w:t>
            </w:r>
          </w:p>
        </w:tc>
        <w:tc>
          <w:tcPr>
            <w:tcW w:w="1595"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right="63" w:firstLine="280" w:firstLineChars="100"/>
              <w:textAlignment w:val="auto"/>
              <w:rPr>
                <w:rFonts w:eastAsia="仿宋_GB2312"/>
                <w:color w:val="000000"/>
                <w:sz w:val="28"/>
                <w:szCs w:val="28"/>
                <w:highlight w:val="none"/>
              </w:rPr>
            </w:pPr>
            <w:r>
              <w:rPr>
                <w:rFonts w:eastAsia="仿宋_GB2312"/>
                <w:color w:val="000000"/>
                <w:sz w:val="28"/>
                <w:szCs w:val="28"/>
                <w:highlight w:val="none"/>
              </w:rPr>
              <w:t>建设规模</w:t>
            </w:r>
          </w:p>
        </w:tc>
        <w:tc>
          <w:tcPr>
            <w:tcW w:w="1337"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建筑面积(平方米)</w:t>
            </w:r>
          </w:p>
        </w:tc>
        <w:tc>
          <w:tcPr>
            <w:tcW w:w="1309"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right="63"/>
              <w:textAlignment w:val="auto"/>
              <w:rPr>
                <w:rFonts w:eastAsia="仿宋_GB2312"/>
                <w:color w:val="000000"/>
                <w:sz w:val="28"/>
                <w:szCs w:val="28"/>
                <w:highlight w:val="none"/>
              </w:rPr>
            </w:pPr>
            <w:r>
              <w:rPr>
                <w:rFonts w:eastAsia="仿宋_GB2312"/>
                <w:color w:val="000000"/>
                <w:sz w:val="28"/>
                <w:szCs w:val="28"/>
                <w:highlight w:val="none"/>
              </w:rPr>
              <w:t>结构</w:t>
            </w:r>
            <w:r>
              <w:rPr>
                <w:rFonts w:hint="eastAsia" w:eastAsia="仿宋_GB2312"/>
                <w:color w:val="000000"/>
                <w:sz w:val="28"/>
                <w:szCs w:val="28"/>
                <w:highlight w:val="none"/>
              </w:rPr>
              <w:t>形式</w:t>
            </w:r>
          </w:p>
        </w:tc>
        <w:tc>
          <w:tcPr>
            <w:tcW w:w="763"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层数</w:t>
            </w:r>
          </w:p>
        </w:tc>
        <w:tc>
          <w:tcPr>
            <w:tcW w:w="1378"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生产能力</w:t>
            </w:r>
          </w:p>
        </w:tc>
        <w:tc>
          <w:tcPr>
            <w:tcW w:w="1486"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设备安装内容</w:t>
            </w:r>
          </w:p>
        </w:tc>
        <w:tc>
          <w:tcPr>
            <w:tcW w:w="1323"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合同价格（元）</w:t>
            </w:r>
          </w:p>
        </w:tc>
        <w:tc>
          <w:tcPr>
            <w:tcW w:w="1500"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开工日期</w:t>
            </w:r>
          </w:p>
        </w:tc>
        <w:tc>
          <w:tcPr>
            <w:tcW w:w="1583"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327"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8"/>
                <w:szCs w:val="28"/>
                <w:highlight w:val="none"/>
                <w:lang w:eastAsia="zh-CN"/>
              </w:rPr>
            </w:pPr>
          </w:p>
        </w:tc>
        <w:tc>
          <w:tcPr>
            <w:tcW w:w="1595"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hint="default" w:eastAsia="仿宋_GB2312"/>
                <w:color w:val="000000"/>
                <w:sz w:val="28"/>
                <w:szCs w:val="28"/>
                <w:highlight w:val="none"/>
                <w:lang w:val="en-US" w:eastAsia="zh-CN"/>
              </w:rPr>
            </w:pPr>
          </w:p>
        </w:tc>
        <w:tc>
          <w:tcPr>
            <w:tcW w:w="1337"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8"/>
                <w:szCs w:val="28"/>
                <w:highlight w:val="none"/>
                <w:lang w:eastAsia="zh-CN"/>
              </w:rPr>
            </w:pPr>
          </w:p>
        </w:tc>
        <w:tc>
          <w:tcPr>
            <w:tcW w:w="1309"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firstLine="280" w:firstLineChars="100"/>
              <w:textAlignment w:val="auto"/>
              <w:rPr>
                <w:rFonts w:hint="eastAsia" w:eastAsia="仿宋_GB2312"/>
                <w:color w:val="000000"/>
                <w:sz w:val="28"/>
                <w:szCs w:val="28"/>
                <w:highlight w:val="none"/>
                <w:lang w:eastAsia="zh-CN"/>
              </w:rPr>
            </w:pPr>
          </w:p>
        </w:tc>
        <w:tc>
          <w:tcPr>
            <w:tcW w:w="763"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8"/>
                <w:szCs w:val="28"/>
                <w:highlight w:val="none"/>
                <w:lang w:eastAsia="zh-CN"/>
              </w:rPr>
            </w:pPr>
          </w:p>
        </w:tc>
        <w:tc>
          <w:tcPr>
            <w:tcW w:w="1378"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8"/>
                <w:szCs w:val="28"/>
                <w:highlight w:val="none"/>
                <w:lang w:eastAsia="zh-CN"/>
              </w:rPr>
            </w:pPr>
          </w:p>
        </w:tc>
        <w:tc>
          <w:tcPr>
            <w:tcW w:w="1486"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8"/>
                <w:szCs w:val="28"/>
                <w:highlight w:val="none"/>
                <w:lang w:eastAsia="zh-CN"/>
              </w:rPr>
            </w:pPr>
          </w:p>
        </w:tc>
        <w:tc>
          <w:tcPr>
            <w:tcW w:w="1323"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right="63"/>
              <w:textAlignment w:val="auto"/>
              <w:rPr>
                <w:rFonts w:hint="default" w:eastAsia="仿宋_GB2312"/>
                <w:color w:val="000000"/>
                <w:sz w:val="28"/>
                <w:szCs w:val="28"/>
                <w:highlight w:val="none"/>
                <w:lang w:val="en-US" w:eastAsia="zh-CN"/>
              </w:rPr>
            </w:pPr>
          </w:p>
        </w:tc>
        <w:tc>
          <w:tcPr>
            <w:tcW w:w="1500"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hint="default" w:eastAsia="仿宋_GB2312"/>
                <w:color w:val="000000"/>
                <w:sz w:val="28"/>
                <w:szCs w:val="28"/>
                <w:highlight w:val="none"/>
                <w:lang w:val="en-US" w:eastAsia="zh-CN"/>
              </w:rPr>
            </w:pPr>
          </w:p>
        </w:tc>
        <w:tc>
          <w:tcPr>
            <w:tcW w:w="1583"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hint="default" w:eastAsia="仿宋_GB2312"/>
                <w:color w:val="000000"/>
                <w:sz w:val="28"/>
                <w:szCs w:val="28"/>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327"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95"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7"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09"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78"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6"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2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00"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8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32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95"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09"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78"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2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0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8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327"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95"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7"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09"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78"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6"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2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00"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8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327"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95"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7"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09"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78"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6"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2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00"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8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32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95"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09"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78"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2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0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8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327"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95"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7"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09"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78"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6"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2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00"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8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32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95"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09"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78"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2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0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58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bl>
    <w:p>
      <w:pPr>
        <w:pageBreakBefore w:val="0"/>
        <w:kinsoku/>
        <w:wordWrap/>
        <w:overflowPunct/>
        <w:topLinePunct w:val="0"/>
        <w:bidi w:val="0"/>
        <w:snapToGrid/>
        <w:spacing w:line="440" w:lineRule="exact"/>
        <w:textAlignment w:val="auto"/>
        <w:rPr>
          <w:rFonts w:ascii="Times New Roman" w:hAnsi="Times New Roman" w:eastAsia="仿宋_GB2312"/>
          <w:b/>
          <w:color w:val="000000"/>
          <w:sz w:val="28"/>
          <w:szCs w:val="28"/>
          <w:highlight w:val="none"/>
        </w:rPr>
        <w:sectPr>
          <w:pgSz w:w="16838" w:h="11906" w:orient="landscape"/>
          <w:pgMar w:top="1554" w:right="1418" w:bottom="1531" w:left="1418" w:header="851" w:footer="992" w:gutter="0"/>
          <w:pgNumType w:fmt="decimal"/>
          <w:cols w:space="720" w:num="1"/>
          <w:titlePg/>
          <w:docGrid w:type="linesAndChars" w:linePitch="312" w:charSpace="0"/>
        </w:sectPr>
      </w:pPr>
    </w:p>
    <w:p>
      <w:pPr>
        <w:pageBreakBefore w:val="0"/>
        <w:kinsoku/>
        <w:wordWrap/>
        <w:overflowPunct/>
        <w:topLinePunct w:val="0"/>
        <w:bidi w:val="0"/>
        <w:snapToGrid/>
        <w:spacing w:line="440" w:lineRule="exact"/>
        <w:textAlignment w:val="auto"/>
        <w:rPr>
          <w:rFonts w:ascii="Times New Roman" w:hAnsi="Times New Roman" w:eastAsia="黑体"/>
          <w:color w:val="000000"/>
          <w:sz w:val="28"/>
          <w:szCs w:val="28"/>
          <w:highlight w:val="none"/>
        </w:rPr>
      </w:pPr>
      <w:r>
        <w:rPr>
          <w:rFonts w:ascii="Times New Roman" w:hAnsi="Times New Roman" w:eastAsia="仿宋_GB2312"/>
          <w:color w:val="000000"/>
          <w:sz w:val="28"/>
          <w:szCs w:val="28"/>
          <w:highlight w:val="none"/>
        </w:rPr>
        <w:t>附</w:t>
      </w:r>
      <w:bookmarkStart w:id="661" w:name="_Toc296503225"/>
      <w:bookmarkStart w:id="662" w:name="_Toc296891053"/>
      <w:bookmarkStart w:id="663" w:name="_Toc267261692"/>
      <w:bookmarkStart w:id="664" w:name="_Toc296891265"/>
      <w:bookmarkStart w:id="665" w:name="_Toc296944564"/>
      <w:bookmarkStart w:id="666" w:name="_Toc296347224"/>
      <w:bookmarkStart w:id="667" w:name="_Toc296346726"/>
      <w:r>
        <w:rPr>
          <w:rFonts w:ascii="Times New Roman" w:hAnsi="Times New Roman" w:eastAsia="仿宋_GB2312"/>
          <w:color w:val="000000"/>
          <w:sz w:val="28"/>
          <w:szCs w:val="28"/>
          <w:highlight w:val="none"/>
        </w:rPr>
        <w:t>件2：</w:t>
      </w:r>
    </w:p>
    <w:bookmarkEnd w:id="661"/>
    <w:bookmarkEnd w:id="662"/>
    <w:bookmarkEnd w:id="663"/>
    <w:bookmarkEnd w:id="664"/>
    <w:bookmarkEnd w:id="665"/>
    <w:bookmarkEnd w:id="666"/>
    <w:bookmarkEnd w:id="667"/>
    <w:p>
      <w:pPr>
        <w:pageBreakBefore w:val="0"/>
        <w:kinsoku/>
        <w:wordWrap/>
        <w:overflowPunct/>
        <w:topLinePunct w:val="0"/>
        <w:bidi w:val="0"/>
        <w:snapToGrid/>
        <w:spacing w:before="159" w:beforeLines="50" w:after="159" w:afterLines="50" w:line="440" w:lineRule="exact"/>
        <w:jc w:val="center"/>
        <w:textAlignment w:val="auto"/>
        <w:rPr>
          <w:rFonts w:hint="eastAsia" w:ascii="Times New Roman" w:hAnsi="Times New Roman" w:eastAsia="黑体"/>
          <w:color w:val="000000"/>
          <w:sz w:val="28"/>
          <w:szCs w:val="28"/>
          <w:highlight w:val="none"/>
        </w:rPr>
      </w:pPr>
      <w:r>
        <w:rPr>
          <w:rFonts w:ascii="Times New Roman" w:hAnsi="Times New Roman" w:eastAsia="黑体"/>
          <w:color w:val="000000"/>
          <w:sz w:val="28"/>
          <w:szCs w:val="28"/>
          <w:highlight w:val="none"/>
        </w:rPr>
        <w:t>发包人供应材料设备一览表</w:t>
      </w:r>
    </w:p>
    <w:tbl>
      <w:tblPr>
        <w:tblStyle w:val="25"/>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序号</w:t>
            </w:r>
          </w:p>
        </w:tc>
        <w:tc>
          <w:tcPr>
            <w:tcW w:w="1276"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8"/>
                <w:szCs w:val="28"/>
                <w:highlight w:val="none"/>
              </w:rPr>
            </w:pPr>
            <w:r>
              <w:rPr>
                <w:rFonts w:hint="eastAsia" w:eastAsia="仿宋_GB2312"/>
                <w:color w:val="000000"/>
                <w:sz w:val="28"/>
                <w:szCs w:val="28"/>
                <w:highlight w:val="none"/>
              </w:rPr>
              <w:t xml:space="preserve">  </w:t>
            </w:r>
            <w:r>
              <w:rPr>
                <w:rFonts w:eastAsia="仿宋_GB2312"/>
                <w:color w:val="000000"/>
                <w:sz w:val="28"/>
                <w:szCs w:val="28"/>
                <w:highlight w:val="none"/>
              </w:rPr>
              <w:t>材料、</w:t>
            </w:r>
          </w:p>
          <w:p>
            <w:pPr>
              <w:pStyle w:val="10"/>
              <w:keepNext/>
              <w:pageBreakBefore w:val="0"/>
              <w:kinsoku/>
              <w:wordWrap/>
              <w:overflowPunct/>
              <w:topLinePunct w:val="0"/>
              <w:bidi w:val="0"/>
              <w:snapToGrid/>
              <w:spacing w:line="440" w:lineRule="exact"/>
              <w:ind w:right="63"/>
              <w:textAlignment w:val="auto"/>
              <w:rPr>
                <w:rFonts w:eastAsia="仿宋_GB2312"/>
                <w:color w:val="000000"/>
                <w:sz w:val="28"/>
                <w:szCs w:val="28"/>
                <w:highlight w:val="none"/>
              </w:rPr>
            </w:pPr>
            <w:r>
              <w:rPr>
                <w:rFonts w:eastAsia="仿宋_GB2312"/>
                <w:color w:val="000000"/>
                <w:sz w:val="28"/>
                <w:szCs w:val="28"/>
                <w:highlight w:val="none"/>
              </w:rPr>
              <w:t>设备品种</w:t>
            </w:r>
          </w:p>
        </w:tc>
        <w:tc>
          <w:tcPr>
            <w:tcW w:w="1418"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规格型号</w:t>
            </w:r>
          </w:p>
        </w:tc>
        <w:tc>
          <w:tcPr>
            <w:tcW w:w="940"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单位</w:t>
            </w:r>
          </w:p>
        </w:tc>
        <w:tc>
          <w:tcPr>
            <w:tcW w:w="851"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数量</w:t>
            </w:r>
          </w:p>
        </w:tc>
        <w:tc>
          <w:tcPr>
            <w:tcW w:w="1044"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单价</w:t>
            </w:r>
            <w:r>
              <w:rPr>
                <w:rFonts w:hint="eastAsia" w:eastAsia="仿宋_GB2312"/>
                <w:color w:val="000000"/>
                <w:sz w:val="28"/>
                <w:szCs w:val="28"/>
                <w:highlight w:val="none"/>
              </w:rPr>
              <w:t>（元）</w:t>
            </w:r>
          </w:p>
        </w:tc>
        <w:tc>
          <w:tcPr>
            <w:tcW w:w="992"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质量等级</w:t>
            </w:r>
          </w:p>
        </w:tc>
        <w:tc>
          <w:tcPr>
            <w:tcW w:w="851"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供应时间</w:t>
            </w:r>
          </w:p>
        </w:tc>
        <w:tc>
          <w:tcPr>
            <w:tcW w:w="1487"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送达地点</w:t>
            </w:r>
          </w:p>
        </w:tc>
        <w:tc>
          <w:tcPr>
            <w:tcW w:w="992"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18"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40"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044"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7"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18"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40"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044"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7"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18"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4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044"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18"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4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044"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18"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4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044"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18"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4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044"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18"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4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044"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18"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4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044"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276"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18"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40"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044"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87"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18"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4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044"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5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92"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276"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18"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40"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044"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87"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276"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18"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40"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044"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87"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276"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18"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40"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044"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87"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276"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18"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40"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044"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87"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276"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18"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40"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044"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87"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276"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18"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40"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044"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87"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276"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18"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40"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044"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87"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276"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18"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40"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044"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851"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1487"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c>
          <w:tcPr>
            <w:tcW w:w="992" w:type="dxa"/>
            <w:vAlign w:val="center"/>
          </w:tcPr>
          <w:p>
            <w:pPr>
              <w:pageBreakBefore w:val="0"/>
              <w:kinsoku/>
              <w:wordWrap/>
              <w:overflowPunct/>
              <w:topLinePunct w:val="0"/>
              <w:bidi w:val="0"/>
              <w:snapToGrid/>
              <w:spacing w:line="440" w:lineRule="exact"/>
              <w:jc w:val="center"/>
              <w:textAlignment w:val="auto"/>
              <w:rPr>
                <w:rFonts w:eastAsia="仿宋_GB2312"/>
                <w:color w:val="000000"/>
                <w:sz w:val="28"/>
                <w:szCs w:val="28"/>
                <w:highlight w:val="none"/>
              </w:rPr>
            </w:pPr>
          </w:p>
        </w:tc>
      </w:tr>
    </w:tbl>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黑体"/>
          <w:color w:val="000000"/>
          <w:sz w:val="28"/>
          <w:szCs w:val="28"/>
          <w:highlight w:val="none"/>
        </w:rPr>
      </w:pPr>
      <w:r>
        <w:rPr>
          <w:rFonts w:ascii="Times New Roman" w:hAnsi="Times New Roman" w:eastAsia="仿宋_GB2312"/>
          <w:color w:val="000000"/>
          <w:sz w:val="28"/>
          <w:szCs w:val="28"/>
          <w:highlight w:val="none"/>
        </w:rPr>
        <w:t>附</w:t>
      </w:r>
      <w:bookmarkStart w:id="668" w:name="_Toc267261693"/>
      <w:bookmarkStart w:id="669" w:name="_Toc296503226"/>
      <w:bookmarkStart w:id="670" w:name="_Toc296944565"/>
      <w:bookmarkStart w:id="671" w:name="_Toc296346727"/>
      <w:bookmarkStart w:id="672" w:name="_Toc296347225"/>
      <w:bookmarkStart w:id="673" w:name="_Toc296891266"/>
      <w:bookmarkStart w:id="674" w:name="_Toc296891054"/>
      <w:r>
        <w:rPr>
          <w:rFonts w:ascii="Times New Roman" w:hAnsi="Times New Roman" w:eastAsia="仿宋_GB2312"/>
          <w:color w:val="000000"/>
          <w:sz w:val="28"/>
          <w:szCs w:val="28"/>
          <w:highlight w:val="none"/>
        </w:rPr>
        <w:t>件3：</w:t>
      </w:r>
      <w:bookmarkEnd w:id="668"/>
      <w:bookmarkEnd w:id="669"/>
      <w:bookmarkEnd w:id="670"/>
      <w:bookmarkEnd w:id="671"/>
      <w:bookmarkEnd w:id="672"/>
      <w:bookmarkEnd w:id="673"/>
      <w:bookmarkEnd w:id="674"/>
      <w:r>
        <w:rPr>
          <w:rFonts w:ascii="Times New Roman" w:hAnsi="Times New Roman" w:eastAsia="黑体"/>
          <w:color w:val="000000"/>
          <w:sz w:val="28"/>
          <w:szCs w:val="28"/>
          <w:highlight w:val="none"/>
        </w:rPr>
        <w:t xml:space="preserve">    </w:t>
      </w:r>
    </w:p>
    <w:p>
      <w:pPr>
        <w:pageBreakBefore w:val="0"/>
        <w:kinsoku/>
        <w:wordWrap/>
        <w:overflowPunct/>
        <w:topLinePunct w:val="0"/>
        <w:bidi w:val="0"/>
        <w:snapToGrid/>
        <w:spacing w:before="159" w:beforeLines="50" w:after="159" w:afterLines="50" w:line="440" w:lineRule="exact"/>
        <w:jc w:val="center"/>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工程质量保修书</w:t>
      </w:r>
    </w:p>
    <w:p>
      <w:pPr>
        <w:pageBreakBefore w:val="0"/>
        <w:kinsoku/>
        <w:wordWrap/>
        <w:overflowPunct/>
        <w:topLinePunct w:val="0"/>
        <w:bidi w:val="0"/>
        <w:snapToGrid/>
        <w:spacing w:line="440" w:lineRule="exact"/>
        <w:ind w:firstLine="280" w:firstLineChars="100"/>
        <w:textAlignment w:val="auto"/>
        <w:rPr>
          <w:rFonts w:ascii="Times New Roman" w:hAnsi="Times New Roman" w:eastAsia="仿宋_GB2312"/>
          <w:b w:val="0"/>
          <w:bCs/>
          <w:color w:val="000000"/>
          <w:sz w:val="28"/>
          <w:szCs w:val="28"/>
          <w:highlight w:val="none"/>
          <w:u w:val="single"/>
        </w:rPr>
      </w:pPr>
      <w:r>
        <w:rPr>
          <w:rFonts w:ascii="Times New Roman" w:hAnsi="Times New Roman" w:eastAsia="仿宋_GB2312"/>
          <w:b w:val="0"/>
          <w:bCs/>
          <w:color w:val="000000"/>
          <w:sz w:val="28"/>
          <w:szCs w:val="28"/>
          <w:highlight w:val="none"/>
        </w:rPr>
        <w:t>发包人（全称）：</w:t>
      </w:r>
      <w:r>
        <w:rPr>
          <w:rFonts w:ascii="Times New Roman" w:hAnsi="Times New Roman" w:eastAsia="仿宋_GB2312"/>
          <w:b w:val="0"/>
          <w:bCs/>
          <w:color w:val="000000"/>
          <w:sz w:val="28"/>
          <w:szCs w:val="28"/>
          <w:highlight w:val="none"/>
          <w:u w:val="single"/>
        </w:rPr>
        <w:t></w:t>
      </w:r>
      <w:r>
        <w:rPr>
          <w:rFonts w:hint="eastAsia" w:ascii="Times New Roman" w:hAnsi="Times New Roman" w:eastAsia="仿宋_GB2312"/>
          <w:b w:val="0"/>
          <w:bCs/>
          <w:color w:val="000000"/>
          <w:sz w:val="28"/>
          <w:szCs w:val="28"/>
          <w:highlight w:val="none"/>
          <w:u w:val="single"/>
          <w:lang w:val="en-US" w:eastAsia="zh-CN"/>
        </w:rPr>
        <w:t xml:space="preserve">                            </w:t>
      </w:r>
      <w:r>
        <w:rPr>
          <w:rFonts w:hint="eastAsia" w:ascii="Times New Roman" w:hAnsi="Times New Roman" w:eastAsia="仿宋_GB2312"/>
          <w:b w:val="0"/>
          <w:bCs/>
          <w:color w:val="000000"/>
          <w:sz w:val="28"/>
          <w:szCs w:val="28"/>
          <w:highlight w:val="none"/>
          <w:u w:val="single"/>
        </w:rPr>
        <w:t xml:space="preserve">   </w:t>
      </w:r>
    </w:p>
    <w:p>
      <w:pPr>
        <w:pageBreakBefore w:val="0"/>
        <w:kinsoku/>
        <w:wordWrap/>
        <w:overflowPunct/>
        <w:topLinePunct w:val="0"/>
        <w:bidi w:val="0"/>
        <w:snapToGrid/>
        <w:spacing w:line="440" w:lineRule="exact"/>
        <w:ind w:firstLine="280" w:firstLineChars="100"/>
        <w:textAlignment w:val="auto"/>
        <w:rPr>
          <w:rFonts w:ascii="Times New Roman" w:hAnsi="Times New Roman" w:eastAsia="仿宋_GB2312"/>
          <w:b w:val="0"/>
          <w:bCs/>
          <w:color w:val="000000"/>
          <w:sz w:val="28"/>
          <w:szCs w:val="28"/>
          <w:highlight w:val="none"/>
          <w:u w:val="single"/>
        </w:rPr>
      </w:pPr>
      <w:r>
        <w:rPr>
          <w:rFonts w:ascii="Times New Roman" w:hAnsi="Times New Roman" w:eastAsia="仿宋_GB2312"/>
          <w:b w:val="0"/>
          <w:bCs/>
          <w:color w:val="000000"/>
          <w:sz w:val="28"/>
          <w:szCs w:val="28"/>
          <w:highlight w:val="none"/>
        </w:rPr>
        <w:t>承包人（全称）：</w:t>
      </w:r>
      <w:r>
        <w:rPr>
          <w:rFonts w:ascii="Times New Roman" w:hAnsi="Times New Roman" w:eastAsia="仿宋_GB2312"/>
          <w:b w:val="0"/>
          <w:bCs/>
          <w:color w:val="000000"/>
          <w:sz w:val="28"/>
          <w:szCs w:val="28"/>
          <w:highlight w:val="none"/>
          <w:u w:val="single"/>
        </w:rPr>
        <w:t></w:t>
      </w:r>
      <w:r>
        <w:rPr>
          <w:rFonts w:hint="eastAsia" w:ascii="Times New Roman" w:hAnsi="Times New Roman" w:eastAsia="仿宋_GB2312"/>
          <w:b w:val="0"/>
          <w:bCs/>
          <w:color w:val="000000"/>
          <w:sz w:val="28"/>
          <w:szCs w:val="28"/>
          <w:highlight w:val="none"/>
          <w:u w:val="single"/>
          <w:lang w:val="en-US" w:eastAsia="zh-CN"/>
        </w:rPr>
        <w:t xml:space="preserve">                            </w:t>
      </w:r>
      <w:r>
        <w:rPr>
          <w:rFonts w:hint="eastAsia" w:ascii="Times New Roman" w:hAnsi="Times New Roman" w:eastAsia="仿宋_GB2312"/>
          <w:b w:val="0"/>
          <w:bCs/>
          <w:color w:val="000000"/>
          <w:sz w:val="28"/>
          <w:szCs w:val="28"/>
          <w:highlight w:val="none"/>
          <w:u w:val="single"/>
        </w:rPr>
        <w:t xml:space="preserve">  </w:t>
      </w:r>
      <w:r>
        <w:rPr>
          <w:rFonts w:hint="eastAsia" w:ascii="Times New Roman" w:hAnsi="Times New Roman" w:eastAsia="仿宋_GB2312"/>
          <w:b w:val="0"/>
          <w:bCs/>
          <w:color w:val="000000"/>
          <w:sz w:val="28"/>
          <w:szCs w:val="28"/>
          <w:highlight w:val="none"/>
          <w:u w:val="single"/>
          <w:lang w:val="en-US" w:eastAsia="zh-CN"/>
        </w:rPr>
        <w:t xml:space="preserve">    </w:t>
      </w:r>
      <w:r>
        <w:rPr>
          <w:rFonts w:hint="eastAsia" w:ascii="Times New Roman" w:hAnsi="Times New Roman" w:eastAsia="仿宋_GB2312"/>
          <w:b w:val="0"/>
          <w:bCs/>
          <w:color w:val="000000"/>
          <w:sz w:val="28"/>
          <w:szCs w:val="28"/>
          <w:highlight w:val="none"/>
          <w:u w:val="single"/>
        </w:rPr>
        <w:t xml:space="preserve"> </w:t>
      </w:r>
      <w:r>
        <w:rPr>
          <w:rFonts w:ascii="Times New Roman" w:hAnsi="Times New Roman" w:eastAsia="仿宋_GB2312"/>
          <w:b w:val="0"/>
          <w:bCs/>
          <w:color w:val="000000"/>
          <w:sz w:val="28"/>
          <w:szCs w:val="28"/>
          <w:highlight w:val="none"/>
          <w:u w:val="single"/>
        </w:rPr>
        <w:t xml:space="preserve"> </w:t>
      </w:r>
      <w:r>
        <w:rPr>
          <w:rFonts w:hint="eastAsia" w:ascii="Times New Roman" w:hAnsi="Times New Roman" w:eastAsia="仿宋_GB2312"/>
          <w:b w:val="0"/>
          <w:bCs/>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发包人和承包人根据《中华人民共和国建筑法》和《建设工程质量管理条例》，经协商一致就</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（工程全称）签订工程质量保修书。</w:t>
      </w:r>
    </w:p>
    <w:p>
      <w:pPr>
        <w:pageBreakBefore w:val="0"/>
        <w:kinsoku/>
        <w:wordWrap/>
        <w:overflowPunct/>
        <w:topLinePunct w:val="0"/>
        <w:bidi w:val="0"/>
        <w:snapToGrid/>
        <w:spacing w:line="440" w:lineRule="exact"/>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　　一、工程质量保修范围和内容</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承包人在质量保修期内，按照有关法律规定和合同约定，承担工程质量保修责任。</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textAlignment w:val="auto"/>
        <w:outlineLvl w:val="0"/>
        <w:rPr>
          <w:rFonts w:ascii="Times New Roman" w:hAnsi="Times New Roman" w:eastAsia="黑体"/>
          <w:color w:val="000000"/>
          <w:sz w:val="28"/>
          <w:szCs w:val="28"/>
          <w:highlight w:val="none"/>
        </w:rPr>
      </w:pPr>
      <w:r>
        <w:rPr>
          <w:rFonts w:ascii="Times New Roman" w:hAnsi="Times New Roman" w:eastAsia="仿宋_GB2312"/>
          <w:b/>
          <w:color w:val="000000"/>
          <w:sz w:val="28"/>
          <w:szCs w:val="28"/>
          <w:highlight w:val="none"/>
        </w:rPr>
        <w:t>　　</w:t>
      </w:r>
      <w:r>
        <w:rPr>
          <w:rFonts w:ascii="Times New Roman" w:hAnsi="Times New Roman" w:eastAsia="黑体"/>
          <w:color w:val="000000"/>
          <w:sz w:val="28"/>
          <w:szCs w:val="28"/>
          <w:highlight w:val="none"/>
        </w:rPr>
        <w:t>二、质量保修期</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根据《建设工程质量管理条例》及有关规定，工程的质量保修期如下：</w:t>
      </w:r>
    </w:p>
    <w:p>
      <w:pPr>
        <w:pageBreakBefore w:val="0"/>
        <w:kinsoku/>
        <w:wordWrap/>
        <w:overflowPunct/>
        <w:topLinePunct w:val="0"/>
        <w:bidi w:val="0"/>
        <w:snapToGrid/>
        <w:spacing w:line="440" w:lineRule="exact"/>
        <w:ind w:firstLine="560" w:firstLineChars="200"/>
        <w:textAlignment w:val="auto"/>
        <w:rPr>
          <w:rFonts w:hint="eastAsia" w:ascii="仿宋_GB2312" w:eastAsia="仿宋_GB2312"/>
          <w:sz w:val="28"/>
          <w:szCs w:val="28"/>
          <w:highlight w:val="none"/>
        </w:rPr>
      </w:pPr>
      <w:r>
        <w:rPr>
          <w:rFonts w:hint="eastAsia" w:ascii="仿宋_GB2312" w:eastAsia="仿宋_GB2312"/>
          <w:sz w:val="28"/>
          <w:szCs w:val="28"/>
          <w:highlight w:val="none"/>
        </w:rPr>
        <w:t>1</w:t>
      </w:r>
      <w:r>
        <w:rPr>
          <w:rFonts w:hint="eastAsia" w:ascii="Times New Roman" w:hAnsi="Times New Roman" w:eastAsia="仿宋_GB2312"/>
          <w:color w:val="000000"/>
          <w:sz w:val="28"/>
          <w:szCs w:val="28"/>
          <w:highlight w:val="none"/>
        </w:rPr>
        <w:t>．</w:t>
      </w:r>
      <w:r>
        <w:rPr>
          <w:rFonts w:hint="eastAsia" w:ascii="仿宋_GB2312" w:eastAsia="仿宋_GB2312"/>
          <w:sz w:val="28"/>
          <w:szCs w:val="28"/>
          <w:highlight w:val="none"/>
        </w:rPr>
        <w:t>地基基础工程和主体结构工程为设计文件规定的工程合理使用年限；</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2</w:t>
      </w:r>
      <w:r>
        <w:rPr>
          <w:rFonts w:hint="eastAsia" w:ascii="仿宋_GB2312" w:eastAsia="仿宋_GB2312"/>
          <w:sz w:val="28"/>
          <w:szCs w:val="28"/>
          <w:highlight w:val="none"/>
        </w:rPr>
        <w:t>．</w:t>
      </w:r>
      <w:r>
        <w:rPr>
          <w:rFonts w:ascii="Times New Roman" w:hAnsi="Times New Roman" w:eastAsia="仿宋_GB2312"/>
          <w:color w:val="000000"/>
          <w:sz w:val="28"/>
          <w:szCs w:val="28"/>
          <w:highlight w:val="none"/>
        </w:rPr>
        <w:t>屋面防水工程、有防水要求的卫生间、房间和外墙面的防渗</w:t>
      </w:r>
      <w:r>
        <w:rPr>
          <w:rFonts w:hint="eastAsia" w:ascii="Times New Roman" w:hAnsi="Times New Roman" w:eastAsia="仿宋_GB2312"/>
          <w:color w:val="000000"/>
          <w:sz w:val="28"/>
          <w:szCs w:val="28"/>
          <w:highlight w:val="none"/>
        </w:rPr>
        <w:t>为</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年；</w:t>
      </w:r>
    </w:p>
    <w:p>
      <w:pPr>
        <w:pageBreakBefore w:val="0"/>
        <w:kinsoku/>
        <w:wordWrap/>
        <w:overflowPunct/>
        <w:topLinePunct w:val="0"/>
        <w:bidi w:val="0"/>
        <w:snapToGrid/>
        <w:spacing w:line="440" w:lineRule="exact"/>
        <w:ind w:left="420" w:leftChars="200" w:firstLine="140" w:firstLineChars="50"/>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3</w:t>
      </w:r>
      <w:r>
        <w:rPr>
          <w:rFonts w:hint="eastAsia" w:ascii="仿宋_GB2312" w:eastAsia="仿宋_GB2312"/>
          <w:sz w:val="28"/>
          <w:szCs w:val="28"/>
          <w:highlight w:val="none"/>
        </w:rPr>
        <w:t>．</w:t>
      </w:r>
      <w:r>
        <w:rPr>
          <w:rFonts w:ascii="Times New Roman" w:hAnsi="Times New Roman" w:eastAsia="仿宋_GB2312"/>
          <w:color w:val="000000"/>
          <w:sz w:val="28"/>
          <w:szCs w:val="28"/>
          <w:highlight w:val="none"/>
        </w:rPr>
        <w:t>装修工程为</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年；</w:t>
      </w:r>
    </w:p>
    <w:p>
      <w:pPr>
        <w:pageBreakBefore w:val="0"/>
        <w:kinsoku/>
        <w:wordWrap/>
        <w:overflowPunct/>
        <w:topLinePunct w:val="0"/>
        <w:bidi w:val="0"/>
        <w:snapToGrid/>
        <w:spacing w:line="440" w:lineRule="exact"/>
        <w:ind w:left="420" w:leftChars="200" w:firstLine="140" w:firstLineChars="50"/>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4</w:t>
      </w:r>
      <w:r>
        <w:rPr>
          <w:rFonts w:hint="eastAsia" w:ascii="仿宋_GB2312" w:eastAsia="仿宋_GB2312"/>
          <w:sz w:val="28"/>
          <w:szCs w:val="28"/>
          <w:highlight w:val="none"/>
        </w:rPr>
        <w:t>．</w:t>
      </w:r>
      <w:r>
        <w:rPr>
          <w:rFonts w:ascii="Times New Roman" w:hAnsi="Times New Roman" w:eastAsia="仿宋_GB2312"/>
          <w:color w:val="000000"/>
          <w:sz w:val="28"/>
          <w:szCs w:val="28"/>
          <w:highlight w:val="none"/>
        </w:rPr>
        <w:t>电气管线、给排水管道、设备安装工程为</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年；</w:t>
      </w:r>
    </w:p>
    <w:p>
      <w:pPr>
        <w:pageBreakBefore w:val="0"/>
        <w:kinsoku/>
        <w:wordWrap/>
        <w:overflowPunct/>
        <w:topLinePunct w:val="0"/>
        <w:bidi w:val="0"/>
        <w:snapToGrid/>
        <w:spacing w:line="440" w:lineRule="exact"/>
        <w:ind w:left="420" w:leftChars="200" w:firstLine="140" w:firstLineChars="50"/>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5</w:t>
      </w:r>
      <w:r>
        <w:rPr>
          <w:rFonts w:hint="eastAsia" w:ascii="仿宋_GB2312" w:eastAsia="仿宋_GB2312"/>
          <w:sz w:val="28"/>
          <w:szCs w:val="28"/>
          <w:highlight w:val="none"/>
        </w:rPr>
        <w:t>．</w:t>
      </w:r>
      <w:r>
        <w:rPr>
          <w:rFonts w:ascii="Times New Roman" w:hAnsi="Times New Roman" w:eastAsia="仿宋_GB2312"/>
          <w:color w:val="000000"/>
          <w:sz w:val="28"/>
          <w:szCs w:val="28"/>
          <w:highlight w:val="none"/>
        </w:rPr>
        <w:t>供热与供冷系统为</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个采暖期、供冷期；</w:t>
      </w:r>
    </w:p>
    <w:p>
      <w:pPr>
        <w:pageBreakBefore w:val="0"/>
        <w:kinsoku/>
        <w:wordWrap/>
        <w:overflowPunct/>
        <w:topLinePunct w:val="0"/>
        <w:bidi w:val="0"/>
        <w:snapToGrid/>
        <w:spacing w:line="440" w:lineRule="exact"/>
        <w:ind w:left="420" w:leftChars="200" w:firstLine="140" w:firstLineChars="50"/>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6</w:t>
      </w:r>
      <w:r>
        <w:rPr>
          <w:rFonts w:hint="eastAsia" w:ascii="仿宋_GB2312" w:eastAsia="仿宋_GB2312"/>
          <w:sz w:val="28"/>
          <w:szCs w:val="28"/>
          <w:highlight w:val="none"/>
        </w:rPr>
        <w:t>．</w:t>
      </w:r>
      <w:r>
        <w:rPr>
          <w:rFonts w:ascii="Times New Roman" w:hAnsi="Times New Roman" w:eastAsia="仿宋_GB2312"/>
          <w:color w:val="000000"/>
          <w:sz w:val="28"/>
          <w:szCs w:val="28"/>
          <w:highlight w:val="none"/>
        </w:rPr>
        <w:t>住宅小区内的给排水设施、道路等配套工程为</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年；</w:t>
      </w:r>
    </w:p>
    <w:p>
      <w:pPr>
        <w:pageBreakBefore w:val="0"/>
        <w:kinsoku/>
        <w:wordWrap/>
        <w:overflowPunct/>
        <w:topLinePunct w:val="0"/>
        <w:bidi w:val="0"/>
        <w:snapToGrid/>
        <w:spacing w:line="440" w:lineRule="exact"/>
        <w:ind w:left="420" w:leftChars="200" w:firstLine="140" w:firstLineChars="50"/>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7</w:t>
      </w:r>
      <w:r>
        <w:rPr>
          <w:rFonts w:hint="eastAsia" w:ascii="仿宋_GB2312" w:eastAsia="仿宋_GB2312"/>
          <w:sz w:val="28"/>
          <w:szCs w:val="28"/>
          <w:highlight w:val="none"/>
        </w:rPr>
        <w:t>．</w:t>
      </w:r>
      <w:r>
        <w:rPr>
          <w:rFonts w:ascii="Times New Roman" w:hAnsi="Times New Roman" w:eastAsia="仿宋_GB2312"/>
          <w:color w:val="000000"/>
          <w:sz w:val="28"/>
          <w:szCs w:val="28"/>
          <w:highlight w:val="none"/>
        </w:rPr>
        <w:t>其他项目保修期限约定如下：</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质量保修期自工程竣工验收合格之日起计算。</w:t>
      </w:r>
    </w:p>
    <w:p>
      <w:pPr>
        <w:pageBreakBefore w:val="0"/>
        <w:kinsoku/>
        <w:wordWrap/>
        <w:overflowPunct/>
        <w:topLinePunct w:val="0"/>
        <w:bidi w:val="0"/>
        <w:snapToGrid/>
        <w:spacing w:line="440" w:lineRule="exact"/>
        <w:ind w:firstLine="560" w:firstLineChars="200"/>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三、缺陷责任期</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工程缺陷责任期为</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个月，缺陷责任期自工程</w:t>
      </w:r>
      <w:r>
        <w:rPr>
          <w:rFonts w:hint="eastAsia" w:ascii="Times New Roman" w:hAnsi="Times New Roman" w:eastAsia="仿宋_GB2312"/>
          <w:color w:val="000000"/>
          <w:sz w:val="28"/>
          <w:szCs w:val="28"/>
          <w:highlight w:val="none"/>
        </w:rPr>
        <w:t>通过竣工验收</w:t>
      </w:r>
      <w:r>
        <w:rPr>
          <w:rFonts w:ascii="Times New Roman" w:hAnsi="Times New Roman" w:eastAsia="仿宋_GB2312"/>
          <w:color w:val="000000"/>
          <w:sz w:val="28"/>
          <w:szCs w:val="28"/>
          <w:highlight w:val="none"/>
        </w:rPr>
        <w:t>之日起计算。单位工程先于全部工程进行验收，单位工程缺陷责任期自单位工程验收合格之日起算。</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缺陷责任期终止后，发包人应退还剩余的质量保证金。</w:t>
      </w:r>
    </w:p>
    <w:p>
      <w:pPr>
        <w:pageBreakBefore w:val="0"/>
        <w:kinsoku/>
        <w:wordWrap/>
        <w:overflowPunct/>
        <w:topLinePunct w:val="0"/>
        <w:bidi w:val="0"/>
        <w:snapToGrid/>
        <w:spacing w:line="440" w:lineRule="exact"/>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 xml:space="preserve">    四、质量保修责任</w:t>
      </w:r>
    </w:p>
    <w:p>
      <w:pPr>
        <w:pageBreakBefore w:val="0"/>
        <w:kinsoku/>
        <w:wordWrap/>
        <w:overflowPunct/>
        <w:topLinePunct w:val="0"/>
        <w:bidi w:val="0"/>
        <w:snapToGrid/>
        <w:spacing w:line="440" w:lineRule="exact"/>
        <w:ind w:left="105" w:leftChars="50" w:firstLine="574" w:firstLineChars="205"/>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1</w:t>
      </w:r>
      <w:r>
        <w:rPr>
          <w:rFonts w:hint="eastAsia" w:ascii="仿宋_GB2312" w:eastAsia="仿宋_GB2312"/>
          <w:sz w:val="28"/>
          <w:szCs w:val="28"/>
          <w:highlight w:val="none"/>
        </w:rPr>
        <w:t>．</w:t>
      </w:r>
      <w:r>
        <w:rPr>
          <w:rFonts w:ascii="Times New Roman" w:hAnsi="Times New Roman" w:eastAsia="仿宋_GB2312"/>
          <w:color w:val="000000"/>
          <w:sz w:val="28"/>
          <w:szCs w:val="28"/>
          <w:highlight w:val="none"/>
        </w:rPr>
        <w:t>属于保修范围、内容的项目，承包人应当在接到保修通知之日起7天内派人保修。承包人不在约定期限内派人保修的，发包人可以委托他人修理。</w:t>
      </w:r>
    </w:p>
    <w:p>
      <w:pPr>
        <w:pageBreakBefore w:val="0"/>
        <w:kinsoku/>
        <w:wordWrap/>
        <w:overflowPunct/>
        <w:topLinePunct w:val="0"/>
        <w:bidi w:val="0"/>
        <w:snapToGrid/>
        <w:spacing w:line="440" w:lineRule="exact"/>
        <w:ind w:left="105" w:leftChars="50" w:firstLine="574" w:firstLineChars="205"/>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2</w:t>
      </w:r>
      <w:r>
        <w:rPr>
          <w:rFonts w:hint="eastAsia" w:ascii="仿宋_GB2312" w:eastAsia="仿宋_GB2312"/>
          <w:sz w:val="28"/>
          <w:szCs w:val="28"/>
          <w:highlight w:val="none"/>
        </w:rPr>
        <w:t>．</w:t>
      </w:r>
      <w:r>
        <w:rPr>
          <w:rFonts w:ascii="Times New Roman" w:hAnsi="Times New Roman" w:eastAsia="仿宋_GB2312"/>
          <w:color w:val="000000"/>
          <w:sz w:val="28"/>
          <w:szCs w:val="28"/>
          <w:highlight w:val="none"/>
        </w:rPr>
        <w:t>发生紧急事故需抢修的，承包人在接到事故通知后，应当立即到达事故现场抢修。</w:t>
      </w:r>
    </w:p>
    <w:p>
      <w:pPr>
        <w:pageBreakBefore w:val="0"/>
        <w:kinsoku/>
        <w:wordWrap/>
        <w:overflowPunct/>
        <w:topLinePunct w:val="0"/>
        <w:bidi w:val="0"/>
        <w:snapToGrid/>
        <w:spacing w:line="440" w:lineRule="exact"/>
        <w:ind w:left="105" w:leftChars="50" w:firstLine="574" w:firstLineChars="205"/>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3</w:t>
      </w:r>
      <w:r>
        <w:rPr>
          <w:rFonts w:hint="eastAsia" w:ascii="仿宋_GB2312" w:eastAsia="仿宋_GB2312"/>
          <w:sz w:val="28"/>
          <w:szCs w:val="28"/>
          <w:highlight w:val="none"/>
        </w:rPr>
        <w:t>．</w:t>
      </w:r>
      <w:r>
        <w:rPr>
          <w:rFonts w:ascii="Times New Roman" w:hAnsi="Times New Roman" w:eastAsia="仿宋_GB2312"/>
          <w:color w:val="000000"/>
          <w:sz w:val="28"/>
          <w:szCs w:val="28"/>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pageBreakBefore w:val="0"/>
        <w:kinsoku/>
        <w:wordWrap/>
        <w:overflowPunct/>
        <w:topLinePunct w:val="0"/>
        <w:bidi w:val="0"/>
        <w:snapToGrid/>
        <w:spacing w:line="440" w:lineRule="exact"/>
        <w:ind w:left="420" w:leftChars="200" w:firstLine="140" w:firstLineChars="50"/>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4</w:t>
      </w:r>
      <w:r>
        <w:rPr>
          <w:rFonts w:hint="eastAsia" w:ascii="仿宋_GB2312" w:eastAsia="仿宋_GB2312"/>
          <w:sz w:val="28"/>
          <w:szCs w:val="28"/>
          <w:highlight w:val="none"/>
        </w:rPr>
        <w:t>．</w:t>
      </w:r>
      <w:r>
        <w:rPr>
          <w:rFonts w:ascii="Times New Roman" w:hAnsi="Times New Roman" w:eastAsia="仿宋_GB2312"/>
          <w:color w:val="000000"/>
          <w:sz w:val="28"/>
          <w:szCs w:val="28"/>
          <w:highlight w:val="none"/>
        </w:rPr>
        <w:t>质量保修完成后，由发包人组织验收。</w:t>
      </w:r>
    </w:p>
    <w:p>
      <w:pPr>
        <w:pageBreakBefore w:val="0"/>
        <w:kinsoku/>
        <w:wordWrap/>
        <w:overflowPunct/>
        <w:topLinePunct w:val="0"/>
        <w:bidi w:val="0"/>
        <w:snapToGrid/>
        <w:spacing w:line="440" w:lineRule="exact"/>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　　五、保修费用</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保修费用由造成质量缺陷的责任方承担。</w:t>
      </w:r>
    </w:p>
    <w:p>
      <w:pPr>
        <w:pageBreakBefore w:val="0"/>
        <w:kinsoku/>
        <w:wordWrap/>
        <w:overflowPunct/>
        <w:topLinePunct w:val="0"/>
        <w:bidi w:val="0"/>
        <w:snapToGrid/>
        <w:spacing w:line="440" w:lineRule="exact"/>
        <w:ind w:firstLine="600"/>
        <w:jc w:val="left"/>
        <w:textAlignment w:val="auto"/>
        <w:outlineLvl w:val="0"/>
        <w:rPr>
          <w:rFonts w:ascii="Times New Roman" w:hAnsi="Times New Roman" w:eastAsia="仿宋_GB2312"/>
          <w:color w:val="000000"/>
          <w:sz w:val="28"/>
          <w:szCs w:val="28"/>
          <w:highlight w:val="none"/>
          <w:u w:val="single"/>
        </w:rPr>
      </w:pPr>
      <w:r>
        <w:rPr>
          <w:rFonts w:ascii="Times New Roman" w:hAnsi="Times New Roman" w:eastAsia="黑体"/>
          <w:b/>
          <w:color w:val="000000"/>
          <w:sz w:val="28"/>
          <w:szCs w:val="28"/>
          <w:highlight w:val="none"/>
        </w:rPr>
        <w:t>六</w:t>
      </w:r>
      <w:r>
        <w:rPr>
          <w:rFonts w:ascii="Times New Roman" w:hAnsi="Times New Roman" w:eastAsia="黑体"/>
          <w:color w:val="000000"/>
          <w:sz w:val="28"/>
          <w:szCs w:val="28"/>
          <w:highlight w:val="none"/>
        </w:rPr>
        <w:t>、双方约定的其他工程质量保修事项</w:t>
      </w:r>
      <w:r>
        <w:rPr>
          <w:rFonts w:ascii="Times New Roman" w:hAnsi="Times New Roman" w:eastAsia="仿宋_GB2312"/>
          <w:color w:val="000000"/>
          <w:sz w:val="28"/>
          <w:szCs w:val="28"/>
          <w:highlight w:val="none"/>
        </w:rPr>
        <w:t>：</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32" w:firstLineChars="19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工程质量保修书由发包人、承包人在工程竣工验收前共同签署，作为施工合同附件，其有效期限至保修期满。</w:t>
      </w:r>
    </w:p>
    <w:p>
      <w:pPr>
        <w:pageBreakBefore w:val="0"/>
        <w:kinsoku/>
        <w:wordWrap/>
        <w:overflowPunct/>
        <w:topLinePunct w:val="0"/>
        <w:bidi w:val="0"/>
        <w:snapToGrid/>
        <w:spacing w:line="440" w:lineRule="exact"/>
        <w:ind w:firstLine="420"/>
        <w:textAlignment w:val="auto"/>
        <w:rPr>
          <w:rFonts w:ascii="Times New Roman" w:hAnsi="Times New Roman" w:eastAsia="仿宋_GB2312"/>
          <w:color w:val="000000"/>
          <w:sz w:val="28"/>
          <w:szCs w:val="28"/>
          <w:highlight w:val="none"/>
        </w:rPr>
      </w:pPr>
    </w:p>
    <w:p>
      <w:pPr>
        <w:pStyle w:val="18"/>
        <w:rPr>
          <w:rFonts w:ascii="Times New Roman" w:hAnsi="Times New Roman" w:eastAsia="仿宋_GB2312"/>
          <w:color w:val="000000"/>
          <w:sz w:val="28"/>
          <w:szCs w:val="28"/>
          <w:highlight w:val="none"/>
        </w:rPr>
      </w:pPr>
    </w:p>
    <w:p>
      <w:pPr>
        <w:pStyle w:val="18"/>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发包人(公章)：</w:t>
      </w:r>
      <w:r>
        <w:rPr>
          <w:rFonts w:ascii="Times New Roman" w:hAnsi="Times New Roman" w:eastAsia="仿宋_GB2312"/>
          <w:color w:val="000000"/>
          <w:sz w:val="28"/>
          <w:szCs w:val="28"/>
          <w:highlight w:val="none"/>
          <w:u w:val="single"/>
        </w:rPr>
        <w:t xml:space="preserve">        </w:t>
      </w:r>
      <w:r>
        <w:rPr>
          <w:rFonts w:ascii="Times New Roman" w:hAnsi="Times New Roman" w:eastAsia="仿宋_GB2312"/>
          <w:color w:val="000000"/>
          <w:sz w:val="28"/>
          <w:szCs w:val="28"/>
          <w:highlight w:val="none"/>
        </w:rPr>
        <w:t xml:space="preserve"> 承包人(公章)：</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地  址：</w:t>
      </w:r>
      <w:r>
        <w:rPr>
          <w:rFonts w:ascii="Times New Roman" w:hAnsi="Times New Roman" w:eastAsia="仿宋_GB2312"/>
          <w:color w:val="000000"/>
          <w:sz w:val="28"/>
          <w:szCs w:val="28"/>
          <w:highlight w:val="none"/>
          <w:u w:val="single"/>
        </w:rPr>
        <w:t xml:space="preserve"> 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地  址：</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法定代表人：</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法定代表人：</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委托代理人：</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委托代理人：</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电  话：</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电  话：</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hint="eastAsia" w:ascii="宋体" w:hAnsi="宋体" w:eastAsia="仿宋_GB2312" w:cs="宋体"/>
          <w:color w:val="000000"/>
          <w:sz w:val="22"/>
          <w:highlight w:val="none"/>
          <w:u w:val="single"/>
          <w:lang w:val="en-US" w:eastAsia="zh-CN"/>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传  真：</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传  真：</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电子信箱：</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电子信箱：</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lang w:val="en-US" w:eastAsia="zh-CN"/>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开户银行：</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开户银行：</w:t>
      </w:r>
      <w:r>
        <w:rPr>
          <w:rFonts w:ascii="Times New Roman" w:hAnsi="Times New Roman" w:eastAsia="仿宋_GB2312"/>
          <w:color w:val="000000"/>
          <w:sz w:val="28"/>
          <w:szCs w:val="28"/>
          <w:highlight w:val="none"/>
          <w:u w:val="single"/>
        </w:rPr>
        <w:t></w:t>
      </w:r>
      <w:r>
        <w:rPr>
          <w:rFonts w:hint="eastAsia" w:ascii="宋体" w:hAnsi="宋体" w:eastAsia="仿宋_GB2312" w:cs="宋体"/>
          <w:color w:val="000000"/>
          <w:sz w:val="22"/>
          <w:highlight w:val="none"/>
          <w:u w:val="single"/>
          <w:lang w:val="en-US" w:eastAsia="zh-CN"/>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账  号：</w:t>
      </w:r>
      <w:r>
        <w:rPr>
          <w:rFonts w:ascii="Times New Roman" w:hAnsi="Times New Roman" w:eastAsia="仿宋_GB2312"/>
          <w:color w:val="000000"/>
          <w:sz w:val="28"/>
          <w:szCs w:val="28"/>
          <w:highlight w:val="none"/>
          <w:u w:val="single"/>
        </w:rPr>
        <w:t xml:space="preserve"> 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账</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rPr>
        <w:t xml:space="preserve"> 号：</w:t>
      </w:r>
      <w:r>
        <w:rPr>
          <w:rFonts w:ascii="Times New Roman" w:hAnsi="Times New Roman" w:eastAsia="仿宋_GB2312"/>
          <w:color w:val="000000"/>
          <w:sz w:val="28"/>
          <w:szCs w:val="28"/>
          <w:highlight w:val="none"/>
          <w:u w:val="single"/>
        </w:rPr>
        <w:t></w:t>
      </w:r>
      <w:r>
        <w:rPr>
          <w:rFonts w:hint="eastAsia" w:ascii="宋体" w:hAnsi="宋体" w:cs="宋体"/>
          <w:color w:val="000000"/>
          <w:sz w:val="22"/>
          <w:highlight w:val="none"/>
          <w:u w:val="single"/>
          <w:lang w:val="en-US" w:eastAsia="zh-CN"/>
        </w:rPr>
        <w:t xml:space="preserve"> </w:t>
      </w:r>
      <w:r>
        <w:rPr>
          <w:rFonts w:ascii="Times New Roman" w:hAnsi="Times New Roman" w:eastAsia="仿宋_GB2312"/>
          <w:color w:val="000000"/>
          <w:sz w:val="28"/>
          <w:szCs w:val="28"/>
          <w:highlight w:val="none"/>
          <w:u w:val="single"/>
        </w:rPr>
        <w:t></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黑体"/>
          <w:color w:val="000000"/>
          <w:sz w:val="28"/>
          <w:szCs w:val="28"/>
          <w:highlight w:val="none"/>
        </w:rPr>
      </w:pPr>
      <w:r>
        <w:rPr>
          <w:rFonts w:hint="eastAsia" w:ascii="Times New Roman" w:hAnsi="Times New Roman" w:eastAsia="仿宋_GB2312"/>
          <w:color w:val="000000"/>
          <w:sz w:val="28"/>
          <w:szCs w:val="28"/>
          <w:highlight w:val="none"/>
          <w:lang w:val="en-US" w:eastAsia="zh-CN"/>
        </w:rPr>
        <w:t>附</w:t>
      </w:r>
      <w:r>
        <w:rPr>
          <w:rFonts w:ascii="Times New Roman" w:hAnsi="Times New Roman" w:eastAsia="仿宋_GB2312"/>
          <w:color w:val="000000"/>
          <w:sz w:val="28"/>
          <w:szCs w:val="28"/>
          <w:highlight w:val="none"/>
        </w:rPr>
        <w:t>件4：</w:t>
      </w:r>
    </w:p>
    <w:p>
      <w:pPr>
        <w:pageBreakBefore w:val="0"/>
        <w:kinsoku/>
        <w:wordWrap/>
        <w:overflowPunct/>
        <w:topLinePunct w:val="0"/>
        <w:bidi w:val="0"/>
        <w:snapToGrid/>
        <w:spacing w:before="159" w:beforeLines="50" w:after="159" w:afterLines="50" w:line="440" w:lineRule="exact"/>
        <w:jc w:val="center"/>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主要建设工程文件目录</w:t>
      </w:r>
    </w:p>
    <w:tbl>
      <w:tblPr>
        <w:tblStyle w:val="25"/>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文件名称</w:t>
            </w:r>
          </w:p>
        </w:tc>
        <w:tc>
          <w:tcPr>
            <w:tcW w:w="1276"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套数</w:t>
            </w:r>
          </w:p>
        </w:tc>
        <w:tc>
          <w:tcPr>
            <w:tcW w:w="1450"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费用</w:t>
            </w:r>
            <w:r>
              <w:rPr>
                <w:rFonts w:hint="eastAsia" w:eastAsia="仿宋_GB2312"/>
                <w:color w:val="000000"/>
                <w:sz w:val="28"/>
                <w:szCs w:val="28"/>
                <w:highlight w:val="none"/>
              </w:rPr>
              <w:t>（元）</w:t>
            </w:r>
          </w:p>
        </w:tc>
        <w:tc>
          <w:tcPr>
            <w:tcW w:w="1243"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r>
              <w:rPr>
                <w:rFonts w:eastAsia="仿宋_GB2312"/>
                <w:color w:val="000000"/>
                <w:sz w:val="28"/>
                <w:szCs w:val="28"/>
                <w:highlight w:val="none"/>
              </w:rPr>
              <w:t>质量</w:t>
            </w:r>
          </w:p>
        </w:tc>
        <w:tc>
          <w:tcPr>
            <w:tcW w:w="1450" w:type="dxa"/>
            <w:tcBorders>
              <w:top w:val="single" w:color="auto" w:sz="12" w:space="0"/>
              <w:bottom w:val="double" w:color="auto" w:sz="6" w:space="0"/>
            </w:tcBorders>
          </w:tcPr>
          <w:p>
            <w:pPr>
              <w:pageBreakBefore w:val="0"/>
              <w:kinsoku/>
              <w:wordWrap/>
              <w:overflowPunct/>
              <w:topLinePunct w:val="0"/>
              <w:bidi w:val="0"/>
              <w:snapToGrid/>
              <w:spacing w:line="440" w:lineRule="exact"/>
              <w:jc w:val="center"/>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移交时间</w:t>
            </w:r>
          </w:p>
        </w:tc>
        <w:tc>
          <w:tcPr>
            <w:tcW w:w="1667" w:type="dxa"/>
            <w:tcBorders>
              <w:top w:val="single" w:color="auto" w:sz="12" w:space="0"/>
              <w:bottom w:val="double" w:color="auto" w:sz="6" w:space="0"/>
            </w:tcBorders>
          </w:tcPr>
          <w:p>
            <w:pPr>
              <w:pageBreakBefore w:val="0"/>
              <w:kinsoku/>
              <w:wordWrap/>
              <w:overflowPunct/>
              <w:topLinePunct w:val="0"/>
              <w:bidi w:val="0"/>
              <w:snapToGrid/>
              <w:spacing w:line="440" w:lineRule="exact"/>
              <w:jc w:val="center"/>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43"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67"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43"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67"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4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6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4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6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4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6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4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6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4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6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4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6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76"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4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667"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7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24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5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67"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76"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4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667"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76"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4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667"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76"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4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667"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76"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4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667"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76"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4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667"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76"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4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667"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76"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4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667"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76"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4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667"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76"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243"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667"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bl>
    <w:p>
      <w:pPr>
        <w:pageBreakBefore w:val="0"/>
        <w:kinsoku/>
        <w:wordWrap/>
        <w:overflowPunct/>
        <w:topLinePunct w:val="0"/>
        <w:bidi w:val="0"/>
        <w:snapToGrid/>
        <w:spacing w:line="440" w:lineRule="exact"/>
        <w:textAlignment w:val="auto"/>
        <w:rPr>
          <w:rFonts w:hint="eastAsia"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黑体"/>
          <w:color w:val="000000"/>
          <w:sz w:val="28"/>
          <w:szCs w:val="28"/>
          <w:highlight w:val="none"/>
        </w:rPr>
      </w:pPr>
      <w:r>
        <w:rPr>
          <w:rFonts w:ascii="Times New Roman" w:hAnsi="Times New Roman" w:eastAsia="仿宋_GB2312"/>
          <w:color w:val="000000"/>
          <w:sz w:val="28"/>
          <w:szCs w:val="28"/>
          <w:highlight w:val="none"/>
        </w:rPr>
        <w:br w:type="page"/>
      </w:r>
      <w:r>
        <w:rPr>
          <w:rFonts w:ascii="Times New Roman" w:hAnsi="Times New Roman" w:eastAsia="仿宋_GB2312"/>
          <w:color w:val="000000"/>
          <w:sz w:val="28"/>
          <w:szCs w:val="28"/>
          <w:highlight w:val="none"/>
        </w:rPr>
        <w:t>附</w:t>
      </w:r>
      <w:bookmarkStart w:id="675" w:name="_Toc267261698"/>
      <w:bookmarkStart w:id="676" w:name="_Toc296503227"/>
      <w:bookmarkStart w:id="677" w:name="_Toc296944566"/>
      <w:bookmarkStart w:id="678" w:name="_Toc296891267"/>
      <w:bookmarkStart w:id="679" w:name="_Toc296347226"/>
      <w:bookmarkStart w:id="680" w:name="_Toc296346728"/>
      <w:bookmarkStart w:id="681" w:name="_Toc296891055"/>
      <w:r>
        <w:rPr>
          <w:rFonts w:ascii="Times New Roman" w:hAnsi="Times New Roman" w:eastAsia="仿宋_GB2312"/>
          <w:color w:val="000000"/>
          <w:sz w:val="28"/>
          <w:szCs w:val="28"/>
          <w:highlight w:val="none"/>
        </w:rPr>
        <w:t>件5：</w:t>
      </w:r>
    </w:p>
    <w:bookmarkEnd w:id="675"/>
    <w:bookmarkEnd w:id="676"/>
    <w:bookmarkEnd w:id="677"/>
    <w:bookmarkEnd w:id="678"/>
    <w:bookmarkEnd w:id="679"/>
    <w:bookmarkEnd w:id="680"/>
    <w:bookmarkEnd w:id="681"/>
    <w:p>
      <w:pPr>
        <w:pageBreakBefore w:val="0"/>
        <w:kinsoku/>
        <w:wordWrap/>
        <w:overflowPunct/>
        <w:topLinePunct w:val="0"/>
        <w:bidi w:val="0"/>
        <w:snapToGrid/>
        <w:spacing w:before="159" w:beforeLines="50" w:after="159" w:afterLines="50" w:line="440" w:lineRule="exact"/>
        <w:jc w:val="center"/>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承包人用于本工程施工的机械设备表</w:t>
      </w:r>
    </w:p>
    <w:tbl>
      <w:tblPr>
        <w:tblStyle w:val="2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序号</w:t>
            </w:r>
          </w:p>
        </w:tc>
        <w:tc>
          <w:tcPr>
            <w:tcW w:w="1418"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机械或设备名称</w:t>
            </w:r>
          </w:p>
        </w:tc>
        <w:tc>
          <w:tcPr>
            <w:tcW w:w="850"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规格型号</w:t>
            </w:r>
          </w:p>
        </w:tc>
        <w:tc>
          <w:tcPr>
            <w:tcW w:w="1058"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数量</w:t>
            </w:r>
          </w:p>
        </w:tc>
        <w:tc>
          <w:tcPr>
            <w:tcW w:w="880"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产地</w:t>
            </w:r>
          </w:p>
        </w:tc>
        <w:tc>
          <w:tcPr>
            <w:tcW w:w="1020"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制造年份</w:t>
            </w:r>
          </w:p>
        </w:tc>
        <w:tc>
          <w:tcPr>
            <w:tcW w:w="1480"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额定功率(kW)</w:t>
            </w:r>
          </w:p>
        </w:tc>
        <w:tc>
          <w:tcPr>
            <w:tcW w:w="1020"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生产能力</w:t>
            </w:r>
          </w:p>
        </w:tc>
        <w:tc>
          <w:tcPr>
            <w:tcW w:w="921"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hint="default" w:eastAsia="仿宋_GB2312"/>
                <w:color w:val="000000"/>
                <w:sz w:val="28"/>
                <w:szCs w:val="28"/>
                <w:highlight w:val="none"/>
                <w:lang w:val="en-US" w:eastAsia="zh-CN"/>
              </w:rPr>
            </w:pPr>
          </w:p>
        </w:tc>
        <w:tc>
          <w:tcPr>
            <w:tcW w:w="1418"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eastAsia="zh-CN"/>
              </w:rPr>
            </w:pPr>
          </w:p>
        </w:tc>
        <w:tc>
          <w:tcPr>
            <w:tcW w:w="850"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hint="default" w:eastAsia="仿宋_GB2312"/>
                <w:color w:val="000000"/>
                <w:sz w:val="28"/>
                <w:szCs w:val="28"/>
                <w:highlight w:val="none"/>
                <w:lang w:val="en-US" w:eastAsia="zh-CN"/>
              </w:rPr>
            </w:pPr>
          </w:p>
        </w:tc>
        <w:tc>
          <w:tcPr>
            <w:tcW w:w="1058"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val="en-US" w:eastAsia="zh-CN"/>
              </w:rPr>
            </w:pPr>
          </w:p>
        </w:tc>
        <w:tc>
          <w:tcPr>
            <w:tcW w:w="880"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480"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21" w:type="dxa"/>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val="en-US" w:eastAsia="zh-CN"/>
              </w:rPr>
            </w:pPr>
          </w:p>
        </w:tc>
        <w:tc>
          <w:tcPr>
            <w:tcW w:w="1418" w:type="dxa"/>
            <w:tcBorders>
              <w:top w:val="nil"/>
            </w:tcBorders>
            <w:vAlign w:val="center"/>
          </w:tcPr>
          <w:p>
            <w:pPr>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850" w:type="dxa"/>
            <w:tcBorders>
              <w:top w:val="nil"/>
            </w:tcBorders>
            <w:vAlign w:val="center"/>
          </w:tcPr>
          <w:p>
            <w:pPr>
              <w:pStyle w:val="10"/>
              <w:keepNext/>
              <w:pageBreakBefore w:val="0"/>
              <w:kinsoku/>
              <w:wordWrap/>
              <w:overflowPunct/>
              <w:topLinePunct w:val="0"/>
              <w:bidi w:val="0"/>
              <w:snapToGrid/>
              <w:spacing w:line="440" w:lineRule="exact"/>
              <w:ind w:left="63" w:right="63"/>
              <w:jc w:val="center"/>
              <w:textAlignment w:val="auto"/>
              <w:rPr>
                <w:rFonts w:hint="default" w:eastAsia="仿宋_GB2312"/>
                <w:color w:val="000000"/>
                <w:sz w:val="28"/>
                <w:szCs w:val="28"/>
                <w:highlight w:val="none"/>
                <w:lang w:val="en-US" w:eastAsia="zh-CN"/>
              </w:rPr>
            </w:pPr>
          </w:p>
        </w:tc>
        <w:tc>
          <w:tcPr>
            <w:tcW w:w="1058" w:type="dxa"/>
            <w:tcBorders>
              <w:top w:val="nil"/>
            </w:tcBorders>
            <w:vAlign w:val="center"/>
          </w:tcPr>
          <w:p>
            <w:pPr>
              <w:pStyle w:val="10"/>
              <w:keepNext/>
              <w:pageBreakBefore w:val="0"/>
              <w:kinsoku/>
              <w:wordWrap/>
              <w:overflowPunct/>
              <w:topLinePunct w:val="0"/>
              <w:bidi w:val="0"/>
              <w:snapToGrid/>
              <w:spacing w:line="440" w:lineRule="exact"/>
              <w:ind w:left="63" w:right="63"/>
              <w:jc w:val="center"/>
              <w:textAlignment w:val="auto"/>
              <w:rPr>
                <w:rFonts w:hint="default" w:eastAsia="仿宋_GB2312"/>
                <w:color w:val="000000"/>
                <w:sz w:val="28"/>
                <w:szCs w:val="28"/>
                <w:highlight w:val="none"/>
                <w:lang w:val="en-US" w:eastAsia="zh-CN"/>
              </w:rPr>
            </w:pPr>
          </w:p>
        </w:tc>
        <w:tc>
          <w:tcPr>
            <w:tcW w:w="880" w:type="dxa"/>
            <w:tcBorders>
              <w:top w:val="nil"/>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tcBorders>
              <w:top w:val="nil"/>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480" w:type="dxa"/>
            <w:tcBorders>
              <w:top w:val="nil"/>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21"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val="en-US" w:eastAsia="zh-CN"/>
              </w:rPr>
            </w:pPr>
          </w:p>
        </w:tc>
        <w:tc>
          <w:tcPr>
            <w:tcW w:w="1418" w:type="dxa"/>
            <w:vAlign w:val="center"/>
          </w:tcPr>
          <w:p>
            <w:pPr>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850"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default" w:eastAsia="仿宋_GB2312"/>
                <w:color w:val="000000"/>
                <w:sz w:val="28"/>
                <w:szCs w:val="28"/>
                <w:highlight w:val="none"/>
                <w:lang w:val="en-US" w:eastAsia="zh-CN"/>
              </w:rPr>
            </w:pPr>
          </w:p>
        </w:tc>
        <w:tc>
          <w:tcPr>
            <w:tcW w:w="1058"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val="en-US" w:eastAsia="zh-CN"/>
              </w:rPr>
            </w:pPr>
          </w:p>
        </w:tc>
        <w:tc>
          <w:tcPr>
            <w:tcW w:w="88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48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2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jc w:val="center"/>
        </w:trPr>
        <w:tc>
          <w:tcPr>
            <w:tcW w:w="1162"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val="en-US" w:eastAsia="zh-CN"/>
              </w:rPr>
            </w:pPr>
          </w:p>
        </w:tc>
        <w:tc>
          <w:tcPr>
            <w:tcW w:w="1418"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eastAsia="zh-CN"/>
              </w:rPr>
            </w:pPr>
          </w:p>
        </w:tc>
        <w:tc>
          <w:tcPr>
            <w:tcW w:w="850"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eastAsia="zh-CN"/>
              </w:rPr>
            </w:pPr>
          </w:p>
        </w:tc>
        <w:tc>
          <w:tcPr>
            <w:tcW w:w="1058"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val="en-US" w:eastAsia="zh-CN"/>
              </w:rPr>
            </w:pPr>
          </w:p>
        </w:tc>
        <w:tc>
          <w:tcPr>
            <w:tcW w:w="88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48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2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val="en-US" w:eastAsia="zh-CN"/>
              </w:rPr>
            </w:pPr>
          </w:p>
        </w:tc>
        <w:tc>
          <w:tcPr>
            <w:tcW w:w="1418"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eastAsia="zh-CN"/>
              </w:rPr>
            </w:pPr>
          </w:p>
        </w:tc>
        <w:tc>
          <w:tcPr>
            <w:tcW w:w="850"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default" w:eastAsia="仿宋_GB2312"/>
                <w:color w:val="000000"/>
                <w:sz w:val="28"/>
                <w:szCs w:val="28"/>
                <w:highlight w:val="none"/>
                <w:lang w:val="en-US" w:eastAsia="zh-CN"/>
              </w:rPr>
            </w:pPr>
          </w:p>
        </w:tc>
        <w:tc>
          <w:tcPr>
            <w:tcW w:w="1058"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val="en-US" w:eastAsia="zh-CN"/>
              </w:rPr>
            </w:pPr>
          </w:p>
        </w:tc>
        <w:tc>
          <w:tcPr>
            <w:tcW w:w="88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48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2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val="en-US" w:eastAsia="zh-CN"/>
              </w:rPr>
            </w:pPr>
          </w:p>
        </w:tc>
        <w:tc>
          <w:tcPr>
            <w:tcW w:w="1418"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eastAsia="zh-CN"/>
              </w:rPr>
            </w:pPr>
          </w:p>
        </w:tc>
        <w:tc>
          <w:tcPr>
            <w:tcW w:w="850"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default" w:eastAsia="仿宋_GB2312"/>
                <w:color w:val="000000"/>
                <w:sz w:val="28"/>
                <w:szCs w:val="28"/>
                <w:highlight w:val="none"/>
                <w:lang w:val="en-US" w:eastAsia="zh-CN"/>
              </w:rPr>
            </w:pPr>
          </w:p>
        </w:tc>
        <w:tc>
          <w:tcPr>
            <w:tcW w:w="1058"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val="en-US" w:eastAsia="zh-CN"/>
              </w:rPr>
            </w:pPr>
          </w:p>
        </w:tc>
        <w:tc>
          <w:tcPr>
            <w:tcW w:w="88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48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2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default" w:eastAsia="仿宋_GB2312"/>
                <w:color w:val="000000"/>
                <w:sz w:val="28"/>
                <w:szCs w:val="28"/>
                <w:highlight w:val="none"/>
                <w:lang w:val="en-US" w:eastAsia="zh-CN"/>
              </w:rPr>
            </w:pPr>
          </w:p>
        </w:tc>
        <w:tc>
          <w:tcPr>
            <w:tcW w:w="1418"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850"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eastAsia="zh-CN"/>
              </w:rPr>
            </w:pPr>
          </w:p>
        </w:tc>
        <w:tc>
          <w:tcPr>
            <w:tcW w:w="1058" w:type="dxa"/>
            <w:vAlign w:val="center"/>
          </w:tcPr>
          <w:p>
            <w:pPr>
              <w:pStyle w:val="10"/>
              <w:keepNext/>
              <w:pageBreakBefore w:val="0"/>
              <w:kinsoku/>
              <w:wordWrap/>
              <w:overflowPunct/>
              <w:topLinePunct w:val="0"/>
              <w:bidi w:val="0"/>
              <w:snapToGrid/>
              <w:spacing w:line="440" w:lineRule="exact"/>
              <w:ind w:left="63" w:right="63"/>
              <w:jc w:val="center"/>
              <w:textAlignment w:val="auto"/>
              <w:rPr>
                <w:rFonts w:hint="default" w:eastAsia="仿宋_GB2312"/>
                <w:color w:val="000000"/>
                <w:sz w:val="28"/>
                <w:szCs w:val="28"/>
                <w:highlight w:val="none"/>
                <w:lang w:val="en-US" w:eastAsia="zh-CN"/>
              </w:rPr>
            </w:pPr>
          </w:p>
        </w:tc>
        <w:tc>
          <w:tcPr>
            <w:tcW w:w="88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480" w:type="dxa"/>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02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2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0"/>
              <w:keepNext/>
              <w:pageBreakBefore w:val="0"/>
              <w:kinsoku/>
              <w:wordWrap/>
              <w:overflowPunct/>
              <w:topLinePunct w:val="0"/>
              <w:bidi w:val="0"/>
              <w:snapToGrid/>
              <w:spacing w:line="440" w:lineRule="exact"/>
              <w:ind w:left="63" w:leftChars="0" w:right="63" w:rightChars="0"/>
              <w:jc w:val="center"/>
              <w:textAlignment w:val="auto"/>
              <w:rPr>
                <w:rFonts w:hint="eastAsia" w:eastAsia="仿宋_GB2312"/>
                <w:color w:val="000000"/>
                <w:sz w:val="28"/>
                <w:szCs w:val="28"/>
                <w:highlight w:val="none"/>
                <w:lang w:val="en-US" w:eastAsia="zh-CN"/>
              </w:rPr>
            </w:pPr>
          </w:p>
        </w:tc>
        <w:tc>
          <w:tcPr>
            <w:tcW w:w="1418" w:type="dxa"/>
            <w:vAlign w:val="center"/>
          </w:tcPr>
          <w:p>
            <w:pPr>
              <w:jc w:val="center"/>
              <w:rPr>
                <w:rFonts w:eastAsia="仿宋_GB2312"/>
                <w:color w:val="000000"/>
                <w:sz w:val="28"/>
                <w:szCs w:val="28"/>
                <w:highlight w:val="none"/>
              </w:rPr>
            </w:pPr>
          </w:p>
        </w:tc>
        <w:tc>
          <w:tcPr>
            <w:tcW w:w="850" w:type="dxa"/>
            <w:vAlign w:val="center"/>
          </w:tcPr>
          <w:p>
            <w:pPr>
              <w:jc w:val="center"/>
              <w:rPr>
                <w:rFonts w:eastAsia="仿宋_GB2312"/>
                <w:color w:val="000000"/>
                <w:sz w:val="28"/>
                <w:szCs w:val="28"/>
                <w:highlight w:val="none"/>
              </w:rPr>
            </w:pPr>
          </w:p>
        </w:tc>
        <w:tc>
          <w:tcPr>
            <w:tcW w:w="1058" w:type="dxa"/>
            <w:vAlign w:val="center"/>
          </w:tcPr>
          <w:p>
            <w:pPr>
              <w:jc w:val="center"/>
              <w:rPr>
                <w:rFonts w:eastAsia="仿宋_GB2312"/>
                <w:color w:val="000000"/>
                <w:sz w:val="28"/>
                <w:szCs w:val="28"/>
                <w:highlight w:val="none"/>
              </w:rPr>
            </w:pPr>
          </w:p>
        </w:tc>
        <w:tc>
          <w:tcPr>
            <w:tcW w:w="8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921"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top"/>
          </w:tcPr>
          <w:p>
            <w:pPr>
              <w:pageBreakBefore w:val="0"/>
              <w:kinsoku/>
              <w:wordWrap/>
              <w:overflowPunct/>
              <w:topLinePunct w:val="0"/>
              <w:bidi w:val="0"/>
              <w:snapToGrid/>
              <w:spacing w:line="440" w:lineRule="exact"/>
              <w:jc w:val="center"/>
              <w:textAlignment w:val="auto"/>
              <w:rPr>
                <w:rFonts w:hint="default" w:eastAsia="仿宋_GB2312"/>
                <w:color w:val="000000"/>
                <w:sz w:val="28"/>
                <w:szCs w:val="28"/>
                <w:highlight w:val="none"/>
                <w:lang w:val="en-US" w:eastAsia="zh-CN"/>
              </w:rPr>
            </w:pPr>
          </w:p>
        </w:tc>
        <w:tc>
          <w:tcPr>
            <w:tcW w:w="1418" w:type="dxa"/>
            <w:vAlign w:val="center"/>
          </w:tcPr>
          <w:p>
            <w:pPr>
              <w:jc w:val="center"/>
              <w:rPr>
                <w:rFonts w:eastAsia="仿宋_GB2312"/>
                <w:color w:val="000000"/>
                <w:sz w:val="28"/>
                <w:szCs w:val="28"/>
                <w:highlight w:val="none"/>
              </w:rPr>
            </w:pPr>
          </w:p>
        </w:tc>
        <w:tc>
          <w:tcPr>
            <w:tcW w:w="850" w:type="dxa"/>
            <w:vAlign w:val="center"/>
          </w:tcPr>
          <w:p>
            <w:pPr>
              <w:jc w:val="center"/>
              <w:rPr>
                <w:rFonts w:eastAsia="仿宋_GB2312"/>
                <w:color w:val="000000"/>
                <w:sz w:val="28"/>
                <w:szCs w:val="28"/>
                <w:highlight w:val="none"/>
              </w:rPr>
            </w:pPr>
          </w:p>
        </w:tc>
        <w:tc>
          <w:tcPr>
            <w:tcW w:w="1058" w:type="dxa"/>
            <w:vAlign w:val="center"/>
          </w:tcPr>
          <w:p>
            <w:pPr>
              <w:jc w:val="center"/>
              <w:rPr>
                <w:rFonts w:eastAsia="仿宋_GB2312"/>
                <w:color w:val="000000"/>
                <w:sz w:val="28"/>
                <w:szCs w:val="28"/>
                <w:highlight w:val="none"/>
              </w:rPr>
            </w:pPr>
          </w:p>
        </w:tc>
        <w:tc>
          <w:tcPr>
            <w:tcW w:w="88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02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8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020"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92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0"/>
              <w:keepNext/>
              <w:pageBreakBefore w:val="0"/>
              <w:kinsoku/>
              <w:wordWrap/>
              <w:overflowPunct/>
              <w:topLinePunct w:val="0"/>
              <w:bidi w:val="0"/>
              <w:snapToGrid/>
              <w:spacing w:line="440" w:lineRule="exact"/>
              <w:ind w:left="63" w:leftChars="0" w:right="63" w:rightChars="0"/>
              <w:jc w:val="center"/>
              <w:textAlignment w:val="auto"/>
              <w:rPr>
                <w:rFonts w:hint="default" w:eastAsia="仿宋_GB2312"/>
                <w:color w:val="000000"/>
                <w:sz w:val="28"/>
                <w:szCs w:val="28"/>
                <w:highlight w:val="none"/>
                <w:lang w:val="en-US" w:eastAsia="zh-CN"/>
              </w:rPr>
            </w:pPr>
          </w:p>
        </w:tc>
        <w:tc>
          <w:tcPr>
            <w:tcW w:w="1418" w:type="dxa"/>
            <w:vAlign w:val="center"/>
          </w:tcPr>
          <w:p>
            <w:pPr>
              <w:jc w:val="center"/>
              <w:rPr>
                <w:rFonts w:eastAsia="仿宋_GB2312"/>
                <w:color w:val="000000"/>
                <w:sz w:val="28"/>
                <w:szCs w:val="28"/>
                <w:highlight w:val="none"/>
              </w:rPr>
            </w:pPr>
          </w:p>
        </w:tc>
        <w:tc>
          <w:tcPr>
            <w:tcW w:w="850" w:type="dxa"/>
            <w:vAlign w:val="center"/>
          </w:tcPr>
          <w:p>
            <w:pPr>
              <w:jc w:val="center"/>
              <w:rPr>
                <w:rFonts w:eastAsia="仿宋_GB2312"/>
                <w:color w:val="000000"/>
                <w:sz w:val="28"/>
                <w:szCs w:val="28"/>
                <w:highlight w:val="none"/>
              </w:rPr>
            </w:pPr>
          </w:p>
        </w:tc>
        <w:tc>
          <w:tcPr>
            <w:tcW w:w="1058" w:type="dxa"/>
            <w:vAlign w:val="center"/>
          </w:tcPr>
          <w:p>
            <w:pPr>
              <w:jc w:val="center"/>
              <w:rPr>
                <w:rFonts w:eastAsia="仿宋_GB2312"/>
                <w:color w:val="000000"/>
                <w:sz w:val="28"/>
                <w:szCs w:val="28"/>
                <w:highlight w:val="none"/>
              </w:rPr>
            </w:pPr>
          </w:p>
        </w:tc>
        <w:tc>
          <w:tcPr>
            <w:tcW w:w="8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921"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top"/>
          </w:tcPr>
          <w:p>
            <w:pPr>
              <w:pageBreakBefore w:val="0"/>
              <w:kinsoku/>
              <w:wordWrap/>
              <w:overflowPunct/>
              <w:topLinePunct w:val="0"/>
              <w:bidi w:val="0"/>
              <w:snapToGrid/>
              <w:spacing w:line="440" w:lineRule="exact"/>
              <w:jc w:val="center"/>
              <w:textAlignment w:val="auto"/>
              <w:rPr>
                <w:rFonts w:hint="default" w:eastAsia="仿宋_GB2312"/>
                <w:color w:val="000000"/>
                <w:sz w:val="28"/>
                <w:szCs w:val="28"/>
                <w:highlight w:val="none"/>
                <w:lang w:val="en-US" w:eastAsia="zh-CN"/>
              </w:rPr>
            </w:pPr>
          </w:p>
        </w:tc>
        <w:tc>
          <w:tcPr>
            <w:tcW w:w="1418" w:type="dxa"/>
            <w:vAlign w:val="center"/>
          </w:tcPr>
          <w:p>
            <w:pPr>
              <w:jc w:val="center"/>
              <w:rPr>
                <w:rFonts w:eastAsia="仿宋_GB2312"/>
                <w:color w:val="000000"/>
                <w:sz w:val="28"/>
                <w:szCs w:val="28"/>
                <w:highlight w:val="none"/>
              </w:rPr>
            </w:pPr>
          </w:p>
        </w:tc>
        <w:tc>
          <w:tcPr>
            <w:tcW w:w="850" w:type="dxa"/>
            <w:vAlign w:val="center"/>
          </w:tcPr>
          <w:p>
            <w:pPr>
              <w:jc w:val="center"/>
              <w:rPr>
                <w:rFonts w:eastAsia="仿宋_GB2312"/>
                <w:color w:val="000000"/>
                <w:sz w:val="28"/>
                <w:szCs w:val="28"/>
                <w:highlight w:val="none"/>
              </w:rPr>
            </w:pPr>
          </w:p>
        </w:tc>
        <w:tc>
          <w:tcPr>
            <w:tcW w:w="1058" w:type="dxa"/>
            <w:vAlign w:val="center"/>
          </w:tcPr>
          <w:p>
            <w:pPr>
              <w:jc w:val="center"/>
              <w:rPr>
                <w:rFonts w:eastAsia="仿宋_GB2312"/>
                <w:color w:val="000000"/>
                <w:sz w:val="28"/>
                <w:szCs w:val="28"/>
                <w:highlight w:val="none"/>
              </w:rPr>
            </w:pPr>
          </w:p>
        </w:tc>
        <w:tc>
          <w:tcPr>
            <w:tcW w:w="8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921"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top"/>
          </w:tcPr>
          <w:p>
            <w:pPr>
              <w:pageBreakBefore w:val="0"/>
              <w:kinsoku/>
              <w:wordWrap/>
              <w:overflowPunct/>
              <w:topLinePunct w:val="0"/>
              <w:bidi w:val="0"/>
              <w:snapToGrid/>
              <w:spacing w:line="440" w:lineRule="exact"/>
              <w:jc w:val="center"/>
              <w:textAlignment w:val="auto"/>
              <w:rPr>
                <w:rFonts w:hint="default" w:eastAsia="仿宋_GB2312"/>
                <w:color w:val="000000"/>
                <w:sz w:val="28"/>
                <w:szCs w:val="28"/>
                <w:highlight w:val="none"/>
                <w:lang w:val="en-US" w:eastAsia="zh-CN"/>
              </w:rPr>
            </w:pPr>
          </w:p>
        </w:tc>
        <w:tc>
          <w:tcPr>
            <w:tcW w:w="1418" w:type="dxa"/>
            <w:vAlign w:val="center"/>
          </w:tcPr>
          <w:p>
            <w:pPr>
              <w:jc w:val="center"/>
              <w:rPr>
                <w:rFonts w:eastAsia="仿宋_GB2312"/>
                <w:color w:val="000000"/>
                <w:sz w:val="28"/>
                <w:szCs w:val="28"/>
                <w:highlight w:val="none"/>
              </w:rPr>
            </w:pPr>
          </w:p>
        </w:tc>
        <w:tc>
          <w:tcPr>
            <w:tcW w:w="850" w:type="dxa"/>
            <w:vAlign w:val="center"/>
          </w:tcPr>
          <w:p>
            <w:pPr>
              <w:jc w:val="center"/>
              <w:rPr>
                <w:rFonts w:eastAsia="仿宋_GB2312"/>
                <w:color w:val="000000"/>
                <w:sz w:val="28"/>
                <w:szCs w:val="28"/>
                <w:highlight w:val="none"/>
              </w:rPr>
            </w:pPr>
          </w:p>
        </w:tc>
        <w:tc>
          <w:tcPr>
            <w:tcW w:w="1058" w:type="dxa"/>
            <w:vAlign w:val="center"/>
          </w:tcPr>
          <w:p>
            <w:pPr>
              <w:jc w:val="center"/>
              <w:rPr>
                <w:rFonts w:eastAsia="仿宋_GB2312"/>
                <w:color w:val="000000"/>
                <w:sz w:val="28"/>
                <w:szCs w:val="28"/>
                <w:highlight w:val="none"/>
              </w:rPr>
            </w:pPr>
          </w:p>
        </w:tc>
        <w:tc>
          <w:tcPr>
            <w:tcW w:w="8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921"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162" w:type="dxa"/>
            <w:vAlign w:val="top"/>
          </w:tcPr>
          <w:p>
            <w:pPr>
              <w:pageBreakBefore w:val="0"/>
              <w:kinsoku/>
              <w:wordWrap/>
              <w:overflowPunct/>
              <w:topLinePunct w:val="0"/>
              <w:bidi w:val="0"/>
              <w:snapToGrid/>
              <w:spacing w:line="440" w:lineRule="exact"/>
              <w:jc w:val="center"/>
              <w:textAlignment w:val="auto"/>
              <w:rPr>
                <w:rFonts w:hint="default" w:eastAsia="仿宋_GB2312"/>
                <w:color w:val="000000"/>
                <w:sz w:val="28"/>
                <w:szCs w:val="28"/>
                <w:highlight w:val="none"/>
                <w:lang w:val="en-US" w:eastAsia="zh-CN"/>
              </w:rPr>
            </w:pPr>
          </w:p>
        </w:tc>
        <w:tc>
          <w:tcPr>
            <w:tcW w:w="1418" w:type="dxa"/>
            <w:vAlign w:val="center"/>
          </w:tcPr>
          <w:p>
            <w:pPr>
              <w:jc w:val="center"/>
              <w:rPr>
                <w:rFonts w:eastAsia="仿宋_GB2312"/>
                <w:color w:val="000000"/>
                <w:sz w:val="28"/>
                <w:szCs w:val="28"/>
                <w:highlight w:val="none"/>
              </w:rPr>
            </w:pPr>
          </w:p>
        </w:tc>
        <w:tc>
          <w:tcPr>
            <w:tcW w:w="850" w:type="dxa"/>
            <w:vAlign w:val="center"/>
          </w:tcPr>
          <w:p>
            <w:pPr>
              <w:jc w:val="center"/>
              <w:rPr>
                <w:rFonts w:eastAsia="仿宋_GB2312"/>
                <w:color w:val="000000"/>
                <w:sz w:val="28"/>
                <w:szCs w:val="28"/>
                <w:highlight w:val="none"/>
              </w:rPr>
            </w:pPr>
          </w:p>
        </w:tc>
        <w:tc>
          <w:tcPr>
            <w:tcW w:w="1058" w:type="dxa"/>
            <w:vAlign w:val="center"/>
          </w:tcPr>
          <w:p>
            <w:pPr>
              <w:jc w:val="center"/>
              <w:rPr>
                <w:rFonts w:eastAsia="仿宋_GB2312"/>
                <w:color w:val="000000"/>
                <w:sz w:val="28"/>
                <w:szCs w:val="28"/>
                <w:highlight w:val="none"/>
              </w:rPr>
            </w:pPr>
          </w:p>
        </w:tc>
        <w:tc>
          <w:tcPr>
            <w:tcW w:w="8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921"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18"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8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58"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8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921"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18"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8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58"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8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921"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18"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8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58"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8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921"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18"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8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58"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8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921"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18"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85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58"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8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48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1020"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c>
          <w:tcPr>
            <w:tcW w:w="921" w:type="dxa"/>
          </w:tcPr>
          <w:p>
            <w:pPr>
              <w:pageBreakBefore w:val="0"/>
              <w:kinsoku/>
              <w:wordWrap/>
              <w:overflowPunct/>
              <w:topLinePunct w:val="0"/>
              <w:bidi w:val="0"/>
              <w:snapToGrid/>
              <w:spacing w:line="440" w:lineRule="exact"/>
              <w:textAlignment w:val="auto"/>
              <w:rPr>
                <w:rFonts w:eastAsia="仿宋_GB2312"/>
                <w:color w:val="000000"/>
                <w:sz w:val="28"/>
                <w:szCs w:val="28"/>
                <w:highlight w:val="none"/>
              </w:rPr>
            </w:pPr>
          </w:p>
        </w:tc>
      </w:tr>
    </w:tbl>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textAlignment w:val="auto"/>
        <w:rPr>
          <w:rFonts w:ascii="Times New Roman" w:hAnsi="Times New Roman" w:eastAsia="黑体"/>
          <w:color w:val="000000"/>
          <w:sz w:val="28"/>
          <w:szCs w:val="28"/>
          <w:highlight w:val="none"/>
        </w:rPr>
      </w:pPr>
      <w:r>
        <w:rPr>
          <w:rFonts w:ascii="Times New Roman" w:hAnsi="Times New Roman" w:eastAsia="仿宋_GB2312"/>
          <w:color w:val="000000"/>
          <w:sz w:val="28"/>
          <w:szCs w:val="28"/>
          <w:highlight w:val="none"/>
        </w:rPr>
        <w:t>附</w:t>
      </w:r>
      <w:bookmarkStart w:id="682" w:name="_Toc296891268"/>
      <w:bookmarkStart w:id="683" w:name="_Toc296346729"/>
      <w:bookmarkStart w:id="684" w:name="_Toc267261699"/>
      <w:bookmarkStart w:id="685" w:name="_Toc296503228"/>
      <w:bookmarkStart w:id="686" w:name="_Toc296944567"/>
      <w:bookmarkStart w:id="687" w:name="_Toc296891056"/>
      <w:bookmarkStart w:id="688" w:name="_Toc296347227"/>
      <w:r>
        <w:rPr>
          <w:rFonts w:ascii="Times New Roman" w:hAnsi="Times New Roman" w:eastAsia="仿宋_GB2312"/>
          <w:color w:val="000000"/>
          <w:sz w:val="28"/>
          <w:szCs w:val="28"/>
          <w:highlight w:val="none"/>
        </w:rPr>
        <w:t>件6：</w:t>
      </w:r>
    </w:p>
    <w:bookmarkEnd w:id="682"/>
    <w:bookmarkEnd w:id="683"/>
    <w:bookmarkEnd w:id="684"/>
    <w:bookmarkEnd w:id="685"/>
    <w:bookmarkEnd w:id="686"/>
    <w:bookmarkEnd w:id="687"/>
    <w:bookmarkEnd w:id="688"/>
    <w:p>
      <w:pPr>
        <w:pageBreakBefore w:val="0"/>
        <w:kinsoku/>
        <w:wordWrap/>
        <w:overflowPunct/>
        <w:topLinePunct w:val="0"/>
        <w:bidi w:val="0"/>
        <w:snapToGrid/>
        <w:spacing w:before="159" w:beforeLines="50" w:after="159" w:afterLines="50" w:line="440" w:lineRule="exact"/>
        <w:jc w:val="center"/>
        <w:textAlignment w:val="auto"/>
        <w:rPr>
          <w:rFonts w:ascii="Times New Roman" w:hAnsi="Times New Roman" w:eastAsia="黑体"/>
          <w:color w:val="000000"/>
          <w:sz w:val="24"/>
          <w:szCs w:val="24"/>
          <w:highlight w:val="none"/>
        </w:rPr>
      </w:pPr>
      <w:r>
        <w:rPr>
          <w:rFonts w:ascii="Times New Roman" w:hAnsi="Times New Roman" w:eastAsia="黑体"/>
          <w:color w:val="000000"/>
          <w:sz w:val="24"/>
          <w:szCs w:val="24"/>
          <w:highlight w:val="none"/>
        </w:rPr>
        <w:t>承包人主要施工管理人员表</w:t>
      </w:r>
    </w:p>
    <w:tbl>
      <w:tblPr>
        <w:tblStyle w:val="25"/>
        <w:tblW w:w="991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91"/>
        <w:gridCol w:w="1433"/>
        <w:gridCol w:w="1146"/>
        <w:gridCol w:w="1146"/>
        <w:gridCol w:w="43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891"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4"/>
                <w:szCs w:val="24"/>
                <w:highlight w:val="none"/>
              </w:rPr>
            </w:pPr>
            <w:r>
              <w:rPr>
                <w:rFonts w:eastAsia="仿宋_GB2312"/>
                <w:color w:val="000000"/>
                <w:sz w:val="24"/>
                <w:szCs w:val="24"/>
                <w:highlight w:val="none"/>
              </w:rPr>
              <w:t>名    称</w:t>
            </w:r>
          </w:p>
        </w:tc>
        <w:tc>
          <w:tcPr>
            <w:tcW w:w="1433"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4"/>
                <w:szCs w:val="24"/>
                <w:highlight w:val="none"/>
              </w:rPr>
            </w:pPr>
            <w:r>
              <w:rPr>
                <w:rFonts w:eastAsia="仿宋_GB2312"/>
                <w:color w:val="000000"/>
                <w:sz w:val="24"/>
                <w:szCs w:val="24"/>
                <w:highlight w:val="none"/>
              </w:rPr>
              <w:t>姓名</w:t>
            </w:r>
          </w:p>
        </w:tc>
        <w:tc>
          <w:tcPr>
            <w:tcW w:w="1146"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4"/>
                <w:szCs w:val="24"/>
                <w:highlight w:val="none"/>
              </w:rPr>
            </w:pPr>
            <w:r>
              <w:rPr>
                <w:rFonts w:eastAsia="仿宋_GB2312"/>
                <w:color w:val="000000"/>
                <w:sz w:val="24"/>
                <w:szCs w:val="24"/>
                <w:highlight w:val="none"/>
              </w:rPr>
              <w:t>职务</w:t>
            </w:r>
          </w:p>
        </w:tc>
        <w:tc>
          <w:tcPr>
            <w:tcW w:w="1146"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4"/>
                <w:szCs w:val="24"/>
                <w:highlight w:val="none"/>
              </w:rPr>
            </w:pPr>
            <w:r>
              <w:rPr>
                <w:rFonts w:eastAsia="仿宋_GB2312"/>
                <w:color w:val="000000"/>
                <w:sz w:val="24"/>
                <w:szCs w:val="24"/>
                <w:highlight w:val="none"/>
              </w:rPr>
              <w:t>职称</w:t>
            </w:r>
          </w:p>
        </w:tc>
        <w:tc>
          <w:tcPr>
            <w:tcW w:w="4301" w:type="dxa"/>
            <w:tcBorders>
              <w:top w:val="single" w:color="auto" w:sz="12" w:space="0"/>
              <w:bottom w:val="doub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0" w:hRule="atLeast"/>
          <w:jc w:val="center"/>
        </w:trPr>
        <w:tc>
          <w:tcPr>
            <w:tcW w:w="9917" w:type="dxa"/>
            <w:gridSpan w:val="5"/>
            <w:tcBorders>
              <w:top w:val="doub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1891" w:type="dxa"/>
            <w:tcBorders>
              <w:top w:val="nil"/>
              <w:bottom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项目主管</w:t>
            </w:r>
          </w:p>
        </w:tc>
        <w:tc>
          <w:tcPr>
            <w:tcW w:w="1433" w:type="dxa"/>
            <w:tcBorders>
              <w:top w:val="nil"/>
            </w:tcBorders>
            <w:vAlign w:val="center"/>
          </w:tcPr>
          <w:p>
            <w:pPr>
              <w:pStyle w:val="10"/>
              <w:keepNext/>
              <w:pageBreakBefore w:val="0"/>
              <w:kinsoku/>
              <w:wordWrap/>
              <w:overflowPunct/>
              <w:topLinePunct w:val="0"/>
              <w:bidi w:val="0"/>
              <w:snapToGrid/>
              <w:spacing w:line="440" w:lineRule="exact"/>
              <w:ind w:left="63" w:right="63"/>
              <w:jc w:val="both"/>
              <w:textAlignment w:val="auto"/>
              <w:rPr>
                <w:rFonts w:hint="eastAsia" w:eastAsia="仿宋_GB2312"/>
                <w:color w:val="000000"/>
                <w:sz w:val="24"/>
                <w:szCs w:val="24"/>
                <w:highlight w:val="none"/>
                <w:lang w:eastAsia="zh-CN"/>
              </w:rPr>
            </w:pPr>
          </w:p>
        </w:tc>
        <w:tc>
          <w:tcPr>
            <w:tcW w:w="1146" w:type="dxa"/>
            <w:tcBorders>
              <w:top w:val="nil"/>
            </w:tcBorders>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4"/>
                <w:szCs w:val="24"/>
                <w:highlight w:val="none"/>
                <w:lang w:eastAsia="zh-CN"/>
              </w:rPr>
            </w:pPr>
          </w:p>
        </w:tc>
        <w:tc>
          <w:tcPr>
            <w:tcW w:w="1146" w:type="dxa"/>
            <w:tcBorders>
              <w:top w:val="nil"/>
            </w:tcBorders>
            <w:vAlign w:val="center"/>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4"/>
                <w:szCs w:val="24"/>
                <w:highlight w:val="none"/>
                <w:lang w:eastAsia="zh-CN"/>
              </w:rPr>
            </w:pPr>
          </w:p>
        </w:tc>
        <w:tc>
          <w:tcPr>
            <w:tcW w:w="4301" w:type="dxa"/>
            <w:tcBorders>
              <w:top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88" w:hRule="atLeast"/>
          <w:jc w:val="center"/>
        </w:trPr>
        <w:tc>
          <w:tcPr>
            <w:tcW w:w="1891" w:type="dxa"/>
            <w:vMerge w:val="restart"/>
            <w:tcBorders>
              <w:top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其他人员</w:t>
            </w:r>
          </w:p>
        </w:tc>
        <w:tc>
          <w:tcPr>
            <w:tcW w:w="1433" w:type="dxa"/>
            <w:vAlign w:val="center"/>
          </w:tcPr>
          <w:p>
            <w:pPr>
              <w:pStyle w:val="10"/>
              <w:keepNext/>
              <w:pageBreakBefore w:val="0"/>
              <w:kinsoku/>
              <w:wordWrap/>
              <w:overflowPunct/>
              <w:topLinePunct w:val="0"/>
              <w:bidi w:val="0"/>
              <w:snapToGrid/>
              <w:spacing w:line="440" w:lineRule="exact"/>
              <w:ind w:left="63" w:leftChars="0" w:right="63" w:rightChars="0"/>
              <w:textAlignment w:val="auto"/>
              <w:rPr>
                <w:rFonts w:hint="eastAsia" w:eastAsia="仿宋_GB2312"/>
                <w:color w:val="000000"/>
                <w:sz w:val="24"/>
                <w:szCs w:val="24"/>
                <w:highlight w:val="none"/>
                <w:lang w:eastAsia="zh-CN"/>
              </w:rPr>
            </w:pPr>
          </w:p>
        </w:tc>
        <w:tc>
          <w:tcPr>
            <w:tcW w:w="1146" w:type="dxa"/>
            <w:vAlign w:val="center"/>
          </w:tcPr>
          <w:p>
            <w:pPr>
              <w:pStyle w:val="10"/>
              <w:keepNext/>
              <w:pageBreakBefore w:val="0"/>
              <w:kinsoku/>
              <w:wordWrap/>
              <w:overflowPunct/>
              <w:topLinePunct w:val="0"/>
              <w:bidi w:val="0"/>
              <w:snapToGrid/>
              <w:spacing w:line="440" w:lineRule="exact"/>
              <w:ind w:right="63" w:rightChars="0"/>
              <w:jc w:val="center"/>
              <w:textAlignment w:val="auto"/>
              <w:rPr>
                <w:rFonts w:hint="eastAsia" w:eastAsia="仿宋_GB2312"/>
                <w:color w:val="000000"/>
                <w:sz w:val="24"/>
                <w:szCs w:val="24"/>
                <w:highlight w:val="none"/>
                <w:lang w:eastAsia="zh-CN"/>
              </w:rPr>
            </w:pPr>
          </w:p>
        </w:tc>
        <w:tc>
          <w:tcPr>
            <w:tcW w:w="1146" w:type="dxa"/>
            <w:vAlign w:val="center"/>
          </w:tcPr>
          <w:p>
            <w:pPr>
              <w:pStyle w:val="10"/>
              <w:keepNext/>
              <w:pageBreakBefore w:val="0"/>
              <w:kinsoku/>
              <w:wordWrap/>
              <w:overflowPunct/>
              <w:topLinePunct w:val="0"/>
              <w:bidi w:val="0"/>
              <w:snapToGrid/>
              <w:spacing w:line="440" w:lineRule="exact"/>
              <w:ind w:left="63" w:leftChars="0" w:right="63" w:rightChars="0"/>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1891" w:type="dxa"/>
            <w:vMerge w:val="continue"/>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4"/>
                <w:szCs w:val="24"/>
                <w:highlight w:val="none"/>
                <w:lang w:eastAsia="zh-CN"/>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1891" w:type="dxa"/>
            <w:vMerge w:val="continue"/>
            <w:tcBorders>
              <w:bottom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0" w:hRule="atLeast"/>
          <w:jc w:val="center"/>
        </w:trPr>
        <w:tc>
          <w:tcPr>
            <w:tcW w:w="9917" w:type="dxa"/>
            <w:gridSpan w:val="5"/>
            <w:tcBorders>
              <w:top w:val="sing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1891" w:type="dxa"/>
            <w:tcBorders>
              <w:top w:val="sing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项目经理</w:t>
            </w: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4"/>
                <w:szCs w:val="24"/>
                <w:highlight w:val="none"/>
                <w:lang w:eastAsia="zh-CN"/>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1891" w:type="dxa"/>
            <w:tcBorders>
              <w:top w:val="sing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项目副经理</w:t>
            </w: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4"/>
                <w:szCs w:val="24"/>
                <w:highlight w:val="none"/>
                <w:lang w:eastAsia="zh-CN"/>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1891" w:type="dxa"/>
            <w:tcBorders>
              <w:top w:val="sing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技术负责人</w:t>
            </w: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4"/>
                <w:szCs w:val="24"/>
                <w:highlight w:val="none"/>
                <w:lang w:eastAsia="zh-CN"/>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4"/>
                <w:szCs w:val="24"/>
                <w:highlight w:val="none"/>
                <w:lang w:eastAsia="zh-CN"/>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1891" w:type="dxa"/>
            <w:tcBorders>
              <w:top w:val="sing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造价管理</w:t>
            </w: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4"/>
                <w:szCs w:val="24"/>
                <w:highlight w:val="none"/>
                <w:lang w:eastAsia="zh-CN"/>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88" w:hRule="atLeast"/>
          <w:jc w:val="center"/>
        </w:trPr>
        <w:tc>
          <w:tcPr>
            <w:tcW w:w="1891" w:type="dxa"/>
            <w:tcBorders>
              <w:top w:val="sing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质量管理</w:t>
            </w: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4"/>
                <w:szCs w:val="24"/>
                <w:highlight w:val="none"/>
                <w:lang w:eastAsia="zh-CN"/>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0" w:hRule="atLeast"/>
          <w:jc w:val="center"/>
        </w:trPr>
        <w:tc>
          <w:tcPr>
            <w:tcW w:w="1891" w:type="dxa"/>
            <w:tcBorders>
              <w:top w:val="sing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材料管理</w:t>
            </w: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4"/>
                <w:szCs w:val="24"/>
                <w:highlight w:val="none"/>
                <w:lang w:eastAsia="zh-CN"/>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1891" w:type="dxa"/>
            <w:tcBorders>
              <w:top w:val="sing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计划管理</w:t>
            </w: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4"/>
                <w:szCs w:val="24"/>
                <w:highlight w:val="none"/>
                <w:lang w:eastAsia="zh-CN"/>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0" w:hRule="atLeast"/>
          <w:jc w:val="center"/>
        </w:trPr>
        <w:tc>
          <w:tcPr>
            <w:tcW w:w="1891" w:type="dxa"/>
            <w:tcBorders>
              <w:top w:val="single" w:color="auto" w:sz="6" w:space="0"/>
              <w:bottom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安全管理</w:t>
            </w: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4"/>
                <w:szCs w:val="24"/>
                <w:highlight w:val="none"/>
                <w:lang w:eastAsia="zh-CN"/>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1891" w:type="dxa"/>
            <w:vMerge w:val="restart"/>
            <w:tcBorders>
              <w:top w:val="single" w:color="auto" w:sz="6" w:space="0"/>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r>
              <w:rPr>
                <w:rFonts w:eastAsia="仿宋_GB2312"/>
                <w:color w:val="000000"/>
                <w:sz w:val="24"/>
                <w:szCs w:val="24"/>
                <w:highlight w:val="none"/>
              </w:rPr>
              <w:t>其他人员</w:t>
            </w: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1891" w:type="dxa"/>
            <w:vMerge w:val="continue"/>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433" w:type="dxa"/>
            <w:tcBorders>
              <w:bottom w:val="nil"/>
            </w:tcBorders>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4"/>
                <w:szCs w:val="24"/>
                <w:highlight w:val="none"/>
                <w:lang w:eastAsia="zh-CN"/>
              </w:rPr>
            </w:pPr>
          </w:p>
        </w:tc>
        <w:tc>
          <w:tcPr>
            <w:tcW w:w="1146" w:type="dxa"/>
            <w:tcBorders>
              <w:bottom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tcBorders>
              <w:bottom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tcBorders>
              <w:bottom w:val="nil"/>
            </w:tcBorders>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1891" w:type="dxa"/>
            <w:vMerge w:val="continue"/>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hint="eastAsia" w:eastAsia="仿宋_GB2312"/>
                <w:color w:val="000000"/>
                <w:sz w:val="24"/>
                <w:szCs w:val="24"/>
                <w:highlight w:val="none"/>
                <w:lang w:eastAsia="zh-CN"/>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1891" w:type="dxa"/>
            <w:vMerge w:val="continue"/>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433"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1146"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c>
          <w:tcPr>
            <w:tcW w:w="4301" w:type="dxa"/>
            <w:vAlign w:val="center"/>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4"/>
                <w:szCs w:val="24"/>
                <w:highlight w:val="none"/>
              </w:rPr>
            </w:pPr>
          </w:p>
        </w:tc>
      </w:tr>
    </w:tbl>
    <w:p>
      <w:pPr>
        <w:pageBreakBefore w:val="0"/>
        <w:kinsoku/>
        <w:wordWrap/>
        <w:overflowPunct/>
        <w:topLinePunct w:val="0"/>
        <w:bidi w:val="0"/>
        <w:snapToGrid/>
        <w:spacing w:line="440" w:lineRule="exact"/>
        <w:textAlignment w:val="auto"/>
        <w:rPr>
          <w:rFonts w:ascii="Times New Roman" w:hAnsi="Times New Roman" w:eastAsia="黑体"/>
          <w:color w:val="000000"/>
          <w:sz w:val="28"/>
          <w:szCs w:val="28"/>
          <w:highlight w:val="none"/>
        </w:rPr>
      </w:pPr>
      <w:r>
        <w:rPr>
          <w:rFonts w:ascii="Times New Roman" w:hAnsi="Times New Roman" w:eastAsia="仿宋_GB2312"/>
          <w:color w:val="000000"/>
          <w:sz w:val="28"/>
          <w:szCs w:val="28"/>
          <w:highlight w:val="none"/>
        </w:rPr>
        <w:br w:type="page"/>
      </w:r>
      <w:r>
        <w:rPr>
          <w:rFonts w:ascii="Times New Roman" w:hAnsi="Times New Roman" w:eastAsia="仿宋_GB2312"/>
          <w:color w:val="000000"/>
          <w:sz w:val="28"/>
          <w:szCs w:val="28"/>
          <w:highlight w:val="none"/>
        </w:rPr>
        <w:t>附</w:t>
      </w:r>
      <w:bookmarkStart w:id="689" w:name="_Toc296891269"/>
      <w:bookmarkStart w:id="690" w:name="_Toc296503229"/>
      <w:bookmarkStart w:id="691" w:name="_Toc296891057"/>
      <w:bookmarkStart w:id="692" w:name="_Toc296347228"/>
      <w:bookmarkStart w:id="693" w:name="_Toc296944568"/>
      <w:bookmarkStart w:id="694" w:name="_Toc296346730"/>
      <w:r>
        <w:rPr>
          <w:rFonts w:ascii="Times New Roman" w:hAnsi="Times New Roman" w:eastAsia="仿宋_GB2312"/>
          <w:color w:val="000000"/>
          <w:sz w:val="28"/>
          <w:szCs w:val="28"/>
          <w:highlight w:val="none"/>
        </w:rPr>
        <w:t>件7：</w:t>
      </w:r>
    </w:p>
    <w:bookmarkEnd w:id="689"/>
    <w:bookmarkEnd w:id="690"/>
    <w:bookmarkEnd w:id="691"/>
    <w:bookmarkEnd w:id="692"/>
    <w:bookmarkEnd w:id="693"/>
    <w:bookmarkEnd w:id="694"/>
    <w:p>
      <w:pPr>
        <w:pageBreakBefore w:val="0"/>
        <w:kinsoku/>
        <w:wordWrap/>
        <w:overflowPunct/>
        <w:topLinePunct w:val="0"/>
        <w:bidi w:val="0"/>
        <w:snapToGrid/>
        <w:spacing w:before="159" w:beforeLines="50" w:after="159" w:afterLines="50" w:line="440" w:lineRule="exact"/>
        <w:jc w:val="center"/>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履约担保</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ab/>
      </w:r>
      <w:r>
        <w:rPr>
          <w:rFonts w:ascii="Times New Roman" w:hAnsi="Times New Roman" w:eastAsia="仿宋_GB2312"/>
          <w:color w:val="000000"/>
          <w:sz w:val="28"/>
          <w:szCs w:val="28"/>
          <w:highlight w:val="none"/>
        </w:rPr>
        <w:t>（发包人名称）：</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鉴于</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（发包人名称，以下简称“发包人”）与</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（承包人名称）（以下称“承包人”）于</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年</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月</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日就</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 xml:space="preserve">（工程名称）施工及有关事项协商一致共同签订《建设工程施工合同》。我方愿意无条件地、不可撤销地就承包人履行与你方签订的合同，向你方提供连带责任担保。 </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 担保金额人民币（大写）</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元（¥</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2. 担保有效期自你方与承包人签订的合同生效之日起至你方签发或应签发工程接收证书之日止。</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3. 在本担保有效期内，因承包人违反合同约定的义务给你方造成经济损失时，我方在收到你方以书面形式提出的在担保金额内的赔偿要求后，在7天内无条件支付。</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4. 你方和承包人按合同约定变更合同时，我方承担本担保规定的义务不变。</w:t>
      </w:r>
    </w:p>
    <w:p>
      <w:pPr>
        <w:pageBreakBefore w:val="0"/>
        <w:kinsoku/>
        <w:wordWrap/>
        <w:overflowPunct/>
        <w:topLinePunct w:val="0"/>
        <w:bidi w:val="0"/>
        <w:snapToGrid/>
        <w:spacing w:line="440" w:lineRule="exact"/>
        <w:ind w:firstLine="560" w:firstLineChars="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5. 因本保函发生的纠纷，可由双方协商解决，协商不成的，任何一方均可提请</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仲裁委员会仲裁。</w:t>
      </w:r>
    </w:p>
    <w:p>
      <w:pPr>
        <w:pageBreakBefore w:val="0"/>
        <w:kinsoku/>
        <w:wordWrap/>
        <w:overflowPunct/>
        <w:topLinePunct w:val="0"/>
        <w:bidi w:val="0"/>
        <w:snapToGrid/>
        <w:spacing w:line="440" w:lineRule="exact"/>
        <w:ind w:firstLine="560" w:firstLineChars="200"/>
        <w:textAlignment w:val="auto"/>
        <w:rPr>
          <w:rFonts w:hint="eastAsia"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6. 本保函自我方法定代表人（或其授权代理人）签字并加盖公章之日起生效。</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担 保 人：</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（盖单位章）</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法定代表人或其委托代理人：</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（签字）</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地    址：</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邮政编码：</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u w:val="single"/>
        </w:rPr>
      </w:pPr>
      <w:r>
        <w:rPr>
          <w:rFonts w:ascii="Times New Roman" w:hAnsi="Times New Roman" w:eastAsia="仿宋_GB2312"/>
          <w:color w:val="000000"/>
          <w:sz w:val="28"/>
          <w:szCs w:val="28"/>
          <w:highlight w:val="none"/>
        </w:rPr>
        <w:t>电    话：</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传    真：</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ind w:left="1899" w:hanging="1772" w:hangingChars="633"/>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xml:space="preserve">             </w:t>
      </w:r>
      <w:r>
        <w:rPr>
          <w:rFonts w:hint="eastAsia"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年</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月</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日</w:t>
      </w:r>
    </w:p>
    <w:p>
      <w:pPr>
        <w:pageBreakBefore w:val="0"/>
        <w:kinsoku/>
        <w:wordWrap/>
        <w:overflowPunct/>
        <w:topLinePunct w:val="0"/>
        <w:bidi w:val="0"/>
        <w:snapToGrid/>
        <w:spacing w:line="440" w:lineRule="exact"/>
        <w:textAlignment w:val="auto"/>
        <w:rPr>
          <w:rFonts w:ascii="Times New Roman" w:hAnsi="Times New Roman" w:eastAsia="黑体"/>
          <w:color w:val="000000"/>
          <w:sz w:val="28"/>
          <w:szCs w:val="28"/>
          <w:highlight w:val="none"/>
        </w:rPr>
      </w:pPr>
      <w:r>
        <w:rPr>
          <w:rFonts w:ascii="Times New Roman" w:hAnsi="Times New Roman" w:eastAsia="仿宋_GB2312"/>
          <w:color w:val="000000"/>
          <w:sz w:val="28"/>
          <w:szCs w:val="28"/>
          <w:highlight w:val="none"/>
        </w:rPr>
        <w:t>附</w:t>
      </w:r>
      <w:bookmarkStart w:id="695" w:name="_Toc296503233"/>
      <w:bookmarkStart w:id="696" w:name="_Toc296891061"/>
      <w:bookmarkStart w:id="697" w:name="_Toc296944572"/>
      <w:bookmarkStart w:id="698" w:name="_Toc296347232"/>
      <w:bookmarkStart w:id="699" w:name="_Toc296346734"/>
      <w:bookmarkStart w:id="700" w:name="_Toc296891273"/>
      <w:r>
        <w:rPr>
          <w:rFonts w:ascii="Times New Roman" w:hAnsi="Times New Roman" w:eastAsia="仿宋_GB2312"/>
          <w:color w:val="000000"/>
          <w:sz w:val="28"/>
          <w:szCs w:val="28"/>
          <w:highlight w:val="none"/>
        </w:rPr>
        <w:t>件</w:t>
      </w:r>
      <w:r>
        <w:rPr>
          <w:rFonts w:hint="eastAsia" w:ascii="Times New Roman" w:hAnsi="Times New Roman" w:eastAsia="仿宋_GB2312"/>
          <w:color w:val="000000"/>
          <w:sz w:val="28"/>
          <w:szCs w:val="28"/>
          <w:highlight w:val="none"/>
          <w:lang w:val="en-US" w:eastAsia="zh-CN"/>
        </w:rPr>
        <w:t>8</w:t>
      </w:r>
      <w:r>
        <w:rPr>
          <w:rFonts w:ascii="Times New Roman" w:hAnsi="Times New Roman" w:eastAsia="仿宋_GB2312"/>
          <w:color w:val="000000"/>
          <w:sz w:val="28"/>
          <w:szCs w:val="28"/>
          <w:highlight w:val="none"/>
        </w:rPr>
        <w:t xml:space="preserve">: </w:t>
      </w:r>
      <w:r>
        <w:rPr>
          <w:rFonts w:ascii="Times New Roman" w:hAnsi="Times New Roman" w:eastAsia="黑体"/>
          <w:color w:val="000000"/>
          <w:sz w:val="28"/>
          <w:szCs w:val="28"/>
          <w:highlight w:val="none"/>
        </w:rPr>
        <w:t xml:space="preserve"> </w:t>
      </w:r>
    </w:p>
    <w:bookmarkEnd w:id="695"/>
    <w:bookmarkEnd w:id="696"/>
    <w:bookmarkEnd w:id="697"/>
    <w:bookmarkEnd w:id="698"/>
    <w:bookmarkEnd w:id="699"/>
    <w:bookmarkEnd w:id="700"/>
    <w:p>
      <w:pPr>
        <w:pageBreakBefore w:val="0"/>
        <w:kinsoku/>
        <w:wordWrap/>
        <w:overflowPunct/>
        <w:topLinePunct w:val="0"/>
        <w:bidi w:val="0"/>
        <w:snapToGrid/>
        <w:spacing w:before="159" w:beforeLines="50" w:after="159" w:afterLines="50" w:line="440" w:lineRule="exact"/>
        <w:jc w:val="center"/>
        <w:textAlignment w:val="auto"/>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支付担保</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（承包人）：</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鉴于你方作为承包人已经与</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（发包人名称）（以下称</w:t>
      </w:r>
      <w:r>
        <w:rPr>
          <w:rFonts w:hint="eastAsia" w:ascii="Times New Roman" w:hAnsi="Times New Roman" w:eastAsia="仿宋_GB2312"/>
          <w:color w:val="000000"/>
          <w:sz w:val="28"/>
          <w:szCs w:val="28"/>
          <w:highlight w:val="none"/>
        </w:rPr>
        <w:t>“</w:t>
      </w:r>
      <w:r>
        <w:rPr>
          <w:rFonts w:ascii="Times New Roman" w:hAnsi="Times New Roman" w:eastAsia="仿宋_GB2312"/>
          <w:color w:val="000000"/>
          <w:sz w:val="28"/>
          <w:szCs w:val="28"/>
          <w:highlight w:val="none"/>
        </w:rPr>
        <w:t>发包人</w:t>
      </w:r>
      <w:r>
        <w:rPr>
          <w:rFonts w:hint="eastAsia" w:ascii="Times New Roman" w:hAnsi="Times New Roman" w:eastAsia="仿宋_GB2312"/>
          <w:color w:val="000000"/>
          <w:sz w:val="28"/>
          <w:szCs w:val="28"/>
          <w:highlight w:val="none"/>
        </w:rPr>
        <w:t>”</w:t>
      </w:r>
      <w:r>
        <w:rPr>
          <w:rFonts w:ascii="Times New Roman" w:hAnsi="Times New Roman" w:eastAsia="仿宋_GB2312"/>
          <w:color w:val="000000"/>
          <w:sz w:val="28"/>
          <w:szCs w:val="28"/>
          <w:highlight w:val="none"/>
        </w:rPr>
        <w:t>）于</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年</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月</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日签订了</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（工程名称）《建设工程施工合同》（以下称</w:t>
      </w:r>
      <w:r>
        <w:rPr>
          <w:rFonts w:hint="eastAsia" w:ascii="Times New Roman" w:hAnsi="Times New Roman" w:eastAsia="仿宋_GB2312"/>
          <w:color w:val="000000"/>
          <w:sz w:val="28"/>
          <w:szCs w:val="28"/>
          <w:highlight w:val="none"/>
        </w:rPr>
        <w:t>“</w:t>
      </w:r>
      <w:r>
        <w:rPr>
          <w:rFonts w:ascii="Times New Roman" w:hAnsi="Times New Roman" w:eastAsia="仿宋_GB2312"/>
          <w:color w:val="000000"/>
          <w:sz w:val="28"/>
          <w:szCs w:val="28"/>
          <w:highlight w:val="none"/>
        </w:rPr>
        <w:t>主合同</w:t>
      </w:r>
      <w:r>
        <w:rPr>
          <w:rFonts w:hint="eastAsia" w:ascii="Times New Roman" w:hAnsi="Times New Roman" w:eastAsia="仿宋_GB2312"/>
          <w:color w:val="000000"/>
          <w:sz w:val="28"/>
          <w:szCs w:val="28"/>
          <w:highlight w:val="none"/>
        </w:rPr>
        <w:t>”</w:t>
      </w:r>
      <w:r>
        <w:rPr>
          <w:rFonts w:ascii="Times New Roman" w:hAnsi="Times New Roman" w:eastAsia="仿宋_GB2312"/>
          <w:color w:val="000000"/>
          <w:sz w:val="28"/>
          <w:szCs w:val="28"/>
          <w:highlight w:val="none"/>
        </w:rPr>
        <w:t>），应发包人的申请，我方愿就发包人履行主合同约定的工程款支付义务以保证的方式向你方提供如下担保：</w:t>
      </w:r>
    </w:p>
    <w:p>
      <w:pPr>
        <w:pageBreakBefore w:val="0"/>
        <w:kinsoku/>
        <w:wordWrap/>
        <w:overflowPunct/>
        <w:topLinePunct w:val="0"/>
        <w:bidi w:val="0"/>
        <w:snapToGrid/>
        <w:spacing w:line="440" w:lineRule="exact"/>
        <w:ind w:firstLine="560" w:firstLineChars="200"/>
        <w:jc w:val="left"/>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一、保证的范围及保证金额</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1. </w:t>
      </w:r>
      <w:r>
        <w:rPr>
          <w:rFonts w:ascii="Times New Roman" w:hAnsi="Times New Roman" w:eastAsia="仿宋_GB2312"/>
          <w:color w:val="000000"/>
          <w:sz w:val="28"/>
          <w:szCs w:val="28"/>
          <w:highlight w:val="none"/>
        </w:rPr>
        <w:t>我方的保证范围是主合同约定的工程款。</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2. </w:t>
      </w:r>
      <w:r>
        <w:rPr>
          <w:rFonts w:ascii="Times New Roman" w:hAnsi="Times New Roman" w:eastAsia="仿宋_GB2312"/>
          <w:color w:val="000000"/>
          <w:sz w:val="28"/>
          <w:szCs w:val="28"/>
          <w:highlight w:val="none"/>
        </w:rPr>
        <w:t>本保函所称主合同约定的工程款是指主合同约定的除工程质量保证金以外的合同价款。</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3. </w:t>
      </w:r>
      <w:r>
        <w:rPr>
          <w:rFonts w:ascii="Times New Roman" w:hAnsi="Times New Roman" w:eastAsia="仿宋_GB2312"/>
          <w:color w:val="000000"/>
          <w:sz w:val="28"/>
          <w:szCs w:val="28"/>
          <w:highlight w:val="none"/>
        </w:rPr>
        <w:t>我方保证的金额是主合同约定的工程款的</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%，数额最高不超过人民币元（大写：</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line="440" w:lineRule="exact"/>
        <w:ind w:firstLine="560" w:firstLineChars="200"/>
        <w:jc w:val="left"/>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二、保证的方式及保证期间</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1. </w:t>
      </w:r>
      <w:r>
        <w:rPr>
          <w:rFonts w:ascii="Times New Roman" w:hAnsi="Times New Roman" w:eastAsia="仿宋_GB2312"/>
          <w:color w:val="000000"/>
          <w:sz w:val="28"/>
          <w:szCs w:val="28"/>
          <w:highlight w:val="none"/>
        </w:rPr>
        <w:t>我方保证的方式为：连带责任保证。</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2. </w:t>
      </w:r>
      <w:r>
        <w:rPr>
          <w:rFonts w:ascii="Times New Roman" w:hAnsi="Times New Roman" w:eastAsia="仿宋_GB2312"/>
          <w:color w:val="000000"/>
          <w:sz w:val="28"/>
          <w:szCs w:val="28"/>
          <w:highlight w:val="none"/>
        </w:rPr>
        <w:t>我方保证的期间为：自本合同生效之日起至主合同约定的工程款支付完毕之日后</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日内。</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3. </w:t>
      </w:r>
      <w:r>
        <w:rPr>
          <w:rFonts w:ascii="Times New Roman" w:hAnsi="Times New Roman" w:eastAsia="仿宋_GB2312"/>
          <w:color w:val="000000"/>
          <w:sz w:val="28"/>
          <w:szCs w:val="28"/>
          <w:highlight w:val="none"/>
        </w:rPr>
        <w:t>你方与发包人协议变更工程款支付日期的，经我方书面同意后，保证期间按照变更后的支付日期做相应调整。</w:t>
      </w:r>
    </w:p>
    <w:p>
      <w:pPr>
        <w:pageBreakBefore w:val="0"/>
        <w:kinsoku/>
        <w:wordWrap/>
        <w:overflowPunct/>
        <w:topLinePunct w:val="0"/>
        <w:bidi w:val="0"/>
        <w:snapToGrid/>
        <w:spacing w:line="440" w:lineRule="exact"/>
        <w:ind w:firstLine="560" w:firstLineChars="200"/>
        <w:jc w:val="left"/>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三、承担保证责任的形式</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我方承担保证责任的形式是代为支付。发包人未按主合同约定向你方支付工程款的，由我方在保证金额内代为支付。</w:t>
      </w:r>
    </w:p>
    <w:p>
      <w:pPr>
        <w:pageBreakBefore w:val="0"/>
        <w:kinsoku/>
        <w:wordWrap/>
        <w:overflowPunct/>
        <w:topLinePunct w:val="0"/>
        <w:bidi w:val="0"/>
        <w:snapToGrid/>
        <w:spacing w:line="440" w:lineRule="exact"/>
        <w:ind w:firstLine="560" w:firstLineChars="200"/>
        <w:jc w:val="left"/>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四、代偿的安排</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1. </w:t>
      </w:r>
      <w:r>
        <w:rPr>
          <w:rFonts w:ascii="Times New Roman" w:hAnsi="Times New Roman" w:eastAsia="仿宋_GB2312"/>
          <w:color w:val="000000"/>
          <w:sz w:val="28"/>
          <w:szCs w:val="28"/>
          <w:highlight w:val="none"/>
        </w:rPr>
        <w:t>你方要求我方承担保证责任的，应向我方发出书面索赔通知及发包人未支付主合同约定工程款的证明材料。索赔通知应写明要求索赔的金额，支付款项应到达的账号。</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2. </w:t>
      </w:r>
      <w:r>
        <w:rPr>
          <w:rFonts w:ascii="Times New Roman" w:hAnsi="Times New Roman" w:eastAsia="仿宋_GB2312"/>
          <w:color w:val="000000"/>
          <w:sz w:val="28"/>
          <w:szCs w:val="28"/>
          <w:highlight w:val="none"/>
        </w:rPr>
        <w:t>在出现你方与发包人因工程质量发生争议，发包人拒绝向你方支付工程款的情形时，你方要求我方履行保证责任代为支付的，需提供符合相应条件要求的工程质量检测机构出具的质量说明材料。</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3. </w:t>
      </w:r>
      <w:r>
        <w:rPr>
          <w:rFonts w:ascii="Times New Roman" w:hAnsi="Times New Roman" w:eastAsia="仿宋_GB2312"/>
          <w:color w:val="000000"/>
          <w:sz w:val="28"/>
          <w:szCs w:val="28"/>
          <w:highlight w:val="none"/>
        </w:rPr>
        <w:t>我方收到你方的书面索赔通知及相应的证明材料后７天内无条件支付。</w:t>
      </w:r>
    </w:p>
    <w:p>
      <w:pPr>
        <w:pageBreakBefore w:val="0"/>
        <w:kinsoku/>
        <w:wordWrap/>
        <w:overflowPunct/>
        <w:topLinePunct w:val="0"/>
        <w:bidi w:val="0"/>
        <w:snapToGrid/>
        <w:spacing w:line="440" w:lineRule="exact"/>
        <w:ind w:firstLine="560" w:firstLineChars="200"/>
        <w:jc w:val="left"/>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五、保证责任的解除</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1. </w:t>
      </w:r>
      <w:r>
        <w:rPr>
          <w:rFonts w:ascii="Times New Roman" w:hAnsi="Times New Roman" w:eastAsia="仿宋_GB2312"/>
          <w:color w:val="000000"/>
          <w:sz w:val="28"/>
          <w:szCs w:val="28"/>
          <w:highlight w:val="none"/>
        </w:rPr>
        <w:t>在本保函承诺的保证期间内，你方未书面向我方主张保证责任的，自保证期间届满次日起，我方保证责任解除。</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2. </w:t>
      </w:r>
      <w:r>
        <w:rPr>
          <w:rFonts w:ascii="Times New Roman" w:hAnsi="Times New Roman" w:eastAsia="仿宋_GB2312"/>
          <w:color w:val="000000"/>
          <w:sz w:val="28"/>
          <w:szCs w:val="28"/>
          <w:highlight w:val="none"/>
        </w:rPr>
        <w:t>发包人按主合同约定履行了工程款的全部支付义务的，自本保函承诺的保证期间届满次日起，我方保证责任解除。</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3. </w:t>
      </w:r>
      <w:r>
        <w:rPr>
          <w:rFonts w:ascii="Times New Roman" w:hAnsi="Times New Roman" w:eastAsia="仿宋_GB2312"/>
          <w:color w:val="000000"/>
          <w:sz w:val="28"/>
          <w:szCs w:val="28"/>
          <w:highlight w:val="none"/>
        </w:rPr>
        <w:t>我方按照本保函向你方履行保证责任所支付金额达到本保函保证金额时，自我方向你方支付（支付款项从我方账户划出）之日起，保证责任即解除。</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4. </w:t>
      </w:r>
      <w:r>
        <w:rPr>
          <w:rFonts w:ascii="Times New Roman" w:hAnsi="Times New Roman" w:eastAsia="仿宋_GB2312"/>
          <w:color w:val="000000"/>
          <w:sz w:val="28"/>
          <w:szCs w:val="28"/>
          <w:highlight w:val="none"/>
        </w:rPr>
        <w:t>按照法律法规的规定或出现应解除我方保证责任的其他情形的，我方在本保函项下的保证责任亦解除。</w:t>
      </w:r>
    </w:p>
    <w:p>
      <w:pPr>
        <w:pageBreakBefore w:val="0"/>
        <w:kinsoku/>
        <w:wordWrap/>
        <w:overflowPunct/>
        <w:topLinePunct w:val="0"/>
        <w:bidi w:val="0"/>
        <w:snapToGrid/>
        <w:spacing w:line="440" w:lineRule="exact"/>
        <w:jc w:val="left"/>
        <w:textAlignment w:val="auto"/>
        <w:rPr>
          <w:rFonts w:hint="eastAsia"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5. </w:t>
      </w:r>
      <w:r>
        <w:rPr>
          <w:rFonts w:ascii="Times New Roman" w:hAnsi="Times New Roman" w:eastAsia="仿宋_GB2312"/>
          <w:color w:val="000000"/>
          <w:sz w:val="28"/>
          <w:szCs w:val="28"/>
          <w:highlight w:val="none"/>
        </w:rPr>
        <w:t>我方解除保证责任后，你方应自我方保证责任解除之日起</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个工作日内，将本保函原件返还我方。</w:t>
      </w:r>
    </w:p>
    <w:p>
      <w:pPr>
        <w:pageBreakBefore w:val="0"/>
        <w:kinsoku/>
        <w:wordWrap/>
        <w:overflowPunct/>
        <w:topLinePunct w:val="0"/>
        <w:bidi w:val="0"/>
        <w:snapToGrid/>
        <w:spacing w:line="440" w:lineRule="exact"/>
        <w:ind w:firstLine="560" w:firstLineChars="200"/>
        <w:jc w:val="left"/>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六、免责条款</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1. </w:t>
      </w:r>
      <w:r>
        <w:rPr>
          <w:rFonts w:ascii="Times New Roman" w:hAnsi="Times New Roman" w:eastAsia="仿宋_GB2312"/>
          <w:color w:val="000000"/>
          <w:sz w:val="28"/>
          <w:szCs w:val="28"/>
          <w:highlight w:val="none"/>
        </w:rPr>
        <w:t>因你方违约致使发包人不能履行义务的，我方不承担保证责任。</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2. </w:t>
      </w:r>
      <w:r>
        <w:rPr>
          <w:rFonts w:ascii="Times New Roman" w:hAnsi="Times New Roman" w:eastAsia="仿宋_GB2312"/>
          <w:color w:val="000000"/>
          <w:sz w:val="28"/>
          <w:szCs w:val="28"/>
          <w:highlight w:val="none"/>
        </w:rPr>
        <w:t>依照法律法规的规定或你方与发包人的另行约定，免除发包人部分或全部义务的，我方亦免除其相应的保证责任。</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3. </w:t>
      </w:r>
      <w:r>
        <w:rPr>
          <w:rFonts w:ascii="Times New Roman" w:hAnsi="Times New Roman" w:eastAsia="仿宋_GB2312"/>
          <w:color w:val="000000"/>
          <w:sz w:val="28"/>
          <w:szCs w:val="28"/>
          <w:highlight w:val="none"/>
        </w:rPr>
        <w:t>你方与发包人协议变更主合同的，如加重发包人责任致使我方保证责任加重的，需征得我方书面同意，否则我方不再承担因此而加重部分的保证责任，但主合同第10条</w:t>
      </w:r>
      <w:r>
        <w:rPr>
          <w:rFonts w:hint="eastAsia" w:ascii="Times New Roman" w:hAnsi="Times New Roman" w:eastAsia="仿宋_GB2312"/>
          <w:color w:val="000000"/>
          <w:sz w:val="28"/>
          <w:szCs w:val="28"/>
          <w:highlight w:val="none"/>
        </w:rPr>
        <w:t>〔</w:t>
      </w:r>
      <w:r>
        <w:rPr>
          <w:rFonts w:ascii="Times New Roman" w:hAnsi="Times New Roman" w:eastAsia="仿宋_GB2312"/>
          <w:color w:val="000000"/>
          <w:sz w:val="28"/>
          <w:szCs w:val="28"/>
          <w:highlight w:val="none"/>
        </w:rPr>
        <w:t>变更</w:t>
      </w:r>
      <w:r>
        <w:rPr>
          <w:rFonts w:hint="eastAsia" w:ascii="Times New Roman" w:hAnsi="Times New Roman" w:eastAsia="仿宋_GB2312"/>
          <w:color w:val="000000"/>
          <w:sz w:val="28"/>
          <w:szCs w:val="28"/>
          <w:highlight w:val="none"/>
        </w:rPr>
        <w:t>〕</w:t>
      </w:r>
      <w:r>
        <w:rPr>
          <w:rFonts w:ascii="Times New Roman" w:hAnsi="Times New Roman" w:eastAsia="仿宋_GB2312"/>
          <w:color w:val="000000"/>
          <w:sz w:val="28"/>
          <w:szCs w:val="28"/>
          <w:highlight w:val="none"/>
        </w:rPr>
        <w:t>约定的变更不受本款限制。</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4. </w:t>
      </w:r>
      <w:r>
        <w:rPr>
          <w:rFonts w:ascii="Times New Roman" w:hAnsi="Times New Roman" w:eastAsia="仿宋_GB2312"/>
          <w:color w:val="000000"/>
          <w:sz w:val="28"/>
          <w:szCs w:val="28"/>
          <w:highlight w:val="none"/>
        </w:rPr>
        <w:t>因不可抗力造成发包人不能履行义务的，我方不承担保证责任。</w:t>
      </w:r>
    </w:p>
    <w:p>
      <w:pPr>
        <w:pageBreakBefore w:val="0"/>
        <w:kinsoku/>
        <w:wordWrap/>
        <w:overflowPunct/>
        <w:topLinePunct w:val="0"/>
        <w:bidi w:val="0"/>
        <w:snapToGrid/>
        <w:spacing w:line="440" w:lineRule="exact"/>
        <w:ind w:firstLine="560" w:firstLineChars="200"/>
        <w:jc w:val="left"/>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七、争议解决</w:t>
      </w:r>
    </w:p>
    <w:p>
      <w:pPr>
        <w:pageBreakBefore w:val="0"/>
        <w:kinsoku/>
        <w:wordWrap/>
        <w:overflowPunct/>
        <w:topLinePunct w:val="0"/>
        <w:bidi w:val="0"/>
        <w:snapToGrid/>
        <w:spacing w:after="120" w:line="440" w:lineRule="exact"/>
        <w:ind w:firstLine="560" w:firstLineChars="200"/>
        <w:textAlignment w:val="auto"/>
        <w:rPr>
          <w:rFonts w:ascii="Times New Roman" w:hAnsi="Times New Roman" w:eastAsia="黑体"/>
          <w:color w:val="000000"/>
          <w:sz w:val="28"/>
          <w:szCs w:val="28"/>
          <w:highlight w:val="none"/>
        </w:rPr>
      </w:pPr>
      <w:r>
        <w:rPr>
          <w:rFonts w:ascii="Times New Roman" w:hAnsi="Times New Roman" w:eastAsia="仿宋_GB2312"/>
          <w:color w:val="000000"/>
          <w:sz w:val="28"/>
          <w:szCs w:val="28"/>
          <w:highlight w:val="none"/>
        </w:rPr>
        <w:t>因本保函</w:t>
      </w:r>
      <w:r>
        <w:rPr>
          <w:rFonts w:hint="eastAsia" w:ascii="Times New Roman" w:hAnsi="Times New Roman" w:eastAsia="仿宋_GB2312"/>
          <w:color w:val="000000"/>
          <w:sz w:val="28"/>
          <w:szCs w:val="28"/>
          <w:highlight w:val="none"/>
        </w:rPr>
        <w:t>或本保函相关事项</w:t>
      </w:r>
      <w:r>
        <w:rPr>
          <w:rFonts w:ascii="Times New Roman" w:hAnsi="Times New Roman" w:eastAsia="仿宋_GB2312"/>
          <w:color w:val="000000"/>
          <w:sz w:val="28"/>
          <w:szCs w:val="28"/>
          <w:highlight w:val="none"/>
        </w:rPr>
        <w:t>发生的纠纷，可由双方协商解决，协商不成的，按下列第</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种方式</w:t>
      </w:r>
      <w:r>
        <w:rPr>
          <w:rFonts w:hint="eastAsia" w:ascii="Times New Roman" w:hAnsi="Times New Roman" w:eastAsia="仿宋_GB2312"/>
          <w:color w:val="000000"/>
          <w:sz w:val="28"/>
          <w:szCs w:val="28"/>
          <w:highlight w:val="none"/>
        </w:rPr>
        <w:t>解</w:t>
      </w:r>
      <w:r>
        <w:rPr>
          <w:rFonts w:ascii="Times New Roman" w:hAnsi="Times New Roman" w:eastAsia="仿宋_GB2312"/>
          <w:color w:val="000000"/>
          <w:sz w:val="28"/>
          <w:szCs w:val="28"/>
          <w:highlight w:val="none"/>
        </w:rPr>
        <w:t>决：</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（1）向</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仲裁委员会申请仲裁；</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（2）向</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人民法院起诉。</w:t>
      </w:r>
    </w:p>
    <w:p>
      <w:pPr>
        <w:pageBreakBefore w:val="0"/>
        <w:kinsoku/>
        <w:wordWrap/>
        <w:overflowPunct/>
        <w:topLinePunct w:val="0"/>
        <w:bidi w:val="0"/>
        <w:snapToGrid/>
        <w:spacing w:line="440" w:lineRule="exact"/>
        <w:ind w:firstLine="560" w:firstLineChars="200"/>
        <w:jc w:val="left"/>
        <w:textAlignment w:val="auto"/>
        <w:outlineLvl w:val="0"/>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八、保函的生效</w:t>
      </w:r>
    </w:p>
    <w:p>
      <w:pPr>
        <w:pageBreakBefore w:val="0"/>
        <w:kinsoku/>
        <w:wordWrap/>
        <w:overflowPunct/>
        <w:topLinePunct w:val="0"/>
        <w:bidi w:val="0"/>
        <w:snapToGrid/>
        <w:spacing w:line="440" w:lineRule="exact"/>
        <w:ind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本保函自我方法定代表人（或其授权代理人）签字并加盖公章之日起生效。</w:t>
      </w:r>
    </w:p>
    <w:p>
      <w:pPr>
        <w:pageBreakBefore w:val="0"/>
        <w:kinsoku/>
        <w:wordWrap/>
        <w:overflowPunct/>
        <w:topLinePunct w:val="0"/>
        <w:bidi w:val="0"/>
        <w:snapToGrid/>
        <w:spacing w:line="440" w:lineRule="exact"/>
        <w:ind w:firstLine="560" w:firstLineChars="200"/>
        <w:jc w:val="left"/>
        <w:textAlignment w:val="auto"/>
        <w:rPr>
          <w:rFonts w:hint="eastAsia"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ind w:right="600"/>
        <w:jc w:val="left"/>
        <w:textAlignment w:val="auto"/>
        <w:rPr>
          <w:rFonts w:hint="eastAsia" w:ascii="Times New Roman" w:hAnsi="Times New Roman" w:eastAsia="仿宋_GB2312"/>
          <w:color w:val="000000"/>
          <w:sz w:val="28"/>
          <w:szCs w:val="28"/>
          <w:highlight w:val="none"/>
        </w:rPr>
      </w:pPr>
    </w:p>
    <w:p>
      <w:pPr>
        <w:pageBreakBefore w:val="0"/>
        <w:kinsoku/>
        <w:wordWrap/>
        <w:overflowPunct/>
        <w:topLinePunct w:val="0"/>
        <w:bidi w:val="0"/>
        <w:snapToGrid/>
        <w:spacing w:line="440" w:lineRule="exact"/>
        <w:ind w:right="6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担保人：</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（盖章）</w:t>
      </w:r>
    </w:p>
    <w:p>
      <w:pPr>
        <w:pageBreakBefore w:val="0"/>
        <w:kinsoku/>
        <w:wordWrap/>
        <w:overflowPunct/>
        <w:topLinePunct w:val="0"/>
        <w:bidi w:val="0"/>
        <w:snapToGrid/>
        <w:spacing w:line="440" w:lineRule="exact"/>
        <w:ind w:right="1200"/>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法定代表人或委托代理人：</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（签字）</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地    址：</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邮政编码：</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传    真：</w:t>
      </w:r>
      <w:r>
        <w:rPr>
          <w:rFonts w:ascii="Times New Roman" w:hAnsi="Times New Roman" w:eastAsia="仿宋_GB2312"/>
          <w:color w:val="000000"/>
          <w:sz w:val="28"/>
          <w:szCs w:val="28"/>
          <w:highlight w:val="none"/>
          <w:u w:val="single"/>
        </w:rPr>
        <w:t xml:space="preserve">      </w:t>
      </w:r>
      <w:r>
        <w:rPr>
          <w:rFonts w:hint="eastAsia"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u w:val="single"/>
        </w:rPr>
        <w:t xml:space="preserve">                          </w:t>
      </w:r>
    </w:p>
    <w:p>
      <w:pPr>
        <w:pageBreakBefore w:val="0"/>
        <w:kinsoku/>
        <w:wordWrap/>
        <w:overflowPunct/>
        <w:topLinePunct w:val="0"/>
        <w:bidi w:val="0"/>
        <w:snapToGrid/>
        <w:spacing w:line="440" w:lineRule="exact"/>
        <w:ind w:right="150" w:firstLine="560" w:firstLineChars="200"/>
        <w:jc w:val="left"/>
        <w:textAlignment w:val="auto"/>
        <w:rPr>
          <w:rFonts w:ascii="Times New Roman" w:hAnsi="Times New Roman" w:eastAsia="仿宋_GB2312"/>
          <w:color w:val="000000"/>
          <w:sz w:val="28"/>
          <w:szCs w:val="28"/>
          <w:highlight w:val="none"/>
          <w:u w:val="single"/>
        </w:rPr>
      </w:pPr>
    </w:p>
    <w:p>
      <w:pPr>
        <w:pageBreakBefore w:val="0"/>
        <w:kinsoku/>
        <w:wordWrap/>
        <w:overflowPunct/>
        <w:topLinePunct w:val="0"/>
        <w:bidi w:val="0"/>
        <w:snapToGrid/>
        <w:spacing w:line="440" w:lineRule="exact"/>
        <w:ind w:right="150" w:firstLine="560" w:firstLineChars="200"/>
        <w:jc w:val="left"/>
        <w:textAlignment w:val="auto"/>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xml:space="preserve">             </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年</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月</w:t>
      </w:r>
      <w:r>
        <w:rPr>
          <w:rFonts w:ascii="Times New Roman" w:hAnsi="Times New Roman" w:eastAsia="仿宋_GB2312"/>
          <w:color w:val="000000"/>
          <w:sz w:val="28"/>
          <w:szCs w:val="28"/>
          <w:highlight w:val="none"/>
          <w:u w:val="single"/>
        </w:rPr>
        <w:t xml:space="preserve">      </w:t>
      </w:r>
      <w:r>
        <w:rPr>
          <w:rFonts w:ascii="Times New Roman" w:hAnsi="Times New Roman" w:eastAsia="仿宋_GB2312"/>
          <w:color w:val="000000"/>
          <w:sz w:val="28"/>
          <w:szCs w:val="28"/>
          <w:highlight w:val="none"/>
        </w:rPr>
        <w:t>日</w:t>
      </w:r>
    </w:p>
    <w:p>
      <w:pPr>
        <w:pageBreakBefore w:val="0"/>
        <w:kinsoku/>
        <w:wordWrap/>
        <w:overflowPunct/>
        <w:topLinePunct w:val="0"/>
        <w:bidi w:val="0"/>
        <w:snapToGrid/>
        <w:spacing w:line="440" w:lineRule="exact"/>
        <w:textAlignment w:val="auto"/>
        <w:rPr>
          <w:rFonts w:ascii="Times New Roman" w:hAnsi="Times New Roman" w:eastAsia="黑体"/>
          <w:color w:val="000000"/>
          <w:sz w:val="28"/>
          <w:szCs w:val="28"/>
          <w:highlight w:val="none"/>
        </w:rPr>
      </w:pPr>
      <w:r>
        <w:rPr>
          <w:rFonts w:ascii="Times New Roman" w:hAnsi="Times New Roman" w:eastAsia="仿宋_GB2312"/>
          <w:color w:val="000000"/>
          <w:sz w:val="28"/>
          <w:szCs w:val="28"/>
          <w:highlight w:val="none"/>
        </w:rPr>
        <w:br w:type="page"/>
      </w:r>
      <w:r>
        <w:rPr>
          <w:rFonts w:ascii="Times New Roman" w:hAnsi="Times New Roman" w:eastAsia="仿宋_GB2312"/>
          <w:color w:val="000000"/>
          <w:sz w:val="28"/>
          <w:szCs w:val="28"/>
          <w:highlight w:val="none"/>
        </w:rPr>
        <w:t>附件</w:t>
      </w:r>
      <w:r>
        <w:rPr>
          <w:rFonts w:hint="eastAsia" w:ascii="Times New Roman" w:hAnsi="Times New Roman" w:eastAsia="仿宋_GB2312"/>
          <w:color w:val="000000"/>
          <w:sz w:val="28"/>
          <w:szCs w:val="28"/>
          <w:highlight w:val="none"/>
          <w:lang w:val="en-US" w:eastAsia="zh-CN"/>
        </w:rPr>
        <w:t>9</w:t>
      </w:r>
      <w:r>
        <w:rPr>
          <w:rFonts w:ascii="Times New Roman" w:hAnsi="Times New Roman" w:eastAsia="仿宋_GB2312"/>
          <w:color w:val="000000"/>
          <w:sz w:val="28"/>
          <w:szCs w:val="28"/>
          <w:highlight w:val="none"/>
        </w:rPr>
        <w:t>：</w:t>
      </w:r>
    </w:p>
    <w:p>
      <w:pPr>
        <w:pageBreakBefore w:val="0"/>
        <w:kinsoku/>
        <w:wordWrap/>
        <w:overflowPunct/>
        <w:topLinePunct w:val="0"/>
        <w:bidi w:val="0"/>
        <w:snapToGrid/>
        <w:spacing w:before="159" w:beforeLines="50" w:after="159" w:afterLines="50" w:line="440" w:lineRule="exact"/>
        <w:jc w:val="center"/>
        <w:textAlignment w:val="auto"/>
        <w:outlineLvl w:val="0"/>
        <w:rPr>
          <w:rFonts w:ascii="Times New Roman" w:hAnsi="Times New Roman" w:eastAsia="黑体"/>
          <w:color w:val="000000"/>
          <w:sz w:val="28"/>
          <w:szCs w:val="28"/>
          <w:highlight w:val="none"/>
        </w:rPr>
      </w:pPr>
      <w:r>
        <w:rPr>
          <w:rFonts w:hint="eastAsia" w:ascii="Times New Roman" w:hAnsi="Times New Roman" w:eastAsia="黑体"/>
          <w:color w:val="000000"/>
          <w:sz w:val="28"/>
          <w:szCs w:val="28"/>
          <w:highlight w:val="none"/>
          <w:lang w:val="en-US" w:eastAsia="zh-CN"/>
        </w:rPr>
        <w:t>11</w:t>
      </w:r>
      <w:r>
        <w:rPr>
          <w:rFonts w:ascii="Times New Roman" w:hAnsi="Times New Roman" w:eastAsia="黑体"/>
          <w:color w:val="000000"/>
          <w:sz w:val="28"/>
          <w:szCs w:val="28"/>
          <w:highlight w:val="none"/>
        </w:rPr>
        <w:t>-1：材料暂估价表</w:t>
      </w:r>
    </w:p>
    <w:tbl>
      <w:tblPr>
        <w:tblStyle w:val="25"/>
        <w:tblW w:w="8977"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82"/>
        <w:gridCol w:w="1964"/>
        <w:gridCol w:w="842"/>
        <w:gridCol w:w="765"/>
        <w:gridCol w:w="1338"/>
        <w:gridCol w:w="1403"/>
        <w:gridCol w:w="168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4" w:hRule="atLeast"/>
        </w:trPr>
        <w:tc>
          <w:tcPr>
            <w:tcW w:w="982" w:type="dxa"/>
            <w:tcBorders>
              <w:top w:val="single" w:color="auto" w:sz="12" w:space="0"/>
              <w:bottom w:val="doub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序号</w:t>
            </w:r>
          </w:p>
        </w:tc>
        <w:tc>
          <w:tcPr>
            <w:tcW w:w="1964" w:type="dxa"/>
            <w:tcBorders>
              <w:top w:val="single" w:color="auto" w:sz="12" w:space="0"/>
              <w:bottom w:val="doub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名称</w:t>
            </w:r>
          </w:p>
        </w:tc>
        <w:tc>
          <w:tcPr>
            <w:tcW w:w="842" w:type="dxa"/>
            <w:tcBorders>
              <w:top w:val="single" w:color="auto" w:sz="12" w:space="0"/>
              <w:bottom w:val="doub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单位</w:t>
            </w:r>
          </w:p>
        </w:tc>
        <w:tc>
          <w:tcPr>
            <w:tcW w:w="765" w:type="dxa"/>
            <w:tcBorders>
              <w:top w:val="single" w:color="auto" w:sz="12" w:space="0"/>
              <w:bottom w:val="doub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数量</w:t>
            </w:r>
          </w:p>
        </w:tc>
        <w:tc>
          <w:tcPr>
            <w:tcW w:w="1338" w:type="dxa"/>
            <w:tcBorders>
              <w:top w:val="single" w:color="auto" w:sz="12" w:space="0"/>
              <w:bottom w:val="doub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单价</w:t>
            </w:r>
            <w:r>
              <w:rPr>
                <w:rFonts w:hint="eastAsia" w:eastAsia="仿宋_GB2312"/>
                <w:color w:val="000000"/>
                <w:sz w:val="28"/>
                <w:szCs w:val="28"/>
                <w:highlight w:val="none"/>
              </w:rPr>
              <w:t>（元）</w:t>
            </w:r>
          </w:p>
        </w:tc>
        <w:tc>
          <w:tcPr>
            <w:tcW w:w="1403" w:type="dxa"/>
            <w:tcBorders>
              <w:top w:val="single" w:color="auto" w:sz="12" w:space="0"/>
              <w:bottom w:val="doub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合价</w:t>
            </w:r>
            <w:r>
              <w:rPr>
                <w:rFonts w:hint="eastAsia" w:eastAsia="仿宋_GB2312"/>
                <w:color w:val="000000"/>
                <w:sz w:val="28"/>
                <w:szCs w:val="28"/>
                <w:highlight w:val="none"/>
              </w:rPr>
              <w:t>（元）</w:t>
            </w:r>
          </w:p>
        </w:tc>
        <w:tc>
          <w:tcPr>
            <w:tcW w:w="1683" w:type="dxa"/>
            <w:tcBorders>
              <w:top w:val="single" w:color="auto" w:sz="12" w:space="0"/>
              <w:bottom w:val="doub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r>
              <w:rPr>
                <w:rFonts w:eastAsia="仿宋_GB2312"/>
                <w:color w:val="000000"/>
                <w:sz w:val="28"/>
                <w:szCs w:val="28"/>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7" w:hRule="atLeast"/>
        </w:trPr>
        <w:tc>
          <w:tcPr>
            <w:tcW w:w="982" w:type="dxa"/>
            <w:tcBorders>
              <w:top w:val="double" w:color="auto" w:sz="6" w:space="0"/>
              <w:bottom w:val="sing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val="en-US" w:eastAsia="zh-CN"/>
              </w:rPr>
            </w:pPr>
          </w:p>
        </w:tc>
        <w:tc>
          <w:tcPr>
            <w:tcW w:w="1964" w:type="dxa"/>
            <w:tcBorders>
              <w:top w:val="double" w:color="auto" w:sz="6" w:space="0"/>
              <w:bottom w:val="sing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hint="eastAsia" w:eastAsia="仿宋_GB2312"/>
                <w:color w:val="000000"/>
                <w:sz w:val="28"/>
                <w:szCs w:val="28"/>
                <w:highlight w:val="none"/>
                <w:lang w:eastAsia="zh-CN"/>
              </w:rPr>
            </w:pPr>
          </w:p>
        </w:tc>
        <w:tc>
          <w:tcPr>
            <w:tcW w:w="842" w:type="dxa"/>
            <w:tcBorders>
              <w:top w:val="double" w:color="auto" w:sz="6" w:space="0"/>
              <w:bottom w:val="sing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hint="default" w:eastAsia="仿宋_GB2312"/>
                <w:color w:val="000000"/>
                <w:sz w:val="28"/>
                <w:szCs w:val="28"/>
                <w:highlight w:val="none"/>
                <w:lang w:val="en-US" w:eastAsia="zh-CN"/>
              </w:rPr>
            </w:pPr>
          </w:p>
        </w:tc>
        <w:tc>
          <w:tcPr>
            <w:tcW w:w="765" w:type="dxa"/>
            <w:tcBorders>
              <w:top w:val="double" w:color="auto" w:sz="6" w:space="0"/>
              <w:bottom w:val="sing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338" w:type="dxa"/>
            <w:tcBorders>
              <w:top w:val="double" w:color="auto" w:sz="6" w:space="0"/>
              <w:bottom w:val="sing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hint="default" w:eastAsia="仿宋_GB2312"/>
                <w:color w:val="000000"/>
                <w:sz w:val="28"/>
                <w:szCs w:val="28"/>
                <w:highlight w:val="none"/>
                <w:lang w:val="en-US" w:eastAsia="zh-CN"/>
              </w:rPr>
            </w:pPr>
          </w:p>
        </w:tc>
        <w:tc>
          <w:tcPr>
            <w:tcW w:w="1403" w:type="dxa"/>
            <w:tcBorders>
              <w:top w:val="double" w:color="auto" w:sz="6" w:space="0"/>
              <w:bottom w:val="sing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c>
          <w:tcPr>
            <w:tcW w:w="1683" w:type="dxa"/>
            <w:tcBorders>
              <w:top w:val="double" w:color="auto" w:sz="6" w:space="0"/>
              <w:bottom w:val="single" w:color="auto" w:sz="6" w:space="0"/>
            </w:tcBorders>
          </w:tcPr>
          <w:p>
            <w:pPr>
              <w:pStyle w:val="10"/>
              <w:keepNext/>
              <w:pageBreakBefore w:val="0"/>
              <w:kinsoku/>
              <w:wordWrap/>
              <w:overflowPunct/>
              <w:topLinePunct w:val="0"/>
              <w:bidi w:val="0"/>
              <w:snapToGrid/>
              <w:spacing w:line="440" w:lineRule="exact"/>
              <w:ind w:left="63" w:right="63"/>
              <w:jc w:val="center"/>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Borders>
              <w:top w:val="nil"/>
            </w:tcBorders>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Borders>
              <w:top w:val="nil"/>
            </w:tcBorders>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Borders>
              <w:top w:val="nil"/>
            </w:tcBorders>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Borders>
              <w:top w:val="nil"/>
            </w:tcBorders>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Borders>
              <w:top w:val="nil"/>
            </w:tcBorders>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Borders>
              <w:top w:val="nil"/>
            </w:tcBorders>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Borders>
              <w:top w:val="nil"/>
            </w:tcBorders>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7" w:hRule="atLeast"/>
        </w:trPr>
        <w:tc>
          <w:tcPr>
            <w:tcW w:w="98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964"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842"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765"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338"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40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c>
          <w:tcPr>
            <w:tcW w:w="1683" w:type="dxa"/>
          </w:tcPr>
          <w:p>
            <w:pPr>
              <w:pStyle w:val="10"/>
              <w:keepNext/>
              <w:pageBreakBefore w:val="0"/>
              <w:kinsoku/>
              <w:wordWrap/>
              <w:overflowPunct/>
              <w:topLinePunct w:val="0"/>
              <w:bidi w:val="0"/>
              <w:snapToGrid/>
              <w:spacing w:line="440" w:lineRule="exact"/>
              <w:ind w:left="63" w:right="63"/>
              <w:textAlignment w:val="auto"/>
              <w:rPr>
                <w:rFonts w:eastAsia="仿宋_GB2312"/>
                <w:color w:val="000000"/>
                <w:sz w:val="28"/>
                <w:szCs w:val="28"/>
                <w:highlight w:val="none"/>
              </w:rPr>
            </w:pPr>
          </w:p>
        </w:tc>
      </w:tr>
    </w:tbl>
    <w:p>
      <w:pPr>
        <w:adjustRightInd w:val="0"/>
        <w:snapToGrid w:val="0"/>
        <w:spacing w:line="360" w:lineRule="auto"/>
        <w:ind w:firstLine="420" w:firstLineChars="200"/>
        <w:rPr>
          <w:rFonts w:hint="eastAsia" w:ascii="仿宋_GB2312" w:hAnsi="仿宋_GB2312" w:eastAsia="仿宋_GB2312" w:cs="仿宋_GB2312"/>
          <w:b/>
          <w:kern w:val="44"/>
          <w:sz w:val="44"/>
          <w:szCs w:val="44"/>
          <w:highlight w:val="none"/>
        </w:rPr>
      </w:pPr>
      <w:r>
        <w:rPr>
          <w:rFonts w:hint="eastAsia" w:ascii="仿宋_GB2312" w:hAnsi="仿宋_GB2312" w:eastAsia="仿宋_GB2312" w:cs="仿宋_GB2312"/>
          <w:szCs w:val="44"/>
          <w:highlight w:val="none"/>
        </w:rPr>
        <w:br w:type="page"/>
      </w:r>
    </w:p>
    <w:p>
      <w:pPr>
        <w:pStyle w:val="3"/>
        <w:bidi w:val="0"/>
        <w:rPr>
          <w:rFonts w:hint="eastAsia"/>
          <w:highlight w:val="none"/>
          <w:lang w:eastAsia="zh-CN"/>
        </w:rPr>
      </w:pPr>
      <w:bookmarkStart w:id="701" w:name="_Toc115433468"/>
      <w:r>
        <w:rPr>
          <w:rFonts w:hint="eastAsia"/>
          <w:highlight w:val="none"/>
        </w:rPr>
        <w:t>第七章 工程量清单</w:t>
      </w:r>
      <w:bookmarkEnd w:id="701"/>
    </w:p>
    <w:tbl>
      <w:tblPr>
        <w:tblStyle w:val="25"/>
        <w:tblW w:w="9394" w:type="dxa"/>
        <w:tblInd w:w="-6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83"/>
        <w:gridCol w:w="1347"/>
        <w:gridCol w:w="178"/>
        <w:gridCol w:w="1591"/>
        <w:gridCol w:w="300"/>
        <w:gridCol w:w="1134"/>
        <w:gridCol w:w="506"/>
        <w:gridCol w:w="666"/>
        <w:gridCol w:w="165"/>
        <w:gridCol w:w="683"/>
        <w:gridCol w:w="309"/>
        <w:gridCol w:w="336"/>
        <w:gridCol w:w="329"/>
        <w:gridCol w:w="14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62"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32"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394" w:type="dxa"/>
            <w:gridSpan w:val="14"/>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3"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工程名称：建筑工程</w:t>
            </w:r>
          </w:p>
        </w:tc>
        <w:tc>
          <w:tcPr>
            <w:tcW w:w="2329"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1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6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4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2069"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64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66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84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2441"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8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6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4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329"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6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4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329"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拆除部分</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011601001002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砌体拆除 粘土砖(实心砖) 实心墙</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01B001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拆除原有破旧砖混危房</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240</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01B002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拆除木质石棉瓦棚厦</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370</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011616001003</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建筑垃圾外运</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1.运距自行考虑</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30.3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土方工程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010104001001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机械场地平整</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5.33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010104003007</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一、二类土</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42.65</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010103001009</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147.1</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010104006007</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回填用外购土方</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118.81</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砌筑工程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010401004003</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多孔砖墙 混水 墙厚370mm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1.MU承重空心砖 370厚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2.M5混合砂浆砌筑（含现场砂浆搅拌费）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8.56</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010401004005</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多孔砖墙 混水 墙厚370mm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1.MU承重空心砖 370厚（超过3.6m）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2.M5混合砂浆砌筑（含现场砂浆搅拌费）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6.47</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010403001001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石基础 毛石</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1.MU30毛石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2.M7.5水泥砂浆砌筑（含现场砂浆搅拌费）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18.58</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混凝土、钢筋工程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混凝土模板工程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010504001002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现浇混凝土墙 直形墙 混凝土</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1.C15素混凝土现浇</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1.09</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011702011004</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直形墙 复合模板 钢支撑</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0.67</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010503001001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现浇混凝土梁 基础梁</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1.混凝土标号：C30</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011702005003</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基础梁 复合模板 钢支撑</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0.65</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010502002001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现浇混凝土柱 构造柱</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1.混凝土标号：C25</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2.08</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011702003002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现浇混凝土模板 </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953"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64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908"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91" w:type="dxa"/>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434"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337"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992"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1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62"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32"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394" w:type="dxa"/>
            <w:gridSpan w:val="14"/>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3"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工程名称：建筑工程</w:t>
            </w:r>
          </w:p>
        </w:tc>
        <w:tc>
          <w:tcPr>
            <w:tcW w:w="2329"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1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2  页  共  6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4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2069"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64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66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84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2441"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8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6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4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329"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6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4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329"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构造柱 复合模板 钢支撑</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010503005001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现浇混凝土梁 过梁</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C25</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0.14</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011702009002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过梁 复合模板 钢支撑</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0.08</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010503004001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现浇混凝土梁 圈梁</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1.混凝土标号：C25</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1.58</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011702008002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圈梁 直形 复合模板 钢支撑</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0.9</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010505008001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现浇混凝土板 雨篷板、阳台板</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1.混凝土标号：C25</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011702023001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雨篷板 直形 复合模板钢支撑</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100m2水平投影面积</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0.16</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010510003001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预制混凝土制作 过梁</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1.混凝土标号：C25（GLA-3727+雨篷过梁）</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0.34</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010510003002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预制混凝土安装 过梁</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0.34</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010510007004</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预制混凝土接头灌缝 过梁</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0.34</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011702034001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预制混凝土模板 过梁 木模板</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010507005002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现浇混凝土其它构件 压顶</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1.混凝土标号：C20</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011702028001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扶手压顶 复合模板木支撑</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钢筋工程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现浇构件圆钢筋 钢筋HPB300 直径6.5mm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0.116</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010515001033</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直径8mm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0.053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010515001018</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3.23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010515001020</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直径16mm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0.099</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010515012011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箍筋 圆钢</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0.228</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953"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64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908"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91" w:type="dxa"/>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434"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337"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992"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1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62"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32"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394" w:type="dxa"/>
            <w:gridSpan w:val="14"/>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3"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工程名称：建筑工程</w:t>
            </w:r>
          </w:p>
        </w:tc>
        <w:tc>
          <w:tcPr>
            <w:tcW w:w="2329"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1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3  页  共  6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4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2069"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64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66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84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2441"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8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6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4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329"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6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4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329"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HPB300 直径6.5mm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010515012006</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箍筋 带肋钢筋HRB400以内 直径6mm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0.669</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010515012010</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箍筋 带肋钢筋HRB400以内 直径8mm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0.07</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010515013001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砌体内加固钢筋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0.209</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010516005001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植筋 钢筋直径 6.5mm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10个</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80.1</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预埋铁件制作</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0.194</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预埋铁件安装</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0.194</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屋面防水工程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010602001001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焊接轻钢屋架</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3.246</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010609002001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厂(库)房钢结构安装 钢屋架 1.5t以内</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3.246</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010608001001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一类金属构件 运距5km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十字</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1.115</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010606001003</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平面组合</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0.752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010609007008</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厂(库)房钢结构安装 钢支撑</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1.867</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010608002001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二类金属构件 运距5km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0.19</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010606002004</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钢檩条 C、Z型钢</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3.357</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010606001009</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钢支撑(钢拉条) 圆钢</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0.276</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010606001004</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钢支撑(钢拉条) 钢管</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0.057</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010609007002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厂(库)房钢结构安装 钢檩条</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0.333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010607002001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机械除锈 金属面 轻锈</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63.92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011405001037</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金属面 红丹防锈漆二遍</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6.39</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011405001038</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金属面 调和漆二遍</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6.39</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953"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64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908"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91" w:type="dxa"/>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434"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337"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992"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1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62"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32"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394" w:type="dxa"/>
            <w:gridSpan w:val="14"/>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3"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工程名称：建筑工程</w:t>
            </w:r>
          </w:p>
        </w:tc>
        <w:tc>
          <w:tcPr>
            <w:tcW w:w="2329"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1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4  页  共  6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4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2069"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64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66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84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2441"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8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6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4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329"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6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4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329"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010609009033</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屋面板安装 彩钢夹芯板</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1.100厚岩棉夹芯彩钢板，双面压型钢板各厚0.5mm</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6.13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外墙工程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011201001002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一般抹灰 外墙 (14+6mm)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1.20厚1:3水泥砂浆找平层（含现场砂浆搅拌费）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5.71</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011001003035</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墙面 EPS保温板 厚度 60mm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1.外墙保温</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2.EPS保温板60厚，配套胶粘剂粘贴，辅锚栓固定</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4.82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011001003036</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墙面 EPS保温板 厚度 30mm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1.外墙保温</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2.EPS保温板30厚，配套胶粘剂粘贴，辅锚栓固定</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0.36</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011001006011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防火隔离带 岩棉板 宽度 500mm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1.防火隔离带岩棉保温板 500mm</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0.54</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011001003022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墙面 抗裂保护层 玻纤网格布抗裂砂浆 厚度 4mm 实际厚度(mm):5</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1.5厚干粉类聚合物水泥防水砂浆，中间压入一层耐碱玻璃纤维网布</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6.01</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011407001007</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外墙丙烯酸酯涂料 墙面 二遍</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1.外墙涂料两遍</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5.72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011701008001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单项脚手架 外装饰吊篮</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6.58</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门窗工程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010803001002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铝合金电动卷帘门</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1.电动卷帘门</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0.36</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010802004001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成品防盗门</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1.成品防盗门</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010807001006</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65系列双玻中空塑钢平开窗</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1.65系列双玻中空塑钢平开窗</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010807001009</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65系列双玻中空塑钢平开窗 消防救援窗口</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1.65系列双玻中空塑钢平开窗</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010807001005</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80系列双玻中空塑钢推拉窗</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1.80系列双玻中空塑钢推拉窗</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010809004002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窗台板 面层 石材</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1.花岗岩窗台 25厚</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1.78</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地面工程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010404001006</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垫层 砂石 天然级配</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回填混合料300厚</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14.52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010404001020</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垫层 碎石 灌浆</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1.碎石灌M2.5水泥砂浆垫层200厚（含现场砂浆搅拌费）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9.68</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010404001019</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预拌混凝土 地面垫层</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1.C25混凝土150厚随打随抹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7.26</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953"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64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908"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91" w:type="dxa"/>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434"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337"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992"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1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62"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32"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394" w:type="dxa"/>
            <w:gridSpan w:val="14"/>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3"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工程名称：建筑工程</w:t>
            </w:r>
          </w:p>
        </w:tc>
        <w:tc>
          <w:tcPr>
            <w:tcW w:w="2329"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1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5  页  共  6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4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2069"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64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66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84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2441"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8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6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4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329"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6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4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329"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现浇构件圆钢筋 钢筋HPB300 直径6.5mm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1.内配A6@300*300钢筋网</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0.76</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内墙工程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011201001013</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一般抹灰 内墙 (14+6mm)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1.M5混合砂浆20厚，表面压光（含现场砂浆搅拌费）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5.39</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011407001015</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大白浆 墙面 三遍</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1.喷大白浆</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5.73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踢脚工程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011201004012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立面砂浆找平层、界面剂 素水泥浆(无107胶)</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1.素水泥砂浆一道</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0.15</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011105001001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水泥砂浆踢脚线 水泥砂浆</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1.6厚1:2.5水泥砂浆罩面压实赶光，150高（含现场砂浆搅拌费）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0.15</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雨棚工程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011001001031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屋面 干铺聚苯乙烯板 厚度 30mm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1.EPS保温板30厚</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0.17</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010903003005</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墙面砂浆防水(防潮) 防水砂浆 掺防水剂 20mm厚</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1.1:2防水砂浆抹平压光（含现场砂浆搅拌费）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0.17</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011001002003</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混凝土板下天棚保温(不带龙骨) 聚合物砂浆粘贴聚苯乙烯板 厚度 30mm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1.EPS保温板30厚</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011407001026</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外墙丙烯酸酯涂料 墙面 二遍</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1.外墙涂料</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0.28</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台阶工程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010404001003</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垫层 砂</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1.填粗砂1000厚</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0.19</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010404001035</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垫层 碎石 灌浆</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1.碎石灌浆M2.5水泥砂浆200厚（含现场砂浆搅拌费）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0.04</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010507004001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现浇混凝土其它构件 混凝土台阶 预拌混凝土</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1.混凝土标号：C20</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10m2水平投影面积</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0.19</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010515001035</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现浇构件圆钢筋 钢筋HPB300 直径6.5mm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1.台阶内配钢筋Φ6@200双向</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0.005</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011201004020</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立面砂浆找平层、界面剂 素</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1.素水泥砂浆结合层一道</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953"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64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908"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91" w:type="dxa"/>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434"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337"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992"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1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62"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32"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394" w:type="dxa"/>
            <w:gridSpan w:val="14"/>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933"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工程名称：建筑工程</w:t>
            </w:r>
          </w:p>
        </w:tc>
        <w:tc>
          <w:tcPr>
            <w:tcW w:w="2329"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1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6  页  共  6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4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2069"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64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66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84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2441"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8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6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4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329"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6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4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329"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水泥浆(无107胶)</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011107001001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石材台阶面 石材 水泥砂浆</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1.花岗岩板30厚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2.1:3干硬性水泥砂浆结合层20厚（含现场砂浆搅拌费）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0.02</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坡道工程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010507001003</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现浇混凝土其它构件 整体防滑坡道 预拌混凝土</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1.填粗砂1000厚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2.碎石灌M2.5水泥砂浆200厚，宽出面层300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3.C25混凝土垫层150厚，随捣随抹成粗麻面</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1.84</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010515001036</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现浇构件圆钢筋 钢筋HPB300 直径6.5mm</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1.坡道内配钢筋Φ6@200双向</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0.049</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散水工程</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010404001022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垫层 砂</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1.填粗砂300厚</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2.45</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010404001037</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垫层 毛石 灌浆</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1.150厚插石灌M2.5混合砂浆，宽出面层100（含现场砂浆搅拌费）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1.38</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010507001001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现浇混凝土其它构件 混凝土散水 预拌混凝土</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1.C20混凝土60厚，上撒1:1水泥沙子压实赶光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2.每隔5米设伸缩缝一道20宽，内罐密封膏</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10m2水平投影面积</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8.15</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措施项目</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011701001001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单层建筑综合脚手架 建筑面积500m2以内</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5.33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011703001001</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垂直运输 20m(6层)以内卷扬机施工 砖混结构</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5.33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011701002002</w:t>
            </w: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单项脚手架 外脚手架 15m以内 双排</w:t>
            </w: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2.23</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8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6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4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953" w:type="dxa"/>
            <w:gridSpan w:val="10"/>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953"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64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329"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67"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908"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91" w:type="dxa"/>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434"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337"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992"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1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bl>
    <w:p>
      <w:pPr>
        <w:tabs>
          <w:tab w:val="left" w:pos="2984"/>
        </w:tabs>
        <w:bidi w:val="0"/>
        <w:jc w:val="left"/>
        <w:rPr>
          <w:rFonts w:hint="eastAsia"/>
          <w:highlight w:val="none"/>
          <w:lang w:val="en-US" w:eastAsia="zh-CN"/>
        </w:rPr>
        <w:sectPr>
          <w:footerReference r:id="rId10" w:type="default"/>
          <w:pgSz w:w="11906" w:h="16838"/>
          <w:pgMar w:top="1440" w:right="1803" w:bottom="1440" w:left="1803" w:header="851" w:footer="992" w:gutter="0"/>
          <w:pgNumType w:fmt="decimal"/>
          <w:cols w:space="720" w:num="1"/>
          <w:docGrid w:type="lines" w:linePitch="319" w:charSpace="0"/>
        </w:sectPr>
      </w:pPr>
    </w:p>
    <w:tbl>
      <w:tblPr>
        <w:tblStyle w:val="25"/>
        <w:tblW w:w="9138" w:type="dxa"/>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3"/>
        <w:gridCol w:w="961"/>
        <w:gridCol w:w="353"/>
        <w:gridCol w:w="1148"/>
        <w:gridCol w:w="980"/>
        <w:gridCol w:w="101"/>
        <w:gridCol w:w="748"/>
        <w:gridCol w:w="767"/>
        <w:gridCol w:w="195"/>
        <w:gridCol w:w="648"/>
        <w:gridCol w:w="922"/>
        <w:gridCol w:w="145"/>
        <w:gridCol w:w="1072"/>
        <w:gridCol w:w="6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316"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22"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38" w:type="dxa"/>
            <w:gridSpan w:val="14"/>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总价措施项目清单与计价表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935"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工程名称：建筑工程</w:t>
            </w:r>
          </w:p>
        </w:tc>
        <w:tc>
          <w:tcPr>
            <w:tcW w:w="3381"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182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14"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2229"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748"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767"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费率(%)</w:t>
            </w:r>
          </w:p>
        </w:tc>
        <w:tc>
          <w:tcPr>
            <w:tcW w:w="843"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1067"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调整费率(%)</w:t>
            </w:r>
          </w:p>
        </w:tc>
        <w:tc>
          <w:tcPr>
            <w:tcW w:w="1072"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调整后金额(元)</w:t>
            </w:r>
          </w:p>
        </w:tc>
        <w:tc>
          <w:tcPr>
            <w:tcW w:w="60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一般措施项目费(不含安全施工措施费)</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011707001001</w:t>
            </w: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文明施工和环境保护费</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011707005001</w:t>
            </w: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雨季施工费</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其他措施项目费</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011707002001</w:t>
            </w: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夜间施工增加费和白天施工需要照明费</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011707004001</w:t>
            </w: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二次搬运费</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011707005002</w:t>
            </w: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冬季施工费</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011707007001</w:t>
            </w: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已完工程及设备保护费</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041109005001</w:t>
            </w: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市政工程（含园林绿化工程）施工干扰费</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22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551" w:type="dxa"/>
            <w:gridSpan w:val="8"/>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843"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7"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72"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0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55" w:type="dxa"/>
            <w:gridSpan w:val="4"/>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编制人（造价人员）：</w:t>
            </w:r>
          </w:p>
        </w:tc>
        <w:tc>
          <w:tcPr>
            <w:tcW w:w="980" w:type="dxa"/>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811" w:type="dxa"/>
            <w:gridSpan w:val="4"/>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3392" w:type="dxa"/>
            <w:gridSpan w:val="5"/>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复核人（造价工程师）：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9138" w:type="dxa"/>
            <w:gridSpan w:val="14"/>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注：按施工方案计算的措施费，若无“计算基础”和“费率”的数值，也可只填“金额”数值，但应在备注栏说明施工方案出处或计算方法。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454"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01"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980" w:type="dxa"/>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811" w:type="dxa"/>
            <w:gridSpan w:val="4"/>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70"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表-11</w:t>
            </w:r>
          </w:p>
        </w:tc>
      </w:tr>
    </w:tbl>
    <w:p>
      <w:pPr>
        <w:rPr>
          <w:rFonts w:hint="eastAsia"/>
          <w:highlight w:val="none"/>
          <w:lang w:eastAsia="zh-CN"/>
        </w:rPr>
      </w:pPr>
      <w:r>
        <w:rPr>
          <w:rFonts w:hint="eastAsia"/>
          <w:highlight w:val="none"/>
          <w:lang w:eastAsia="zh-CN"/>
        </w:rPr>
        <w:br w:type="page"/>
      </w:r>
    </w:p>
    <w:tbl>
      <w:tblPr>
        <w:tblStyle w:val="25"/>
        <w:tblW w:w="8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0"/>
        <w:gridCol w:w="300"/>
        <w:gridCol w:w="1725"/>
        <w:gridCol w:w="705"/>
        <w:gridCol w:w="930"/>
        <w:gridCol w:w="480"/>
        <w:gridCol w:w="1050"/>
        <w:gridCol w:w="405"/>
        <w:gridCol w:w="18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090" w:type="dxa"/>
            <w:gridSpan w:val="7"/>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250"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340" w:type="dxa"/>
            <w:gridSpan w:val="9"/>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其他项目清单与计价汇总表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630" w:type="dxa"/>
            <w:gridSpan w:val="4"/>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工程名称：建筑工程</w:t>
            </w:r>
          </w:p>
        </w:tc>
        <w:tc>
          <w:tcPr>
            <w:tcW w:w="2460" w:type="dxa"/>
            <w:gridSpan w:val="3"/>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250"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243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41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145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结算金额(元)</w:t>
            </w:r>
          </w:p>
        </w:tc>
        <w:tc>
          <w:tcPr>
            <w:tcW w:w="184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暂列金额</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暂估价</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材料（工程设备）暂估价</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w:t>
            </w: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专业工程暂估价</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计日工</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总承包服务费</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工程担保费</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630" w:type="dxa"/>
            <w:gridSpan w:val="4"/>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1410"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4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340" w:type="dxa"/>
            <w:gridSpan w:val="9"/>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注：材料（工程设备）暂估单价进入清单项目综合单价，此处不汇总。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202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705" w:type="dxa"/>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930" w:type="dxa"/>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30"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250"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w:t>
            </w:r>
          </w:p>
        </w:tc>
      </w:tr>
    </w:tbl>
    <w:p>
      <w:pPr>
        <w:rPr>
          <w:rFonts w:hint="eastAsia"/>
          <w:highlight w:val="none"/>
          <w:lang w:eastAsia="zh-CN"/>
        </w:rPr>
      </w:pPr>
      <w:r>
        <w:rPr>
          <w:rFonts w:hint="eastAsia"/>
          <w:highlight w:val="none"/>
          <w:lang w:eastAsia="zh-CN"/>
        </w:rPr>
        <w:br w:type="page"/>
      </w:r>
    </w:p>
    <w:tbl>
      <w:tblPr>
        <w:tblStyle w:val="25"/>
        <w:tblW w:w="9357" w:type="dxa"/>
        <w:tblInd w:w="-4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2"/>
        <w:gridCol w:w="985"/>
        <w:gridCol w:w="1413"/>
        <w:gridCol w:w="612"/>
        <w:gridCol w:w="55"/>
        <w:gridCol w:w="650"/>
        <w:gridCol w:w="642"/>
        <w:gridCol w:w="701"/>
        <w:gridCol w:w="277"/>
        <w:gridCol w:w="391"/>
        <w:gridCol w:w="657"/>
        <w:gridCol w:w="242"/>
        <w:gridCol w:w="415"/>
        <w:gridCol w:w="635"/>
        <w:gridCol w:w="675"/>
        <w:gridCol w:w="5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07" w:type="dxa"/>
            <w:gridSpan w:val="1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250" w:type="dxa"/>
            <w:gridSpan w:val="4"/>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357" w:type="dxa"/>
            <w:gridSpan w:val="16"/>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材料（工程设备）暂估单价及调整表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4197"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工程名称：建筑工程</w:t>
            </w:r>
          </w:p>
        </w:tc>
        <w:tc>
          <w:tcPr>
            <w:tcW w:w="2910"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250" w:type="dxa"/>
            <w:gridSpan w:val="4"/>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82"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239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材料(工程设备)名称、规格、型号</w:t>
            </w:r>
          </w:p>
        </w:tc>
        <w:tc>
          <w:tcPr>
            <w:tcW w:w="66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1292"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数量</w:t>
            </w:r>
          </w:p>
        </w:tc>
        <w:tc>
          <w:tcPr>
            <w:tcW w:w="1369"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暂估(元)</w:t>
            </w:r>
          </w:p>
        </w:tc>
        <w:tc>
          <w:tcPr>
            <w:tcW w:w="1314"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确认(元)</w:t>
            </w:r>
          </w:p>
        </w:tc>
        <w:tc>
          <w:tcPr>
            <w:tcW w:w="131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差额±(元)</w:t>
            </w:r>
          </w:p>
        </w:tc>
        <w:tc>
          <w:tcPr>
            <w:tcW w:w="52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82"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w:t>
            </w: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确认</w:t>
            </w: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100厚岩棉夹芯彩钢板 双面压型钢板各厚0.5mm</w:t>
            </w: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103</w:t>
            </w: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2"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39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547" w:type="dxa"/>
            <w:gridSpan w:val="5"/>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合计</w:t>
            </w:r>
          </w:p>
        </w:tc>
        <w:tc>
          <w:tcPr>
            <w:tcW w:w="65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2"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01"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8"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57"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57"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7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357" w:type="dxa"/>
            <w:gridSpan w:val="16"/>
            <w:tcBorders>
              <w:top w:val="nil"/>
              <w:left w:val="nil"/>
              <w:bottom w:val="nil"/>
              <w:right w:val="nil"/>
            </w:tcBorders>
            <w:shd w:val="clear" w:color="FFFFFF" w:fill="FFFFFF"/>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注：1.此表由招标人填写“暂估单价”，并在备注栏说明暂估价的材料、工程设备拟用在那些清单项目上，投标人应将上述材料、工程设备暂估单价计入工程量清单综合单价报价中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467"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202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705"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620"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290"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250" w:type="dxa"/>
            <w:gridSpan w:val="4"/>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表—12—2</w:t>
            </w:r>
          </w:p>
        </w:tc>
      </w:tr>
    </w:tbl>
    <w:p>
      <w:pPr>
        <w:rPr>
          <w:rFonts w:hint="eastAsia"/>
          <w:highlight w:val="none"/>
          <w:lang w:eastAsia="zh-CN"/>
        </w:rPr>
      </w:pPr>
      <w:r>
        <w:rPr>
          <w:rFonts w:hint="eastAsia"/>
          <w:highlight w:val="none"/>
          <w:lang w:eastAsia="zh-CN"/>
        </w:rPr>
        <w:br w:type="page"/>
      </w:r>
    </w:p>
    <w:tbl>
      <w:tblPr>
        <w:tblStyle w:val="25"/>
        <w:tblW w:w="83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5"/>
        <w:gridCol w:w="255"/>
        <w:gridCol w:w="2025"/>
        <w:gridCol w:w="318"/>
        <w:gridCol w:w="387"/>
        <w:gridCol w:w="510"/>
        <w:gridCol w:w="195"/>
        <w:gridCol w:w="1335"/>
        <w:gridCol w:w="15"/>
        <w:gridCol w:w="1281"/>
        <w:gridCol w:w="13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670" w:type="dxa"/>
            <w:gridSpan w:val="8"/>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632"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302" w:type="dxa"/>
            <w:gridSpan w:val="11"/>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规费、税金项目计价表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630"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工程名称：建筑工程</w:t>
            </w:r>
          </w:p>
        </w:tc>
        <w:tc>
          <w:tcPr>
            <w:tcW w:w="2040" w:type="dxa"/>
            <w:gridSpan w:val="3"/>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6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645"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2598"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092"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135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计算基数</w:t>
            </w:r>
          </w:p>
        </w:tc>
        <w:tc>
          <w:tcPr>
            <w:tcW w:w="128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计算费率(%)</w:t>
            </w:r>
          </w:p>
        </w:tc>
        <w:tc>
          <w:tcPr>
            <w:tcW w:w="1336"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规费</w:t>
            </w: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社会保障费</w:t>
            </w: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住房公积金</w:t>
            </w: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工程排污费</w:t>
            </w: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其它</w:t>
            </w: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工伤保险</w:t>
            </w: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税金</w:t>
            </w: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2"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966"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1336"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630"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编制人（造价人员）：</w:t>
            </w:r>
          </w:p>
        </w:tc>
        <w:tc>
          <w:tcPr>
            <w:tcW w:w="510" w:type="dxa"/>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4162"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复核人（造价工程师）：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900"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2025" w:type="dxa"/>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705"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510" w:type="dxa"/>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30"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632"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表-13</w:t>
            </w:r>
          </w:p>
        </w:tc>
      </w:tr>
    </w:tbl>
    <w:p>
      <w:pPr>
        <w:rPr>
          <w:rFonts w:hint="eastAsia"/>
          <w:highlight w:val="none"/>
          <w:lang w:eastAsia="zh-CN"/>
        </w:rPr>
      </w:pPr>
      <w:r>
        <w:rPr>
          <w:rFonts w:hint="eastAsia"/>
          <w:highlight w:val="none"/>
          <w:lang w:eastAsia="zh-CN"/>
        </w:rPr>
        <w:br w:type="page"/>
      </w:r>
    </w:p>
    <w:tbl>
      <w:tblPr>
        <w:tblStyle w:val="25"/>
        <w:tblW w:w="9077" w:type="dxa"/>
        <w:tblInd w:w="-2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3"/>
        <w:gridCol w:w="2091"/>
        <w:gridCol w:w="1026"/>
        <w:gridCol w:w="1020"/>
        <w:gridCol w:w="856"/>
        <w:gridCol w:w="689"/>
        <w:gridCol w:w="585"/>
        <w:gridCol w:w="150"/>
        <w:gridCol w:w="1350"/>
        <w:gridCol w:w="6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85" w:hRule="atLeast"/>
        </w:trPr>
        <w:tc>
          <w:tcPr>
            <w:tcW w:w="9077" w:type="dxa"/>
            <w:gridSpan w:val="10"/>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主要材料和工程设备选用表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80" w:type="dxa"/>
            <w:gridSpan w:val="7"/>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工程名称：建筑工程</w:t>
            </w:r>
          </w:p>
        </w:tc>
        <w:tc>
          <w:tcPr>
            <w:tcW w:w="2197"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209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材料设备名称</w:t>
            </w:r>
          </w:p>
        </w:tc>
        <w:tc>
          <w:tcPr>
            <w:tcW w:w="1026"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102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市场价</w:t>
            </w:r>
          </w:p>
        </w:tc>
        <w:tc>
          <w:tcPr>
            <w:tcW w:w="856"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数量</w:t>
            </w:r>
          </w:p>
        </w:tc>
        <w:tc>
          <w:tcPr>
            <w:tcW w:w="689"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品牌</w:t>
            </w:r>
          </w:p>
        </w:tc>
        <w:tc>
          <w:tcPr>
            <w:tcW w:w="73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厂家</w:t>
            </w:r>
          </w:p>
        </w:tc>
        <w:tc>
          <w:tcPr>
            <w:tcW w:w="135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规格型号</w:t>
            </w:r>
          </w:p>
        </w:tc>
        <w:tc>
          <w:tcPr>
            <w:tcW w:w="697"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外购土方</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m3</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砂子</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m3</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中砂</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碎石</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m3</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毛石</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m3</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烧结多孔砖</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千块</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240*115*90</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天然级配砂砾</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m3</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钢筋HRB400以内</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φ12</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Q235B</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Q235B</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100厚岩棉夹芯彩钢板</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双面压型钢板各厚0.5mm</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工字铝</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橡皮密封条</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20*4</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EPS保温板</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m3</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密度18Kg/m3</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水泥</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32.5</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水泥</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32.5</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外墙涂料</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铝合金电动卷帘门</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80系列双玻中空塑钢推拉窗</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19</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预拌混凝土</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m3</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C30</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20</w:t>
            </w: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预拌混凝土</w:t>
            </w: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m3</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C25</w:t>
            </w: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13" w:type="dxa"/>
            <w:tcBorders>
              <w:top w:val="single" w:color="000000" w:sz="4" w:space="0"/>
              <w:left w:val="single" w:color="000000" w:sz="8" w:space="0"/>
              <w:bottom w:val="single" w:color="000000" w:sz="8"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91"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26"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6"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89"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5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97"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9077" w:type="dxa"/>
            <w:gridSpan w:val="10"/>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注：本表中所列材料设备应仅限于承包人自行采购范围内的材料设备。本表格可以按照同样的格式扩展。</w:t>
            </w:r>
          </w:p>
        </w:tc>
      </w:tr>
    </w:tbl>
    <w:p>
      <w:pPr>
        <w:rPr>
          <w:rFonts w:hint="eastAsia"/>
          <w:highlight w:val="none"/>
          <w:lang w:eastAsia="zh-CN"/>
        </w:rPr>
      </w:pPr>
      <w:r>
        <w:rPr>
          <w:rFonts w:hint="eastAsia"/>
          <w:highlight w:val="none"/>
          <w:lang w:eastAsia="zh-CN"/>
        </w:rPr>
        <w:br w:type="page"/>
      </w:r>
    </w:p>
    <w:tbl>
      <w:tblPr>
        <w:tblStyle w:val="25"/>
        <w:tblW w:w="9181" w:type="dxa"/>
        <w:tblInd w:w="-34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3"/>
        <w:gridCol w:w="1126"/>
        <w:gridCol w:w="221"/>
        <w:gridCol w:w="1354"/>
        <w:gridCol w:w="440"/>
        <w:gridCol w:w="982"/>
        <w:gridCol w:w="643"/>
        <w:gridCol w:w="756"/>
        <w:gridCol w:w="165"/>
        <w:gridCol w:w="455"/>
        <w:gridCol w:w="712"/>
        <w:gridCol w:w="427"/>
        <w:gridCol w:w="14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347"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34"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81" w:type="dxa"/>
            <w:gridSpan w:val="13"/>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616"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工程名称：电气工程</w:t>
            </w:r>
          </w:p>
        </w:tc>
        <w:tc>
          <w:tcPr>
            <w:tcW w:w="2731"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1834"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3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9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4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1794"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62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62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254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49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79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2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1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42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9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79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2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1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42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电气工程</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040104003037</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机械挖管沟土方 一、二类土</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1000m3</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0.02</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040103002003</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100m3</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0.18</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030408003001</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电缆保护管铺设 地下敷设 钢管铺设 直径≤50mm</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钢管SC50</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4.5</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030408003026</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电缆保护管铺设 地上铺设 沿电杆敷设 钢管直径≤80mm</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钢管SC50</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根</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030408001033</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室内敷设电力电缆 铜芯电力电缆敷设 电缆截面≤10mm2</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电力电缆YJV22-4*6</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030404017007</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成套配电箱安装 悬挂、嵌入式 半周长1.0m</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照明配电箱 AL 500*500*180</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030411001024</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镀锌钢管敷设 砖、混凝土结构明配 公称直径≤DN20</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镀锌钢管SC20</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030411001035</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镀锌钢管敷设 砖、混凝土结构暗配 公称直径≤DN20</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镀锌钢管SC20暗配</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9.8</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030411001191</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镀锌钢管敷设 砖、混凝土结构明配 公称直径≤DN20</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镀锌钢管SC20(超高）</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030411001052</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镀锌钢管敷设 钢结构支架配管 公称直径≤DN20</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镀锌钢管SC20(超高）</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3.6</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030411001023</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镀锌钢管敷设 砖、混凝土结构明配 公称直径≤DN15</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镀锌钢管SC15</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0.5</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030411001192</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镀锌钢管敷设 砖、混凝土结构明配 公称直径≤DN15</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镀锌钢管SC15(超高）</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030411001051</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镀锌钢管敷设 钢结构支架配管 公称直径≤DN1</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镀锌钢管SC15(超高）</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6.9</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635"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712"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619"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7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422"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564"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167"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34"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347"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34"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81" w:type="dxa"/>
            <w:gridSpan w:val="13"/>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616"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工程名称：电气工程</w:t>
            </w:r>
          </w:p>
        </w:tc>
        <w:tc>
          <w:tcPr>
            <w:tcW w:w="2731"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1834"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2  页  共  3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9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4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1794"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62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62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254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49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79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2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1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42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9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79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2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1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42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030411004006</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管内穿线 穿照明线 铜芯 导线截面≤4mm2</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绝缘电线BV-4</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34.7</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030411004005</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管内穿线 穿照明线 铜芯 导线截面≤2.5mm2</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绝缘电线BV-2.5</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46.1</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030412002005</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工厂罩灯安装 吊链式</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工厂灯 1X100W(超高）</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030412001001</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吸顶灯具安装 灯罩周长≤800mm</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平圆吸顶灯 25W</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030404034002</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普通开关、按钮安装 跷板开关 明装</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三联开关</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19</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030404034017</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普通开关、按钮安装 跷板开关 明装</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四联开关</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20</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030404035009</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普通插座安装 单相带接地 暗插座电流≤15A</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五孔插座</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030411006003</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明装普通接线盒</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铁接线盒（超高）</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030411006006</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明装普通接线盒</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铁接线盒</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23</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030414001007</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分系统调试 输配电装置系统调试 ≤1kV交流供电</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系统</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030502003001</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安装接线箱半周长≤700</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弱电接线箱</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25</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030411001071</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镀锌钢管敷设 埋地敷设 公称直径≤DN50</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镀锌钢管SC50</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0.27</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26</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030409008002</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总等电位联结端子箱</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27</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030409003004</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接地测试盒</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28</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030409004001</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均压环敷设 利用圈梁钢筋</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222</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29</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030409002001</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户内接地母线敷设 镀锌扁钢-40*4</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2.5</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30</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030409002002</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户外接地母线敷设 镀锌扁钢-40*4</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31</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030409003003</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避雷引下线敷设 </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44</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635"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712"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619"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7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422"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564"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167"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34"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347"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34"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81" w:type="dxa"/>
            <w:gridSpan w:val="13"/>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616"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工程名称：电气工程</w:t>
            </w:r>
          </w:p>
        </w:tc>
        <w:tc>
          <w:tcPr>
            <w:tcW w:w="2731"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1834"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3  页  共  3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9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4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1794"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62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62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254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49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79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2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1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42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9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79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2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1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42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利用建筑结构钢筋引下</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32</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030414001059</w:t>
            </w: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分系统调试 接地系统测试 接地网</w:t>
            </w: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系统</w:t>
            </w: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79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635" w:type="dxa"/>
            <w:gridSpan w:val="10"/>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635"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712"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27"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07"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619"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7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422"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564"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167"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34"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bl>
    <w:p>
      <w:pPr>
        <w:rPr>
          <w:rFonts w:hint="eastAsia"/>
          <w:highlight w:val="none"/>
          <w:lang w:eastAsia="zh-CN"/>
        </w:rPr>
      </w:pPr>
      <w:r>
        <w:rPr>
          <w:rFonts w:hint="eastAsia"/>
          <w:highlight w:val="none"/>
          <w:lang w:eastAsia="zh-CN"/>
        </w:rPr>
        <w:br w:type="page"/>
      </w:r>
    </w:p>
    <w:tbl>
      <w:tblPr>
        <w:tblStyle w:val="25"/>
        <w:tblW w:w="9191" w:type="dxa"/>
        <w:tblInd w:w="-23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1"/>
        <w:gridCol w:w="850"/>
        <w:gridCol w:w="573"/>
        <w:gridCol w:w="913"/>
        <w:gridCol w:w="976"/>
        <w:gridCol w:w="101"/>
        <w:gridCol w:w="661"/>
        <w:gridCol w:w="765"/>
        <w:gridCol w:w="195"/>
        <w:gridCol w:w="646"/>
        <w:gridCol w:w="919"/>
        <w:gridCol w:w="144"/>
        <w:gridCol w:w="1068"/>
        <w:gridCol w:w="7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90"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01"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91" w:type="dxa"/>
            <w:gridSpan w:val="14"/>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总价措施项目清单与计价表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903"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工程名称：电气工程</w:t>
            </w:r>
          </w:p>
        </w:tc>
        <w:tc>
          <w:tcPr>
            <w:tcW w:w="3287"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001"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91"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423"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199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66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76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费率(%)</w:t>
            </w:r>
          </w:p>
        </w:tc>
        <w:tc>
          <w:tcPr>
            <w:tcW w:w="841"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1063"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调整费率(%)</w:t>
            </w:r>
          </w:p>
        </w:tc>
        <w:tc>
          <w:tcPr>
            <w:tcW w:w="1068"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调整后金额(元)</w:t>
            </w:r>
          </w:p>
        </w:tc>
        <w:tc>
          <w:tcPr>
            <w:tcW w:w="789"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一般措施项目费(不含安全施工措施费)</w:t>
            </w: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041109001001</w:t>
            </w: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文明施工和环境保护费(不含第2册)</w:t>
            </w: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041109001002</w:t>
            </w: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文明施工和环境保护费 第2册</w:t>
            </w: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041109004001</w:t>
            </w: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雨季施工费(不含第2册)</w:t>
            </w: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041109004002</w:t>
            </w: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雨季施工费 第2册</w:t>
            </w: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其他措施项目费</w:t>
            </w: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041109002001</w:t>
            </w: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夜间施工增加费和白天施工需要照明费</w:t>
            </w: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041109003001</w:t>
            </w: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二次搬运费</w:t>
            </w: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041109004003</w:t>
            </w: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冬季施工费(不含第2册)</w:t>
            </w: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041109004004</w:t>
            </w: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冬季施工费 第2册</w:t>
            </w: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041109007001</w:t>
            </w: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已完工程及设备保护费</w:t>
            </w: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041109005001</w:t>
            </w: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市政工程（含园林绿化工程）施工干扰费</w:t>
            </w: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9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2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430" w:type="dxa"/>
            <w:gridSpan w:val="8"/>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841"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63"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9"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27" w:type="dxa"/>
            <w:gridSpan w:val="4"/>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编制人（造价人员）：</w:t>
            </w:r>
          </w:p>
        </w:tc>
        <w:tc>
          <w:tcPr>
            <w:tcW w:w="976" w:type="dxa"/>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722" w:type="dxa"/>
            <w:gridSpan w:val="4"/>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3566" w:type="dxa"/>
            <w:gridSpan w:val="5"/>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复核人（造价工程师）：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9191" w:type="dxa"/>
            <w:gridSpan w:val="14"/>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注：按施工方案计算的措施费，若无“计算基础”和“费率”的数值，也可只填“金额”数值，但应在备注栏说明施工方案出处或计算方法。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441"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486"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976" w:type="dxa"/>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722" w:type="dxa"/>
            <w:gridSpan w:val="4"/>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65"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01"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表-11</w:t>
            </w:r>
          </w:p>
        </w:tc>
      </w:tr>
    </w:tbl>
    <w:p>
      <w:pPr>
        <w:rPr>
          <w:rFonts w:hint="eastAsia"/>
          <w:highlight w:val="none"/>
          <w:lang w:eastAsia="zh-CN"/>
        </w:rPr>
      </w:pPr>
      <w:r>
        <w:rPr>
          <w:rFonts w:hint="eastAsia"/>
          <w:highlight w:val="none"/>
          <w:lang w:eastAsia="zh-CN"/>
        </w:rPr>
        <w:br w:type="page"/>
      </w:r>
    </w:p>
    <w:tbl>
      <w:tblPr>
        <w:tblStyle w:val="25"/>
        <w:tblW w:w="833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0"/>
        <w:gridCol w:w="300"/>
        <w:gridCol w:w="1725"/>
        <w:gridCol w:w="705"/>
        <w:gridCol w:w="1140"/>
        <w:gridCol w:w="225"/>
        <w:gridCol w:w="1305"/>
        <w:gridCol w:w="206"/>
        <w:gridCol w:w="18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300" w:type="dxa"/>
            <w:gridSpan w:val="7"/>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34"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334" w:type="dxa"/>
            <w:gridSpan w:val="9"/>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其他项目清单与计价汇总表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630" w:type="dxa"/>
            <w:gridSpan w:val="4"/>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工程名称：电气工程</w:t>
            </w:r>
          </w:p>
        </w:tc>
        <w:tc>
          <w:tcPr>
            <w:tcW w:w="2670" w:type="dxa"/>
            <w:gridSpan w:val="3"/>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034"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243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36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1511"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结算金额(元)</w:t>
            </w:r>
          </w:p>
        </w:tc>
        <w:tc>
          <w:tcPr>
            <w:tcW w:w="1828"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暂列金额</w:t>
            </w: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暂估价</w:t>
            </w: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材料（工程设备）暂估价</w:t>
            </w: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w:t>
            </w: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专业工程暂估价</w:t>
            </w: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计日工</w:t>
            </w: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总承包服务费</w:t>
            </w: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工程担保费</w:t>
            </w: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630" w:type="dxa"/>
            <w:gridSpan w:val="4"/>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136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11"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28"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334" w:type="dxa"/>
            <w:gridSpan w:val="9"/>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注：材料（工程设备）暂估单价进入清单项目综合单价，此处不汇总。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202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705" w:type="dxa"/>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140" w:type="dxa"/>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30"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4"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w:t>
            </w:r>
          </w:p>
        </w:tc>
      </w:tr>
    </w:tbl>
    <w:p>
      <w:pPr>
        <w:rPr>
          <w:rFonts w:hint="eastAsia"/>
          <w:highlight w:val="none"/>
          <w:lang w:eastAsia="zh-CN"/>
        </w:rPr>
      </w:pPr>
      <w:r>
        <w:rPr>
          <w:rFonts w:hint="eastAsia"/>
          <w:highlight w:val="none"/>
          <w:lang w:eastAsia="zh-CN"/>
        </w:rPr>
        <w:br w:type="page"/>
      </w:r>
    </w:p>
    <w:tbl>
      <w:tblPr>
        <w:tblStyle w:val="25"/>
        <w:tblW w:w="8947" w:type="dxa"/>
        <w:tblInd w:w="-2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8"/>
        <w:gridCol w:w="569"/>
        <w:gridCol w:w="1106"/>
        <w:gridCol w:w="94"/>
        <w:gridCol w:w="570"/>
        <w:gridCol w:w="135"/>
        <w:gridCol w:w="585"/>
        <w:gridCol w:w="707"/>
        <w:gridCol w:w="733"/>
        <w:gridCol w:w="592"/>
        <w:gridCol w:w="745"/>
        <w:gridCol w:w="193"/>
        <w:gridCol w:w="431"/>
        <w:gridCol w:w="624"/>
        <w:gridCol w:w="670"/>
        <w:gridCol w:w="5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trPr>
        <w:tc>
          <w:tcPr>
            <w:tcW w:w="6697" w:type="dxa"/>
            <w:gridSpan w:val="1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250" w:type="dxa"/>
            <w:gridSpan w:val="4"/>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947" w:type="dxa"/>
            <w:gridSpan w:val="16"/>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材料（工程设备）暂估单价及调整表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142"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工程名称：电气工程</w:t>
            </w:r>
          </w:p>
        </w:tc>
        <w:tc>
          <w:tcPr>
            <w:tcW w:w="3555"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250" w:type="dxa"/>
            <w:gridSpan w:val="4"/>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668"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67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材料(工程设备)名称、规格、型号</w:t>
            </w:r>
          </w:p>
        </w:tc>
        <w:tc>
          <w:tcPr>
            <w:tcW w:w="664"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1427"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数量</w:t>
            </w:r>
          </w:p>
        </w:tc>
        <w:tc>
          <w:tcPr>
            <w:tcW w:w="132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暂估(元)</w:t>
            </w:r>
          </w:p>
        </w:tc>
        <w:tc>
          <w:tcPr>
            <w:tcW w:w="1369"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确认(元)</w:t>
            </w:r>
          </w:p>
        </w:tc>
        <w:tc>
          <w:tcPr>
            <w:tcW w:w="1294"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差额±(元)</w:t>
            </w:r>
          </w:p>
        </w:tc>
        <w:tc>
          <w:tcPr>
            <w:tcW w:w="52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8"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w:t>
            </w: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确认</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工厂灯 1X100W </w:t>
            </w: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412.5</w:t>
            </w: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6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007" w:type="dxa"/>
            <w:gridSpan w:val="5"/>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合计</w:t>
            </w:r>
          </w:p>
        </w:tc>
        <w:tc>
          <w:tcPr>
            <w:tcW w:w="720"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07"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92"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24"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24"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7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2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947" w:type="dxa"/>
            <w:gridSpan w:val="16"/>
            <w:tcBorders>
              <w:top w:val="nil"/>
              <w:left w:val="nil"/>
              <w:bottom w:val="nil"/>
              <w:right w:val="nil"/>
            </w:tcBorders>
            <w:shd w:val="clear" w:color="FFFFFF" w:fill="FFFFFF"/>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注：1.此表由招标人填写“暂估单价”，并在备注栏说明暂估价的材料、工程设备拟用在那些清单项目上，投标人应将上述材料、工程设备暂估单价计入工程量清单综合单价报价中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37"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200"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705"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2025"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30"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250" w:type="dxa"/>
            <w:gridSpan w:val="4"/>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表—12—2</w:t>
            </w:r>
          </w:p>
        </w:tc>
      </w:tr>
    </w:tbl>
    <w:p>
      <w:pPr>
        <w:rPr>
          <w:rFonts w:hint="eastAsia"/>
          <w:highlight w:val="none"/>
          <w:lang w:eastAsia="zh-CN"/>
        </w:rPr>
      </w:pPr>
      <w:r>
        <w:rPr>
          <w:rFonts w:hint="eastAsia"/>
          <w:highlight w:val="none"/>
          <w:lang w:eastAsia="zh-CN"/>
        </w:rPr>
        <w:br w:type="page"/>
      </w:r>
    </w:p>
    <w:tbl>
      <w:tblPr>
        <w:tblStyle w:val="25"/>
        <w:tblW w:w="83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5"/>
        <w:gridCol w:w="255"/>
        <w:gridCol w:w="1730"/>
        <w:gridCol w:w="295"/>
        <w:gridCol w:w="705"/>
        <w:gridCol w:w="533"/>
        <w:gridCol w:w="502"/>
        <w:gridCol w:w="954"/>
        <w:gridCol w:w="576"/>
        <w:gridCol w:w="1095"/>
        <w:gridCol w:w="1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95" w:type="dxa"/>
            <w:gridSpan w:val="9"/>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50"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345" w:type="dxa"/>
            <w:gridSpan w:val="11"/>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规费、税金项目计价表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630"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工程名称：电气工程</w:t>
            </w:r>
          </w:p>
        </w:tc>
        <w:tc>
          <w:tcPr>
            <w:tcW w:w="2565" w:type="dxa"/>
            <w:gridSpan w:val="4"/>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150"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645"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98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533"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1456"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计算基数</w:t>
            </w:r>
          </w:p>
        </w:tc>
        <w:tc>
          <w:tcPr>
            <w:tcW w:w="1671"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计算费率(%)</w:t>
            </w:r>
          </w:p>
        </w:tc>
        <w:tc>
          <w:tcPr>
            <w:tcW w:w="105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规费</w:t>
            </w: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社会保障费</w:t>
            </w: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住房公积金</w:t>
            </w: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工程排污费</w:t>
            </w: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其它</w:t>
            </w: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工伤保险</w:t>
            </w: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税金</w:t>
            </w: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05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0"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105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630"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编制人（造价人员）：</w:t>
            </w:r>
          </w:p>
        </w:tc>
        <w:tc>
          <w:tcPr>
            <w:tcW w:w="1035"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3680" w:type="dxa"/>
            <w:gridSpan w:val="4"/>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复核人（造价工程师）：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900"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202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705" w:type="dxa"/>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035"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30"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150"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表-13</w:t>
            </w:r>
          </w:p>
        </w:tc>
      </w:tr>
    </w:tbl>
    <w:p>
      <w:pPr>
        <w:rPr>
          <w:rFonts w:hint="eastAsia"/>
          <w:highlight w:val="none"/>
          <w:lang w:eastAsia="zh-CN"/>
        </w:rPr>
      </w:pPr>
      <w:r>
        <w:rPr>
          <w:rFonts w:hint="eastAsia"/>
          <w:highlight w:val="none"/>
          <w:lang w:eastAsia="zh-CN"/>
        </w:rPr>
        <w:br w:type="page"/>
      </w:r>
    </w:p>
    <w:tbl>
      <w:tblPr>
        <w:tblStyle w:val="25"/>
        <w:tblW w:w="8693" w:type="dxa"/>
        <w:tblInd w:w="-2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9"/>
        <w:gridCol w:w="2146"/>
        <w:gridCol w:w="828"/>
        <w:gridCol w:w="1020"/>
        <w:gridCol w:w="878"/>
        <w:gridCol w:w="817"/>
        <w:gridCol w:w="585"/>
        <w:gridCol w:w="1094"/>
        <w:gridCol w:w="6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693" w:type="dxa"/>
            <w:gridSpan w:val="9"/>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主要材料和工程设备选用表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953" w:type="dxa"/>
            <w:gridSpan w:val="7"/>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工程名称：电气工程</w:t>
            </w:r>
          </w:p>
        </w:tc>
        <w:tc>
          <w:tcPr>
            <w:tcW w:w="1740"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79"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2146"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材料设备名称</w:t>
            </w:r>
          </w:p>
        </w:tc>
        <w:tc>
          <w:tcPr>
            <w:tcW w:w="828"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102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市场价</w:t>
            </w:r>
          </w:p>
        </w:tc>
        <w:tc>
          <w:tcPr>
            <w:tcW w:w="878"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数量</w:t>
            </w:r>
          </w:p>
        </w:tc>
        <w:tc>
          <w:tcPr>
            <w:tcW w:w="817"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品牌</w:t>
            </w:r>
          </w:p>
        </w:tc>
        <w:tc>
          <w:tcPr>
            <w:tcW w:w="58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厂家</w:t>
            </w:r>
          </w:p>
        </w:tc>
        <w:tc>
          <w:tcPr>
            <w:tcW w:w="1094"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规格型号</w:t>
            </w:r>
          </w:p>
        </w:tc>
        <w:tc>
          <w:tcPr>
            <w:tcW w:w="646"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镀锌钢管SC20</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镀锌钢管SC15</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镀锌钢管SC20</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镀锌钢管SC50</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钢管SC50</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弱电接线箱</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三联开关</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只</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四联开关</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只</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五孔插座</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电力电缆YJV22-4*6</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镀锌扁钢-40*4</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w:t>
            </w: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总等电位联结端子箱</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绝缘电线BV-4</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绝缘电线BV-2.5</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铁接线盒</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工厂灯 1X100W</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bookmarkStart w:id="702" w:name="_GoBack"/>
            <w:bookmarkEnd w:id="702"/>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平圆吸顶灯 25W</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照明配电箱 AL 500*500*180</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19</w:t>
            </w: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接地测试盒</w:t>
            </w: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1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2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1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09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693" w:type="dxa"/>
            <w:gridSpan w:val="9"/>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注：本表中所列材料设备应仅限于承包人自行采购范围内的材料设备。本表格可以按照同样的格式扩展。</w:t>
            </w:r>
          </w:p>
        </w:tc>
      </w:tr>
    </w:tbl>
    <w:p>
      <w:pPr>
        <w:rPr>
          <w:rFonts w:hint="eastAsia"/>
          <w:highlight w:val="none"/>
          <w:lang w:eastAsia="zh-CN"/>
        </w:rPr>
      </w:pPr>
      <w:r>
        <w:rPr>
          <w:rFonts w:hint="eastAsia"/>
          <w:highlight w:val="none"/>
          <w:lang w:eastAsia="zh-CN"/>
        </w:rPr>
        <w:br w:type="page"/>
      </w:r>
    </w:p>
    <w:tbl>
      <w:tblPr>
        <w:tblStyle w:val="25"/>
        <w:tblW w:w="9129" w:type="dxa"/>
        <w:tblInd w:w="-32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4"/>
        <w:gridCol w:w="1099"/>
        <w:gridCol w:w="215"/>
        <w:gridCol w:w="1368"/>
        <w:gridCol w:w="450"/>
        <w:gridCol w:w="979"/>
        <w:gridCol w:w="248"/>
        <w:gridCol w:w="666"/>
        <w:gridCol w:w="165"/>
        <w:gridCol w:w="677"/>
        <w:gridCol w:w="672"/>
        <w:gridCol w:w="534"/>
        <w:gridCol w:w="15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043"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86"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29" w:type="dxa"/>
            <w:gridSpan w:val="13"/>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615"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工程名称：院面工程</w:t>
            </w:r>
          </w:p>
        </w:tc>
        <w:tc>
          <w:tcPr>
            <w:tcW w:w="2428"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086"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4"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14"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181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22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66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84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2758"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504"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81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22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7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53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4"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81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22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6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7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53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整个项目</w:t>
            </w: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50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040202009003</w:t>
            </w:r>
          </w:p>
        </w:tc>
        <w:tc>
          <w:tcPr>
            <w:tcW w:w="18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砂砾石(天然级配)基层 机械摊铺 厚度20cm</w:t>
            </w: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1.砂砾垫层200厚</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6.44</w:t>
            </w: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50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040203007002</w:t>
            </w:r>
          </w:p>
        </w:tc>
        <w:tc>
          <w:tcPr>
            <w:tcW w:w="18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水泥混凝土路面 预拌混凝土 厚度18cm</w:t>
            </w: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1.C25混凝土180厚（6m*6m设缝）</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6.44</w:t>
            </w: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0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040202036003</w:t>
            </w:r>
          </w:p>
        </w:tc>
        <w:tc>
          <w:tcPr>
            <w:tcW w:w="18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基层养生 洒水车洒水</w:t>
            </w: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6.44</w:t>
            </w: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0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040203007015</w:t>
            </w:r>
          </w:p>
        </w:tc>
        <w:tc>
          <w:tcPr>
            <w:tcW w:w="18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水泥混凝土路面 缩缝 锯缝机切缝 缝宽6mm缝深5cm</w:t>
            </w: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w:t>
            </w: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1.72</w:t>
            </w: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0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041105002010</w:t>
            </w:r>
          </w:p>
        </w:tc>
        <w:tc>
          <w:tcPr>
            <w:tcW w:w="18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特、大型机械进出场 压路机</w:t>
            </w: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台次</w:t>
            </w: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0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041105002003</w:t>
            </w:r>
          </w:p>
        </w:tc>
        <w:tc>
          <w:tcPr>
            <w:tcW w:w="18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特、大型机械进出场 履带式推土机进出场费 90kW以内</w:t>
            </w: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台次</w:t>
            </w: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0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0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0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0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0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1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371" w:type="dxa"/>
            <w:gridSpan w:val="10"/>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371"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672"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4"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2"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603"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83"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429"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079"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349"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86"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bl>
    <w:p>
      <w:pPr>
        <w:rPr>
          <w:rFonts w:hint="eastAsia"/>
          <w:highlight w:val="none"/>
          <w:lang w:eastAsia="zh-CN"/>
        </w:rPr>
      </w:pPr>
      <w:r>
        <w:rPr>
          <w:rFonts w:hint="eastAsia"/>
          <w:highlight w:val="none"/>
          <w:lang w:eastAsia="zh-CN"/>
        </w:rPr>
        <w:br w:type="page"/>
      </w:r>
    </w:p>
    <w:tbl>
      <w:tblPr>
        <w:tblStyle w:val="25"/>
        <w:tblW w:w="9219" w:type="dxa"/>
        <w:tblInd w:w="-2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3"/>
        <w:gridCol w:w="879"/>
        <w:gridCol w:w="522"/>
        <w:gridCol w:w="1293"/>
        <w:gridCol w:w="1005"/>
        <w:gridCol w:w="105"/>
        <w:gridCol w:w="720"/>
        <w:gridCol w:w="780"/>
        <w:gridCol w:w="195"/>
        <w:gridCol w:w="660"/>
        <w:gridCol w:w="945"/>
        <w:gridCol w:w="976"/>
        <w:gridCol w:w="6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597"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22"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219" w:type="dxa"/>
            <w:gridSpan w:val="13"/>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总价措施项目清单与计价表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4192"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工程名称：院面工程</w:t>
            </w:r>
          </w:p>
        </w:tc>
        <w:tc>
          <w:tcPr>
            <w:tcW w:w="3405"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1622"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401"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2403"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72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78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费率(%)</w:t>
            </w:r>
          </w:p>
        </w:tc>
        <w:tc>
          <w:tcPr>
            <w:tcW w:w="85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94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调整费率(%)</w:t>
            </w:r>
          </w:p>
        </w:tc>
        <w:tc>
          <w:tcPr>
            <w:tcW w:w="976"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调整后金额(元)</w:t>
            </w:r>
          </w:p>
        </w:tc>
        <w:tc>
          <w:tcPr>
            <w:tcW w:w="646"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一般措施项目费(不含安全施工措施费)</w:t>
            </w: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041109001001</w:t>
            </w: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文明施工和环境保护费(不含第2册)</w:t>
            </w: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041109001002</w:t>
            </w: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文明施工和环境保护费 第2册</w:t>
            </w: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041109004001</w:t>
            </w: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雨季施工费(不含第2册)</w:t>
            </w: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041109004002</w:t>
            </w: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雨季施工费 第2册</w:t>
            </w: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其他措施项目费</w:t>
            </w: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041109002001</w:t>
            </w: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夜间施工增加费和白天施工需要照明费</w:t>
            </w: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041109003001</w:t>
            </w: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二次搬运费</w:t>
            </w: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041109004003</w:t>
            </w: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冬季施工费(不含第2册)</w:t>
            </w: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041109004004</w:t>
            </w: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冬季施工费 第2册</w:t>
            </w: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041109007001</w:t>
            </w: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已完工程及设备保护费</w:t>
            </w: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041109005001</w:t>
            </w: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市政工程（含园林绿化工程）施工干扰费</w:t>
            </w: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40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797" w:type="dxa"/>
            <w:gridSpan w:val="8"/>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85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4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76"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187" w:type="dxa"/>
            <w:gridSpan w:val="4"/>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编制人（造价人员）：</w:t>
            </w:r>
          </w:p>
        </w:tc>
        <w:tc>
          <w:tcPr>
            <w:tcW w:w="1005" w:type="dxa"/>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800" w:type="dxa"/>
            <w:gridSpan w:val="4"/>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3227" w:type="dxa"/>
            <w:gridSpan w:val="4"/>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复核人（造价工程师）：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9219" w:type="dxa"/>
            <w:gridSpan w:val="13"/>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注：按施工方案计算的措施费，若无“计算基础”和“费率”的数值，也可只填“金额”数值，但应在备注栏说明施工方案出处或计算方法。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72"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81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005" w:type="dxa"/>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800" w:type="dxa"/>
            <w:gridSpan w:val="4"/>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605"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22"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表-11</w:t>
            </w:r>
          </w:p>
        </w:tc>
      </w:tr>
    </w:tbl>
    <w:p>
      <w:pPr>
        <w:rPr>
          <w:rFonts w:hint="eastAsia"/>
          <w:highlight w:val="none"/>
          <w:lang w:eastAsia="zh-CN"/>
        </w:rPr>
      </w:pPr>
      <w:r>
        <w:rPr>
          <w:rFonts w:hint="eastAsia"/>
          <w:highlight w:val="none"/>
          <w:lang w:eastAsia="zh-CN"/>
        </w:rPr>
        <w:br w:type="page"/>
      </w:r>
    </w:p>
    <w:tbl>
      <w:tblPr>
        <w:tblStyle w:val="25"/>
        <w:tblW w:w="83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0"/>
        <w:gridCol w:w="300"/>
        <w:gridCol w:w="1725"/>
        <w:gridCol w:w="705"/>
        <w:gridCol w:w="1201"/>
        <w:gridCol w:w="74"/>
        <w:gridCol w:w="1415"/>
        <w:gridCol w:w="115"/>
        <w:gridCol w:w="19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35" w:type="dxa"/>
            <w:gridSpan w:val="8"/>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921" w:type="dxa"/>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356" w:type="dxa"/>
            <w:gridSpan w:val="9"/>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其他项目清单与计价汇总表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630" w:type="dxa"/>
            <w:gridSpan w:val="4"/>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工程名称：院面工程</w:t>
            </w:r>
          </w:p>
        </w:tc>
        <w:tc>
          <w:tcPr>
            <w:tcW w:w="2805" w:type="dxa"/>
            <w:gridSpan w:val="4"/>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1921" w:type="dxa"/>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243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20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1489"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结算金额(元)</w:t>
            </w:r>
          </w:p>
        </w:tc>
        <w:tc>
          <w:tcPr>
            <w:tcW w:w="2036" w:type="dxa"/>
            <w:gridSpan w:val="2"/>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暂列金额</w:t>
            </w: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暂估价</w:t>
            </w: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材料（工程设备）暂估价</w:t>
            </w: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w:t>
            </w: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专业工程暂估价</w:t>
            </w: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计日工</w:t>
            </w: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总承包服务费</w:t>
            </w: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工程担保费</w:t>
            </w: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630" w:type="dxa"/>
            <w:gridSpan w:val="4"/>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1201"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89"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36" w:type="dxa"/>
            <w:gridSpan w:val="2"/>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356" w:type="dxa"/>
            <w:gridSpan w:val="9"/>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注：材料（工程设备）暂估单价进入清单项目综合单价，此处不汇总。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202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705" w:type="dxa"/>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275"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30"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921" w:type="dxa"/>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w:t>
            </w:r>
          </w:p>
        </w:tc>
      </w:tr>
    </w:tbl>
    <w:p>
      <w:pPr>
        <w:rPr>
          <w:rFonts w:hint="eastAsia"/>
          <w:highlight w:val="none"/>
          <w:lang w:eastAsia="zh-CN"/>
        </w:rPr>
      </w:pPr>
      <w:r>
        <w:rPr>
          <w:rFonts w:hint="eastAsia"/>
          <w:highlight w:val="none"/>
          <w:lang w:eastAsia="zh-CN"/>
        </w:rPr>
        <w:br w:type="page"/>
      </w:r>
    </w:p>
    <w:tbl>
      <w:tblPr>
        <w:tblStyle w:val="25"/>
        <w:tblW w:w="9811" w:type="dxa"/>
        <w:tblInd w:w="-5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3"/>
        <w:gridCol w:w="930"/>
        <w:gridCol w:w="1062"/>
        <w:gridCol w:w="393"/>
        <w:gridCol w:w="253"/>
        <w:gridCol w:w="452"/>
        <w:gridCol w:w="337"/>
        <w:gridCol w:w="733"/>
        <w:gridCol w:w="723"/>
        <w:gridCol w:w="712"/>
        <w:gridCol w:w="54"/>
        <w:gridCol w:w="810"/>
        <w:gridCol w:w="666"/>
        <w:gridCol w:w="593"/>
        <w:gridCol w:w="745"/>
        <w:gridCol w:w="7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8" w:type="dxa"/>
            <w:gridSpan w:val="13"/>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83"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811" w:type="dxa"/>
            <w:gridSpan w:val="16"/>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材料（工程设备）暂估单价及调整表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693"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工程名称：院面工程</w:t>
            </w:r>
          </w:p>
        </w:tc>
        <w:tc>
          <w:tcPr>
            <w:tcW w:w="4035" w:type="dxa"/>
            <w:gridSpan w:val="7"/>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083"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60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99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材料(工程设备)名称、规格、型号</w:t>
            </w:r>
          </w:p>
        </w:tc>
        <w:tc>
          <w:tcPr>
            <w:tcW w:w="64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1522"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数量</w:t>
            </w:r>
          </w:p>
        </w:tc>
        <w:tc>
          <w:tcPr>
            <w:tcW w:w="1489"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暂估(元)</w:t>
            </w:r>
          </w:p>
        </w:tc>
        <w:tc>
          <w:tcPr>
            <w:tcW w:w="1476"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确认(元)</w:t>
            </w:r>
          </w:p>
        </w:tc>
        <w:tc>
          <w:tcPr>
            <w:tcW w:w="1338"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差额±(元)</w:t>
            </w:r>
          </w:p>
        </w:tc>
        <w:tc>
          <w:tcPr>
            <w:tcW w:w="74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4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确认</w:t>
            </w: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0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9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41" w:type="dxa"/>
            <w:gridSpan w:val="5"/>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合计</w:t>
            </w:r>
          </w:p>
        </w:tc>
        <w:tc>
          <w:tcPr>
            <w:tcW w:w="789"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33"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23"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66"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1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93"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4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811" w:type="dxa"/>
            <w:gridSpan w:val="16"/>
            <w:tcBorders>
              <w:top w:val="nil"/>
              <w:left w:val="nil"/>
              <w:bottom w:val="nil"/>
              <w:right w:val="nil"/>
            </w:tcBorders>
            <w:shd w:val="clear" w:color="FFFFFF" w:fill="FFFFFF"/>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注：1.此表由招标人填写“暂估单价”，并在备注栏说明暂估价的材料、工程设备拟用在那些清单项目上，投标人应将上述材料、工程设备暂估单价计入工程量清单综合单价报价中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533"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45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705"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2505" w:type="dxa"/>
            <w:gridSpan w:val="4"/>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30" w:type="dxa"/>
            <w:gridSpan w:val="3"/>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83"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表—12—2</w:t>
            </w:r>
          </w:p>
        </w:tc>
      </w:tr>
    </w:tbl>
    <w:p>
      <w:pPr>
        <w:rPr>
          <w:rFonts w:hint="eastAsia"/>
          <w:highlight w:val="none"/>
          <w:lang w:eastAsia="zh-CN"/>
        </w:rPr>
      </w:pPr>
      <w:r>
        <w:rPr>
          <w:rFonts w:hint="eastAsia"/>
          <w:highlight w:val="none"/>
          <w:lang w:eastAsia="zh-CN"/>
        </w:rPr>
        <w:br w:type="page"/>
      </w:r>
    </w:p>
    <w:tbl>
      <w:tblPr>
        <w:tblStyle w:val="25"/>
        <w:tblW w:w="83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5"/>
        <w:gridCol w:w="255"/>
        <w:gridCol w:w="1829"/>
        <w:gridCol w:w="196"/>
        <w:gridCol w:w="705"/>
        <w:gridCol w:w="226"/>
        <w:gridCol w:w="1394"/>
        <w:gridCol w:w="161"/>
        <w:gridCol w:w="1369"/>
        <w:gridCol w:w="15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780" w:type="dxa"/>
            <w:gridSpan w:val="9"/>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65" w:type="dxa"/>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345" w:type="dxa"/>
            <w:gridSpan w:val="10"/>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规费、税金项目计价表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630"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工程名称：院面工程</w:t>
            </w:r>
          </w:p>
        </w:tc>
        <w:tc>
          <w:tcPr>
            <w:tcW w:w="3150" w:type="dxa"/>
            <w:gridSpan w:val="4"/>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1565" w:type="dxa"/>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5"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2084"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127"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155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计算基数</w:t>
            </w:r>
          </w:p>
        </w:tc>
        <w:tc>
          <w:tcPr>
            <w:tcW w:w="1369"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计算费率(%)</w:t>
            </w:r>
          </w:p>
        </w:tc>
        <w:tc>
          <w:tcPr>
            <w:tcW w:w="156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规费</w:t>
            </w: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社会保障费</w:t>
            </w: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住房公积金</w:t>
            </w: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工程排污费</w:t>
            </w: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其它</w:t>
            </w: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工伤保险</w:t>
            </w: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税金</w:t>
            </w: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8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36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780"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156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630"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编制人（造价人员）：</w:t>
            </w:r>
          </w:p>
        </w:tc>
        <w:tc>
          <w:tcPr>
            <w:tcW w:w="1620"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3095" w:type="dxa"/>
            <w:gridSpan w:val="3"/>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复核人（造价工程师）：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00"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202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705" w:type="dxa"/>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620"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30"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65" w:type="dxa"/>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表-13</w:t>
            </w:r>
          </w:p>
        </w:tc>
      </w:tr>
    </w:tbl>
    <w:p>
      <w:pPr>
        <w:rPr>
          <w:rFonts w:hint="eastAsia"/>
          <w:highlight w:val="none"/>
          <w:lang w:eastAsia="zh-CN"/>
        </w:rPr>
      </w:pPr>
      <w:r>
        <w:rPr>
          <w:rFonts w:hint="eastAsia"/>
          <w:highlight w:val="none"/>
          <w:lang w:eastAsia="zh-CN"/>
        </w:rPr>
        <w:br w:type="page"/>
      </w:r>
    </w:p>
    <w:tbl>
      <w:tblPr>
        <w:tblStyle w:val="25"/>
        <w:tblW w:w="832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1"/>
        <w:gridCol w:w="1692"/>
        <w:gridCol w:w="666"/>
        <w:gridCol w:w="1004"/>
        <w:gridCol w:w="712"/>
        <w:gridCol w:w="785"/>
        <w:gridCol w:w="580"/>
        <w:gridCol w:w="59"/>
        <w:gridCol w:w="1411"/>
        <w:gridCol w:w="7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324" w:type="dxa"/>
            <w:gridSpan w:val="10"/>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主要材料和工程设备选用表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120" w:type="dxa"/>
            <w:gridSpan w:val="7"/>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工程名称：院面工程</w:t>
            </w:r>
          </w:p>
        </w:tc>
        <w:tc>
          <w:tcPr>
            <w:tcW w:w="2204" w:type="dxa"/>
            <w:gridSpan w:val="3"/>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81"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692"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材料设备名称</w:t>
            </w:r>
          </w:p>
        </w:tc>
        <w:tc>
          <w:tcPr>
            <w:tcW w:w="666"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1004"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市场价</w:t>
            </w:r>
          </w:p>
        </w:tc>
        <w:tc>
          <w:tcPr>
            <w:tcW w:w="712"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数量</w:t>
            </w:r>
          </w:p>
        </w:tc>
        <w:tc>
          <w:tcPr>
            <w:tcW w:w="78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品牌</w:t>
            </w:r>
          </w:p>
        </w:tc>
        <w:tc>
          <w:tcPr>
            <w:tcW w:w="639"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厂家</w:t>
            </w:r>
          </w:p>
        </w:tc>
        <w:tc>
          <w:tcPr>
            <w:tcW w:w="141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规格型号</w:t>
            </w:r>
          </w:p>
        </w:tc>
        <w:tc>
          <w:tcPr>
            <w:tcW w:w="734"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水</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m3</w:t>
            </w: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其他材料费</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元</w:t>
            </w: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kW·h</w:t>
            </w: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铁件</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kg</w:t>
            </w: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w:t>
            </w: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脱模剂</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kg</w:t>
            </w: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钢模板</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kg</w:t>
            </w: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砂砾</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m3</w:t>
            </w: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5~80</w:t>
            </w: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金刚石锯片</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片</w:t>
            </w: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预拌混凝土</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m3</w:t>
            </w: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C25</w:t>
            </w: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69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0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1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324" w:type="dxa"/>
            <w:gridSpan w:val="10"/>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注：本表中所列材料设备应仅限于承包人自行采购范围内的材料设备。本表格可以按照同样的格式扩展。</w:t>
            </w:r>
          </w:p>
        </w:tc>
      </w:tr>
    </w:tbl>
    <w:p>
      <w:pPr>
        <w:rPr>
          <w:rFonts w:hint="eastAsia"/>
          <w:highlight w:val="none"/>
          <w:lang w:eastAsia="zh-CN"/>
        </w:rPr>
      </w:pPr>
      <w:r>
        <w:rPr>
          <w:rFonts w:hint="eastAsia"/>
          <w:highlight w:val="none"/>
          <w:lang w:eastAsia="zh-CN"/>
        </w:rPr>
        <w:br w:type="page"/>
      </w:r>
    </w:p>
    <w:tbl>
      <w:tblPr>
        <w:tblStyle w:val="25"/>
        <w:tblW w:w="9358" w:type="dxa"/>
        <w:tblInd w:w="-4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3"/>
        <w:gridCol w:w="1090"/>
        <w:gridCol w:w="257"/>
        <w:gridCol w:w="1397"/>
        <w:gridCol w:w="460"/>
        <w:gridCol w:w="950"/>
        <w:gridCol w:w="624"/>
        <w:gridCol w:w="756"/>
        <w:gridCol w:w="165"/>
        <w:gridCol w:w="410"/>
        <w:gridCol w:w="623"/>
        <w:gridCol w:w="538"/>
        <w:gridCol w:w="14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345"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13"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358" w:type="dxa"/>
            <w:gridSpan w:val="13"/>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767"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工程名称：水暖工程</w:t>
            </w:r>
          </w:p>
        </w:tc>
        <w:tc>
          <w:tcPr>
            <w:tcW w:w="2578"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013"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2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1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4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185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574"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57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263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61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85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57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57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3"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538"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85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57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57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538"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给排水工程</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031001006001</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室外塑料给水管(热熔连接) 外径32mm以内</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PPR给水管De32 S4</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031003001035</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螺纹阀门安装 公称直径25mm以内</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螺纹截止阀DN25 J11T-16</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031001006216</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室内塑料排水管(粘接) 外径110mm以内</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UPVC排水管De110</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0.35</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031001006131</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室内塑料排水管(粘接) 外径200mm以内</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UPVC排水管De200</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0.25</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040504001065</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圆形污水检查井 砖砌直筒式 井内径700mm 适用管径≤400mm 井深1.2m</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座</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040504008004</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整体混凝土化粪池容积10m3以内</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混凝土化粪池3.75m3（预制成品）</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040504002027</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非定型检查井 井盖、井箅安装 检查井 铸铁井盖、座</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10套</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040104003008</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反铲挖掘机挖槽坑土方 三类土</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1000m3</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0.08</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040103003002</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直埋管沟回填 中粗砂</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管上下0.2m回填中粗砂</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040103002003</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100m3</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0.8</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040504002137</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非定型检查井 垫层 预拌混凝土</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0.1m厚混凝土垫层.C15</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0.06</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041103001048</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现浇混凝土模板工程 混凝土基础垫层 木模</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0.01</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钻井工程</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02B001</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机械打井 Φ273 50m</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含井壁管道、下泵配件等</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010404001016</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混凝土井台</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C25</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0.02</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040501001015</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平接(企口)式混凝土管道铺设 人机配合下管 管径800mm以内</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0.01</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030109001001</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白钢潜水泵 </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722"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623"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703"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654"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410"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545"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033"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13"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345"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13"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358" w:type="dxa"/>
            <w:gridSpan w:val="13"/>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767"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工程名称：水暖工程</w:t>
            </w:r>
          </w:p>
        </w:tc>
        <w:tc>
          <w:tcPr>
            <w:tcW w:w="2578"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013"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2  页  共  2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4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185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574"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57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263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61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85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57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57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3"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538"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85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574"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57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538"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100QJ10-80/17</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031003001005</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铜立式止回阀DN40</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030601002012</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压力表 就地</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台(块)</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030411004164</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白钢井绳(含猫爪)车间配线 配线钢索架设 钢丝绳 直径≤6mm</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031001006217</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室外塑料给水管(热熔连接) 外径50mm以内</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井内管</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030408001076</w:t>
            </w: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阻燃防水电缆JHS-4*2.5</w:t>
            </w: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1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85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7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722" w:type="dxa"/>
            <w:gridSpan w:val="10"/>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62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722" w:type="dxa"/>
            <w:gridSpan w:val="10"/>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623"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8"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7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703"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654"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1410"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545"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033"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13"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bl>
    <w:p>
      <w:pPr>
        <w:rPr>
          <w:rFonts w:hint="eastAsia"/>
          <w:highlight w:val="none"/>
          <w:lang w:eastAsia="zh-CN"/>
        </w:rPr>
      </w:pPr>
      <w:r>
        <w:rPr>
          <w:rFonts w:hint="eastAsia"/>
          <w:highlight w:val="none"/>
          <w:lang w:eastAsia="zh-CN"/>
        </w:rPr>
        <w:br w:type="page"/>
      </w:r>
    </w:p>
    <w:tbl>
      <w:tblPr>
        <w:tblStyle w:val="25"/>
        <w:tblW w:w="9219" w:type="dxa"/>
        <w:tblInd w:w="-33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9"/>
        <w:gridCol w:w="828"/>
        <w:gridCol w:w="519"/>
        <w:gridCol w:w="1031"/>
        <w:gridCol w:w="996"/>
        <w:gridCol w:w="104"/>
        <w:gridCol w:w="965"/>
        <w:gridCol w:w="775"/>
        <w:gridCol w:w="195"/>
        <w:gridCol w:w="655"/>
        <w:gridCol w:w="937"/>
        <w:gridCol w:w="999"/>
        <w:gridCol w:w="5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684" w:type="dxa"/>
            <w:gridSpan w:val="1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5"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219" w:type="dxa"/>
            <w:gridSpan w:val="13"/>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总价措施项目清单与计价表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4053" w:type="dxa"/>
            <w:gridSpan w:val="5"/>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工程名称：水暖工程</w:t>
            </w:r>
          </w:p>
        </w:tc>
        <w:tc>
          <w:tcPr>
            <w:tcW w:w="3631" w:type="dxa"/>
            <w:gridSpan w:val="6"/>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1535"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79"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47"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2131"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96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77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费率(%)</w:t>
            </w:r>
          </w:p>
        </w:tc>
        <w:tc>
          <w:tcPr>
            <w:tcW w:w="85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937"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调整费率(%)</w:t>
            </w:r>
          </w:p>
        </w:tc>
        <w:tc>
          <w:tcPr>
            <w:tcW w:w="999"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调整后金额(元)</w:t>
            </w:r>
          </w:p>
        </w:tc>
        <w:tc>
          <w:tcPr>
            <w:tcW w:w="536"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一般措施项目费(不含安全施工措施费)</w:t>
            </w: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031302001001</w:t>
            </w: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文明施工和环境保护费</w:t>
            </w: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031302005001</w:t>
            </w: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雨季施工费</w:t>
            </w: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其他措施项目费</w:t>
            </w: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031302002001</w:t>
            </w: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夜间施工增加费和白天施工需要照明费</w:t>
            </w: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031302004001</w:t>
            </w: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二次搬运费</w:t>
            </w: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031302005002</w:t>
            </w: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冬季施工费</w:t>
            </w: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031302006001</w:t>
            </w: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已完工程及设备保护费</w:t>
            </w: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041109005001</w:t>
            </w: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市政工程（含园林绿化工程）施工干扰费</w:t>
            </w: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79"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4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13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97" w:type="dxa"/>
            <w:gridSpan w:val="8"/>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850"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937"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99"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36"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057" w:type="dxa"/>
            <w:gridSpan w:val="4"/>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编制人（造价人员）：</w:t>
            </w:r>
          </w:p>
        </w:tc>
        <w:tc>
          <w:tcPr>
            <w:tcW w:w="996" w:type="dxa"/>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2039" w:type="dxa"/>
            <w:gridSpan w:val="4"/>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3127" w:type="dxa"/>
            <w:gridSpan w:val="4"/>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复核人（造价工程师）：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9219" w:type="dxa"/>
            <w:gridSpan w:val="13"/>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注：按施工方案计算的措施费，若无“计算基础”和“费率”的数值，也可只填“金额”数值，但应在备注栏说明施工方案出处或计算方法。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507"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50"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996" w:type="dxa"/>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2039" w:type="dxa"/>
            <w:gridSpan w:val="4"/>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92"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535"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表-11</w:t>
            </w:r>
          </w:p>
        </w:tc>
      </w:tr>
    </w:tbl>
    <w:p>
      <w:pPr>
        <w:rPr>
          <w:rFonts w:hint="eastAsia"/>
          <w:highlight w:val="none"/>
          <w:lang w:eastAsia="zh-CN"/>
        </w:rPr>
      </w:pPr>
      <w:r>
        <w:rPr>
          <w:rFonts w:hint="eastAsia"/>
          <w:highlight w:val="none"/>
          <w:lang w:eastAsia="zh-CN"/>
        </w:rPr>
        <w:br w:type="page"/>
      </w:r>
    </w:p>
    <w:tbl>
      <w:tblPr>
        <w:tblStyle w:val="25"/>
        <w:tblW w:w="833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0"/>
        <w:gridCol w:w="300"/>
        <w:gridCol w:w="1725"/>
        <w:gridCol w:w="705"/>
        <w:gridCol w:w="165"/>
        <w:gridCol w:w="930"/>
        <w:gridCol w:w="480"/>
        <w:gridCol w:w="1050"/>
        <w:gridCol w:w="405"/>
        <w:gridCol w:w="16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255" w:type="dxa"/>
            <w:gridSpan w:val="8"/>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079"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334" w:type="dxa"/>
            <w:gridSpan w:val="10"/>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其他项目清单与计价汇总表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3630" w:type="dxa"/>
            <w:gridSpan w:val="4"/>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工程名称：水暖工程</w:t>
            </w:r>
          </w:p>
        </w:tc>
        <w:tc>
          <w:tcPr>
            <w:tcW w:w="2625" w:type="dxa"/>
            <w:gridSpan w:val="4"/>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079"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2595"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41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145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结算金额(元)</w:t>
            </w:r>
          </w:p>
        </w:tc>
        <w:tc>
          <w:tcPr>
            <w:tcW w:w="1674"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暂列金额</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暂估价</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w:t>
            </w: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材料（工程设备）暂估价</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w:t>
            </w: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w:t>
            </w: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专业工程暂估价</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计日工</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总承包服务费</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工程担保费</w:t>
            </w: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795" w:type="dxa"/>
            <w:gridSpan w:val="5"/>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1410"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45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74"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334" w:type="dxa"/>
            <w:gridSpan w:val="10"/>
            <w:tcBorders>
              <w:top w:val="nil"/>
              <w:left w:val="nil"/>
              <w:bottom w:val="nil"/>
              <w:right w:val="nil"/>
            </w:tcBorders>
            <w:shd w:val="clear" w:color="FFFFFF" w:fill="FFFFFF"/>
            <w:vAlign w:val="bottom"/>
          </w:tcPr>
          <w:p>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注：材料（工程设备）暂估单价进入清单项目综合单价，此处不汇总。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202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705" w:type="dxa"/>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095" w:type="dxa"/>
            <w:gridSpan w:val="2"/>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30" w:type="dxa"/>
            <w:gridSpan w:val="2"/>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079"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w:t>
            </w:r>
          </w:p>
        </w:tc>
      </w:tr>
    </w:tbl>
    <w:p>
      <w:pPr>
        <w:rPr>
          <w:rFonts w:hint="eastAsia"/>
          <w:highlight w:val="none"/>
          <w:lang w:eastAsia="zh-CN"/>
        </w:rPr>
      </w:pPr>
      <w:r>
        <w:rPr>
          <w:rFonts w:hint="eastAsia"/>
          <w:highlight w:val="none"/>
          <w:lang w:eastAsia="zh-CN"/>
        </w:rPr>
        <w:br w:type="page"/>
      </w:r>
    </w:p>
    <w:tbl>
      <w:tblPr>
        <w:tblStyle w:val="25"/>
        <w:tblW w:w="9472" w:type="dxa"/>
        <w:tblInd w:w="-2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37"/>
        <w:gridCol w:w="265"/>
        <w:gridCol w:w="380"/>
        <w:gridCol w:w="255"/>
        <w:gridCol w:w="1292"/>
        <w:gridCol w:w="163"/>
        <w:gridCol w:w="363"/>
        <w:gridCol w:w="207"/>
        <w:gridCol w:w="135"/>
        <w:gridCol w:w="570"/>
        <w:gridCol w:w="150"/>
        <w:gridCol w:w="76"/>
        <w:gridCol w:w="779"/>
        <w:gridCol w:w="450"/>
        <w:gridCol w:w="270"/>
        <w:gridCol w:w="34"/>
        <w:gridCol w:w="71"/>
        <w:gridCol w:w="795"/>
        <w:gridCol w:w="360"/>
        <w:gridCol w:w="225"/>
        <w:gridCol w:w="45"/>
        <w:gridCol w:w="600"/>
        <w:gridCol w:w="585"/>
        <w:gridCol w:w="308"/>
        <w:gridCol w:w="307"/>
        <w:gridCol w:w="180"/>
        <w:gridCol w:w="2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22" w:type="dxa"/>
            <w:gridSpan w:val="21"/>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250" w:type="dxa"/>
            <w:gridSpan w:val="6"/>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472" w:type="dxa"/>
            <w:gridSpan w:val="27"/>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材料（工程设备）暂估单价及调整表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397" w:type="dxa"/>
            <w:gridSpan w:val="9"/>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工程名称：水暖工程</w:t>
            </w:r>
          </w:p>
        </w:tc>
        <w:tc>
          <w:tcPr>
            <w:tcW w:w="3825" w:type="dxa"/>
            <w:gridSpan w:val="12"/>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2250" w:type="dxa"/>
            <w:gridSpan w:val="6"/>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602" w:type="dxa"/>
            <w:gridSpan w:val="2"/>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927"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材料(工程设备)名称、规格、型号</w:t>
            </w:r>
          </w:p>
        </w:tc>
        <w:tc>
          <w:tcPr>
            <w:tcW w:w="733"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1710"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数量</w:t>
            </w:r>
          </w:p>
        </w:tc>
        <w:tc>
          <w:tcPr>
            <w:tcW w:w="1620"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暂估(元)</w:t>
            </w:r>
          </w:p>
        </w:tc>
        <w:tc>
          <w:tcPr>
            <w:tcW w:w="1230"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确认(元)</w:t>
            </w:r>
          </w:p>
        </w:tc>
        <w:tc>
          <w:tcPr>
            <w:tcW w:w="12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差额±(元)</w:t>
            </w:r>
          </w:p>
        </w:tc>
        <w:tc>
          <w:tcPr>
            <w:tcW w:w="450" w:type="dxa"/>
            <w:gridSpan w:val="2"/>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02" w:type="dxa"/>
            <w:gridSpan w:val="2"/>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33"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确认</w:t>
            </w: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02"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92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62" w:type="dxa"/>
            <w:gridSpan w:val="8"/>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合计</w:t>
            </w:r>
          </w:p>
        </w:tc>
        <w:tc>
          <w:tcPr>
            <w:tcW w:w="855" w:type="dxa"/>
            <w:gridSpan w:val="3"/>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5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825" w:type="dxa"/>
            <w:gridSpan w:val="4"/>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79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58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58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450" w:type="dxa"/>
            <w:gridSpan w:val="2"/>
            <w:tcBorders>
              <w:top w:val="single" w:color="000000" w:sz="4" w:space="0"/>
              <w:left w:val="single" w:color="000000" w:sz="4" w:space="0"/>
              <w:bottom w:val="single" w:color="000000" w:sz="8"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472" w:type="dxa"/>
            <w:gridSpan w:val="27"/>
            <w:tcBorders>
              <w:top w:val="nil"/>
              <w:left w:val="nil"/>
              <w:bottom w:val="nil"/>
              <w:right w:val="nil"/>
            </w:tcBorders>
            <w:shd w:val="clear" w:color="FFFFFF" w:fill="FFFFFF"/>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注：1.此表由招标人填写“暂估单价”，并在备注栏说明暂估价的材料、工程设备拟用在那些清单项目上，投标人应将上述材料、工程设备暂估单价计入工程量清单综合单价报价中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237" w:type="dxa"/>
            <w:gridSpan w:val="4"/>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455" w:type="dxa"/>
            <w:gridSpan w:val="2"/>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705" w:type="dxa"/>
            <w:gridSpan w:val="3"/>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2295" w:type="dxa"/>
            <w:gridSpan w:val="6"/>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30" w:type="dxa"/>
            <w:gridSpan w:val="6"/>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2250" w:type="dxa"/>
            <w:gridSpan w:val="6"/>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1"/>
          <w:wBefore w:w="337" w:type="dxa"/>
          <w:wAfter w:w="270" w:type="dxa"/>
          <w:trHeight w:val="285" w:hRule="atLeast"/>
        </w:trPr>
        <w:tc>
          <w:tcPr>
            <w:tcW w:w="6615" w:type="dxa"/>
            <w:gridSpan w:val="18"/>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2250" w:type="dxa"/>
            <w:gridSpan w:val="7"/>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585" w:hRule="atLeast"/>
        </w:trPr>
        <w:tc>
          <w:tcPr>
            <w:tcW w:w="8378" w:type="dxa"/>
            <w:gridSpan w:val="23"/>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规费、税金项目计价表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735" w:hRule="atLeast"/>
        </w:trPr>
        <w:tc>
          <w:tcPr>
            <w:tcW w:w="3630" w:type="dxa"/>
            <w:gridSpan w:val="9"/>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工程名称：水暖工程</w:t>
            </w:r>
          </w:p>
        </w:tc>
        <w:tc>
          <w:tcPr>
            <w:tcW w:w="2985" w:type="dxa"/>
            <w:gridSpan w:val="9"/>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标段：九连城镇庙岭村仓储物流库房工程</w:t>
            </w:r>
          </w:p>
        </w:tc>
        <w:tc>
          <w:tcPr>
            <w:tcW w:w="1763" w:type="dxa"/>
            <w:gridSpan w:val="5"/>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330" w:hRule="atLeast"/>
        </w:trPr>
        <w:tc>
          <w:tcPr>
            <w:tcW w:w="645" w:type="dxa"/>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2073"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1138"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1533"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计算基数</w:t>
            </w:r>
          </w:p>
        </w:tc>
        <w:tc>
          <w:tcPr>
            <w:tcW w:w="12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计算费率(%)</w:t>
            </w:r>
          </w:p>
        </w:tc>
        <w:tc>
          <w:tcPr>
            <w:tcW w:w="1763" w:type="dxa"/>
            <w:gridSpan w:val="5"/>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规费</w:t>
            </w: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社会保障费</w:t>
            </w: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住房公积金</w:t>
            </w: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工程排污费</w:t>
            </w: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其它</w:t>
            </w: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工伤保险</w:t>
            </w: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税金</w:t>
            </w: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207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138"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5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22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6615" w:type="dxa"/>
            <w:gridSpan w:val="18"/>
            <w:tcBorders>
              <w:top w:val="single" w:color="000000" w:sz="4" w:space="0"/>
              <w:left w:val="single" w:color="000000" w:sz="8" w:space="0"/>
              <w:bottom w:val="single" w:color="000000" w:sz="8"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1763" w:type="dxa"/>
            <w:gridSpan w:val="5"/>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3"/>
          <w:wBefore w:w="337" w:type="dxa"/>
          <w:wAfter w:w="757" w:type="dxa"/>
          <w:trHeight w:val="285" w:hRule="atLeast"/>
        </w:trPr>
        <w:tc>
          <w:tcPr>
            <w:tcW w:w="3630" w:type="dxa"/>
            <w:gridSpan w:val="9"/>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编制人（造价人员）：</w:t>
            </w:r>
          </w:p>
        </w:tc>
        <w:tc>
          <w:tcPr>
            <w:tcW w:w="1455" w:type="dxa"/>
            <w:gridSpan w:val="4"/>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3293" w:type="dxa"/>
            <w:gridSpan w:val="10"/>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复核人（造价工程师）：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3"/>
          <w:wBefore w:w="337" w:type="dxa"/>
          <w:wAfter w:w="757" w:type="dxa"/>
          <w:trHeight w:val="285" w:hRule="atLeast"/>
        </w:trPr>
        <w:tc>
          <w:tcPr>
            <w:tcW w:w="900" w:type="dxa"/>
            <w:gridSpan w:val="3"/>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2025" w:type="dxa"/>
            <w:gridSpan w:val="4"/>
            <w:tcBorders>
              <w:top w:val="nil"/>
              <w:left w:val="nil"/>
              <w:bottom w:val="nil"/>
              <w:right w:val="nil"/>
            </w:tcBorders>
            <w:shd w:val="clear" w:color="FFFFFF" w:fill="FFFFFF"/>
            <w:vAlign w:val="center"/>
          </w:tcPr>
          <w:p>
            <w:pPr>
              <w:jc w:val="left"/>
              <w:rPr>
                <w:rFonts w:hint="eastAsia" w:ascii="宋体" w:hAnsi="宋体" w:eastAsia="宋体" w:cs="宋体"/>
                <w:i w:val="0"/>
                <w:iCs w:val="0"/>
                <w:color w:val="000000"/>
                <w:sz w:val="18"/>
                <w:szCs w:val="18"/>
                <w:highlight w:val="none"/>
                <w:u w:val="single"/>
              </w:rPr>
            </w:pPr>
          </w:p>
        </w:tc>
        <w:tc>
          <w:tcPr>
            <w:tcW w:w="705" w:type="dxa"/>
            <w:gridSpan w:val="2"/>
            <w:tcBorders>
              <w:top w:val="nil"/>
              <w:left w:val="nil"/>
              <w:bottom w:val="nil"/>
              <w:right w:val="nil"/>
            </w:tcBorders>
            <w:shd w:val="clear" w:color="FFFFFF" w:fill="FFFFFF"/>
            <w:vAlign w:val="center"/>
          </w:tcPr>
          <w:p>
            <w:pPr>
              <w:jc w:val="center"/>
              <w:rPr>
                <w:rFonts w:hint="eastAsia" w:ascii="宋体" w:hAnsi="宋体" w:eastAsia="宋体" w:cs="宋体"/>
                <w:i w:val="0"/>
                <w:iCs w:val="0"/>
                <w:color w:val="000000"/>
                <w:sz w:val="18"/>
                <w:szCs w:val="18"/>
                <w:highlight w:val="none"/>
                <w:u w:val="single"/>
              </w:rPr>
            </w:pPr>
          </w:p>
        </w:tc>
        <w:tc>
          <w:tcPr>
            <w:tcW w:w="1455" w:type="dxa"/>
            <w:gridSpan w:val="4"/>
            <w:tcBorders>
              <w:top w:val="nil"/>
              <w:left w:val="nil"/>
              <w:bottom w:val="nil"/>
              <w:right w:val="nil"/>
            </w:tcBorders>
            <w:shd w:val="clear" w:color="FFFFFF" w:fill="FFFFFF"/>
            <w:vAlign w:val="bottom"/>
          </w:tcPr>
          <w:p>
            <w:pPr>
              <w:jc w:val="left"/>
              <w:rPr>
                <w:rFonts w:hint="eastAsia" w:ascii="宋体" w:hAnsi="宋体" w:eastAsia="宋体" w:cs="宋体"/>
                <w:i w:val="0"/>
                <w:iCs w:val="0"/>
                <w:color w:val="000000"/>
                <w:sz w:val="18"/>
                <w:szCs w:val="18"/>
                <w:highlight w:val="none"/>
                <w:u w:val="none"/>
              </w:rPr>
            </w:pPr>
          </w:p>
        </w:tc>
        <w:tc>
          <w:tcPr>
            <w:tcW w:w="1530" w:type="dxa"/>
            <w:gridSpan w:val="5"/>
            <w:tcBorders>
              <w:top w:val="nil"/>
              <w:left w:val="nil"/>
              <w:bottom w:val="nil"/>
              <w:right w:val="nil"/>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1763" w:type="dxa"/>
            <w:gridSpan w:val="5"/>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表-13</w:t>
            </w:r>
          </w:p>
        </w:tc>
      </w:tr>
    </w:tbl>
    <w:p>
      <w:pPr>
        <w:rPr>
          <w:rFonts w:hint="eastAsia"/>
          <w:highlight w:val="none"/>
          <w:lang w:eastAsia="zh-CN"/>
        </w:rPr>
      </w:pPr>
      <w:r>
        <w:rPr>
          <w:rFonts w:hint="eastAsia"/>
          <w:highlight w:val="none"/>
          <w:lang w:eastAsia="zh-CN"/>
        </w:rPr>
        <w:br w:type="page"/>
      </w:r>
    </w:p>
    <w:tbl>
      <w:tblPr>
        <w:tblStyle w:val="25"/>
        <w:tblW w:w="836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7"/>
        <w:gridCol w:w="1380"/>
        <w:gridCol w:w="953"/>
        <w:gridCol w:w="864"/>
        <w:gridCol w:w="844"/>
        <w:gridCol w:w="777"/>
        <w:gridCol w:w="613"/>
        <w:gridCol w:w="562"/>
        <w:gridCol w:w="1091"/>
        <w:gridCol w:w="6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367" w:type="dxa"/>
            <w:gridSpan w:val="10"/>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主要材料和工程设备选用表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630" w:type="dxa"/>
            <w:gridSpan w:val="8"/>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工程名称：水暖工程</w:t>
            </w:r>
          </w:p>
        </w:tc>
        <w:tc>
          <w:tcPr>
            <w:tcW w:w="1737" w:type="dxa"/>
            <w:gridSpan w:val="2"/>
            <w:tcBorders>
              <w:top w:val="nil"/>
              <w:left w:val="nil"/>
              <w:bottom w:val="nil"/>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37"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8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材料设备名称</w:t>
            </w:r>
          </w:p>
        </w:tc>
        <w:tc>
          <w:tcPr>
            <w:tcW w:w="95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864"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市场价</w:t>
            </w:r>
          </w:p>
        </w:tc>
        <w:tc>
          <w:tcPr>
            <w:tcW w:w="844"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数量</w:t>
            </w:r>
          </w:p>
        </w:tc>
        <w:tc>
          <w:tcPr>
            <w:tcW w:w="777"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品牌</w:t>
            </w:r>
          </w:p>
        </w:tc>
        <w:tc>
          <w:tcPr>
            <w:tcW w:w="61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厂家</w:t>
            </w:r>
          </w:p>
        </w:tc>
        <w:tc>
          <w:tcPr>
            <w:tcW w:w="1653"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规格型号</w:t>
            </w:r>
          </w:p>
        </w:tc>
        <w:tc>
          <w:tcPr>
            <w:tcW w:w="646"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压力表</w:t>
            </w: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0~2.5MPa φ50(带表弯)</w:t>
            </w: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95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8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18"/>
                <w:szCs w:val="18"/>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16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c>
          <w:tcPr>
            <w:tcW w:w="646"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left"/>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367" w:type="dxa"/>
            <w:gridSpan w:val="10"/>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注：本表中所列材料设备应仅限于承包人自行采购范围内的材料设备。本表格可以按照同样的格式扩展。</w:t>
            </w:r>
          </w:p>
        </w:tc>
      </w:tr>
    </w:tbl>
    <w:p>
      <w:pPr>
        <w:rPr>
          <w:rFonts w:hint="eastAsia"/>
          <w:highlight w:val="none"/>
          <w:lang w:eastAsia="zh-CN"/>
        </w:rPr>
      </w:pPr>
    </w:p>
    <w:sectPr>
      <w:footerReference r:id="rId11" w:type="default"/>
      <w:pgSz w:w="11906" w:h="16838"/>
      <w:pgMar w:top="1440" w:right="1800" w:bottom="1440" w:left="1800"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w Cen MT">
    <w:panose1 w:val="020B0602020104020603"/>
    <w:charset w:val="00"/>
    <w:family w:val="auto"/>
    <w:pitch w:val="default"/>
    <w:sig w:usb0="00000003" w:usb1="00000000" w:usb2="00000000" w:usb3="00000000" w:csb0="20000003" w:csb1="00000000"/>
  </w:font>
  <w:font w:name="Consolas">
    <w:panose1 w:val="020B0609020204030204"/>
    <w:charset w:val="00"/>
    <w:family w:val="auto"/>
    <w:pitch w:val="default"/>
    <w:sig w:usb0="E00006FF" w:usb1="0000FCFF" w:usb2="00000001" w:usb3="00000000" w:csb0="6000019F" w:csb1="DFD7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SansSerif">
    <w:altName w:val="Segoe Print"/>
    <w:panose1 w:val="00000400000000000000"/>
    <w:charset w:val="02"/>
    <w:family w:val="auto"/>
    <w:pitch w:val="default"/>
    <w:sig w:usb0="00000000" w:usb1="00000000" w:usb2="00000000" w:usb3="00000000" w:csb0="00000000"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8"/>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oqkz80BAACnAwAADgAAAGRycy9lMm9Eb2MueG1srVPNjtMwEL4j8Q6W&#10;7zRpk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esk&#10;Tx+woqqHQHVxuPNDKp3iSMHEemjBpi/xYZQncc9XcdUQmUyX1qv1uqSUpNzsEE7xeD0AxrfKW5aM&#10;mgO9XhZVnN5jHEvnktTN+XttDMVFZdxfAcIcIyqvwHQ7MRknTlYc9sNEY++bM7HraQ1q7mjrOTPv&#10;HKmcNmY2YDb2s3EMoA8dDbrMU2K4PUYaKU+aOoywxDA59H6Z67RraUH+9HPV4/+1/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0oqkz80BAACnAwAADgAAAAAAAAABACAAAAAeAQAAZHJzL2Uy&#10;b0RvYy54bWxQSwUGAAAAAAYABgBZAQAAXQU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ascii="Times New Roman" w:hAnsi="Times New Roman"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jc w:val="center"/>
                          </w:pPr>
                          <w:r>
                            <w:rPr>
                              <w:rFonts w:ascii="Times New Roman" w:hAnsi="Times New Roman" w:eastAsia="仿宋_GB2312"/>
                              <w:sz w:val="24"/>
                            </w:rPr>
                            <w:fldChar w:fldCharType="begin"/>
                          </w:r>
                          <w:r>
                            <w:rPr>
                              <w:rFonts w:ascii="Times New Roman" w:hAnsi="Times New Roman" w:eastAsia="仿宋_GB2312"/>
                              <w:sz w:val="24"/>
                            </w:rPr>
                            <w:instrText xml:space="preserve"> PAGE  \* MERGEFORMAT </w:instrText>
                          </w:r>
                          <w:r>
                            <w:rPr>
                              <w:rFonts w:ascii="Times New Roman" w:hAnsi="Times New Roman" w:eastAsia="仿宋_GB2312"/>
                              <w:sz w:val="24"/>
                            </w:rPr>
                            <w:fldChar w:fldCharType="separate"/>
                          </w:r>
                          <w:r>
                            <w:t>33</w:t>
                          </w:r>
                          <w:r>
                            <w:rPr>
                              <w:rFonts w:ascii="Times New Roman" w:hAnsi="Times New Roman" w:eastAsia="仿宋_GB2312"/>
                              <w:sz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8"/>
                      <w:jc w:val="center"/>
                    </w:pPr>
                    <w:r>
                      <w:rPr>
                        <w:rFonts w:ascii="Times New Roman" w:hAnsi="Times New Roman" w:eastAsia="仿宋_GB2312"/>
                        <w:sz w:val="24"/>
                      </w:rPr>
                      <w:fldChar w:fldCharType="begin"/>
                    </w:r>
                    <w:r>
                      <w:rPr>
                        <w:rFonts w:ascii="Times New Roman" w:hAnsi="Times New Roman" w:eastAsia="仿宋_GB2312"/>
                        <w:sz w:val="24"/>
                      </w:rPr>
                      <w:instrText xml:space="preserve"> PAGE  \* MERGEFORMAT </w:instrText>
                    </w:r>
                    <w:r>
                      <w:rPr>
                        <w:rFonts w:ascii="Times New Roman" w:hAnsi="Times New Roman" w:eastAsia="仿宋_GB2312"/>
                        <w:sz w:val="24"/>
                      </w:rPr>
                      <w:fldChar w:fldCharType="separate"/>
                    </w:r>
                    <w:r>
                      <w:t>33</w:t>
                    </w:r>
                    <w:r>
                      <w:rPr>
                        <w:rFonts w:ascii="Times New Roman" w:hAnsi="Times New Roman" w:eastAsia="仿宋_GB2312"/>
                        <w:sz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ascii="Times New Roman" w:hAnsi="Times New Roman"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sz w:val="24"/>
        <w:szCs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ascii="Times New Roman" w:hAnsi="Times New Roman" w:eastAsia="仿宋_GB2312"/>
        <w:sz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420D4D"/>
    <w:multiLevelType w:val="singleLevel"/>
    <w:tmpl w:val="E2420D4D"/>
    <w:lvl w:ilvl="0" w:tentative="0">
      <w:start w:val="4"/>
      <w:numFmt w:val="decimal"/>
      <w:suff w:val="nothing"/>
      <w:lvlText w:val="%1、"/>
      <w:lvlJc w:val="left"/>
      <w:pPr>
        <w:ind w:left="210" w:firstLine="0"/>
      </w:pPr>
    </w:lvl>
  </w:abstractNum>
  <w:abstractNum w:abstractNumId="1">
    <w:nsid w:val="F77C3188"/>
    <w:multiLevelType w:val="singleLevel"/>
    <w:tmpl w:val="F77C3188"/>
    <w:lvl w:ilvl="0" w:tentative="0">
      <w:start w:val="2"/>
      <w:numFmt w:val="decimal"/>
      <w:suff w:val="nothing"/>
      <w:lvlText w:val="%1、"/>
      <w:lvlJc w:val="left"/>
    </w:lvl>
  </w:abstractNum>
  <w:abstractNum w:abstractNumId="2">
    <w:nsid w:val="1461859F"/>
    <w:multiLevelType w:val="singleLevel"/>
    <w:tmpl w:val="1461859F"/>
    <w:lvl w:ilvl="0" w:tentative="0">
      <w:start w:val="2"/>
      <w:numFmt w:val="decimal"/>
      <w:suff w:val="nothing"/>
      <w:lvlText w:val="（%1）"/>
      <w:lvlJc w:val="left"/>
    </w:lvl>
  </w:abstractNum>
  <w:abstractNum w:abstractNumId="3">
    <w:nsid w:val="4EC63DBF"/>
    <w:multiLevelType w:val="multilevel"/>
    <w:tmpl w:val="4EC63DBF"/>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0OGUwMzgwYzk2NGVmZDg4Y2RmYzYxNDkyNDk1NDEifQ=="/>
  </w:docVars>
  <w:rsids>
    <w:rsidRoot w:val="35AB3B2B"/>
    <w:rsid w:val="00000A77"/>
    <w:rsid w:val="00002EC7"/>
    <w:rsid w:val="0000450D"/>
    <w:rsid w:val="00005329"/>
    <w:rsid w:val="000073CE"/>
    <w:rsid w:val="00010ACC"/>
    <w:rsid w:val="00011C8C"/>
    <w:rsid w:val="00011D0D"/>
    <w:rsid w:val="00012676"/>
    <w:rsid w:val="00012C6F"/>
    <w:rsid w:val="00013776"/>
    <w:rsid w:val="00020305"/>
    <w:rsid w:val="00020B39"/>
    <w:rsid w:val="00021269"/>
    <w:rsid w:val="00023161"/>
    <w:rsid w:val="000241AB"/>
    <w:rsid w:val="0002450C"/>
    <w:rsid w:val="000247C3"/>
    <w:rsid w:val="000252A6"/>
    <w:rsid w:val="0002591A"/>
    <w:rsid w:val="00030667"/>
    <w:rsid w:val="0003153D"/>
    <w:rsid w:val="0003231A"/>
    <w:rsid w:val="00032641"/>
    <w:rsid w:val="000335C2"/>
    <w:rsid w:val="00033C16"/>
    <w:rsid w:val="00034410"/>
    <w:rsid w:val="000345A8"/>
    <w:rsid w:val="0003543D"/>
    <w:rsid w:val="00035830"/>
    <w:rsid w:val="00035C78"/>
    <w:rsid w:val="00035E75"/>
    <w:rsid w:val="000366EB"/>
    <w:rsid w:val="00036715"/>
    <w:rsid w:val="0003776A"/>
    <w:rsid w:val="00037C99"/>
    <w:rsid w:val="000406B4"/>
    <w:rsid w:val="00040886"/>
    <w:rsid w:val="00040B5B"/>
    <w:rsid w:val="0004252D"/>
    <w:rsid w:val="0004258C"/>
    <w:rsid w:val="000429A4"/>
    <w:rsid w:val="00043C24"/>
    <w:rsid w:val="00047D46"/>
    <w:rsid w:val="00050790"/>
    <w:rsid w:val="00051759"/>
    <w:rsid w:val="00052503"/>
    <w:rsid w:val="00053C64"/>
    <w:rsid w:val="00057CD0"/>
    <w:rsid w:val="0006076F"/>
    <w:rsid w:val="0006122C"/>
    <w:rsid w:val="000617A5"/>
    <w:rsid w:val="00061CEC"/>
    <w:rsid w:val="00063352"/>
    <w:rsid w:val="00063AF2"/>
    <w:rsid w:val="0006405B"/>
    <w:rsid w:val="00065062"/>
    <w:rsid w:val="0006626C"/>
    <w:rsid w:val="0006685C"/>
    <w:rsid w:val="000716E9"/>
    <w:rsid w:val="0007237E"/>
    <w:rsid w:val="00072416"/>
    <w:rsid w:val="00074061"/>
    <w:rsid w:val="00074AE3"/>
    <w:rsid w:val="00077DC4"/>
    <w:rsid w:val="00082079"/>
    <w:rsid w:val="00083219"/>
    <w:rsid w:val="00084929"/>
    <w:rsid w:val="00086218"/>
    <w:rsid w:val="00087626"/>
    <w:rsid w:val="000922FC"/>
    <w:rsid w:val="00096194"/>
    <w:rsid w:val="000A0D99"/>
    <w:rsid w:val="000A1D73"/>
    <w:rsid w:val="000A28B1"/>
    <w:rsid w:val="000A3122"/>
    <w:rsid w:val="000A32C8"/>
    <w:rsid w:val="000A6758"/>
    <w:rsid w:val="000A67D1"/>
    <w:rsid w:val="000A689F"/>
    <w:rsid w:val="000B05A5"/>
    <w:rsid w:val="000B1E2F"/>
    <w:rsid w:val="000B1EC2"/>
    <w:rsid w:val="000B203F"/>
    <w:rsid w:val="000B51EF"/>
    <w:rsid w:val="000B69EC"/>
    <w:rsid w:val="000B78F5"/>
    <w:rsid w:val="000C1A72"/>
    <w:rsid w:val="000C1B78"/>
    <w:rsid w:val="000C1E6C"/>
    <w:rsid w:val="000C28F9"/>
    <w:rsid w:val="000C2EE2"/>
    <w:rsid w:val="000C3612"/>
    <w:rsid w:val="000C4888"/>
    <w:rsid w:val="000C598B"/>
    <w:rsid w:val="000C66F6"/>
    <w:rsid w:val="000C6DD2"/>
    <w:rsid w:val="000C6F0E"/>
    <w:rsid w:val="000D06B1"/>
    <w:rsid w:val="000D1545"/>
    <w:rsid w:val="000D2960"/>
    <w:rsid w:val="000D2C1D"/>
    <w:rsid w:val="000D465B"/>
    <w:rsid w:val="000E2F5A"/>
    <w:rsid w:val="000E4BB4"/>
    <w:rsid w:val="000E748B"/>
    <w:rsid w:val="000F025C"/>
    <w:rsid w:val="000F0EBB"/>
    <w:rsid w:val="000F17B2"/>
    <w:rsid w:val="000F1B84"/>
    <w:rsid w:val="000F271D"/>
    <w:rsid w:val="000F291E"/>
    <w:rsid w:val="000F4130"/>
    <w:rsid w:val="000F4979"/>
    <w:rsid w:val="000F4A5F"/>
    <w:rsid w:val="000F5868"/>
    <w:rsid w:val="000F6181"/>
    <w:rsid w:val="000F6678"/>
    <w:rsid w:val="000F69F5"/>
    <w:rsid w:val="000F6BDF"/>
    <w:rsid w:val="000F76D0"/>
    <w:rsid w:val="0010023B"/>
    <w:rsid w:val="0010192F"/>
    <w:rsid w:val="00101946"/>
    <w:rsid w:val="00102355"/>
    <w:rsid w:val="001023AE"/>
    <w:rsid w:val="001061E8"/>
    <w:rsid w:val="001121B2"/>
    <w:rsid w:val="00112309"/>
    <w:rsid w:val="00112B01"/>
    <w:rsid w:val="00113CBC"/>
    <w:rsid w:val="0011667A"/>
    <w:rsid w:val="0011683B"/>
    <w:rsid w:val="001169AF"/>
    <w:rsid w:val="001175A4"/>
    <w:rsid w:val="0011778C"/>
    <w:rsid w:val="00121F88"/>
    <w:rsid w:val="001231BF"/>
    <w:rsid w:val="00124CC1"/>
    <w:rsid w:val="00127DF1"/>
    <w:rsid w:val="00130631"/>
    <w:rsid w:val="0013083C"/>
    <w:rsid w:val="0013158F"/>
    <w:rsid w:val="00131A67"/>
    <w:rsid w:val="00132068"/>
    <w:rsid w:val="0013232F"/>
    <w:rsid w:val="00132F87"/>
    <w:rsid w:val="0013776E"/>
    <w:rsid w:val="00144275"/>
    <w:rsid w:val="001472DD"/>
    <w:rsid w:val="001479EB"/>
    <w:rsid w:val="00150AC5"/>
    <w:rsid w:val="001516B2"/>
    <w:rsid w:val="0015390E"/>
    <w:rsid w:val="00154CCD"/>
    <w:rsid w:val="001551FF"/>
    <w:rsid w:val="00156E4D"/>
    <w:rsid w:val="00163817"/>
    <w:rsid w:val="001640BA"/>
    <w:rsid w:val="001670CD"/>
    <w:rsid w:val="00167297"/>
    <w:rsid w:val="001675B8"/>
    <w:rsid w:val="00167621"/>
    <w:rsid w:val="0017012D"/>
    <w:rsid w:val="00170742"/>
    <w:rsid w:val="001712A2"/>
    <w:rsid w:val="001714D4"/>
    <w:rsid w:val="001722F6"/>
    <w:rsid w:val="00173008"/>
    <w:rsid w:val="00174BCB"/>
    <w:rsid w:val="00175F6E"/>
    <w:rsid w:val="00181554"/>
    <w:rsid w:val="00185BFC"/>
    <w:rsid w:val="00185D8B"/>
    <w:rsid w:val="00187BB0"/>
    <w:rsid w:val="00187E8F"/>
    <w:rsid w:val="001916BC"/>
    <w:rsid w:val="00191CCF"/>
    <w:rsid w:val="00191E7F"/>
    <w:rsid w:val="00191F4C"/>
    <w:rsid w:val="00193136"/>
    <w:rsid w:val="001972BF"/>
    <w:rsid w:val="001A000D"/>
    <w:rsid w:val="001A1BE4"/>
    <w:rsid w:val="001A1FB7"/>
    <w:rsid w:val="001A2136"/>
    <w:rsid w:val="001A39F0"/>
    <w:rsid w:val="001A7C03"/>
    <w:rsid w:val="001B0330"/>
    <w:rsid w:val="001B1FB5"/>
    <w:rsid w:val="001B2137"/>
    <w:rsid w:val="001B2231"/>
    <w:rsid w:val="001B2315"/>
    <w:rsid w:val="001B2FBA"/>
    <w:rsid w:val="001B3357"/>
    <w:rsid w:val="001B5208"/>
    <w:rsid w:val="001B7FCB"/>
    <w:rsid w:val="001C5317"/>
    <w:rsid w:val="001C6E8F"/>
    <w:rsid w:val="001D239E"/>
    <w:rsid w:val="001D314F"/>
    <w:rsid w:val="001D5384"/>
    <w:rsid w:val="001E2C1F"/>
    <w:rsid w:val="001E32E3"/>
    <w:rsid w:val="001E4670"/>
    <w:rsid w:val="001E4796"/>
    <w:rsid w:val="001E4CC0"/>
    <w:rsid w:val="001E5394"/>
    <w:rsid w:val="001E67F2"/>
    <w:rsid w:val="001E776C"/>
    <w:rsid w:val="001F2821"/>
    <w:rsid w:val="001F2D20"/>
    <w:rsid w:val="001F41BB"/>
    <w:rsid w:val="001F423E"/>
    <w:rsid w:val="001F566C"/>
    <w:rsid w:val="001F567E"/>
    <w:rsid w:val="001F58F1"/>
    <w:rsid w:val="001F5BA3"/>
    <w:rsid w:val="001F70A6"/>
    <w:rsid w:val="002005AF"/>
    <w:rsid w:val="00202A79"/>
    <w:rsid w:val="00204E3D"/>
    <w:rsid w:val="00205B18"/>
    <w:rsid w:val="0021042D"/>
    <w:rsid w:val="00210E5D"/>
    <w:rsid w:val="002112DF"/>
    <w:rsid w:val="002125E9"/>
    <w:rsid w:val="00213462"/>
    <w:rsid w:val="00213A67"/>
    <w:rsid w:val="0021427F"/>
    <w:rsid w:val="00217DFA"/>
    <w:rsid w:val="002202F5"/>
    <w:rsid w:val="0022183A"/>
    <w:rsid w:val="00221DB2"/>
    <w:rsid w:val="00232850"/>
    <w:rsid w:val="002328AC"/>
    <w:rsid w:val="00232F3B"/>
    <w:rsid w:val="00233F8D"/>
    <w:rsid w:val="00237121"/>
    <w:rsid w:val="00237466"/>
    <w:rsid w:val="00237981"/>
    <w:rsid w:val="00237BAD"/>
    <w:rsid w:val="00242C85"/>
    <w:rsid w:val="00242E0E"/>
    <w:rsid w:val="002440B1"/>
    <w:rsid w:val="00245EC5"/>
    <w:rsid w:val="00247726"/>
    <w:rsid w:val="00247B0A"/>
    <w:rsid w:val="00255C63"/>
    <w:rsid w:val="002564F1"/>
    <w:rsid w:val="002569A1"/>
    <w:rsid w:val="002607D7"/>
    <w:rsid w:val="00261FA5"/>
    <w:rsid w:val="00263813"/>
    <w:rsid w:val="00264193"/>
    <w:rsid w:val="002648EF"/>
    <w:rsid w:val="002706E5"/>
    <w:rsid w:val="00270EB1"/>
    <w:rsid w:val="00272CBC"/>
    <w:rsid w:val="00273053"/>
    <w:rsid w:val="002742E6"/>
    <w:rsid w:val="002743E6"/>
    <w:rsid w:val="00274956"/>
    <w:rsid w:val="00275427"/>
    <w:rsid w:val="002758C9"/>
    <w:rsid w:val="00277386"/>
    <w:rsid w:val="00277D53"/>
    <w:rsid w:val="00280C0E"/>
    <w:rsid w:val="00286A6A"/>
    <w:rsid w:val="00287E96"/>
    <w:rsid w:val="002908AE"/>
    <w:rsid w:val="00291FDC"/>
    <w:rsid w:val="00292036"/>
    <w:rsid w:val="0029372F"/>
    <w:rsid w:val="002952CF"/>
    <w:rsid w:val="00297042"/>
    <w:rsid w:val="0029731A"/>
    <w:rsid w:val="002A03EE"/>
    <w:rsid w:val="002A0BD4"/>
    <w:rsid w:val="002A1249"/>
    <w:rsid w:val="002A1940"/>
    <w:rsid w:val="002A41DE"/>
    <w:rsid w:val="002A4814"/>
    <w:rsid w:val="002A6327"/>
    <w:rsid w:val="002B03B5"/>
    <w:rsid w:val="002B08BA"/>
    <w:rsid w:val="002B12B4"/>
    <w:rsid w:val="002B1BAA"/>
    <w:rsid w:val="002B27FD"/>
    <w:rsid w:val="002B79E9"/>
    <w:rsid w:val="002C0D6A"/>
    <w:rsid w:val="002C3833"/>
    <w:rsid w:val="002C447F"/>
    <w:rsid w:val="002C45EE"/>
    <w:rsid w:val="002C46B7"/>
    <w:rsid w:val="002C55B3"/>
    <w:rsid w:val="002C582E"/>
    <w:rsid w:val="002C58D5"/>
    <w:rsid w:val="002C5B0D"/>
    <w:rsid w:val="002D0F68"/>
    <w:rsid w:val="002D1C50"/>
    <w:rsid w:val="002D2C01"/>
    <w:rsid w:val="002D2E2B"/>
    <w:rsid w:val="002E1B44"/>
    <w:rsid w:val="002E1E36"/>
    <w:rsid w:val="002E45A4"/>
    <w:rsid w:val="002F0866"/>
    <w:rsid w:val="002F1E2B"/>
    <w:rsid w:val="002F251D"/>
    <w:rsid w:val="002F29DD"/>
    <w:rsid w:val="002F344D"/>
    <w:rsid w:val="002F5921"/>
    <w:rsid w:val="002F685E"/>
    <w:rsid w:val="002F69A6"/>
    <w:rsid w:val="002F6CF7"/>
    <w:rsid w:val="002F6EEB"/>
    <w:rsid w:val="002F7908"/>
    <w:rsid w:val="00300329"/>
    <w:rsid w:val="00300497"/>
    <w:rsid w:val="003013EB"/>
    <w:rsid w:val="00301816"/>
    <w:rsid w:val="00304A9C"/>
    <w:rsid w:val="00306835"/>
    <w:rsid w:val="003075DD"/>
    <w:rsid w:val="00311364"/>
    <w:rsid w:val="00312FCD"/>
    <w:rsid w:val="0031442C"/>
    <w:rsid w:val="003149F5"/>
    <w:rsid w:val="00315113"/>
    <w:rsid w:val="003152CD"/>
    <w:rsid w:val="00315A7A"/>
    <w:rsid w:val="00321A92"/>
    <w:rsid w:val="00321D5D"/>
    <w:rsid w:val="00322427"/>
    <w:rsid w:val="003226C5"/>
    <w:rsid w:val="00322BE0"/>
    <w:rsid w:val="00322E61"/>
    <w:rsid w:val="00324252"/>
    <w:rsid w:val="003258D3"/>
    <w:rsid w:val="003271BF"/>
    <w:rsid w:val="00327980"/>
    <w:rsid w:val="00330DB5"/>
    <w:rsid w:val="00332350"/>
    <w:rsid w:val="003345B2"/>
    <w:rsid w:val="00334EE3"/>
    <w:rsid w:val="0033519E"/>
    <w:rsid w:val="0033541B"/>
    <w:rsid w:val="00335CF8"/>
    <w:rsid w:val="0033768B"/>
    <w:rsid w:val="00340603"/>
    <w:rsid w:val="0034155B"/>
    <w:rsid w:val="0034173B"/>
    <w:rsid w:val="00341E0C"/>
    <w:rsid w:val="00344E4C"/>
    <w:rsid w:val="003461EC"/>
    <w:rsid w:val="00346DC7"/>
    <w:rsid w:val="00346FA1"/>
    <w:rsid w:val="00351050"/>
    <w:rsid w:val="00351255"/>
    <w:rsid w:val="003532A1"/>
    <w:rsid w:val="00356C29"/>
    <w:rsid w:val="00357070"/>
    <w:rsid w:val="003577B2"/>
    <w:rsid w:val="003615B4"/>
    <w:rsid w:val="00361F5E"/>
    <w:rsid w:val="00363483"/>
    <w:rsid w:val="0036746D"/>
    <w:rsid w:val="00367E61"/>
    <w:rsid w:val="00370C69"/>
    <w:rsid w:val="00370D27"/>
    <w:rsid w:val="0037130E"/>
    <w:rsid w:val="003724EC"/>
    <w:rsid w:val="0037316C"/>
    <w:rsid w:val="003741EB"/>
    <w:rsid w:val="00374B84"/>
    <w:rsid w:val="00374D2F"/>
    <w:rsid w:val="0037508B"/>
    <w:rsid w:val="00375CEE"/>
    <w:rsid w:val="00377CC9"/>
    <w:rsid w:val="00377E87"/>
    <w:rsid w:val="00380157"/>
    <w:rsid w:val="00380951"/>
    <w:rsid w:val="00380BCB"/>
    <w:rsid w:val="00381164"/>
    <w:rsid w:val="00381777"/>
    <w:rsid w:val="003817CD"/>
    <w:rsid w:val="0038191E"/>
    <w:rsid w:val="00381DCB"/>
    <w:rsid w:val="0038216F"/>
    <w:rsid w:val="0038239E"/>
    <w:rsid w:val="00383479"/>
    <w:rsid w:val="003854D8"/>
    <w:rsid w:val="00390313"/>
    <w:rsid w:val="00390AA2"/>
    <w:rsid w:val="00390CD8"/>
    <w:rsid w:val="00391D94"/>
    <w:rsid w:val="00391FAA"/>
    <w:rsid w:val="003932FC"/>
    <w:rsid w:val="0039526F"/>
    <w:rsid w:val="003A060A"/>
    <w:rsid w:val="003A0B31"/>
    <w:rsid w:val="003A14AF"/>
    <w:rsid w:val="003A1E06"/>
    <w:rsid w:val="003A217A"/>
    <w:rsid w:val="003A3FBB"/>
    <w:rsid w:val="003A4369"/>
    <w:rsid w:val="003A43C7"/>
    <w:rsid w:val="003A4CAB"/>
    <w:rsid w:val="003A5A72"/>
    <w:rsid w:val="003A684F"/>
    <w:rsid w:val="003B1204"/>
    <w:rsid w:val="003B4497"/>
    <w:rsid w:val="003B5777"/>
    <w:rsid w:val="003B7807"/>
    <w:rsid w:val="003C1D02"/>
    <w:rsid w:val="003C1E8A"/>
    <w:rsid w:val="003C42FC"/>
    <w:rsid w:val="003C4B02"/>
    <w:rsid w:val="003C6752"/>
    <w:rsid w:val="003C6AB0"/>
    <w:rsid w:val="003C7467"/>
    <w:rsid w:val="003C7A12"/>
    <w:rsid w:val="003D1064"/>
    <w:rsid w:val="003D22CF"/>
    <w:rsid w:val="003D4437"/>
    <w:rsid w:val="003D4CD5"/>
    <w:rsid w:val="003D5AD5"/>
    <w:rsid w:val="003D5E53"/>
    <w:rsid w:val="003D7FA6"/>
    <w:rsid w:val="003E361A"/>
    <w:rsid w:val="003E36AD"/>
    <w:rsid w:val="003E4841"/>
    <w:rsid w:val="003E4F94"/>
    <w:rsid w:val="003F0443"/>
    <w:rsid w:val="003F196C"/>
    <w:rsid w:val="003F346A"/>
    <w:rsid w:val="003F3605"/>
    <w:rsid w:val="003F3EFE"/>
    <w:rsid w:val="003F57CD"/>
    <w:rsid w:val="003F5AD1"/>
    <w:rsid w:val="003F6E87"/>
    <w:rsid w:val="00400B6F"/>
    <w:rsid w:val="004025A1"/>
    <w:rsid w:val="00404907"/>
    <w:rsid w:val="004053E3"/>
    <w:rsid w:val="00406235"/>
    <w:rsid w:val="0041036E"/>
    <w:rsid w:val="00410BB2"/>
    <w:rsid w:val="00412AAD"/>
    <w:rsid w:val="00414A3F"/>
    <w:rsid w:val="004154CA"/>
    <w:rsid w:val="00415B97"/>
    <w:rsid w:val="004174B0"/>
    <w:rsid w:val="00417B7F"/>
    <w:rsid w:val="00420DC3"/>
    <w:rsid w:val="00420ECF"/>
    <w:rsid w:val="004227A3"/>
    <w:rsid w:val="0042391C"/>
    <w:rsid w:val="00423BCD"/>
    <w:rsid w:val="00423E1A"/>
    <w:rsid w:val="00424004"/>
    <w:rsid w:val="0042621E"/>
    <w:rsid w:val="00426298"/>
    <w:rsid w:val="0042796F"/>
    <w:rsid w:val="004309F8"/>
    <w:rsid w:val="00432E48"/>
    <w:rsid w:val="00434968"/>
    <w:rsid w:val="004354CF"/>
    <w:rsid w:val="00435C23"/>
    <w:rsid w:val="0043650E"/>
    <w:rsid w:val="00436CEC"/>
    <w:rsid w:val="00437664"/>
    <w:rsid w:val="00440BA8"/>
    <w:rsid w:val="00441F80"/>
    <w:rsid w:val="0044217B"/>
    <w:rsid w:val="0044288A"/>
    <w:rsid w:val="00442996"/>
    <w:rsid w:val="004434B4"/>
    <w:rsid w:val="00443EE4"/>
    <w:rsid w:val="00444C02"/>
    <w:rsid w:val="0044535D"/>
    <w:rsid w:val="004468DD"/>
    <w:rsid w:val="00447D86"/>
    <w:rsid w:val="00450710"/>
    <w:rsid w:val="00451526"/>
    <w:rsid w:val="00451F45"/>
    <w:rsid w:val="00453501"/>
    <w:rsid w:val="00455C24"/>
    <w:rsid w:val="004570AD"/>
    <w:rsid w:val="0046016B"/>
    <w:rsid w:val="0046167F"/>
    <w:rsid w:val="0046236D"/>
    <w:rsid w:val="00462C35"/>
    <w:rsid w:val="00463F1C"/>
    <w:rsid w:val="00466697"/>
    <w:rsid w:val="00466F09"/>
    <w:rsid w:val="004707F8"/>
    <w:rsid w:val="00470B60"/>
    <w:rsid w:val="00470C42"/>
    <w:rsid w:val="0047167F"/>
    <w:rsid w:val="00473094"/>
    <w:rsid w:val="00473134"/>
    <w:rsid w:val="004731C9"/>
    <w:rsid w:val="004749B3"/>
    <w:rsid w:val="00475471"/>
    <w:rsid w:val="00475F3C"/>
    <w:rsid w:val="004761E7"/>
    <w:rsid w:val="004769B1"/>
    <w:rsid w:val="00477E87"/>
    <w:rsid w:val="0048085C"/>
    <w:rsid w:val="00480B5C"/>
    <w:rsid w:val="00480CFA"/>
    <w:rsid w:val="004813E7"/>
    <w:rsid w:val="0048189F"/>
    <w:rsid w:val="004823DF"/>
    <w:rsid w:val="004833B5"/>
    <w:rsid w:val="00483A42"/>
    <w:rsid w:val="0048448C"/>
    <w:rsid w:val="0048675D"/>
    <w:rsid w:val="0049323B"/>
    <w:rsid w:val="00493E96"/>
    <w:rsid w:val="00493F6F"/>
    <w:rsid w:val="00495B6C"/>
    <w:rsid w:val="00495BA7"/>
    <w:rsid w:val="0049755B"/>
    <w:rsid w:val="00497D6D"/>
    <w:rsid w:val="004A2961"/>
    <w:rsid w:val="004A3AF3"/>
    <w:rsid w:val="004A4274"/>
    <w:rsid w:val="004A56AC"/>
    <w:rsid w:val="004A58A0"/>
    <w:rsid w:val="004A6517"/>
    <w:rsid w:val="004B05DF"/>
    <w:rsid w:val="004B20E1"/>
    <w:rsid w:val="004B31C2"/>
    <w:rsid w:val="004B33DC"/>
    <w:rsid w:val="004B34D6"/>
    <w:rsid w:val="004B473E"/>
    <w:rsid w:val="004C08B9"/>
    <w:rsid w:val="004C1185"/>
    <w:rsid w:val="004C1F07"/>
    <w:rsid w:val="004C2470"/>
    <w:rsid w:val="004C2550"/>
    <w:rsid w:val="004C255C"/>
    <w:rsid w:val="004C44C1"/>
    <w:rsid w:val="004C5967"/>
    <w:rsid w:val="004C663A"/>
    <w:rsid w:val="004C6740"/>
    <w:rsid w:val="004D1009"/>
    <w:rsid w:val="004D2CB4"/>
    <w:rsid w:val="004D2F65"/>
    <w:rsid w:val="004D6C3D"/>
    <w:rsid w:val="004E29F9"/>
    <w:rsid w:val="004E32EC"/>
    <w:rsid w:val="004E460D"/>
    <w:rsid w:val="004E5284"/>
    <w:rsid w:val="004E5365"/>
    <w:rsid w:val="004E692A"/>
    <w:rsid w:val="004F0D04"/>
    <w:rsid w:val="004F1259"/>
    <w:rsid w:val="004F1275"/>
    <w:rsid w:val="004F1FB5"/>
    <w:rsid w:val="004F2629"/>
    <w:rsid w:val="004F303D"/>
    <w:rsid w:val="004F42C8"/>
    <w:rsid w:val="004F512B"/>
    <w:rsid w:val="004F7EE2"/>
    <w:rsid w:val="00500482"/>
    <w:rsid w:val="00500E4E"/>
    <w:rsid w:val="00503D81"/>
    <w:rsid w:val="00506175"/>
    <w:rsid w:val="0050625F"/>
    <w:rsid w:val="0050638A"/>
    <w:rsid w:val="0050654A"/>
    <w:rsid w:val="00507C17"/>
    <w:rsid w:val="005107C5"/>
    <w:rsid w:val="00512824"/>
    <w:rsid w:val="00512F22"/>
    <w:rsid w:val="0051305F"/>
    <w:rsid w:val="005141F5"/>
    <w:rsid w:val="005150C8"/>
    <w:rsid w:val="00515B50"/>
    <w:rsid w:val="00521EE3"/>
    <w:rsid w:val="005227D4"/>
    <w:rsid w:val="00523E5C"/>
    <w:rsid w:val="00523EE1"/>
    <w:rsid w:val="00525ADC"/>
    <w:rsid w:val="005260DE"/>
    <w:rsid w:val="00526A9D"/>
    <w:rsid w:val="00530034"/>
    <w:rsid w:val="00531C3B"/>
    <w:rsid w:val="005335B0"/>
    <w:rsid w:val="00533776"/>
    <w:rsid w:val="00533B1C"/>
    <w:rsid w:val="00533BC4"/>
    <w:rsid w:val="00535005"/>
    <w:rsid w:val="00535732"/>
    <w:rsid w:val="005375D9"/>
    <w:rsid w:val="00541B72"/>
    <w:rsid w:val="005429BA"/>
    <w:rsid w:val="00542C90"/>
    <w:rsid w:val="00543DF6"/>
    <w:rsid w:val="00544877"/>
    <w:rsid w:val="005450A1"/>
    <w:rsid w:val="00546DC1"/>
    <w:rsid w:val="005473E6"/>
    <w:rsid w:val="00547460"/>
    <w:rsid w:val="005500B3"/>
    <w:rsid w:val="00550C50"/>
    <w:rsid w:val="00551407"/>
    <w:rsid w:val="00552569"/>
    <w:rsid w:val="0055320C"/>
    <w:rsid w:val="005549C3"/>
    <w:rsid w:val="00556D0D"/>
    <w:rsid w:val="0055741B"/>
    <w:rsid w:val="005575FD"/>
    <w:rsid w:val="00557767"/>
    <w:rsid w:val="00557F0B"/>
    <w:rsid w:val="00562CCA"/>
    <w:rsid w:val="005636FD"/>
    <w:rsid w:val="00563BDA"/>
    <w:rsid w:val="0056501C"/>
    <w:rsid w:val="00565035"/>
    <w:rsid w:val="005659BD"/>
    <w:rsid w:val="00570740"/>
    <w:rsid w:val="00570BF2"/>
    <w:rsid w:val="0057148B"/>
    <w:rsid w:val="005722F5"/>
    <w:rsid w:val="00580104"/>
    <w:rsid w:val="005805C7"/>
    <w:rsid w:val="00581378"/>
    <w:rsid w:val="005825C8"/>
    <w:rsid w:val="005854B8"/>
    <w:rsid w:val="005860A9"/>
    <w:rsid w:val="005863BC"/>
    <w:rsid w:val="00587F96"/>
    <w:rsid w:val="00590A9C"/>
    <w:rsid w:val="00590CFD"/>
    <w:rsid w:val="0059157A"/>
    <w:rsid w:val="00591F64"/>
    <w:rsid w:val="00593EE1"/>
    <w:rsid w:val="00594E11"/>
    <w:rsid w:val="005A0A6A"/>
    <w:rsid w:val="005A2B3D"/>
    <w:rsid w:val="005A38DE"/>
    <w:rsid w:val="005A487F"/>
    <w:rsid w:val="005A4919"/>
    <w:rsid w:val="005A5A53"/>
    <w:rsid w:val="005A771F"/>
    <w:rsid w:val="005B0345"/>
    <w:rsid w:val="005B0CE2"/>
    <w:rsid w:val="005B1DA7"/>
    <w:rsid w:val="005B2D03"/>
    <w:rsid w:val="005B463A"/>
    <w:rsid w:val="005C0000"/>
    <w:rsid w:val="005C02E2"/>
    <w:rsid w:val="005C1BBC"/>
    <w:rsid w:val="005C237E"/>
    <w:rsid w:val="005C31CA"/>
    <w:rsid w:val="005C3548"/>
    <w:rsid w:val="005C3A11"/>
    <w:rsid w:val="005C4242"/>
    <w:rsid w:val="005C4700"/>
    <w:rsid w:val="005C4E89"/>
    <w:rsid w:val="005C5A07"/>
    <w:rsid w:val="005C5ABD"/>
    <w:rsid w:val="005C6BD9"/>
    <w:rsid w:val="005C6D31"/>
    <w:rsid w:val="005C6F7F"/>
    <w:rsid w:val="005C6F96"/>
    <w:rsid w:val="005C78DA"/>
    <w:rsid w:val="005D208F"/>
    <w:rsid w:val="005D4B6F"/>
    <w:rsid w:val="005D6BA2"/>
    <w:rsid w:val="005D7B51"/>
    <w:rsid w:val="005E1202"/>
    <w:rsid w:val="005E1E17"/>
    <w:rsid w:val="005E2ABC"/>
    <w:rsid w:val="005E3ED4"/>
    <w:rsid w:val="005E4450"/>
    <w:rsid w:val="005E6E73"/>
    <w:rsid w:val="005E7B7A"/>
    <w:rsid w:val="005F214B"/>
    <w:rsid w:val="005F2808"/>
    <w:rsid w:val="005F281B"/>
    <w:rsid w:val="005F5686"/>
    <w:rsid w:val="005F5C0D"/>
    <w:rsid w:val="005F7AFC"/>
    <w:rsid w:val="005F7EF8"/>
    <w:rsid w:val="00600F8A"/>
    <w:rsid w:val="006056FD"/>
    <w:rsid w:val="00605DB3"/>
    <w:rsid w:val="00607CA9"/>
    <w:rsid w:val="0061019F"/>
    <w:rsid w:val="00611A5F"/>
    <w:rsid w:val="006130EE"/>
    <w:rsid w:val="00614044"/>
    <w:rsid w:val="0061488C"/>
    <w:rsid w:val="006153AE"/>
    <w:rsid w:val="00620CD6"/>
    <w:rsid w:val="00621BEA"/>
    <w:rsid w:val="0062273F"/>
    <w:rsid w:val="006229C0"/>
    <w:rsid w:val="006261A5"/>
    <w:rsid w:val="00626BC7"/>
    <w:rsid w:val="00630901"/>
    <w:rsid w:val="006314DE"/>
    <w:rsid w:val="006335A0"/>
    <w:rsid w:val="006438CB"/>
    <w:rsid w:val="00643AAC"/>
    <w:rsid w:val="006444DD"/>
    <w:rsid w:val="00644E6C"/>
    <w:rsid w:val="006450B1"/>
    <w:rsid w:val="00651393"/>
    <w:rsid w:val="00652129"/>
    <w:rsid w:val="00652133"/>
    <w:rsid w:val="0065340A"/>
    <w:rsid w:val="00654074"/>
    <w:rsid w:val="00654E27"/>
    <w:rsid w:val="006551F8"/>
    <w:rsid w:val="0065550F"/>
    <w:rsid w:val="00655780"/>
    <w:rsid w:val="00662A23"/>
    <w:rsid w:val="00662D83"/>
    <w:rsid w:val="00667D78"/>
    <w:rsid w:val="00670DB7"/>
    <w:rsid w:val="00670FEB"/>
    <w:rsid w:val="00672A68"/>
    <w:rsid w:val="00672D75"/>
    <w:rsid w:val="00673701"/>
    <w:rsid w:val="00674519"/>
    <w:rsid w:val="00674F2E"/>
    <w:rsid w:val="006769E7"/>
    <w:rsid w:val="00677DB3"/>
    <w:rsid w:val="006800BB"/>
    <w:rsid w:val="00680EB2"/>
    <w:rsid w:val="00680F57"/>
    <w:rsid w:val="006814F3"/>
    <w:rsid w:val="006829C7"/>
    <w:rsid w:val="006873D0"/>
    <w:rsid w:val="00687966"/>
    <w:rsid w:val="00691878"/>
    <w:rsid w:val="00691B2D"/>
    <w:rsid w:val="006928DE"/>
    <w:rsid w:val="00692D18"/>
    <w:rsid w:val="0069370E"/>
    <w:rsid w:val="006950F5"/>
    <w:rsid w:val="00695409"/>
    <w:rsid w:val="00695ABF"/>
    <w:rsid w:val="006977FB"/>
    <w:rsid w:val="006A2708"/>
    <w:rsid w:val="006A2A2B"/>
    <w:rsid w:val="006A42DD"/>
    <w:rsid w:val="006A4AF8"/>
    <w:rsid w:val="006A7B91"/>
    <w:rsid w:val="006A7EF3"/>
    <w:rsid w:val="006B0D6C"/>
    <w:rsid w:val="006B0FE1"/>
    <w:rsid w:val="006B304C"/>
    <w:rsid w:val="006B30AD"/>
    <w:rsid w:val="006B4102"/>
    <w:rsid w:val="006B4D39"/>
    <w:rsid w:val="006B5348"/>
    <w:rsid w:val="006B54EE"/>
    <w:rsid w:val="006C03A8"/>
    <w:rsid w:val="006C0BAB"/>
    <w:rsid w:val="006C30DE"/>
    <w:rsid w:val="006C57FF"/>
    <w:rsid w:val="006C617D"/>
    <w:rsid w:val="006C62BA"/>
    <w:rsid w:val="006C6B21"/>
    <w:rsid w:val="006C6E45"/>
    <w:rsid w:val="006C6F76"/>
    <w:rsid w:val="006C7B73"/>
    <w:rsid w:val="006D1D29"/>
    <w:rsid w:val="006D2231"/>
    <w:rsid w:val="006D28B7"/>
    <w:rsid w:val="006D5AF1"/>
    <w:rsid w:val="006D7F80"/>
    <w:rsid w:val="006E0811"/>
    <w:rsid w:val="006E4D26"/>
    <w:rsid w:val="006E50EE"/>
    <w:rsid w:val="006E5B1C"/>
    <w:rsid w:val="006E63CA"/>
    <w:rsid w:val="006F0907"/>
    <w:rsid w:val="006F0D1D"/>
    <w:rsid w:val="006F266B"/>
    <w:rsid w:val="006F28CA"/>
    <w:rsid w:val="006F2AD7"/>
    <w:rsid w:val="006F48FA"/>
    <w:rsid w:val="006F4F5D"/>
    <w:rsid w:val="006F5973"/>
    <w:rsid w:val="006F5BB1"/>
    <w:rsid w:val="006F6185"/>
    <w:rsid w:val="006F696A"/>
    <w:rsid w:val="006F7611"/>
    <w:rsid w:val="0070149A"/>
    <w:rsid w:val="00701604"/>
    <w:rsid w:val="00702E70"/>
    <w:rsid w:val="007038A8"/>
    <w:rsid w:val="00703AF0"/>
    <w:rsid w:val="007043C5"/>
    <w:rsid w:val="007068FF"/>
    <w:rsid w:val="00707255"/>
    <w:rsid w:val="0070730B"/>
    <w:rsid w:val="007102A1"/>
    <w:rsid w:val="007135B6"/>
    <w:rsid w:val="00713690"/>
    <w:rsid w:val="00713C88"/>
    <w:rsid w:val="00714327"/>
    <w:rsid w:val="007148AD"/>
    <w:rsid w:val="00715C3F"/>
    <w:rsid w:val="00716810"/>
    <w:rsid w:val="00717090"/>
    <w:rsid w:val="00721D98"/>
    <w:rsid w:val="00723DBB"/>
    <w:rsid w:val="00724D2F"/>
    <w:rsid w:val="007251DA"/>
    <w:rsid w:val="007274C6"/>
    <w:rsid w:val="00731B86"/>
    <w:rsid w:val="00731CC9"/>
    <w:rsid w:val="00736F29"/>
    <w:rsid w:val="00740EBB"/>
    <w:rsid w:val="007425D0"/>
    <w:rsid w:val="00743CA9"/>
    <w:rsid w:val="00745FF4"/>
    <w:rsid w:val="00746CF4"/>
    <w:rsid w:val="00747A8E"/>
    <w:rsid w:val="0075073D"/>
    <w:rsid w:val="007520D3"/>
    <w:rsid w:val="0075426C"/>
    <w:rsid w:val="00754EA4"/>
    <w:rsid w:val="00760AFC"/>
    <w:rsid w:val="00760B30"/>
    <w:rsid w:val="00761AB5"/>
    <w:rsid w:val="00763DAC"/>
    <w:rsid w:val="00764E66"/>
    <w:rsid w:val="007678F2"/>
    <w:rsid w:val="00772001"/>
    <w:rsid w:val="00772C36"/>
    <w:rsid w:val="00774419"/>
    <w:rsid w:val="0077470F"/>
    <w:rsid w:val="00775171"/>
    <w:rsid w:val="00775581"/>
    <w:rsid w:val="0077644E"/>
    <w:rsid w:val="00776D7A"/>
    <w:rsid w:val="007803C9"/>
    <w:rsid w:val="007806AF"/>
    <w:rsid w:val="00781464"/>
    <w:rsid w:val="00781DB0"/>
    <w:rsid w:val="00782823"/>
    <w:rsid w:val="0078369C"/>
    <w:rsid w:val="007836CB"/>
    <w:rsid w:val="00783B6B"/>
    <w:rsid w:val="00783B96"/>
    <w:rsid w:val="007846B3"/>
    <w:rsid w:val="00785AFD"/>
    <w:rsid w:val="00785F01"/>
    <w:rsid w:val="00786720"/>
    <w:rsid w:val="00786B84"/>
    <w:rsid w:val="00786EED"/>
    <w:rsid w:val="00790236"/>
    <w:rsid w:val="007909C1"/>
    <w:rsid w:val="00790FBE"/>
    <w:rsid w:val="00792615"/>
    <w:rsid w:val="00796A1E"/>
    <w:rsid w:val="00796E89"/>
    <w:rsid w:val="00797DA0"/>
    <w:rsid w:val="007A0DF9"/>
    <w:rsid w:val="007A2BB9"/>
    <w:rsid w:val="007A60F0"/>
    <w:rsid w:val="007A6806"/>
    <w:rsid w:val="007A6D3B"/>
    <w:rsid w:val="007B0170"/>
    <w:rsid w:val="007B29F8"/>
    <w:rsid w:val="007B6E36"/>
    <w:rsid w:val="007B74CD"/>
    <w:rsid w:val="007C1F4E"/>
    <w:rsid w:val="007C3CB9"/>
    <w:rsid w:val="007C422F"/>
    <w:rsid w:val="007C48FA"/>
    <w:rsid w:val="007C4E10"/>
    <w:rsid w:val="007C51CA"/>
    <w:rsid w:val="007C5F25"/>
    <w:rsid w:val="007D0A1A"/>
    <w:rsid w:val="007D17C6"/>
    <w:rsid w:val="007D2167"/>
    <w:rsid w:val="007D2549"/>
    <w:rsid w:val="007D29B4"/>
    <w:rsid w:val="007D2D00"/>
    <w:rsid w:val="007D5990"/>
    <w:rsid w:val="007D6551"/>
    <w:rsid w:val="007D7C54"/>
    <w:rsid w:val="007E2064"/>
    <w:rsid w:val="007E49A6"/>
    <w:rsid w:val="007E5FCE"/>
    <w:rsid w:val="007E6FE6"/>
    <w:rsid w:val="007E7CD4"/>
    <w:rsid w:val="007F21A5"/>
    <w:rsid w:val="007F321C"/>
    <w:rsid w:val="007F4B11"/>
    <w:rsid w:val="007F52C6"/>
    <w:rsid w:val="007F5599"/>
    <w:rsid w:val="007F56EE"/>
    <w:rsid w:val="00800B94"/>
    <w:rsid w:val="00801392"/>
    <w:rsid w:val="008013FA"/>
    <w:rsid w:val="00801886"/>
    <w:rsid w:val="00801B2F"/>
    <w:rsid w:val="00802FF5"/>
    <w:rsid w:val="00803A7B"/>
    <w:rsid w:val="00806A1D"/>
    <w:rsid w:val="00807274"/>
    <w:rsid w:val="008076A3"/>
    <w:rsid w:val="00807717"/>
    <w:rsid w:val="00811577"/>
    <w:rsid w:val="00813006"/>
    <w:rsid w:val="008136E9"/>
    <w:rsid w:val="00814239"/>
    <w:rsid w:val="008150F4"/>
    <w:rsid w:val="00815A9D"/>
    <w:rsid w:val="00817205"/>
    <w:rsid w:val="00820C29"/>
    <w:rsid w:val="00820F82"/>
    <w:rsid w:val="008218BD"/>
    <w:rsid w:val="008221FE"/>
    <w:rsid w:val="00822315"/>
    <w:rsid w:val="00822686"/>
    <w:rsid w:val="00823029"/>
    <w:rsid w:val="00823F9E"/>
    <w:rsid w:val="00824CE2"/>
    <w:rsid w:val="00825B82"/>
    <w:rsid w:val="00827C61"/>
    <w:rsid w:val="00830BCB"/>
    <w:rsid w:val="00830BF7"/>
    <w:rsid w:val="0083124F"/>
    <w:rsid w:val="00831889"/>
    <w:rsid w:val="00834CBB"/>
    <w:rsid w:val="00840BDD"/>
    <w:rsid w:val="00842C60"/>
    <w:rsid w:val="008436A2"/>
    <w:rsid w:val="00843A7E"/>
    <w:rsid w:val="00844AC6"/>
    <w:rsid w:val="00845FD0"/>
    <w:rsid w:val="00846E90"/>
    <w:rsid w:val="008476AF"/>
    <w:rsid w:val="00847E80"/>
    <w:rsid w:val="00851761"/>
    <w:rsid w:val="00852C01"/>
    <w:rsid w:val="0085524D"/>
    <w:rsid w:val="00857209"/>
    <w:rsid w:val="008572D5"/>
    <w:rsid w:val="008578A1"/>
    <w:rsid w:val="00857909"/>
    <w:rsid w:val="00857AC1"/>
    <w:rsid w:val="00857F7E"/>
    <w:rsid w:val="0086210A"/>
    <w:rsid w:val="008623AC"/>
    <w:rsid w:val="008641F0"/>
    <w:rsid w:val="00864893"/>
    <w:rsid w:val="00864D32"/>
    <w:rsid w:val="00867067"/>
    <w:rsid w:val="008673D2"/>
    <w:rsid w:val="008705D9"/>
    <w:rsid w:val="0087266C"/>
    <w:rsid w:val="0087275E"/>
    <w:rsid w:val="00873E66"/>
    <w:rsid w:val="00874685"/>
    <w:rsid w:val="008753C9"/>
    <w:rsid w:val="00875B55"/>
    <w:rsid w:val="00881D4C"/>
    <w:rsid w:val="00881E1F"/>
    <w:rsid w:val="00882CD6"/>
    <w:rsid w:val="00883007"/>
    <w:rsid w:val="00884CDA"/>
    <w:rsid w:val="00886562"/>
    <w:rsid w:val="00886A56"/>
    <w:rsid w:val="00887CDC"/>
    <w:rsid w:val="00890434"/>
    <w:rsid w:val="00891671"/>
    <w:rsid w:val="008932A6"/>
    <w:rsid w:val="0089384D"/>
    <w:rsid w:val="00896983"/>
    <w:rsid w:val="0089780A"/>
    <w:rsid w:val="00897B45"/>
    <w:rsid w:val="008A2779"/>
    <w:rsid w:val="008A4442"/>
    <w:rsid w:val="008A4893"/>
    <w:rsid w:val="008A5F48"/>
    <w:rsid w:val="008A6258"/>
    <w:rsid w:val="008A6420"/>
    <w:rsid w:val="008B0C7E"/>
    <w:rsid w:val="008B196F"/>
    <w:rsid w:val="008B1AC6"/>
    <w:rsid w:val="008B2420"/>
    <w:rsid w:val="008B37C5"/>
    <w:rsid w:val="008B4362"/>
    <w:rsid w:val="008B4CB6"/>
    <w:rsid w:val="008B5433"/>
    <w:rsid w:val="008B5895"/>
    <w:rsid w:val="008B62A6"/>
    <w:rsid w:val="008B6FDF"/>
    <w:rsid w:val="008C12E9"/>
    <w:rsid w:val="008C1681"/>
    <w:rsid w:val="008C3A5B"/>
    <w:rsid w:val="008C5191"/>
    <w:rsid w:val="008C6C43"/>
    <w:rsid w:val="008C6CD6"/>
    <w:rsid w:val="008D087D"/>
    <w:rsid w:val="008D1466"/>
    <w:rsid w:val="008D5530"/>
    <w:rsid w:val="008D574E"/>
    <w:rsid w:val="008D5B73"/>
    <w:rsid w:val="008D63CA"/>
    <w:rsid w:val="008D785A"/>
    <w:rsid w:val="008E0F9B"/>
    <w:rsid w:val="008E11E8"/>
    <w:rsid w:val="008E3DB0"/>
    <w:rsid w:val="008E472C"/>
    <w:rsid w:val="008E5BF8"/>
    <w:rsid w:val="008E6D1B"/>
    <w:rsid w:val="008F2E54"/>
    <w:rsid w:val="008F3FF1"/>
    <w:rsid w:val="008F5773"/>
    <w:rsid w:val="008F589D"/>
    <w:rsid w:val="008F6157"/>
    <w:rsid w:val="008F76A9"/>
    <w:rsid w:val="0090119B"/>
    <w:rsid w:val="0090265B"/>
    <w:rsid w:val="00903CF4"/>
    <w:rsid w:val="009046A6"/>
    <w:rsid w:val="00907E86"/>
    <w:rsid w:val="00907E9D"/>
    <w:rsid w:val="00910969"/>
    <w:rsid w:val="00911875"/>
    <w:rsid w:val="00914558"/>
    <w:rsid w:val="00914954"/>
    <w:rsid w:val="00914D6C"/>
    <w:rsid w:val="00914ED2"/>
    <w:rsid w:val="009156CF"/>
    <w:rsid w:val="009162D9"/>
    <w:rsid w:val="00916453"/>
    <w:rsid w:val="00916C0F"/>
    <w:rsid w:val="009174AF"/>
    <w:rsid w:val="009201DE"/>
    <w:rsid w:val="00921211"/>
    <w:rsid w:val="00921D88"/>
    <w:rsid w:val="00922F37"/>
    <w:rsid w:val="00925306"/>
    <w:rsid w:val="00927284"/>
    <w:rsid w:val="0093101F"/>
    <w:rsid w:val="00931C87"/>
    <w:rsid w:val="00932C87"/>
    <w:rsid w:val="00935AB5"/>
    <w:rsid w:val="00935B3A"/>
    <w:rsid w:val="00936E4D"/>
    <w:rsid w:val="009428B8"/>
    <w:rsid w:val="009449CE"/>
    <w:rsid w:val="00945810"/>
    <w:rsid w:val="00947FA2"/>
    <w:rsid w:val="009517C2"/>
    <w:rsid w:val="00951991"/>
    <w:rsid w:val="009530EB"/>
    <w:rsid w:val="009531A7"/>
    <w:rsid w:val="00953FCE"/>
    <w:rsid w:val="009547E3"/>
    <w:rsid w:val="009568CA"/>
    <w:rsid w:val="00957E7E"/>
    <w:rsid w:val="00961243"/>
    <w:rsid w:val="0096233A"/>
    <w:rsid w:val="0096236B"/>
    <w:rsid w:val="00962617"/>
    <w:rsid w:val="00963318"/>
    <w:rsid w:val="00964945"/>
    <w:rsid w:val="00966008"/>
    <w:rsid w:val="00966B1C"/>
    <w:rsid w:val="00967AE5"/>
    <w:rsid w:val="00970178"/>
    <w:rsid w:val="00970FBF"/>
    <w:rsid w:val="009722EB"/>
    <w:rsid w:val="00972C5F"/>
    <w:rsid w:val="0097449B"/>
    <w:rsid w:val="0097457D"/>
    <w:rsid w:val="00976394"/>
    <w:rsid w:val="00976BBA"/>
    <w:rsid w:val="0097708B"/>
    <w:rsid w:val="009772DE"/>
    <w:rsid w:val="0097780A"/>
    <w:rsid w:val="00977D07"/>
    <w:rsid w:val="00985042"/>
    <w:rsid w:val="009852DE"/>
    <w:rsid w:val="00985655"/>
    <w:rsid w:val="00986739"/>
    <w:rsid w:val="00987102"/>
    <w:rsid w:val="00991093"/>
    <w:rsid w:val="009911CC"/>
    <w:rsid w:val="009913F4"/>
    <w:rsid w:val="00991557"/>
    <w:rsid w:val="00991B3A"/>
    <w:rsid w:val="009928C0"/>
    <w:rsid w:val="00992A82"/>
    <w:rsid w:val="00992E5D"/>
    <w:rsid w:val="00994177"/>
    <w:rsid w:val="0099425D"/>
    <w:rsid w:val="009943CF"/>
    <w:rsid w:val="009A10AF"/>
    <w:rsid w:val="009A21D3"/>
    <w:rsid w:val="009A4E83"/>
    <w:rsid w:val="009A5E9C"/>
    <w:rsid w:val="009A6377"/>
    <w:rsid w:val="009A7A23"/>
    <w:rsid w:val="009B3544"/>
    <w:rsid w:val="009B3BE2"/>
    <w:rsid w:val="009B45E4"/>
    <w:rsid w:val="009B4BC3"/>
    <w:rsid w:val="009B4C4E"/>
    <w:rsid w:val="009B52B2"/>
    <w:rsid w:val="009B5B41"/>
    <w:rsid w:val="009B5C25"/>
    <w:rsid w:val="009B78A4"/>
    <w:rsid w:val="009C1CB8"/>
    <w:rsid w:val="009C25D0"/>
    <w:rsid w:val="009C2B50"/>
    <w:rsid w:val="009C4A28"/>
    <w:rsid w:val="009C4C4A"/>
    <w:rsid w:val="009C5529"/>
    <w:rsid w:val="009C6456"/>
    <w:rsid w:val="009C6560"/>
    <w:rsid w:val="009C757C"/>
    <w:rsid w:val="009C7CDB"/>
    <w:rsid w:val="009C7DE2"/>
    <w:rsid w:val="009D17C3"/>
    <w:rsid w:val="009D3633"/>
    <w:rsid w:val="009D4131"/>
    <w:rsid w:val="009D440E"/>
    <w:rsid w:val="009D6440"/>
    <w:rsid w:val="009E04B2"/>
    <w:rsid w:val="009E1442"/>
    <w:rsid w:val="009E22FB"/>
    <w:rsid w:val="009E36FD"/>
    <w:rsid w:val="009E4104"/>
    <w:rsid w:val="009E5ACD"/>
    <w:rsid w:val="009E6091"/>
    <w:rsid w:val="009F0EE3"/>
    <w:rsid w:val="009F1A84"/>
    <w:rsid w:val="009F5226"/>
    <w:rsid w:val="009F6F96"/>
    <w:rsid w:val="009F7113"/>
    <w:rsid w:val="009F71D1"/>
    <w:rsid w:val="009F7E71"/>
    <w:rsid w:val="009F7EA2"/>
    <w:rsid w:val="00A00449"/>
    <w:rsid w:val="00A019E5"/>
    <w:rsid w:val="00A020E5"/>
    <w:rsid w:val="00A02ED7"/>
    <w:rsid w:val="00A05883"/>
    <w:rsid w:val="00A07BC4"/>
    <w:rsid w:val="00A114B7"/>
    <w:rsid w:val="00A12716"/>
    <w:rsid w:val="00A1281D"/>
    <w:rsid w:val="00A12CAC"/>
    <w:rsid w:val="00A14D57"/>
    <w:rsid w:val="00A16305"/>
    <w:rsid w:val="00A1683F"/>
    <w:rsid w:val="00A17130"/>
    <w:rsid w:val="00A223B0"/>
    <w:rsid w:val="00A22675"/>
    <w:rsid w:val="00A23717"/>
    <w:rsid w:val="00A2412E"/>
    <w:rsid w:val="00A26B3E"/>
    <w:rsid w:val="00A31265"/>
    <w:rsid w:val="00A31EF8"/>
    <w:rsid w:val="00A31FD6"/>
    <w:rsid w:val="00A323D1"/>
    <w:rsid w:val="00A32CDC"/>
    <w:rsid w:val="00A339D7"/>
    <w:rsid w:val="00A34297"/>
    <w:rsid w:val="00A34331"/>
    <w:rsid w:val="00A350FE"/>
    <w:rsid w:val="00A35955"/>
    <w:rsid w:val="00A35ED6"/>
    <w:rsid w:val="00A36DF1"/>
    <w:rsid w:val="00A40C92"/>
    <w:rsid w:val="00A411BA"/>
    <w:rsid w:val="00A42228"/>
    <w:rsid w:val="00A42933"/>
    <w:rsid w:val="00A42AEE"/>
    <w:rsid w:val="00A4363D"/>
    <w:rsid w:val="00A43B4C"/>
    <w:rsid w:val="00A44AA0"/>
    <w:rsid w:val="00A463A0"/>
    <w:rsid w:val="00A46D36"/>
    <w:rsid w:val="00A501AD"/>
    <w:rsid w:val="00A50AA8"/>
    <w:rsid w:val="00A51D23"/>
    <w:rsid w:val="00A523F1"/>
    <w:rsid w:val="00A53BC4"/>
    <w:rsid w:val="00A53C1A"/>
    <w:rsid w:val="00A54E92"/>
    <w:rsid w:val="00A57D07"/>
    <w:rsid w:val="00A60259"/>
    <w:rsid w:val="00A60CBA"/>
    <w:rsid w:val="00A60D10"/>
    <w:rsid w:val="00A61331"/>
    <w:rsid w:val="00A61E27"/>
    <w:rsid w:val="00A62AFD"/>
    <w:rsid w:val="00A63B95"/>
    <w:rsid w:val="00A63F53"/>
    <w:rsid w:val="00A651A5"/>
    <w:rsid w:val="00A661A0"/>
    <w:rsid w:val="00A670A4"/>
    <w:rsid w:val="00A67ABF"/>
    <w:rsid w:val="00A71899"/>
    <w:rsid w:val="00A71CCB"/>
    <w:rsid w:val="00A73727"/>
    <w:rsid w:val="00A73D72"/>
    <w:rsid w:val="00A73DB3"/>
    <w:rsid w:val="00A73EBA"/>
    <w:rsid w:val="00A74FF3"/>
    <w:rsid w:val="00A7538A"/>
    <w:rsid w:val="00A759B5"/>
    <w:rsid w:val="00A75A02"/>
    <w:rsid w:val="00A75CCD"/>
    <w:rsid w:val="00A76504"/>
    <w:rsid w:val="00A80833"/>
    <w:rsid w:val="00A80E10"/>
    <w:rsid w:val="00A8130E"/>
    <w:rsid w:val="00A81824"/>
    <w:rsid w:val="00A81B53"/>
    <w:rsid w:val="00A83F44"/>
    <w:rsid w:val="00A85D3B"/>
    <w:rsid w:val="00A86081"/>
    <w:rsid w:val="00A869C3"/>
    <w:rsid w:val="00A90814"/>
    <w:rsid w:val="00A915D5"/>
    <w:rsid w:val="00A91E1D"/>
    <w:rsid w:val="00A945FE"/>
    <w:rsid w:val="00A96232"/>
    <w:rsid w:val="00A9781F"/>
    <w:rsid w:val="00AA260B"/>
    <w:rsid w:val="00AA3DA6"/>
    <w:rsid w:val="00AA45F6"/>
    <w:rsid w:val="00AA7CAE"/>
    <w:rsid w:val="00AB0627"/>
    <w:rsid w:val="00AB0A55"/>
    <w:rsid w:val="00AB11FB"/>
    <w:rsid w:val="00AB20CE"/>
    <w:rsid w:val="00AB21D1"/>
    <w:rsid w:val="00AB2542"/>
    <w:rsid w:val="00AB394D"/>
    <w:rsid w:val="00AB516E"/>
    <w:rsid w:val="00AC04D0"/>
    <w:rsid w:val="00AC0D11"/>
    <w:rsid w:val="00AC2350"/>
    <w:rsid w:val="00AC2DA2"/>
    <w:rsid w:val="00AC45E9"/>
    <w:rsid w:val="00AC48B5"/>
    <w:rsid w:val="00AC5085"/>
    <w:rsid w:val="00AC5D2C"/>
    <w:rsid w:val="00AC7E99"/>
    <w:rsid w:val="00AC7F5C"/>
    <w:rsid w:val="00AD1388"/>
    <w:rsid w:val="00AD167D"/>
    <w:rsid w:val="00AD1725"/>
    <w:rsid w:val="00AD3569"/>
    <w:rsid w:val="00AD3A0F"/>
    <w:rsid w:val="00AD54EC"/>
    <w:rsid w:val="00AD562F"/>
    <w:rsid w:val="00AD612D"/>
    <w:rsid w:val="00AD7A85"/>
    <w:rsid w:val="00AE0C1B"/>
    <w:rsid w:val="00AE181B"/>
    <w:rsid w:val="00AE35FB"/>
    <w:rsid w:val="00AE38C9"/>
    <w:rsid w:val="00AE5415"/>
    <w:rsid w:val="00AE5928"/>
    <w:rsid w:val="00AE6B50"/>
    <w:rsid w:val="00AF2D94"/>
    <w:rsid w:val="00AF350A"/>
    <w:rsid w:val="00AF3E54"/>
    <w:rsid w:val="00B00125"/>
    <w:rsid w:val="00B01524"/>
    <w:rsid w:val="00B04166"/>
    <w:rsid w:val="00B04FEB"/>
    <w:rsid w:val="00B0501C"/>
    <w:rsid w:val="00B05620"/>
    <w:rsid w:val="00B06BF6"/>
    <w:rsid w:val="00B100B9"/>
    <w:rsid w:val="00B10117"/>
    <w:rsid w:val="00B10D34"/>
    <w:rsid w:val="00B10E79"/>
    <w:rsid w:val="00B12914"/>
    <w:rsid w:val="00B12B71"/>
    <w:rsid w:val="00B164FA"/>
    <w:rsid w:val="00B17A91"/>
    <w:rsid w:val="00B20309"/>
    <w:rsid w:val="00B20B8E"/>
    <w:rsid w:val="00B21859"/>
    <w:rsid w:val="00B21877"/>
    <w:rsid w:val="00B2390D"/>
    <w:rsid w:val="00B23D38"/>
    <w:rsid w:val="00B24DEC"/>
    <w:rsid w:val="00B25457"/>
    <w:rsid w:val="00B26F29"/>
    <w:rsid w:val="00B30767"/>
    <w:rsid w:val="00B31D4B"/>
    <w:rsid w:val="00B3333E"/>
    <w:rsid w:val="00B34236"/>
    <w:rsid w:val="00B34A2F"/>
    <w:rsid w:val="00B35102"/>
    <w:rsid w:val="00B35EED"/>
    <w:rsid w:val="00B36984"/>
    <w:rsid w:val="00B4033D"/>
    <w:rsid w:val="00B40792"/>
    <w:rsid w:val="00B412C7"/>
    <w:rsid w:val="00B4204C"/>
    <w:rsid w:val="00B4440D"/>
    <w:rsid w:val="00B45835"/>
    <w:rsid w:val="00B4593D"/>
    <w:rsid w:val="00B46488"/>
    <w:rsid w:val="00B46895"/>
    <w:rsid w:val="00B46EDD"/>
    <w:rsid w:val="00B477D2"/>
    <w:rsid w:val="00B47FFE"/>
    <w:rsid w:val="00B506F2"/>
    <w:rsid w:val="00B50F48"/>
    <w:rsid w:val="00B51BE2"/>
    <w:rsid w:val="00B51E8D"/>
    <w:rsid w:val="00B523C4"/>
    <w:rsid w:val="00B54207"/>
    <w:rsid w:val="00B551D0"/>
    <w:rsid w:val="00B559DB"/>
    <w:rsid w:val="00B57FD9"/>
    <w:rsid w:val="00B613E9"/>
    <w:rsid w:val="00B62A09"/>
    <w:rsid w:val="00B62ABD"/>
    <w:rsid w:val="00B67877"/>
    <w:rsid w:val="00B70A8E"/>
    <w:rsid w:val="00B70EE5"/>
    <w:rsid w:val="00B71AD8"/>
    <w:rsid w:val="00B71CFA"/>
    <w:rsid w:val="00B7290F"/>
    <w:rsid w:val="00B72CA1"/>
    <w:rsid w:val="00B73357"/>
    <w:rsid w:val="00B73698"/>
    <w:rsid w:val="00B73FE5"/>
    <w:rsid w:val="00B77CCC"/>
    <w:rsid w:val="00B80638"/>
    <w:rsid w:val="00B81542"/>
    <w:rsid w:val="00B8235E"/>
    <w:rsid w:val="00B84437"/>
    <w:rsid w:val="00B853A5"/>
    <w:rsid w:val="00B8584C"/>
    <w:rsid w:val="00B862A0"/>
    <w:rsid w:val="00B8634D"/>
    <w:rsid w:val="00B90021"/>
    <w:rsid w:val="00B91532"/>
    <w:rsid w:val="00B9169C"/>
    <w:rsid w:val="00B92BFE"/>
    <w:rsid w:val="00B93189"/>
    <w:rsid w:val="00B93C3C"/>
    <w:rsid w:val="00B93CED"/>
    <w:rsid w:val="00B945C6"/>
    <w:rsid w:val="00B9471A"/>
    <w:rsid w:val="00B9681B"/>
    <w:rsid w:val="00B96AE5"/>
    <w:rsid w:val="00B96C1C"/>
    <w:rsid w:val="00B97647"/>
    <w:rsid w:val="00BA129A"/>
    <w:rsid w:val="00BA21E9"/>
    <w:rsid w:val="00BA4313"/>
    <w:rsid w:val="00BA4342"/>
    <w:rsid w:val="00BA483E"/>
    <w:rsid w:val="00BA4E8F"/>
    <w:rsid w:val="00BA54C9"/>
    <w:rsid w:val="00BA7C61"/>
    <w:rsid w:val="00BA7FA8"/>
    <w:rsid w:val="00BB223B"/>
    <w:rsid w:val="00BB3D9F"/>
    <w:rsid w:val="00BB556B"/>
    <w:rsid w:val="00BB5724"/>
    <w:rsid w:val="00BC03E8"/>
    <w:rsid w:val="00BC2903"/>
    <w:rsid w:val="00BC6545"/>
    <w:rsid w:val="00BC6E3D"/>
    <w:rsid w:val="00BD21D3"/>
    <w:rsid w:val="00BD43A7"/>
    <w:rsid w:val="00BD4456"/>
    <w:rsid w:val="00BD4A11"/>
    <w:rsid w:val="00BD509F"/>
    <w:rsid w:val="00BD6BC2"/>
    <w:rsid w:val="00BD6D48"/>
    <w:rsid w:val="00BE189E"/>
    <w:rsid w:val="00BE1D19"/>
    <w:rsid w:val="00BE3B57"/>
    <w:rsid w:val="00BE3B70"/>
    <w:rsid w:val="00BE5713"/>
    <w:rsid w:val="00BE592F"/>
    <w:rsid w:val="00BE60F1"/>
    <w:rsid w:val="00BE63EE"/>
    <w:rsid w:val="00BE6B3E"/>
    <w:rsid w:val="00BE7A7D"/>
    <w:rsid w:val="00BF0415"/>
    <w:rsid w:val="00BF1844"/>
    <w:rsid w:val="00BF2374"/>
    <w:rsid w:val="00BF2453"/>
    <w:rsid w:val="00BF2D5F"/>
    <w:rsid w:val="00BF35D3"/>
    <w:rsid w:val="00BF54F6"/>
    <w:rsid w:val="00BF56AE"/>
    <w:rsid w:val="00BF5E86"/>
    <w:rsid w:val="00BF68E4"/>
    <w:rsid w:val="00BF7FEC"/>
    <w:rsid w:val="00C01B73"/>
    <w:rsid w:val="00C01BC2"/>
    <w:rsid w:val="00C01D50"/>
    <w:rsid w:val="00C04938"/>
    <w:rsid w:val="00C05F3D"/>
    <w:rsid w:val="00C06BDD"/>
    <w:rsid w:val="00C113AF"/>
    <w:rsid w:val="00C12D14"/>
    <w:rsid w:val="00C12EE2"/>
    <w:rsid w:val="00C163D9"/>
    <w:rsid w:val="00C1695F"/>
    <w:rsid w:val="00C16CB6"/>
    <w:rsid w:val="00C17EA6"/>
    <w:rsid w:val="00C21674"/>
    <w:rsid w:val="00C221FC"/>
    <w:rsid w:val="00C2300B"/>
    <w:rsid w:val="00C23410"/>
    <w:rsid w:val="00C245E2"/>
    <w:rsid w:val="00C24C3E"/>
    <w:rsid w:val="00C26147"/>
    <w:rsid w:val="00C269EE"/>
    <w:rsid w:val="00C30289"/>
    <w:rsid w:val="00C30AB4"/>
    <w:rsid w:val="00C31432"/>
    <w:rsid w:val="00C32549"/>
    <w:rsid w:val="00C3697C"/>
    <w:rsid w:val="00C41405"/>
    <w:rsid w:val="00C41787"/>
    <w:rsid w:val="00C417B0"/>
    <w:rsid w:val="00C42C34"/>
    <w:rsid w:val="00C430E2"/>
    <w:rsid w:val="00C467F9"/>
    <w:rsid w:val="00C47DFE"/>
    <w:rsid w:val="00C500E4"/>
    <w:rsid w:val="00C51672"/>
    <w:rsid w:val="00C52F25"/>
    <w:rsid w:val="00C5333E"/>
    <w:rsid w:val="00C56586"/>
    <w:rsid w:val="00C575DA"/>
    <w:rsid w:val="00C608B4"/>
    <w:rsid w:val="00C61085"/>
    <w:rsid w:val="00C63B72"/>
    <w:rsid w:val="00C646B5"/>
    <w:rsid w:val="00C6541A"/>
    <w:rsid w:val="00C66098"/>
    <w:rsid w:val="00C707F2"/>
    <w:rsid w:val="00C712DC"/>
    <w:rsid w:val="00C73630"/>
    <w:rsid w:val="00C73855"/>
    <w:rsid w:val="00C74F46"/>
    <w:rsid w:val="00C75905"/>
    <w:rsid w:val="00C7798C"/>
    <w:rsid w:val="00C77FED"/>
    <w:rsid w:val="00C8024F"/>
    <w:rsid w:val="00C8406F"/>
    <w:rsid w:val="00C85E5B"/>
    <w:rsid w:val="00C873A5"/>
    <w:rsid w:val="00C925A4"/>
    <w:rsid w:val="00C9343A"/>
    <w:rsid w:val="00C938CB"/>
    <w:rsid w:val="00C94AC1"/>
    <w:rsid w:val="00C964B9"/>
    <w:rsid w:val="00C96F55"/>
    <w:rsid w:val="00C97110"/>
    <w:rsid w:val="00CA011F"/>
    <w:rsid w:val="00CA0F20"/>
    <w:rsid w:val="00CA1786"/>
    <w:rsid w:val="00CA1B92"/>
    <w:rsid w:val="00CA2C64"/>
    <w:rsid w:val="00CA3320"/>
    <w:rsid w:val="00CA55A4"/>
    <w:rsid w:val="00CA6963"/>
    <w:rsid w:val="00CA7411"/>
    <w:rsid w:val="00CA754E"/>
    <w:rsid w:val="00CB1361"/>
    <w:rsid w:val="00CB2481"/>
    <w:rsid w:val="00CB3254"/>
    <w:rsid w:val="00CB4787"/>
    <w:rsid w:val="00CB6111"/>
    <w:rsid w:val="00CB698C"/>
    <w:rsid w:val="00CC36A5"/>
    <w:rsid w:val="00CC4429"/>
    <w:rsid w:val="00CC4D2C"/>
    <w:rsid w:val="00CC52A5"/>
    <w:rsid w:val="00CD0D92"/>
    <w:rsid w:val="00CD2E27"/>
    <w:rsid w:val="00CD41FB"/>
    <w:rsid w:val="00CD444D"/>
    <w:rsid w:val="00CD5E75"/>
    <w:rsid w:val="00CD7184"/>
    <w:rsid w:val="00CE10CA"/>
    <w:rsid w:val="00CE15D8"/>
    <w:rsid w:val="00CE4031"/>
    <w:rsid w:val="00CE4D4F"/>
    <w:rsid w:val="00CE4ED2"/>
    <w:rsid w:val="00CE5997"/>
    <w:rsid w:val="00CE6A5A"/>
    <w:rsid w:val="00CF06CA"/>
    <w:rsid w:val="00CF0815"/>
    <w:rsid w:val="00CF1779"/>
    <w:rsid w:val="00CF26DF"/>
    <w:rsid w:val="00CF5612"/>
    <w:rsid w:val="00CF60D7"/>
    <w:rsid w:val="00CF7B29"/>
    <w:rsid w:val="00D02AF1"/>
    <w:rsid w:val="00D032B6"/>
    <w:rsid w:val="00D03A11"/>
    <w:rsid w:val="00D04C75"/>
    <w:rsid w:val="00D05745"/>
    <w:rsid w:val="00D05E17"/>
    <w:rsid w:val="00D077D7"/>
    <w:rsid w:val="00D105AA"/>
    <w:rsid w:val="00D127EF"/>
    <w:rsid w:val="00D12A29"/>
    <w:rsid w:val="00D12A77"/>
    <w:rsid w:val="00D1310D"/>
    <w:rsid w:val="00D15C54"/>
    <w:rsid w:val="00D16C8E"/>
    <w:rsid w:val="00D20361"/>
    <w:rsid w:val="00D20E66"/>
    <w:rsid w:val="00D21085"/>
    <w:rsid w:val="00D22708"/>
    <w:rsid w:val="00D23683"/>
    <w:rsid w:val="00D2600E"/>
    <w:rsid w:val="00D266C6"/>
    <w:rsid w:val="00D270B9"/>
    <w:rsid w:val="00D308EB"/>
    <w:rsid w:val="00D31821"/>
    <w:rsid w:val="00D32813"/>
    <w:rsid w:val="00D3668D"/>
    <w:rsid w:val="00D37BB8"/>
    <w:rsid w:val="00D40FFD"/>
    <w:rsid w:val="00D42DAA"/>
    <w:rsid w:val="00D43CED"/>
    <w:rsid w:val="00D43E5E"/>
    <w:rsid w:val="00D4489C"/>
    <w:rsid w:val="00D44B63"/>
    <w:rsid w:val="00D4674D"/>
    <w:rsid w:val="00D515AF"/>
    <w:rsid w:val="00D51E90"/>
    <w:rsid w:val="00D5414A"/>
    <w:rsid w:val="00D5477A"/>
    <w:rsid w:val="00D57015"/>
    <w:rsid w:val="00D573FD"/>
    <w:rsid w:val="00D57908"/>
    <w:rsid w:val="00D636F5"/>
    <w:rsid w:val="00D63F92"/>
    <w:rsid w:val="00D64F92"/>
    <w:rsid w:val="00D659B5"/>
    <w:rsid w:val="00D67129"/>
    <w:rsid w:val="00D6753B"/>
    <w:rsid w:val="00D710B0"/>
    <w:rsid w:val="00D716B4"/>
    <w:rsid w:val="00D72704"/>
    <w:rsid w:val="00D7327A"/>
    <w:rsid w:val="00D749A0"/>
    <w:rsid w:val="00D75E9B"/>
    <w:rsid w:val="00D8091D"/>
    <w:rsid w:val="00D80E1E"/>
    <w:rsid w:val="00D8177E"/>
    <w:rsid w:val="00D81D78"/>
    <w:rsid w:val="00D8267A"/>
    <w:rsid w:val="00D83E9F"/>
    <w:rsid w:val="00D86E39"/>
    <w:rsid w:val="00D90BD4"/>
    <w:rsid w:val="00D91A9C"/>
    <w:rsid w:val="00D91C39"/>
    <w:rsid w:val="00D94C88"/>
    <w:rsid w:val="00D97E47"/>
    <w:rsid w:val="00DA1DDD"/>
    <w:rsid w:val="00DA21A8"/>
    <w:rsid w:val="00DA29B9"/>
    <w:rsid w:val="00DA372E"/>
    <w:rsid w:val="00DA4D1C"/>
    <w:rsid w:val="00DA6B1C"/>
    <w:rsid w:val="00DB10A5"/>
    <w:rsid w:val="00DB1A26"/>
    <w:rsid w:val="00DB335C"/>
    <w:rsid w:val="00DB41F3"/>
    <w:rsid w:val="00DB4F7B"/>
    <w:rsid w:val="00DB5373"/>
    <w:rsid w:val="00DB56FE"/>
    <w:rsid w:val="00DB72A1"/>
    <w:rsid w:val="00DC0621"/>
    <w:rsid w:val="00DC12A8"/>
    <w:rsid w:val="00DC1547"/>
    <w:rsid w:val="00DC17C5"/>
    <w:rsid w:val="00DC1AA9"/>
    <w:rsid w:val="00DC2236"/>
    <w:rsid w:val="00DC2AE5"/>
    <w:rsid w:val="00DC3333"/>
    <w:rsid w:val="00DC3A0B"/>
    <w:rsid w:val="00DC49C2"/>
    <w:rsid w:val="00DC67EF"/>
    <w:rsid w:val="00DC7AD3"/>
    <w:rsid w:val="00DC7B3F"/>
    <w:rsid w:val="00DD1B13"/>
    <w:rsid w:val="00DD1DC8"/>
    <w:rsid w:val="00DD237A"/>
    <w:rsid w:val="00DE13CF"/>
    <w:rsid w:val="00DE1998"/>
    <w:rsid w:val="00DE1D7B"/>
    <w:rsid w:val="00DE1F2C"/>
    <w:rsid w:val="00DE2488"/>
    <w:rsid w:val="00DE2522"/>
    <w:rsid w:val="00DE2DE2"/>
    <w:rsid w:val="00DE39C0"/>
    <w:rsid w:val="00DE545D"/>
    <w:rsid w:val="00DE61EB"/>
    <w:rsid w:val="00DE6CF7"/>
    <w:rsid w:val="00DE7814"/>
    <w:rsid w:val="00DE79D6"/>
    <w:rsid w:val="00DF0BA4"/>
    <w:rsid w:val="00DF1FA9"/>
    <w:rsid w:val="00DF1FF4"/>
    <w:rsid w:val="00DF42C5"/>
    <w:rsid w:val="00DF6E76"/>
    <w:rsid w:val="00E000E4"/>
    <w:rsid w:val="00E02CC5"/>
    <w:rsid w:val="00E03375"/>
    <w:rsid w:val="00E03D40"/>
    <w:rsid w:val="00E03ECD"/>
    <w:rsid w:val="00E0519B"/>
    <w:rsid w:val="00E066F9"/>
    <w:rsid w:val="00E06DB6"/>
    <w:rsid w:val="00E07D68"/>
    <w:rsid w:val="00E1259B"/>
    <w:rsid w:val="00E12A5A"/>
    <w:rsid w:val="00E15399"/>
    <w:rsid w:val="00E157A0"/>
    <w:rsid w:val="00E20608"/>
    <w:rsid w:val="00E20C73"/>
    <w:rsid w:val="00E232FA"/>
    <w:rsid w:val="00E236AD"/>
    <w:rsid w:val="00E2430E"/>
    <w:rsid w:val="00E24B64"/>
    <w:rsid w:val="00E318D6"/>
    <w:rsid w:val="00E322D0"/>
    <w:rsid w:val="00E33DE4"/>
    <w:rsid w:val="00E34F59"/>
    <w:rsid w:val="00E35C42"/>
    <w:rsid w:val="00E420C1"/>
    <w:rsid w:val="00E423A2"/>
    <w:rsid w:val="00E44982"/>
    <w:rsid w:val="00E46ADF"/>
    <w:rsid w:val="00E46E2C"/>
    <w:rsid w:val="00E47803"/>
    <w:rsid w:val="00E519F7"/>
    <w:rsid w:val="00E51EAC"/>
    <w:rsid w:val="00E51EEE"/>
    <w:rsid w:val="00E527B6"/>
    <w:rsid w:val="00E532F7"/>
    <w:rsid w:val="00E53B5C"/>
    <w:rsid w:val="00E55B0E"/>
    <w:rsid w:val="00E56143"/>
    <w:rsid w:val="00E569A9"/>
    <w:rsid w:val="00E57717"/>
    <w:rsid w:val="00E60854"/>
    <w:rsid w:val="00E6109C"/>
    <w:rsid w:val="00E61EA9"/>
    <w:rsid w:val="00E63061"/>
    <w:rsid w:val="00E65C09"/>
    <w:rsid w:val="00E67EF3"/>
    <w:rsid w:val="00E67F6C"/>
    <w:rsid w:val="00E72389"/>
    <w:rsid w:val="00E736A9"/>
    <w:rsid w:val="00E7542B"/>
    <w:rsid w:val="00E76311"/>
    <w:rsid w:val="00E763E3"/>
    <w:rsid w:val="00E80CE6"/>
    <w:rsid w:val="00E81D55"/>
    <w:rsid w:val="00E833A7"/>
    <w:rsid w:val="00E85DD3"/>
    <w:rsid w:val="00E86579"/>
    <w:rsid w:val="00E86B78"/>
    <w:rsid w:val="00E86D7F"/>
    <w:rsid w:val="00E904A6"/>
    <w:rsid w:val="00E904B4"/>
    <w:rsid w:val="00E934C0"/>
    <w:rsid w:val="00E94C6B"/>
    <w:rsid w:val="00E94D33"/>
    <w:rsid w:val="00E94DD8"/>
    <w:rsid w:val="00E96E36"/>
    <w:rsid w:val="00EA09ED"/>
    <w:rsid w:val="00EA233A"/>
    <w:rsid w:val="00EA26FE"/>
    <w:rsid w:val="00EA5FB8"/>
    <w:rsid w:val="00EA6938"/>
    <w:rsid w:val="00EA6A53"/>
    <w:rsid w:val="00EB1AC7"/>
    <w:rsid w:val="00EB1F95"/>
    <w:rsid w:val="00EB34F3"/>
    <w:rsid w:val="00EB56F9"/>
    <w:rsid w:val="00EB68F2"/>
    <w:rsid w:val="00EB6B4E"/>
    <w:rsid w:val="00EB6D99"/>
    <w:rsid w:val="00EC035B"/>
    <w:rsid w:val="00EC1AEF"/>
    <w:rsid w:val="00EC240D"/>
    <w:rsid w:val="00EC492F"/>
    <w:rsid w:val="00EC4D38"/>
    <w:rsid w:val="00EC5987"/>
    <w:rsid w:val="00EC6E32"/>
    <w:rsid w:val="00EC7526"/>
    <w:rsid w:val="00ED0CFF"/>
    <w:rsid w:val="00ED1893"/>
    <w:rsid w:val="00ED28A1"/>
    <w:rsid w:val="00ED2F53"/>
    <w:rsid w:val="00ED4F21"/>
    <w:rsid w:val="00ED4F77"/>
    <w:rsid w:val="00ED60F0"/>
    <w:rsid w:val="00ED78DB"/>
    <w:rsid w:val="00ED7B94"/>
    <w:rsid w:val="00EE248B"/>
    <w:rsid w:val="00EE3293"/>
    <w:rsid w:val="00EE35FE"/>
    <w:rsid w:val="00EE4B7A"/>
    <w:rsid w:val="00EE6195"/>
    <w:rsid w:val="00EE696B"/>
    <w:rsid w:val="00EE758F"/>
    <w:rsid w:val="00EE7919"/>
    <w:rsid w:val="00EE7D9F"/>
    <w:rsid w:val="00EE7DB2"/>
    <w:rsid w:val="00EF354D"/>
    <w:rsid w:val="00EF58C7"/>
    <w:rsid w:val="00EF5A75"/>
    <w:rsid w:val="00EF5D94"/>
    <w:rsid w:val="00F00A52"/>
    <w:rsid w:val="00F02640"/>
    <w:rsid w:val="00F0373C"/>
    <w:rsid w:val="00F03DA3"/>
    <w:rsid w:val="00F0480F"/>
    <w:rsid w:val="00F07DB3"/>
    <w:rsid w:val="00F12143"/>
    <w:rsid w:val="00F12D67"/>
    <w:rsid w:val="00F14373"/>
    <w:rsid w:val="00F149A4"/>
    <w:rsid w:val="00F15778"/>
    <w:rsid w:val="00F16A10"/>
    <w:rsid w:val="00F16CF8"/>
    <w:rsid w:val="00F17C4C"/>
    <w:rsid w:val="00F2215F"/>
    <w:rsid w:val="00F226EF"/>
    <w:rsid w:val="00F2395B"/>
    <w:rsid w:val="00F2528F"/>
    <w:rsid w:val="00F25827"/>
    <w:rsid w:val="00F26065"/>
    <w:rsid w:val="00F27E25"/>
    <w:rsid w:val="00F310E3"/>
    <w:rsid w:val="00F32FB8"/>
    <w:rsid w:val="00F3768E"/>
    <w:rsid w:val="00F40B19"/>
    <w:rsid w:val="00F431E5"/>
    <w:rsid w:val="00F464E6"/>
    <w:rsid w:val="00F471F5"/>
    <w:rsid w:val="00F47970"/>
    <w:rsid w:val="00F5029F"/>
    <w:rsid w:val="00F50D10"/>
    <w:rsid w:val="00F54C2B"/>
    <w:rsid w:val="00F55421"/>
    <w:rsid w:val="00F55A89"/>
    <w:rsid w:val="00F55C01"/>
    <w:rsid w:val="00F56C87"/>
    <w:rsid w:val="00F57A82"/>
    <w:rsid w:val="00F61C5D"/>
    <w:rsid w:val="00F634B4"/>
    <w:rsid w:val="00F64ADC"/>
    <w:rsid w:val="00F64CB3"/>
    <w:rsid w:val="00F64F5C"/>
    <w:rsid w:val="00F65CBB"/>
    <w:rsid w:val="00F65D6A"/>
    <w:rsid w:val="00F67CD6"/>
    <w:rsid w:val="00F67E67"/>
    <w:rsid w:val="00F713A7"/>
    <w:rsid w:val="00F727CC"/>
    <w:rsid w:val="00F737C5"/>
    <w:rsid w:val="00F76069"/>
    <w:rsid w:val="00F7623E"/>
    <w:rsid w:val="00F7739A"/>
    <w:rsid w:val="00F81FBE"/>
    <w:rsid w:val="00F82BF5"/>
    <w:rsid w:val="00F832ED"/>
    <w:rsid w:val="00F83F9B"/>
    <w:rsid w:val="00F84AB8"/>
    <w:rsid w:val="00F84B22"/>
    <w:rsid w:val="00F856A6"/>
    <w:rsid w:val="00F85E58"/>
    <w:rsid w:val="00F86ABE"/>
    <w:rsid w:val="00F87109"/>
    <w:rsid w:val="00F907A7"/>
    <w:rsid w:val="00F909BB"/>
    <w:rsid w:val="00F91E45"/>
    <w:rsid w:val="00F93A06"/>
    <w:rsid w:val="00F944CD"/>
    <w:rsid w:val="00F95804"/>
    <w:rsid w:val="00F9771C"/>
    <w:rsid w:val="00F979BF"/>
    <w:rsid w:val="00FA22D1"/>
    <w:rsid w:val="00FA2356"/>
    <w:rsid w:val="00FA2435"/>
    <w:rsid w:val="00FA24BE"/>
    <w:rsid w:val="00FA36DA"/>
    <w:rsid w:val="00FA4174"/>
    <w:rsid w:val="00FA4555"/>
    <w:rsid w:val="00FA595D"/>
    <w:rsid w:val="00FA5C3C"/>
    <w:rsid w:val="00FA675D"/>
    <w:rsid w:val="00FB13DE"/>
    <w:rsid w:val="00FB141C"/>
    <w:rsid w:val="00FB1CD8"/>
    <w:rsid w:val="00FB20EB"/>
    <w:rsid w:val="00FB286C"/>
    <w:rsid w:val="00FB2870"/>
    <w:rsid w:val="00FB2E95"/>
    <w:rsid w:val="00FB4852"/>
    <w:rsid w:val="00FB4BB5"/>
    <w:rsid w:val="00FB4D0D"/>
    <w:rsid w:val="00FB4D47"/>
    <w:rsid w:val="00FB4E10"/>
    <w:rsid w:val="00FB4F79"/>
    <w:rsid w:val="00FB6903"/>
    <w:rsid w:val="00FB7E7B"/>
    <w:rsid w:val="00FC06C7"/>
    <w:rsid w:val="00FC1634"/>
    <w:rsid w:val="00FC1A10"/>
    <w:rsid w:val="00FC2582"/>
    <w:rsid w:val="00FC2626"/>
    <w:rsid w:val="00FC269F"/>
    <w:rsid w:val="00FC3673"/>
    <w:rsid w:val="00FC395E"/>
    <w:rsid w:val="00FC53D8"/>
    <w:rsid w:val="00FD1BAD"/>
    <w:rsid w:val="00FD2D5A"/>
    <w:rsid w:val="00FD38DC"/>
    <w:rsid w:val="00FD49CE"/>
    <w:rsid w:val="00FD55CA"/>
    <w:rsid w:val="00FD74FD"/>
    <w:rsid w:val="00FE00C9"/>
    <w:rsid w:val="00FE0C55"/>
    <w:rsid w:val="00FE22A0"/>
    <w:rsid w:val="00FE5B0E"/>
    <w:rsid w:val="00FE6CA1"/>
    <w:rsid w:val="00FE7360"/>
    <w:rsid w:val="00FE7501"/>
    <w:rsid w:val="00FF244E"/>
    <w:rsid w:val="00FF3B77"/>
    <w:rsid w:val="00FF45FC"/>
    <w:rsid w:val="00FF62E0"/>
    <w:rsid w:val="00FF655D"/>
    <w:rsid w:val="00FF670B"/>
    <w:rsid w:val="00FF6FE9"/>
    <w:rsid w:val="00FF76FC"/>
    <w:rsid w:val="01520AA4"/>
    <w:rsid w:val="01554218"/>
    <w:rsid w:val="01671011"/>
    <w:rsid w:val="017734C4"/>
    <w:rsid w:val="017C5DA5"/>
    <w:rsid w:val="019A5532"/>
    <w:rsid w:val="01CE7D24"/>
    <w:rsid w:val="01E21263"/>
    <w:rsid w:val="01E82BE5"/>
    <w:rsid w:val="01EB5EF8"/>
    <w:rsid w:val="01F351B6"/>
    <w:rsid w:val="01F62035"/>
    <w:rsid w:val="020519FE"/>
    <w:rsid w:val="020E4590"/>
    <w:rsid w:val="02331ABF"/>
    <w:rsid w:val="02427F8B"/>
    <w:rsid w:val="02566302"/>
    <w:rsid w:val="026D58A6"/>
    <w:rsid w:val="0299720E"/>
    <w:rsid w:val="02B94B41"/>
    <w:rsid w:val="02BD1279"/>
    <w:rsid w:val="02BE582C"/>
    <w:rsid w:val="02E234F5"/>
    <w:rsid w:val="02EB1E2B"/>
    <w:rsid w:val="02F70136"/>
    <w:rsid w:val="02FA30D3"/>
    <w:rsid w:val="03276993"/>
    <w:rsid w:val="034C108A"/>
    <w:rsid w:val="03575C81"/>
    <w:rsid w:val="0370786C"/>
    <w:rsid w:val="03A110C4"/>
    <w:rsid w:val="04027582"/>
    <w:rsid w:val="041F679F"/>
    <w:rsid w:val="0486387C"/>
    <w:rsid w:val="048C542A"/>
    <w:rsid w:val="04AC72EC"/>
    <w:rsid w:val="04B2357C"/>
    <w:rsid w:val="04BD5C7E"/>
    <w:rsid w:val="04CB15EC"/>
    <w:rsid w:val="04CD4A4D"/>
    <w:rsid w:val="04DF5F2E"/>
    <w:rsid w:val="05047743"/>
    <w:rsid w:val="05073B6D"/>
    <w:rsid w:val="050E6129"/>
    <w:rsid w:val="05190704"/>
    <w:rsid w:val="05270DB5"/>
    <w:rsid w:val="05617E08"/>
    <w:rsid w:val="0580226C"/>
    <w:rsid w:val="06020FA3"/>
    <w:rsid w:val="06085010"/>
    <w:rsid w:val="0620067D"/>
    <w:rsid w:val="0640019E"/>
    <w:rsid w:val="066A1BC7"/>
    <w:rsid w:val="06750C66"/>
    <w:rsid w:val="067B57E2"/>
    <w:rsid w:val="06B07AE4"/>
    <w:rsid w:val="06B55DAA"/>
    <w:rsid w:val="07116147"/>
    <w:rsid w:val="07145E42"/>
    <w:rsid w:val="072C6AB1"/>
    <w:rsid w:val="07576574"/>
    <w:rsid w:val="075E76FE"/>
    <w:rsid w:val="077A46CE"/>
    <w:rsid w:val="077D7634"/>
    <w:rsid w:val="07890035"/>
    <w:rsid w:val="079B25E0"/>
    <w:rsid w:val="07B122A2"/>
    <w:rsid w:val="07B60CA2"/>
    <w:rsid w:val="07FD5B4D"/>
    <w:rsid w:val="08495AAD"/>
    <w:rsid w:val="08524FDB"/>
    <w:rsid w:val="0855720F"/>
    <w:rsid w:val="088D5F5C"/>
    <w:rsid w:val="08954AAB"/>
    <w:rsid w:val="08B71729"/>
    <w:rsid w:val="09502639"/>
    <w:rsid w:val="09705641"/>
    <w:rsid w:val="0997077C"/>
    <w:rsid w:val="09A83160"/>
    <w:rsid w:val="09FF5649"/>
    <w:rsid w:val="0A260FC3"/>
    <w:rsid w:val="0A3E7575"/>
    <w:rsid w:val="0A4E254C"/>
    <w:rsid w:val="0A981059"/>
    <w:rsid w:val="0AC70EAF"/>
    <w:rsid w:val="0ACA4546"/>
    <w:rsid w:val="0ADD4CBE"/>
    <w:rsid w:val="0B117617"/>
    <w:rsid w:val="0B1627BD"/>
    <w:rsid w:val="0B290A93"/>
    <w:rsid w:val="0B4F303C"/>
    <w:rsid w:val="0B6A5CF4"/>
    <w:rsid w:val="0BA525D8"/>
    <w:rsid w:val="0BCE6119"/>
    <w:rsid w:val="0BD50CE3"/>
    <w:rsid w:val="0BD9761D"/>
    <w:rsid w:val="0BEE2901"/>
    <w:rsid w:val="0BF13BD3"/>
    <w:rsid w:val="0C1F3CBE"/>
    <w:rsid w:val="0C2F6006"/>
    <w:rsid w:val="0C5B37C6"/>
    <w:rsid w:val="0C625853"/>
    <w:rsid w:val="0C65154A"/>
    <w:rsid w:val="0C8352C9"/>
    <w:rsid w:val="0C88726E"/>
    <w:rsid w:val="0C98437D"/>
    <w:rsid w:val="0CC122F7"/>
    <w:rsid w:val="0CD12600"/>
    <w:rsid w:val="0CED4903"/>
    <w:rsid w:val="0D1C770D"/>
    <w:rsid w:val="0D39451C"/>
    <w:rsid w:val="0D5E5DCC"/>
    <w:rsid w:val="0E473521"/>
    <w:rsid w:val="0E49395C"/>
    <w:rsid w:val="0E4F6D2E"/>
    <w:rsid w:val="0E7864B7"/>
    <w:rsid w:val="0E975954"/>
    <w:rsid w:val="0EAF5A3F"/>
    <w:rsid w:val="0EE06B2A"/>
    <w:rsid w:val="0F332F32"/>
    <w:rsid w:val="0F465E03"/>
    <w:rsid w:val="0F5601F9"/>
    <w:rsid w:val="0F5951D3"/>
    <w:rsid w:val="0F681E22"/>
    <w:rsid w:val="0F9262E5"/>
    <w:rsid w:val="1025375C"/>
    <w:rsid w:val="10315608"/>
    <w:rsid w:val="1034711C"/>
    <w:rsid w:val="10390CED"/>
    <w:rsid w:val="10680058"/>
    <w:rsid w:val="108D7FEC"/>
    <w:rsid w:val="108F5946"/>
    <w:rsid w:val="10B70ADD"/>
    <w:rsid w:val="10EB0A61"/>
    <w:rsid w:val="10F96CD3"/>
    <w:rsid w:val="11230728"/>
    <w:rsid w:val="11357601"/>
    <w:rsid w:val="11426F1D"/>
    <w:rsid w:val="114B1748"/>
    <w:rsid w:val="114B3EE7"/>
    <w:rsid w:val="11597761"/>
    <w:rsid w:val="11714A01"/>
    <w:rsid w:val="117B7F5E"/>
    <w:rsid w:val="117E3EBF"/>
    <w:rsid w:val="11973FF7"/>
    <w:rsid w:val="11A32F04"/>
    <w:rsid w:val="11A47A44"/>
    <w:rsid w:val="11A63895"/>
    <w:rsid w:val="11AA0E33"/>
    <w:rsid w:val="11D465DE"/>
    <w:rsid w:val="12050D3E"/>
    <w:rsid w:val="12356713"/>
    <w:rsid w:val="124E6914"/>
    <w:rsid w:val="129231B2"/>
    <w:rsid w:val="12954D8A"/>
    <w:rsid w:val="129D4E9C"/>
    <w:rsid w:val="12E727D4"/>
    <w:rsid w:val="12F51579"/>
    <w:rsid w:val="12F703E7"/>
    <w:rsid w:val="13042B7A"/>
    <w:rsid w:val="13135EB3"/>
    <w:rsid w:val="13151B6D"/>
    <w:rsid w:val="1338631F"/>
    <w:rsid w:val="13810D77"/>
    <w:rsid w:val="138259D8"/>
    <w:rsid w:val="13A5241A"/>
    <w:rsid w:val="13A62BD2"/>
    <w:rsid w:val="13B124D5"/>
    <w:rsid w:val="13DB5B12"/>
    <w:rsid w:val="13E76604"/>
    <w:rsid w:val="13F14B1A"/>
    <w:rsid w:val="13F9694A"/>
    <w:rsid w:val="141877D6"/>
    <w:rsid w:val="14206501"/>
    <w:rsid w:val="142448E7"/>
    <w:rsid w:val="14333776"/>
    <w:rsid w:val="144F6715"/>
    <w:rsid w:val="14726477"/>
    <w:rsid w:val="14742001"/>
    <w:rsid w:val="147C6D6F"/>
    <w:rsid w:val="14A64372"/>
    <w:rsid w:val="14AA5797"/>
    <w:rsid w:val="14B71172"/>
    <w:rsid w:val="14D62ED9"/>
    <w:rsid w:val="14DB3F73"/>
    <w:rsid w:val="150A2B53"/>
    <w:rsid w:val="152F2D41"/>
    <w:rsid w:val="15667555"/>
    <w:rsid w:val="15C846B9"/>
    <w:rsid w:val="15D2488D"/>
    <w:rsid w:val="160C3929"/>
    <w:rsid w:val="16150220"/>
    <w:rsid w:val="161C105C"/>
    <w:rsid w:val="164342FA"/>
    <w:rsid w:val="16A22BEB"/>
    <w:rsid w:val="16B966B9"/>
    <w:rsid w:val="16C44F84"/>
    <w:rsid w:val="16CB645F"/>
    <w:rsid w:val="16D97C62"/>
    <w:rsid w:val="16E51ADE"/>
    <w:rsid w:val="170C75AF"/>
    <w:rsid w:val="171820A2"/>
    <w:rsid w:val="17241FD5"/>
    <w:rsid w:val="173264E4"/>
    <w:rsid w:val="173B3498"/>
    <w:rsid w:val="17571001"/>
    <w:rsid w:val="17D44EBC"/>
    <w:rsid w:val="17DD01BC"/>
    <w:rsid w:val="17EA592D"/>
    <w:rsid w:val="17F01824"/>
    <w:rsid w:val="17F1418E"/>
    <w:rsid w:val="181270D8"/>
    <w:rsid w:val="18323083"/>
    <w:rsid w:val="183A7AB3"/>
    <w:rsid w:val="184335AA"/>
    <w:rsid w:val="18463078"/>
    <w:rsid w:val="185C4B83"/>
    <w:rsid w:val="186E798F"/>
    <w:rsid w:val="189746FE"/>
    <w:rsid w:val="189B082A"/>
    <w:rsid w:val="18B45F0F"/>
    <w:rsid w:val="18C64FE3"/>
    <w:rsid w:val="18D048AD"/>
    <w:rsid w:val="18E86D07"/>
    <w:rsid w:val="190B3DE4"/>
    <w:rsid w:val="19436634"/>
    <w:rsid w:val="194543F2"/>
    <w:rsid w:val="19517CD5"/>
    <w:rsid w:val="195D66AC"/>
    <w:rsid w:val="19830615"/>
    <w:rsid w:val="19836A30"/>
    <w:rsid w:val="19924931"/>
    <w:rsid w:val="19D21766"/>
    <w:rsid w:val="19DD252D"/>
    <w:rsid w:val="1A3037C7"/>
    <w:rsid w:val="1A424778"/>
    <w:rsid w:val="1A6B34EF"/>
    <w:rsid w:val="1A750A6F"/>
    <w:rsid w:val="1A89457C"/>
    <w:rsid w:val="1AC07C53"/>
    <w:rsid w:val="1AD10C6D"/>
    <w:rsid w:val="1AD5060B"/>
    <w:rsid w:val="1ADD1051"/>
    <w:rsid w:val="1AE14356"/>
    <w:rsid w:val="1B170F6C"/>
    <w:rsid w:val="1B1D0509"/>
    <w:rsid w:val="1B1F0699"/>
    <w:rsid w:val="1B200CF6"/>
    <w:rsid w:val="1B2E05FE"/>
    <w:rsid w:val="1B34140D"/>
    <w:rsid w:val="1B3827EF"/>
    <w:rsid w:val="1B804CE5"/>
    <w:rsid w:val="1BAC44A2"/>
    <w:rsid w:val="1C0A3A87"/>
    <w:rsid w:val="1C2D520C"/>
    <w:rsid w:val="1C2D7855"/>
    <w:rsid w:val="1C321AD2"/>
    <w:rsid w:val="1C4200E7"/>
    <w:rsid w:val="1C684242"/>
    <w:rsid w:val="1CA3357F"/>
    <w:rsid w:val="1CA7647F"/>
    <w:rsid w:val="1CB1569A"/>
    <w:rsid w:val="1CB313F6"/>
    <w:rsid w:val="1CD30593"/>
    <w:rsid w:val="1D0D6BCC"/>
    <w:rsid w:val="1D173BCF"/>
    <w:rsid w:val="1D3A13B3"/>
    <w:rsid w:val="1D4B3D09"/>
    <w:rsid w:val="1D503F50"/>
    <w:rsid w:val="1DF21F19"/>
    <w:rsid w:val="1E066B9C"/>
    <w:rsid w:val="1E1A2EA7"/>
    <w:rsid w:val="1E1C5E73"/>
    <w:rsid w:val="1E3D5BFF"/>
    <w:rsid w:val="1E5A0DBD"/>
    <w:rsid w:val="1E5B585E"/>
    <w:rsid w:val="1E5F0290"/>
    <w:rsid w:val="1E7E1EBC"/>
    <w:rsid w:val="1E8563ED"/>
    <w:rsid w:val="1EA0459D"/>
    <w:rsid w:val="1EB217AF"/>
    <w:rsid w:val="1EB21D4C"/>
    <w:rsid w:val="1EBD0C36"/>
    <w:rsid w:val="1ED42809"/>
    <w:rsid w:val="1F055C18"/>
    <w:rsid w:val="1F15425C"/>
    <w:rsid w:val="1F230341"/>
    <w:rsid w:val="1F492E83"/>
    <w:rsid w:val="1F4B0B2C"/>
    <w:rsid w:val="1F5841B8"/>
    <w:rsid w:val="1F6A2CF4"/>
    <w:rsid w:val="1F820AF2"/>
    <w:rsid w:val="1FEA7809"/>
    <w:rsid w:val="1FFD6FC8"/>
    <w:rsid w:val="200B40F4"/>
    <w:rsid w:val="202279CC"/>
    <w:rsid w:val="202369B8"/>
    <w:rsid w:val="202C6073"/>
    <w:rsid w:val="203328A8"/>
    <w:rsid w:val="20441B19"/>
    <w:rsid w:val="20663493"/>
    <w:rsid w:val="207A5FE1"/>
    <w:rsid w:val="20A6481A"/>
    <w:rsid w:val="20A83220"/>
    <w:rsid w:val="20B87A68"/>
    <w:rsid w:val="20BF45FE"/>
    <w:rsid w:val="20C70459"/>
    <w:rsid w:val="20CF2DBC"/>
    <w:rsid w:val="20F667C7"/>
    <w:rsid w:val="2102069D"/>
    <w:rsid w:val="210B7974"/>
    <w:rsid w:val="21165FCF"/>
    <w:rsid w:val="215F78EC"/>
    <w:rsid w:val="21A34113"/>
    <w:rsid w:val="21A7183B"/>
    <w:rsid w:val="21E36C06"/>
    <w:rsid w:val="22160B82"/>
    <w:rsid w:val="22451310"/>
    <w:rsid w:val="22633CAD"/>
    <w:rsid w:val="2294462F"/>
    <w:rsid w:val="229F23A9"/>
    <w:rsid w:val="22BA1EBD"/>
    <w:rsid w:val="22D26F9A"/>
    <w:rsid w:val="22FF35CB"/>
    <w:rsid w:val="23056F63"/>
    <w:rsid w:val="230F44D7"/>
    <w:rsid w:val="23202817"/>
    <w:rsid w:val="232A75F4"/>
    <w:rsid w:val="23875C45"/>
    <w:rsid w:val="23A82CCC"/>
    <w:rsid w:val="23B12896"/>
    <w:rsid w:val="23F316BB"/>
    <w:rsid w:val="24040EF5"/>
    <w:rsid w:val="2443017E"/>
    <w:rsid w:val="245F0113"/>
    <w:rsid w:val="24963225"/>
    <w:rsid w:val="249938EA"/>
    <w:rsid w:val="24994A73"/>
    <w:rsid w:val="24AE3B11"/>
    <w:rsid w:val="24B410D9"/>
    <w:rsid w:val="24EC4414"/>
    <w:rsid w:val="25046605"/>
    <w:rsid w:val="251B66B7"/>
    <w:rsid w:val="25377C12"/>
    <w:rsid w:val="25844BC0"/>
    <w:rsid w:val="25900AA9"/>
    <w:rsid w:val="25A91F14"/>
    <w:rsid w:val="25AD040A"/>
    <w:rsid w:val="25B0273C"/>
    <w:rsid w:val="25B86354"/>
    <w:rsid w:val="25BB5E42"/>
    <w:rsid w:val="25CE3729"/>
    <w:rsid w:val="25D45C3E"/>
    <w:rsid w:val="25DB33D1"/>
    <w:rsid w:val="25DD61F7"/>
    <w:rsid w:val="25DF00BB"/>
    <w:rsid w:val="26151358"/>
    <w:rsid w:val="262D6075"/>
    <w:rsid w:val="26472EF4"/>
    <w:rsid w:val="2650009F"/>
    <w:rsid w:val="268E6E7A"/>
    <w:rsid w:val="273C3D48"/>
    <w:rsid w:val="27514612"/>
    <w:rsid w:val="276E7580"/>
    <w:rsid w:val="277070EA"/>
    <w:rsid w:val="277C2C50"/>
    <w:rsid w:val="27870033"/>
    <w:rsid w:val="27892B51"/>
    <w:rsid w:val="279E1806"/>
    <w:rsid w:val="279F27E3"/>
    <w:rsid w:val="27D108BA"/>
    <w:rsid w:val="27DB7774"/>
    <w:rsid w:val="27EA3F9C"/>
    <w:rsid w:val="28194F7B"/>
    <w:rsid w:val="281E11E4"/>
    <w:rsid w:val="2859377E"/>
    <w:rsid w:val="2879797C"/>
    <w:rsid w:val="288B1EB4"/>
    <w:rsid w:val="28B92147"/>
    <w:rsid w:val="28E219C5"/>
    <w:rsid w:val="294D23A3"/>
    <w:rsid w:val="295A3ADD"/>
    <w:rsid w:val="297E0A40"/>
    <w:rsid w:val="29802FB2"/>
    <w:rsid w:val="29D26BE3"/>
    <w:rsid w:val="29F3177B"/>
    <w:rsid w:val="29FD22B4"/>
    <w:rsid w:val="2A19597B"/>
    <w:rsid w:val="2A6C2D68"/>
    <w:rsid w:val="2A7439F6"/>
    <w:rsid w:val="2A80438D"/>
    <w:rsid w:val="2A8C55D6"/>
    <w:rsid w:val="2A922F77"/>
    <w:rsid w:val="2A943DAD"/>
    <w:rsid w:val="2AD6659D"/>
    <w:rsid w:val="2AEA69C9"/>
    <w:rsid w:val="2AFF1738"/>
    <w:rsid w:val="2B0025D7"/>
    <w:rsid w:val="2B371124"/>
    <w:rsid w:val="2B376F2C"/>
    <w:rsid w:val="2B417276"/>
    <w:rsid w:val="2B496D08"/>
    <w:rsid w:val="2B5A5895"/>
    <w:rsid w:val="2B60285D"/>
    <w:rsid w:val="2BA702B7"/>
    <w:rsid w:val="2BC36D5D"/>
    <w:rsid w:val="2BE315B0"/>
    <w:rsid w:val="2C0C0B07"/>
    <w:rsid w:val="2C456DB2"/>
    <w:rsid w:val="2C4F787A"/>
    <w:rsid w:val="2C764B59"/>
    <w:rsid w:val="2C7D703B"/>
    <w:rsid w:val="2C852F06"/>
    <w:rsid w:val="2C9F53AF"/>
    <w:rsid w:val="2CA13945"/>
    <w:rsid w:val="2CBA641B"/>
    <w:rsid w:val="2CFB4920"/>
    <w:rsid w:val="2D086B9C"/>
    <w:rsid w:val="2D27198B"/>
    <w:rsid w:val="2D404F0C"/>
    <w:rsid w:val="2D6E2DB7"/>
    <w:rsid w:val="2D982E0B"/>
    <w:rsid w:val="2DA20924"/>
    <w:rsid w:val="2DAC25A2"/>
    <w:rsid w:val="2DBE6C3B"/>
    <w:rsid w:val="2DCC67A0"/>
    <w:rsid w:val="2DD05EEA"/>
    <w:rsid w:val="2DD545DA"/>
    <w:rsid w:val="2DEE5C16"/>
    <w:rsid w:val="2DF77787"/>
    <w:rsid w:val="2E072654"/>
    <w:rsid w:val="2E4C0591"/>
    <w:rsid w:val="2E505D23"/>
    <w:rsid w:val="2EB15996"/>
    <w:rsid w:val="2EB6719F"/>
    <w:rsid w:val="2ECE4A35"/>
    <w:rsid w:val="2EE75193"/>
    <w:rsid w:val="2F00532F"/>
    <w:rsid w:val="2F1965ED"/>
    <w:rsid w:val="2F2E122B"/>
    <w:rsid w:val="2F6333F4"/>
    <w:rsid w:val="2F636D14"/>
    <w:rsid w:val="2F8F5CD7"/>
    <w:rsid w:val="2F9075F6"/>
    <w:rsid w:val="2FF1709A"/>
    <w:rsid w:val="304F32F8"/>
    <w:rsid w:val="306F195E"/>
    <w:rsid w:val="307B4A76"/>
    <w:rsid w:val="30847806"/>
    <w:rsid w:val="309F1F4A"/>
    <w:rsid w:val="311C359A"/>
    <w:rsid w:val="313951D9"/>
    <w:rsid w:val="31734172"/>
    <w:rsid w:val="317F3D7D"/>
    <w:rsid w:val="31B60DCF"/>
    <w:rsid w:val="31CD0C24"/>
    <w:rsid w:val="31F0559B"/>
    <w:rsid w:val="322963D4"/>
    <w:rsid w:val="324D497D"/>
    <w:rsid w:val="325E239A"/>
    <w:rsid w:val="32A01606"/>
    <w:rsid w:val="32C94A9C"/>
    <w:rsid w:val="33201492"/>
    <w:rsid w:val="332D454F"/>
    <w:rsid w:val="334E1463"/>
    <w:rsid w:val="33573F06"/>
    <w:rsid w:val="33675FE5"/>
    <w:rsid w:val="33863895"/>
    <w:rsid w:val="33BE5DDC"/>
    <w:rsid w:val="33F30EA7"/>
    <w:rsid w:val="33FC5905"/>
    <w:rsid w:val="340E7B8F"/>
    <w:rsid w:val="341637E0"/>
    <w:rsid w:val="344275D6"/>
    <w:rsid w:val="34763BE6"/>
    <w:rsid w:val="34815E8A"/>
    <w:rsid w:val="34891CAF"/>
    <w:rsid w:val="34983E85"/>
    <w:rsid w:val="34A07D70"/>
    <w:rsid w:val="34C04B85"/>
    <w:rsid w:val="34F03F21"/>
    <w:rsid w:val="351A6043"/>
    <w:rsid w:val="352A38F1"/>
    <w:rsid w:val="3575147E"/>
    <w:rsid w:val="359202CF"/>
    <w:rsid w:val="35A63D95"/>
    <w:rsid w:val="35AB3B2B"/>
    <w:rsid w:val="35B11597"/>
    <w:rsid w:val="35BA15D4"/>
    <w:rsid w:val="35F61457"/>
    <w:rsid w:val="36094C18"/>
    <w:rsid w:val="360B3E62"/>
    <w:rsid w:val="361E142A"/>
    <w:rsid w:val="367F29FE"/>
    <w:rsid w:val="36CC722B"/>
    <w:rsid w:val="36D245C3"/>
    <w:rsid w:val="36D72917"/>
    <w:rsid w:val="36E41E01"/>
    <w:rsid w:val="370E4390"/>
    <w:rsid w:val="371F5B92"/>
    <w:rsid w:val="372C6501"/>
    <w:rsid w:val="3744619F"/>
    <w:rsid w:val="37797AAB"/>
    <w:rsid w:val="378C0D4E"/>
    <w:rsid w:val="379245B6"/>
    <w:rsid w:val="37965565"/>
    <w:rsid w:val="37F2708E"/>
    <w:rsid w:val="3817746C"/>
    <w:rsid w:val="38195423"/>
    <w:rsid w:val="381D7743"/>
    <w:rsid w:val="381F13FA"/>
    <w:rsid w:val="38335EA6"/>
    <w:rsid w:val="387678EF"/>
    <w:rsid w:val="388001CE"/>
    <w:rsid w:val="388E3CF1"/>
    <w:rsid w:val="392C08C9"/>
    <w:rsid w:val="395B7FBE"/>
    <w:rsid w:val="3964294B"/>
    <w:rsid w:val="39645A58"/>
    <w:rsid w:val="39660812"/>
    <w:rsid w:val="3971655D"/>
    <w:rsid w:val="39776274"/>
    <w:rsid w:val="39783C80"/>
    <w:rsid w:val="397B07A1"/>
    <w:rsid w:val="39A81369"/>
    <w:rsid w:val="39D5177E"/>
    <w:rsid w:val="3A4A5AFA"/>
    <w:rsid w:val="3A8525FC"/>
    <w:rsid w:val="3AAD5BAB"/>
    <w:rsid w:val="3AC91B59"/>
    <w:rsid w:val="3AD4225A"/>
    <w:rsid w:val="3AD45AEE"/>
    <w:rsid w:val="3B0959F0"/>
    <w:rsid w:val="3B106CFD"/>
    <w:rsid w:val="3B265EE6"/>
    <w:rsid w:val="3B2958E9"/>
    <w:rsid w:val="3B2C593D"/>
    <w:rsid w:val="3B3911ED"/>
    <w:rsid w:val="3B4A408F"/>
    <w:rsid w:val="3B7E64BE"/>
    <w:rsid w:val="3BA945C4"/>
    <w:rsid w:val="3BAE26C7"/>
    <w:rsid w:val="3BB450D2"/>
    <w:rsid w:val="3BD13A15"/>
    <w:rsid w:val="3BE81CD4"/>
    <w:rsid w:val="3C016259"/>
    <w:rsid w:val="3C0C648C"/>
    <w:rsid w:val="3C0D6901"/>
    <w:rsid w:val="3C2B6440"/>
    <w:rsid w:val="3C5700D3"/>
    <w:rsid w:val="3C574020"/>
    <w:rsid w:val="3C7B59BC"/>
    <w:rsid w:val="3C806348"/>
    <w:rsid w:val="3C8C1D3C"/>
    <w:rsid w:val="3CA65007"/>
    <w:rsid w:val="3CCA034E"/>
    <w:rsid w:val="3CD967E3"/>
    <w:rsid w:val="3CD978E3"/>
    <w:rsid w:val="3CDC209E"/>
    <w:rsid w:val="3CE533DA"/>
    <w:rsid w:val="3D11205B"/>
    <w:rsid w:val="3D3D55B3"/>
    <w:rsid w:val="3D805ADE"/>
    <w:rsid w:val="3DAC5982"/>
    <w:rsid w:val="3DD57647"/>
    <w:rsid w:val="3DDD67A7"/>
    <w:rsid w:val="3DF57717"/>
    <w:rsid w:val="3DF95085"/>
    <w:rsid w:val="3E174DB9"/>
    <w:rsid w:val="3E18158D"/>
    <w:rsid w:val="3E2A2B34"/>
    <w:rsid w:val="3E432AAE"/>
    <w:rsid w:val="3E693B97"/>
    <w:rsid w:val="3E87586E"/>
    <w:rsid w:val="3E927592"/>
    <w:rsid w:val="3E9E1A93"/>
    <w:rsid w:val="3F12480E"/>
    <w:rsid w:val="3F50722A"/>
    <w:rsid w:val="3F547CFB"/>
    <w:rsid w:val="3F645D9C"/>
    <w:rsid w:val="3FBE7F13"/>
    <w:rsid w:val="3FC3473C"/>
    <w:rsid w:val="3FE168EF"/>
    <w:rsid w:val="3FEC750F"/>
    <w:rsid w:val="40175FA1"/>
    <w:rsid w:val="40246E4E"/>
    <w:rsid w:val="403D52DB"/>
    <w:rsid w:val="405A34BE"/>
    <w:rsid w:val="40A14523"/>
    <w:rsid w:val="40B251CA"/>
    <w:rsid w:val="40BF6CBA"/>
    <w:rsid w:val="40C757BD"/>
    <w:rsid w:val="40D12F9B"/>
    <w:rsid w:val="40D1523F"/>
    <w:rsid w:val="40D50F73"/>
    <w:rsid w:val="40E32303"/>
    <w:rsid w:val="40E765BD"/>
    <w:rsid w:val="40F24B8F"/>
    <w:rsid w:val="40FA31CC"/>
    <w:rsid w:val="414E6719"/>
    <w:rsid w:val="415B07A2"/>
    <w:rsid w:val="41736560"/>
    <w:rsid w:val="41742F7F"/>
    <w:rsid w:val="417A46D4"/>
    <w:rsid w:val="419345E1"/>
    <w:rsid w:val="41940CDA"/>
    <w:rsid w:val="41CF0BCF"/>
    <w:rsid w:val="41D427C4"/>
    <w:rsid w:val="41E04248"/>
    <w:rsid w:val="41E47BF1"/>
    <w:rsid w:val="41F06AA9"/>
    <w:rsid w:val="42042CCA"/>
    <w:rsid w:val="425F3C2F"/>
    <w:rsid w:val="428B33EB"/>
    <w:rsid w:val="428D2062"/>
    <w:rsid w:val="42F27740"/>
    <w:rsid w:val="43163E4F"/>
    <w:rsid w:val="431B3EC1"/>
    <w:rsid w:val="43340C18"/>
    <w:rsid w:val="43395DD5"/>
    <w:rsid w:val="43482809"/>
    <w:rsid w:val="43496BE1"/>
    <w:rsid w:val="43501FEA"/>
    <w:rsid w:val="4368266F"/>
    <w:rsid w:val="436E35F1"/>
    <w:rsid w:val="43727FC7"/>
    <w:rsid w:val="43794BD1"/>
    <w:rsid w:val="43902086"/>
    <w:rsid w:val="43DB473E"/>
    <w:rsid w:val="43E20674"/>
    <w:rsid w:val="43EB5C18"/>
    <w:rsid w:val="44450C02"/>
    <w:rsid w:val="44781099"/>
    <w:rsid w:val="44C57EEC"/>
    <w:rsid w:val="44D70159"/>
    <w:rsid w:val="44E93621"/>
    <w:rsid w:val="450D0331"/>
    <w:rsid w:val="4521352F"/>
    <w:rsid w:val="4553238D"/>
    <w:rsid w:val="45800144"/>
    <w:rsid w:val="45D40794"/>
    <w:rsid w:val="45E50A38"/>
    <w:rsid w:val="45F0194D"/>
    <w:rsid w:val="461A78A6"/>
    <w:rsid w:val="46601D24"/>
    <w:rsid w:val="467A5B05"/>
    <w:rsid w:val="46931C79"/>
    <w:rsid w:val="46A301C2"/>
    <w:rsid w:val="46A72D5F"/>
    <w:rsid w:val="46AE0331"/>
    <w:rsid w:val="46B215A3"/>
    <w:rsid w:val="46C36755"/>
    <w:rsid w:val="46D027AA"/>
    <w:rsid w:val="47096150"/>
    <w:rsid w:val="47204C82"/>
    <w:rsid w:val="47440ED2"/>
    <w:rsid w:val="47723768"/>
    <w:rsid w:val="477358DF"/>
    <w:rsid w:val="477A4296"/>
    <w:rsid w:val="47914939"/>
    <w:rsid w:val="479D6455"/>
    <w:rsid w:val="47D9353C"/>
    <w:rsid w:val="47F67AB3"/>
    <w:rsid w:val="47FB70B2"/>
    <w:rsid w:val="483C7EC9"/>
    <w:rsid w:val="484C6A03"/>
    <w:rsid w:val="484E2A87"/>
    <w:rsid w:val="485E2293"/>
    <w:rsid w:val="48690797"/>
    <w:rsid w:val="48756BB9"/>
    <w:rsid w:val="487D0AD0"/>
    <w:rsid w:val="488665A6"/>
    <w:rsid w:val="4893018E"/>
    <w:rsid w:val="48B42737"/>
    <w:rsid w:val="48B5112D"/>
    <w:rsid w:val="48BB6E3E"/>
    <w:rsid w:val="48DD2962"/>
    <w:rsid w:val="48E704DA"/>
    <w:rsid w:val="490115D2"/>
    <w:rsid w:val="49413270"/>
    <w:rsid w:val="494144BF"/>
    <w:rsid w:val="4942032F"/>
    <w:rsid w:val="49490BB1"/>
    <w:rsid w:val="49692915"/>
    <w:rsid w:val="49926890"/>
    <w:rsid w:val="49A60E00"/>
    <w:rsid w:val="49BB2710"/>
    <w:rsid w:val="49DF11B1"/>
    <w:rsid w:val="49EF1F42"/>
    <w:rsid w:val="4A353F31"/>
    <w:rsid w:val="4A3634C7"/>
    <w:rsid w:val="4A3847B0"/>
    <w:rsid w:val="4A3B0ADD"/>
    <w:rsid w:val="4A3F772C"/>
    <w:rsid w:val="4A6603DD"/>
    <w:rsid w:val="4A676504"/>
    <w:rsid w:val="4A6E7668"/>
    <w:rsid w:val="4A8D3307"/>
    <w:rsid w:val="4A8F0E29"/>
    <w:rsid w:val="4A9647BF"/>
    <w:rsid w:val="4AB03279"/>
    <w:rsid w:val="4ABA45EC"/>
    <w:rsid w:val="4B6127C6"/>
    <w:rsid w:val="4B7132C9"/>
    <w:rsid w:val="4B992729"/>
    <w:rsid w:val="4BEC6E46"/>
    <w:rsid w:val="4BF14E5C"/>
    <w:rsid w:val="4CEC0B69"/>
    <w:rsid w:val="4CF306AC"/>
    <w:rsid w:val="4CF51418"/>
    <w:rsid w:val="4D042317"/>
    <w:rsid w:val="4D1239F4"/>
    <w:rsid w:val="4D176485"/>
    <w:rsid w:val="4D2301A6"/>
    <w:rsid w:val="4D397E04"/>
    <w:rsid w:val="4D5A2D7F"/>
    <w:rsid w:val="4D80406A"/>
    <w:rsid w:val="4D94749F"/>
    <w:rsid w:val="4DA237EC"/>
    <w:rsid w:val="4DAD53EC"/>
    <w:rsid w:val="4DD1007C"/>
    <w:rsid w:val="4DD80FF0"/>
    <w:rsid w:val="4DF37665"/>
    <w:rsid w:val="4EB04CEB"/>
    <w:rsid w:val="4EBC4081"/>
    <w:rsid w:val="4EED0A2C"/>
    <w:rsid w:val="4F440731"/>
    <w:rsid w:val="4F502AD5"/>
    <w:rsid w:val="4F532425"/>
    <w:rsid w:val="4F8B515A"/>
    <w:rsid w:val="4F96706C"/>
    <w:rsid w:val="4F995F33"/>
    <w:rsid w:val="4FA060F5"/>
    <w:rsid w:val="4FC915F8"/>
    <w:rsid w:val="4FCB46B2"/>
    <w:rsid w:val="4FED4A31"/>
    <w:rsid w:val="504E4277"/>
    <w:rsid w:val="505446A7"/>
    <w:rsid w:val="506A683A"/>
    <w:rsid w:val="506F3038"/>
    <w:rsid w:val="50811214"/>
    <w:rsid w:val="5086411C"/>
    <w:rsid w:val="50F07683"/>
    <w:rsid w:val="512978E2"/>
    <w:rsid w:val="51325AB2"/>
    <w:rsid w:val="51555A90"/>
    <w:rsid w:val="516C70A1"/>
    <w:rsid w:val="519C25A2"/>
    <w:rsid w:val="519C4558"/>
    <w:rsid w:val="52002EB5"/>
    <w:rsid w:val="5244547C"/>
    <w:rsid w:val="525C4143"/>
    <w:rsid w:val="52645040"/>
    <w:rsid w:val="529671F9"/>
    <w:rsid w:val="529E60AD"/>
    <w:rsid w:val="52B85D86"/>
    <w:rsid w:val="52C371FE"/>
    <w:rsid w:val="52CB36AA"/>
    <w:rsid w:val="52DB4C0C"/>
    <w:rsid w:val="53064FBD"/>
    <w:rsid w:val="53084074"/>
    <w:rsid w:val="534B0C47"/>
    <w:rsid w:val="5360776D"/>
    <w:rsid w:val="53650979"/>
    <w:rsid w:val="537261AA"/>
    <w:rsid w:val="53DF072C"/>
    <w:rsid w:val="53E411F3"/>
    <w:rsid w:val="53E7314D"/>
    <w:rsid w:val="53EE096F"/>
    <w:rsid w:val="53F1220D"/>
    <w:rsid w:val="541B56C7"/>
    <w:rsid w:val="542427E4"/>
    <w:rsid w:val="54534C76"/>
    <w:rsid w:val="545F186C"/>
    <w:rsid w:val="54D46A7E"/>
    <w:rsid w:val="54DC2EBD"/>
    <w:rsid w:val="54E03B7D"/>
    <w:rsid w:val="551032A1"/>
    <w:rsid w:val="553D6611"/>
    <w:rsid w:val="554B48AE"/>
    <w:rsid w:val="556F2385"/>
    <w:rsid w:val="5573011A"/>
    <w:rsid w:val="558B0EF2"/>
    <w:rsid w:val="55D944B8"/>
    <w:rsid w:val="55EF44CD"/>
    <w:rsid w:val="56085966"/>
    <w:rsid w:val="56195DC5"/>
    <w:rsid w:val="56257694"/>
    <w:rsid w:val="56545706"/>
    <w:rsid w:val="56552795"/>
    <w:rsid w:val="56646730"/>
    <w:rsid w:val="5671771B"/>
    <w:rsid w:val="569C3C83"/>
    <w:rsid w:val="56B26734"/>
    <w:rsid w:val="56C66B3D"/>
    <w:rsid w:val="56D21446"/>
    <w:rsid w:val="5701107B"/>
    <w:rsid w:val="571A58CF"/>
    <w:rsid w:val="57215302"/>
    <w:rsid w:val="572A056F"/>
    <w:rsid w:val="572F2122"/>
    <w:rsid w:val="57513E3C"/>
    <w:rsid w:val="575E71D1"/>
    <w:rsid w:val="576040BC"/>
    <w:rsid w:val="576B1320"/>
    <w:rsid w:val="576C6B11"/>
    <w:rsid w:val="577379DD"/>
    <w:rsid w:val="57780285"/>
    <w:rsid w:val="57935C4B"/>
    <w:rsid w:val="57A71560"/>
    <w:rsid w:val="57AA72A2"/>
    <w:rsid w:val="57CB7122"/>
    <w:rsid w:val="57D1482F"/>
    <w:rsid w:val="57F334A2"/>
    <w:rsid w:val="58091D0F"/>
    <w:rsid w:val="583A1258"/>
    <w:rsid w:val="584119B5"/>
    <w:rsid w:val="58A037CC"/>
    <w:rsid w:val="58C67724"/>
    <w:rsid w:val="58D41BFE"/>
    <w:rsid w:val="58F74373"/>
    <w:rsid w:val="59162E41"/>
    <w:rsid w:val="59172716"/>
    <w:rsid w:val="592B2BC8"/>
    <w:rsid w:val="5945570A"/>
    <w:rsid w:val="594A6FB1"/>
    <w:rsid w:val="595F5C5C"/>
    <w:rsid w:val="59612115"/>
    <w:rsid w:val="59633CBA"/>
    <w:rsid w:val="596D4D6B"/>
    <w:rsid w:val="598A1022"/>
    <w:rsid w:val="59B0037C"/>
    <w:rsid w:val="59BD3347"/>
    <w:rsid w:val="59C22FCF"/>
    <w:rsid w:val="59C81C62"/>
    <w:rsid w:val="59E054F4"/>
    <w:rsid w:val="59FB2037"/>
    <w:rsid w:val="5A0C2052"/>
    <w:rsid w:val="5A5538A1"/>
    <w:rsid w:val="5A573769"/>
    <w:rsid w:val="5A716CA1"/>
    <w:rsid w:val="5AA20FEB"/>
    <w:rsid w:val="5B5267B9"/>
    <w:rsid w:val="5B5F034D"/>
    <w:rsid w:val="5B64318C"/>
    <w:rsid w:val="5B974CD1"/>
    <w:rsid w:val="5BC05588"/>
    <w:rsid w:val="5BD51DCA"/>
    <w:rsid w:val="5BE21F66"/>
    <w:rsid w:val="5BFB37A6"/>
    <w:rsid w:val="5C0A657E"/>
    <w:rsid w:val="5C184D86"/>
    <w:rsid w:val="5C240C7B"/>
    <w:rsid w:val="5C2C0286"/>
    <w:rsid w:val="5C321615"/>
    <w:rsid w:val="5C3B3997"/>
    <w:rsid w:val="5C483AC9"/>
    <w:rsid w:val="5CA52AF5"/>
    <w:rsid w:val="5CAA01D9"/>
    <w:rsid w:val="5CB32755"/>
    <w:rsid w:val="5CCE1A7B"/>
    <w:rsid w:val="5CF93445"/>
    <w:rsid w:val="5CFE68E7"/>
    <w:rsid w:val="5D364CC2"/>
    <w:rsid w:val="5D3A093A"/>
    <w:rsid w:val="5D42415C"/>
    <w:rsid w:val="5D73146B"/>
    <w:rsid w:val="5DDE2965"/>
    <w:rsid w:val="5DEF5CCF"/>
    <w:rsid w:val="5DF64611"/>
    <w:rsid w:val="5DFD6652"/>
    <w:rsid w:val="5DFE20F6"/>
    <w:rsid w:val="5DFF13CA"/>
    <w:rsid w:val="5E0B635A"/>
    <w:rsid w:val="5E37053B"/>
    <w:rsid w:val="5E8425FB"/>
    <w:rsid w:val="5EA11D24"/>
    <w:rsid w:val="5ED92AEC"/>
    <w:rsid w:val="5EE13529"/>
    <w:rsid w:val="5EF37788"/>
    <w:rsid w:val="5F323751"/>
    <w:rsid w:val="5F372A1F"/>
    <w:rsid w:val="5F387848"/>
    <w:rsid w:val="5F460C39"/>
    <w:rsid w:val="5F6D5E50"/>
    <w:rsid w:val="5F6E6E08"/>
    <w:rsid w:val="5F8A4821"/>
    <w:rsid w:val="5F8F1D12"/>
    <w:rsid w:val="5FA22B96"/>
    <w:rsid w:val="5FBB64E6"/>
    <w:rsid w:val="5FEB56E6"/>
    <w:rsid w:val="60091DB2"/>
    <w:rsid w:val="60210B27"/>
    <w:rsid w:val="602651FC"/>
    <w:rsid w:val="603C43A1"/>
    <w:rsid w:val="6040639C"/>
    <w:rsid w:val="605B7E8A"/>
    <w:rsid w:val="605C6D1E"/>
    <w:rsid w:val="605E59DD"/>
    <w:rsid w:val="606F4BE5"/>
    <w:rsid w:val="607A0067"/>
    <w:rsid w:val="60846BA6"/>
    <w:rsid w:val="6098223A"/>
    <w:rsid w:val="609E675C"/>
    <w:rsid w:val="60B768B1"/>
    <w:rsid w:val="60BB7FE3"/>
    <w:rsid w:val="60E92BEA"/>
    <w:rsid w:val="610B3038"/>
    <w:rsid w:val="613B6F0D"/>
    <w:rsid w:val="6157463B"/>
    <w:rsid w:val="615B2673"/>
    <w:rsid w:val="616A59E7"/>
    <w:rsid w:val="619040E1"/>
    <w:rsid w:val="619C7C5C"/>
    <w:rsid w:val="619D78CE"/>
    <w:rsid w:val="61BB01A3"/>
    <w:rsid w:val="61D95E93"/>
    <w:rsid w:val="61E33ADD"/>
    <w:rsid w:val="62012E19"/>
    <w:rsid w:val="620C4DF8"/>
    <w:rsid w:val="62743C04"/>
    <w:rsid w:val="62AC3ECF"/>
    <w:rsid w:val="62B11F77"/>
    <w:rsid w:val="62D2414E"/>
    <w:rsid w:val="62FE72D8"/>
    <w:rsid w:val="630B738B"/>
    <w:rsid w:val="63190B09"/>
    <w:rsid w:val="63381369"/>
    <w:rsid w:val="634D2D5C"/>
    <w:rsid w:val="634E355C"/>
    <w:rsid w:val="637654F1"/>
    <w:rsid w:val="63856413"/>
    <w:rsid w:val="63A819E4"/>
    <w:rsid w:val="63B05CBA"/>
    <w:rsid w:val="63D201A3"/>
    <w:rsid w:val="64003D27"/>
    <w:rsid w:val="64180368"/>
    <w:rsid w:val="646E04C5"/>
    <w:rsid w:val="649B069F"/>
    <w:rsid w:val="64AD388C"/>
    <w:rsid w:val="64B5783F"/>
    <w:rsid w:val="64B60830"/>
    <w:rsid w:val="64C5571C"/>
    <w:rsid w:val="651D10B4"/>
    <w:rsid w:val="651E49ED"/>
    <w:rsid w:val="657B4235"/>
    <w:rsid w:val="657E6542"/>
    <w:rsid w:val="661F2C0A"/>
    <w:rsid w:val="66564BC8"/>
    <w:rsid w:val="66862792"/>
    <w:rsid w:val="668D1157"/>
    <w:rsid w:val="66901BFD"/>
    <w:rsid w:val="66BC375D"/>
    <w:rsid w:val="66C66E69"/>
    <w:rsid w:val="67206C39"/>
    <w:rsid w:val="6760797E"/>
    <w:rsid w:val="67760CA3"/>
    <w:rsid w:val="67834728"/>
    <w:rsid w:val="67B371FE"/>
    <w:rsid w:val="67DD4B2A"/>
    <w:rsid w:val="67DF1CD8"/>
    <w:rsid w:val="67E623F7"/>
    <w:rsid w:val="681253D0"/>
    <w:rsid w:val="684150B9"/>
    <w:rsid w:val="68501C7D"/>
    <w:rsid w:val="68516502"/>
    <w:rsid w:val="685A6D95"/>
    <w:rsid w:val="68C83A2C"/>
    <w:rsid w:val="68CE5C25"/>
    <w:rsid w:val="68F2680E"/>
    <w:rsid w:val="69014B23"/>
    <w:rsid w:val="69271690"/>
    <w:rsid w:val="692A1FF1"/>
    <w:rsid w:val="69544EA0"/>
    <w:rsid w:val="69702E88"/>
    <w:rsid w:val="69755BA4"/>
    <w:rsid w:val="698372F7"/>
    <w:rsid w:val="69BD10D9"/>
    <w:rsid w:val="69C55233"/>
    <w:rsid w:val="69EB0D20"/>
    <w:rsid w:val="69FB5F53"/>
    <w:rsid w:val="6A0441D2"/>
    <w:rsid w:val="6A1C22CC"/>
    <w:rsid w:val="6A2B6021"/>
    <w:rsid w:val="6A436251"/>
    <w:rsid w:val="6A6D03E7"/>
    <w:rsid w:val="6A6E5F0E"/>
    <w:rsid w:val="6AC1569C"/>
    <w:rsid w:val="6AC36259"/>
    <w:rsid w:val="6AE663EC"/>
    <w:rsid w:val="6AE82164"/>
    <w:rsid w:val="6AE866A8"/>
    <w:rsid w:val="6AF619D0"/>
    <w:rsid w:val="6B051D29"/>
    <w:rsid w:val="6B1002F1"/>
    <w:rsid w:val="6B106310"/>
    <w:rsid w:val="6B703D33"/>
    <w:rsid w:val="6B711B7A"/>
    <w:rsid w:val="6B956DD7"/>
    <w:rsid w:val="6BE8725E"/>
    <w:rsid w:val="6C152647"/>
    <w:rsid w:val="6C2F6077"/>
    <w:rsid w:val="6C3311BD"/>
    <w:rsid w:val="6C44776E"/>
    <w:rsid w:val="6C496C32"/>
    <w:rsid w:val="6C607F7F"/>
    <w:rsid w:val="6C6608D6"/>
    <w:rsid w:val="6C6B754B"/>
    <w:rsid w:val="6C7F3171"/>
    <w:rsid w:val="6CAE1DD7"/>
    <w:rsid w:val="6CC439CA"/>
    <w:rsid w:val="6CF86215"/>
    <w:rsid w:val="6D0B0DAF"/>
    <w:rsid w:val="6D0B213A"/>
    <w:rsid w:val="6D21370B"/>
    <w:rsid w:val="6D3E17AD"/>
    <w:rsid w:val="6D614CAA"/>
    <w:rsid w:val="6D722C89"/>
    <w:rsid w:val="6D8D7A35"/>
    <w:rsid w:val="6D975003"/>
    <w:rsid w:val="6DA71E62"/>
    <w:rsid w:val="6DC85709"/>
    <w:rsid w:val="6DDB69F4"/>
    <w:rsid w:val="6DE31AAD"/>
    <w:rsid w:val="6DEF5C2B"/>
    <w:rsid w:val="6DF11F90"/>
    <w:rsid w:val="6E4F523E"/>
    <w:rsid w:val="6E5729A2"/>
    <w:rsid w:val="6E583A1F"/>
    <w:rsid w:val="6E5B7076"/>
    <w:rsid w:val="6E985C4F"/>
    <w:rsid w:val="6EAB742B"/>
    <w:rsid w:val="6EB0558D"/>
    <w:rsid w:val="6EB70C11"/>
    <w:rsid w:val="6EC6113E"/>
    <w:rsid w:val="6EEA444D"/>
    <w:rsid w:val="6EF260EC"/>
    <w:rsid w:val="6F170E2C"/>
    <w:rsid w:val="6F3E60FB"/>
    <w:rsid w:val="6F873884"/>
    <w:rsid w:val="6F984397"/>
    <w:rsid w:val="6F9B77A5"/>
    <w:rsid w:val="6FA12520"/>
    <w:rsid w:val="6FCC795E"/>
    <w:rsid w:val="6FDC1B6B"/>
    <w:rsid w:val="70003CB6"/>
    <w:rsid w:val="70025A76"/>
    <w:rsid w:val="70111815"/>
    <w:rsid w:val="70391A3F"/>
    <w:rsid w:val="704B3D01"/>
    <w:rsid w:val="70531535"/>
    <w:rsid w:val="70672A43"/>
    <w:rsid w:val="709F265A"/>
    <w:rsid w:val="70BD536F"/>
    <w:rsid w:val="70BF0D6E"/>
    <w:rsid w:val="70C4412E"/>
    <w:rsid w:val="70DB5ECC"/>
    <w:rsid w:val="70E01DD1"/>
    <w:rsid w:val="70EE13AD"/>
    <w:rsid w:val="70EF7B8B"/>
    <w:rsid w:val="70F637E9"/>
    <w:rsid w:val="70F86E4C"/>
    <w:rsid w:val="71027CA7"/>
    <w:rsid w:val="71267D29"/>
    <w:rsid w:val="714E42F6"/>
    <w:rsid w:val="71597165"/>
    <w:rsid w:val="71606C7D"/>
    <w:rsid w:val="718544F1"/>
    <w:rsid w:val="71976AED"/>
    <w:rsid w:val="71A40D30"/>
    <w:rsid w:val="71A44859"/>
    <w:rsid w:val="71CE5188"/>
    <w:rsid w:val="71F60334"/>
    <w:rsid w:val="721F1D01"/>
    <w:rsid w:val="72225F5B"/>
    <w:rsid w:val="723E3936"/>
    <w:rsid w:val="72616538"/>
    <w:rsid w:val="726E11A1"/>
    <w:rsid w:val="72AB4A8C"/>
    <w:rsid w:val="72C2773E"/>
    <w:rsid w:val="7341102A"/>
    <w:rsid w:val="734D525A"/>
    <w:rsid w:val="73740B71"/>
    <w:rsid w:val="73A17E6A"/>
    <w:rsid w:val="73DE4104"/>
    <w:rsid w:val="73E16D57"/>
    <w:rsid w:val="73EA4857"/>
    <w:rsid w:val="74162D7A"/>
    <w:rsid w:val="742A10F7"/>
    <w:rsid w:val="744966C1"/>
    <w:rsid w:val="745C3615"/>
    <w:rsid w:val="746049BA"/>
    <w:rsid w:val="74874E5A"/>
    <w:rsid w:val="74890EA6"/>
    <w:rsid w:val="74A2568B"/>
    <w:rsid w:val="74ED42C5"/>
    <w:rsid w:val="74F708D2"/>
    <w:rsid w:val="75356D63"/>
    <w:rsid w:val="75CC0C94"/>
    <w:rsid w:val="75DB1E4F"/>
    <w:rsid w:val="76021882"/>
    <w:rsid w:val="762568A1"/>
    <w:rsid w:val="762B6181"/>
    <w:rsid w:val="76377AFB"/>
    <w:rsid w:val="766574D1"/>
    <w:rsid w:val="766A35F9"/>
    <w:rsid w:val="767C3DB4"/>
    <w:rsid w:val="76937428"/>
    <w:rsid w:val="76A21419"/>
    <w:rsid w:val="76D24EA2"/>
    <w:rsid w:val="76DE1045"/>
    <w:rsid w:val="77002559"/>
    <w:rsid w:val="77197D25"/>
    <w:rsid w:val="774521C8"/>
    <w:rsid w:val="77AF2483"/>
    <w:rsid w:val="77D64484"/>
    <w:rsid w:val="77E92124"/>
    <w:rsid w:val="77E922B4"/>
    <w:rsid w:val="77EA4289"/>
    <w:rsid w:val="78006336"/>
    <w:rsid w:val="780A196C"/>
    <w:rsid w:val="781A5ED8"/>
    <w:rsid w:val="786258A4"/>
    <w:rsid w:val="7866291A"/>
    <w:rsid w:val="78A3477E"/>
    <w:rsid w:val="78A82A51"/>
    <w:rsid w:val="78CF6711"/>
    <w:rsid w:val="78E63B2A"/>
    <w:rsid w:val="78EE273B"/>
    <w:rsid w:val="78F14A3D"/>
    <w:rsid w:val="79161BAF"/>
    <w:rsid w:val="7928350F"/>
    <w:rsid w:val="792E70E0"/>
    <w:rsid w:val="79326AFC"/>
    <w:rsid w:val="7969405B"/>
    <w:rsid w:val="798B1783"/>
    <w:rsid w:val="79B2108A"/>
    <w:rsid w:val="79D05893"/>
    <w:rsid w:val="79ED10C8"/>
    <w:rsid w:val="7A0F2527"/>
    <w:rsid w:val="7A331ECE"/>
    <w:rsid w:val="7A417E6A"/>
    <w:rsid w:val="7A6A66F1"/>
    <w:rsid w:val="7A8F2AAD"/>
    <w:rsid w:val="7A98347A"/>
    <w:rsid w:val="7AA222D1"/>
    <w:rsid w:val="7AC96BBD"/>
    <w:rsid w:val="7AD22AF8"/>
    <w:rsid w:val="7ADB7905"/>
    <w:rsid w:val="7B2C0F71"/>
    <w:rsid w:val="7B520EE0"/>
    <w:rsid w:val="7B591F3E"/>
    <w:rsid w:val="7B647A4A"/>
    <w:rsid w:val="7B6D54EB"/>
    <w:rsid w:val="7B8B77FD"/>
    <w:rsid w:val="7BC71689"/>
    <w:rsid w:val="7BE20360"/>
    <w:rsid w:val="7C045812"/>
    <w:rsid w:val="7C1E1D84"/>
    <w:rsid w:val="7C2428D0"/>
    <w:rsid w:val="7C566461"/>
    <w:rsid w:val="7C5A2582"/>
    <w:rsid w:val="7C7718D6"/>
    <w:rsid w:val="7C78688F"/>
    <w:rsid w:val="7C7C270C"/>
    <w:rsid w:val="7CC43203"/>
    <w:rsid w:val="7D0D7808"/>
    <w:rsid w:val="7D21376C"/>
    <w:rsid w:val="7D2D5273"/>
    <w:rsid w:val="7D3943CC"/>
    <w:rsid w:val="7D3C3DFE"/>
    <w:rsid w:val="7D625DA6"/>
    <w:rsid w:val="7D8B198E"/>
    <w:rsid w:val="7DFC7E2B"/>
    <w:rsid w:val="7E2C1F50"/>
    <w:rsid w:val="7E5F22E5"/>
    <w:rsid w:val="7E955D77"/>
    <w:rsid w:val="7ED72C8B"/>
    <w:rsid w:val="7EEC2CAC"/>
    <w:rsid w:val="7F183048"/>
    <w:rsid w:val="7F206182"/>
    <w:rsid w:val="7F67178E"/>
    <w:rsid w:val="7F6F0306"/>
    <w:rsid w:val="7F8B1A78"/>
    <w:rsid w:val="7FA418D8"/>
    <w:rsid w:val="7FA92784"/>
    <w:rsid w:val="7FB966BE"/>
    <w:rsid w:val="7FDD570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0" w:semiHidden="0" w:name="toc 2"/>
    <w:lsdException w:qFormat="1" w:uiPriority="0"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99" w:semiHidden="0" w:name="Normal Indent"/>
    <w:lsdException w:uiPriority="0" w:name="footnote text"/>
    <w:lsdException w:qFormat="1"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99"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99"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9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38"/>
    <w:qFormat/>
    <w:uiPriority w:val="0"/>
    <w:pPr>
      <w:keepNext/>
      <w:keepLines/>
      <w:spacing w:before="340" w:after="330" w:line="576" w:lineRule="auto"/>
      <w:jc w:val="center"/>
      <w:outlineLvl w:val="0"/>
    </w:pPr>
    <w:rPr>
      <w:b/>
      <w:kern w:val="44"/>
      <w:sz w:val="44"/>
      <w:szCs w:val="20"/>
    </w:rPr>
  </w:style>
  <w:style w:type="paragraph" w:styleId="2">
    <w:name w:val="heading 2"/>
    <w:basedOn w:val="1"/>
    <w:next w:val="1"/>
    <w:link w:val="39"/>
    <w:qFormat/>
    <w:uiPriority w:val="9"/>
    <w:pPr>
      <w:keepNext/>
      <w:keepLines/>
      <w:spacing w:before="260" w:after="260" w:line="413" w:lineRule="auto"/>
      <w:outlineLvl w:val="1"/>
    </w:pPr>
    <w:rPr>
      <w:rFonts w:ascii="Arial" w:hAnsi="Arial" w:eastAsia="黑体"/>
      <w:b/>
      <w:sz w:val="32"/>
    </w:rPr>
  </w:style>
  <w:style w:type="paragraph" w:styleId="4">
    <w:name w:val="heading 3"/>
    <w:basedOn w:val="1"/>
    <w:next w:val="1"/>
    <w:link w:val="40"/>
    <w:qFormat/>
    <w:uiPriority w:val="99"/>
    <w:pPr>
      <w:keepNext/>
      <w:keepLines/>
      <w:spacing w:before="260" w:after="260" w:line="416" w:lineRule="auto"/>
      <w:outlineLvl w:val="2"/>
    </w:pPr>
    <w:rPr>
      <w:rFonts w:ascii="Times New Roman" w:hAnsi="Times New Roman"/>
      <w:b/>
      <w:bCs/>
      <w:sz w:val="32"/>
      <w:szCs w:val="32"/>
    </w:rPr>
  </w:style>
  <w:style w:type="paragraph" w:styleId="5">
    <w:name w:val="heading 4"/>
    <w:basedOn w:val="1"/>
    <w:next w:val="1"/>
    <w:link w:val="41"/>
    <w:qFormat/>
    <w:uiPriority w:val="99"/>
    <w:pPr>
      <w:keepNext/>
      <w:keepLines/>
      <w:outlineLvl w:val="3"/>
    </w:pPr>
    <w:rPr>
      <w:rFonts w:ascii="Arial" w:hAnsi="Arial" w:eastAsia="黑体"/>
      <w:bCs/>
      <w:kern w:val="0"/>
      <w:sz w:val="24"/>
      <w:szCs w:val="28"/>
    </w:rPr>
  </w:style>
  <w:style w:type="paragraph" w:styleId="6">
    <w:name w:val="heading 5"/>
    <w:basedOn w:val="1"/>
    <w:next w:val="1"/>
    <w:link w:val="42"/>
    <w:qFormat/>
    <w:uiPriority w:val="0"/>
    <w:pPr>
      <w:keepNext/>
      <w:jc w:val="center"/>
      <w:outlineLvl w:val="4"/>
    </w:pPr>
    <w:rPr>
      <w:rFonts w:ascii="宋体" w:hAnsi="宋体"/>
      <w:color w:val="000000"/>
      <w:sz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99"/>
    <w:pPr>
      <w:ind w:firstLine="420" w:firstLineChars="200"/>
    </w:pPr>
    <w:rPr>
      <w:rFonts w:eastAsia="Times New Roman"/>
    </w:rPr>
  </w:style>
  <w:style w:type="paragraph" w:styleId="8">
    <w:name w:val="Document Map"/>
    <w:basedOn w:val="1"/>
    <w:link w:val="56"/>
    <w:semiHidden/>
    <w:qFormat/>
    <w:uiPriority w:val="99"/>
    <w:pPr>
      <w:shd w:val="clear" w:color="auto" w:fill="000080"/>
    </w:pPr>
    <w:rPr>
      <w:rFonts w:ascii="Times New Roman" w:hAnsi="Times New Roman"/>
      <w:szCs w:val="21"/>
    </w:rPr>
  </w:style>
  <w:style w:type="paragraph" w:styleId="9">
    <w:name w:val="annotation text"/>
    <w:basedOn w:val="1"/>
    <w:link w:val="43"/>
    <w:unhideWhenUsed/>
    <w:qFormat/>
    <w:uiPriority w:val="99"/>
    <w:pPr>
      <w:jc w:val="left"/>
    </w:pPr>
  </w:style>
  <w:style w:type="paragraph" w:styleId="10">
    <w:name w:val="Body Text"/>
    <w:basedOn w:val="1"/>
    <w:link w:val="57"/>
    <w:qFormat/>
    <w:uiPriority w:val="99"/>
    <w:pPr>
      <w:spacing w:after="120"/>
    </w:pPr>
    <w:rPr>
      <w:rFonts w:ascii="Times New Roman" w:hAnsi="Times New Roman"/>
      <w:sz w:val="24"/>
    </w:rPr>
  </w:style>
  <w:style w:type="paragraph" w:styleId="11">
    <w:name w:val="Body Text Indent"/>
    <w:basedOn w:val="1"/>
    <w:link w:val="58"/>
    <w:qFormat/>
    <w:uiPriority w:val="99"/>
    <w:pPr>
      <w:ind w:firstLine="560" w:firstLineChars="200"/>
    </w:pPr>
    <w:rPr>
      <w:rFonts w:ascii="Times New Roman" w:hAnsi="Times New Roman"/>
      <w:sz w:val="28"/>
    </w:rPr>
  </w:style>
  <w:style w:type="paragraph" w:styleId="12">
    <w:name w:val="List 2"/>
    <w:basedOn w:val="1"/>
    <w:qFormat/>
    <w:uiPriority w:val="0"/>
    <w:pPr>
      <w:adjustRightInd w:val="0"/>
      <w:spacing w:line="360" w:lineRule="atLeast"/>
      <w:jc w:val="center"/>
    </w:pPr>
    <w:rPr>
      <w:spacing w:val="8"/>
    </w:rPr>
  </w:style>
  <w:style w:type="paragraph" w:styleId="13">
    <w:name w:val="toc 3"/>
    <w:basedOn w:val="1"/>
    <w:next w:val="1"/>
    <w:unhideWhenUsed/>
    <w:qFormat/>
    <w:uiPriority w:val="0"/>
    <w:pPr>
      <w:widowControl/>
      <w:spacing w:after="100" w:line="276" w:lineRule="auto"/>
      <w:ind w:left="440"/>
      <w:jc w:val="left"/>
    </w:pPr>
    <w:rPr>
      <w:kern w:val="0"/>
      <w:sz w:val="22"/>
      <w:szCs w:val="22"/>
    </w:rPr>
  </w:style>
  <w:style w:type="paragraph" w:styleId="14">
    <w:name w:val="Plain Text"/>
    <w:basedOn w:val="1"/>
    <w:link w:val="45"/>
    <w:qFormat/>
    <w:uiPriority w:val="99"/>
    <w:rPr>
      <w:rFonts w:ascii="宋体" w:hAnsi="Courier New"/>
      <w:szCs w:val="21"/>
    </w:rPr>
  </w:style>
  <w:style w:type="paragraph" w:styleId="15">
    <w:name w:val="Date"/>
    <w:basedOn w:val="1"/>
    <w:next w:val="1"/>
    <w:link w:val="44"/>
    <w:qFormat/>
    <w:uiPriority w:val="99"/>
    <w:pPr>
      <w:ind w:left="100" w:leftChars="2500"/>
    </w:pPr>
  </w:style>
  <w:style w:type="paragraph" w:styleId="16">
    <w:name w:val="Body Text Indent 2"/>
    <w:basedOn w:val="1"/>
    <w:link w:val="59"/>
    <w:qFormat/>
    <w:uiPriority w:val="0"/>
    <w:pPr>
      <w:spacing w:after="120" w:line="480" w:lineRule="auto"/>
      <w:ind w:left="420" w:leftChars="200"/>
    </w:pPr>
    <w:rPr>
      <w:rFonts w:ascii="Times New Roman" w:hAnsi="Times New Roman"/>
    </w:rPr>
  </w:style>
  <w:style w:type="paragraph" w:styleId="17">
    <w:name w:val="Balloon Text"/>
    <w:basedOn w:val="1"/>
    <w:link w:val="47"/>
    <w:qFormat/>
    <w:uiPriority w:val="99"/>
    <w:rPr>
      <w:sz w:val="18"/>
      <w:szCs w:val="18"/>
    </w:rPr>
  </w:style>
  <w:style w:type="paragraph" w:styleId="18">
    <w:name w:val="footer"/>
    <w:basedOn w:val="1"/>
    <w:link w:val="129"/>
    <w:qFormat/>
    <w:uiPriority w:val="0"/>
    <w:pPr>
      <w:tabs>
        <w:tab w:val="center" w:pos="4153"/>
        <w:tab w:val="right" w:pos="8306"/>
      </w:tabs>
      <w:snapToGrid w:val="0"/>
      <w:jc w:val="left"/>
    </w:pPr>
    <w:rPr>
      <w:sz w:val="18"/>
    </w:rPr>
  </w:style>
  <w:style w:type="paragraph" w:styleId="19">
    <w:name w:val="header"/>
    <w:basedOn w:val="1"/>
    <w:link w:val="5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qFormat/>
    <w:uiPriority w:val="39"/>
  </w:style>
  <w:style w:type="paragraph" w:styleId="21">
    <w:name w:val="Body Text Indent 3"/>
    <w:basedOn w:val="1"/>
    <w:link w:val="60"/>
    <w:qFormat/>
    <w:uiPriority w:val="0"/>
    <w:pPr>
      <w:spacing w:after="120"/>
      <w:ind w:left="420" w:leftChars="200"/>
    </w:pPr>
    <w:rPr>
      <w:rFonts w:ascii="Times New Roman" w:hAnsi="Times New Roman"/>
      <w:sz w:val="16"/>
      <w:szCs w:val="16"/>
    </w:rPr>
  </w:style>
  <w:style w:type="paragraph" w:styleId="22">
    <w:name w:val="toc 2"/>
    <w:basedOn w:val="1"/>
    <w:next w:val="1"/>
    <w:qFormat/>
    <w:uiPriority w:val="0"/>
    <w:pPr>
      <w:ind w:left="420" w:leftChars="200"/>
    </w:pPr>
  </w:style>
  <w:style w:type="paragraph" w:styleId="2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4">
    <w:name w:val="annotation subject"/>
    <w:basedOn w:val="9"/>
    <w:next w:val="9"/>
    <w:link w:val="46"/>
    <w:qFormat/>
    <w:uiPriority w:val="99"/>
    <w:rPr>
      <w:b/>
      <w:bCs/>
    </w:rPr>
  </w:style>
  <w:style w:type="table" w:styleId="26">
    <w:name w:val="Table Grid"/>
    <w:basedOn w:val="2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uiPriority w:val="0"/>
    <w:rPr>
      <w:b/>
      <w:bCs/>
    </w:rPr>
  </w:style>
  <w:style w:type="character" w:styleId="29">
    <w:name w:val="page number"/>
    <w:basedOn w:val="27"/>
    <w:qFormat/>
    <w:uiPriority w:val="99"/>
  </w:style>
  <w:style w:type="character" w:styleId="30">
    <w:name w:val="FollowedHyperlink"/>
    <w:basedOn w:val="27"/>
    <w:semiHidden/>
    <w:unhideWhenUsed/>
    <w:qFormat/>
    <w:uiPriority w:val="99"/>
    <w:rPr>
      <w:color w:val="337AB7"/>
      <w:u w:val="none"/>
    </w:rPr>
  </w:style>
  <w:style w:type="character" w:styleId="31">
    <w:name w:val="HTML Definition"/>
    <w:basedOn w:val="27"/>
    <w:semiHidden/>
    <w:unhideWhenUsed/>
    <w:qFormat/>
    <w:uiPriority w:val="0"/>
    <w:rPr>
      <w:i/>
      <w:iCs/>
    </w:rPr>
  </w:style>
  <w:style w:type="character" w:styleId="32">
    <w:name w:val="Hyperlink"/>
    <w:basedOn w:val="27"/>
    <w:qFormat/>
    <w:uiPriority w:val="99"/>
    <w:rPr>
      <w:color w:val="337AB7"/>
      <w:sz w:val="27"/>
      <w:szCs w:val="27"/>
      <w:u w:val="none"/>
    </w:rPr>
  </w:style>
  <w:style w:type="character" w:styleId="33">
    <w:name w:val="HTML Code"/>
    <w:basedOn w:val="27"/>
    <w:semiHidden/>
    <w:unhideWhenUsed/>
    <w:qFormat/>
    <w:uiPriority w:val="0"/>
    <w:rPr>
      <w:rFonts w:hint="default" w:ascii="Consolas" w:hAnsi="Consolas" w:eastAsia="Consolas" w:cs="Consolas"/>
      <w:color w:val="C7254E"/>
      <w:sz w:val="21"/>
      <w:szCs w:val="21"/>
      <w:shd w:val="clear" w:fill="F9F2F4"/>
    </w:rPr>
  </w:style>
  <w:style w:type="character" w:styleId="34">
    <w:name w:val="annotation reference"/>
    <w:unhideWhenUsed/>
    <w:qFormat/>
    <w:uiPriority w:val="99"/>
    <w:rPr>
      <w:sz w:val="21"/>
      <w:szCs w:val="21"/>
    </w:rPr>
  </w:style>
  <w:style w:type="character" w:styleId="35">
    <w:name w:val="HTML Keyboard"/>
    <w:basedOn w:val="27"/>
    <w:semiHidden/>
    <w:unhideWhenUsed/>
    <w:qFormat/>
    <w:uiPriority w:val="0"/>
    <w:rPr>
      <w:rFonts w:hint="default" w:ascii="Consolas" w:hAnsi="Consolas" w:eastAsia="Consolas" w:cs="Consolas"/>
      <w:color w:val="FFFFFF"/>
      <w:sz w:val="21"/>
      <w:szCs w:val="21"/>
      <w:shd w:val="clear" w:fill="333333"/>
    </w:rPr>
  </w:style>
  <w:style w:type="character" w:styleId="36">
    <w:name w:val="HTML Sample"/>
    <w:basedOn w:val="27"/>
    <w:semiHidden/>
    <w:unhideWhenUsed/>
    <w:qFormat/>
    <w:uiPriority w:val="0"/>
    <w:rPr>
      <w:rFonts w:ascii="Consolas" w:hAnsi="Consolas" w:eastAsia="Consolas" w:cs="Consolas"/>
      <w:sz w:val="21"/>
      <w:szCs w:val="21"/>
    </w:rPr>
  </w:style>
  <w:style w:type="paragraph" w:customStyle="1" w:styleId="3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8">
    <w:name w:val="标题 1 Char"/>
    <w:link w:val="3"/>
    <w:qFormat/>
    <w:uiPriority w:val="0"/>
    <w:rPr>
      <w:b/>
      <w:kern w:val="44"/>
      <w:sz w:val="44"/>
    </w:rPr>
  </w:style>
  <w:style w:type="character" w:customStyle="1" w:styleId="39">
    <w:name w:val="标题 2 Char1"/>
    <w:basedOn w:val="27"/>
    <w:link w:val="2"/>
    <w:qFormat/>
    <w:uiPriority w:val="0"/>
    <w:rPr>
      <w:rFonts w:ascii="Arial" w:hAnsi="Arial" w:eastAsia="黑体"/>
      <w:b/>
      <w:kern w:val="2"/>
      <w:sz w:val="32"/>
      <w:szCs w:val="24"/>
    </w:rPr>
  </w:style>
  <w:style w:type="character" w:customStyle="1" w:styleId="40">
    <w:name w:val="标题 3 Char"/>
    <w:basedOn w:val="27"/>
    <w:link w:val="4"/>
    <w:qFormat/>
    <w:uiPriority w:val="99"/>
    <w:rPr>
      <w:rFonts w:ascii="Times New Roman" w:hAnsi="Times New Roman"/>
      <w:b/>
      <w:bCs/>
      <w:kern w:val="2"/>
      <w:sz w:val="32"/>
      <w:szCs w:val="32"/>
    </w:rPr>
  </w:style>
  <w:style w:type="character" w:customStyle="1" w:styleId="41">
    <w:name w:val="标题 4 Char"/>
    <w:basedOn w:val="27"/>
    <w:link w:val="5"/>
    <w:qFormat/>
    <w:uiPriority w:val="99"/>
    <w:rPr>
      <w:rFonts w:ascii="Arial" w:hAnsi="Arial" w:eastAsia="黑体"/>
      <w:bCs/>
      <w:sz w:val="24"/>
      <w:szCs w:val="28"/>
    </w:rPr>
  </w:style>
  <w:style w:type="character" w:customStyle="1" w:styleId="42">
    <w:name w:val="标题 5 Char"/>
    <w:basedOn w:val="27"/>
    <w:link w:val="6"/>
    <w:qFormat/>
    <w:uiPriority w:val="0"/>
    <w:rPr>
      <w:rFonts w:ascii="宋体" w:hAnsi="宋体"/>
      <w:color w:val="000000"/>
      <w:kern w:val="2"/>
      <w:sz w:val="28"/>
      <w:szCs w:val="24"/>
    </w:rPr>
  </w:style>
  <w:style w:type="character" w:customStyle="1" w:styleId="43">
    <w:name w:val="批注文字 Char"/>
    <w:link w:val="9"/>
    <w:qFormat/>
    <w:uiPriority w:val="99"/>
    <w:rPr>
      <w:rFonts w:ascii="Calibri" w:hAnsi="Calibri" w:eastAsia="宋体" w:cs="Times New Roman"/>
      <w:kern w:val="2"/>
      <w:sz w:val="21"/>
      <w:szCs w:val="24"/>
    </w:rPr>
  </w:style>
  <w:style w:type="character" w:customStyle="1" w:styleId="44">
    <w:name w:val="日期 Char"/>
    <w:link w:val="15"/>
    <w:qFormat/>
    <w:uiPriority w:val="99"/>
    <w:rPr>
      <w:rFonts w:ascii="Calibri" w:hAnsi="Calibri" w:eastAsia="宋体" w:cs="Times New Roman"/>
      <w:kern w:val="2"/>
      <w:sz w:val="21"/>
      <w:szCs w:val="24"/>
    </w:rPr>
  </w:style>
  <w:style w:type="character" w:customStyle="1" w:styleId="45">
    <w:name w:val="纯文本 Char"/>
    <w:link w:val="14"/>
    <w:qFormat/>
    <w:uiPriority w:val="99"/>
    <w:rPr>
      <w:rFonts w:ascii="宋体" w:hAnsi="Courier New" w:eastAsia="宋体" w:cs="Courier New"/>
      <w:kern w:val="2"/>
      <w:sz w:val="21"/>
      <w:szCs w:val="21"/>
    </w:rPr>
  </w:style>
  <w:style w:type="character" w:customStyle="1" w:styleId="46">
    <w:name w:val="批注主题 Char"/>
    <w:link w:val="24"/>
    <w:qFormat/>
    <w:uiPriority w:val="99"/>
    <w:rPr>
      <w:rFonts w:ascii="Calibri" w:hAnsi="Calibri" w:eastAsia="宋体" w:cs="Times New Roman"/>
      <w:b/>
      <w:bCs/>
      <w:kern w:val="2"/>
      <w:sz w:val="21"/>
      <w:szCs w:val="24"/>
    </w:rPr>
  </w:style>
  <w:style w:type="character" w:customStyle="1" w:styleId="47">
    <w:name w:val="批注框文本 Char"/>
    <w:link w:val="17"/>
    <w:qFormat/>
    <w:uiPriority w:val="99"/>
    <w:rPr>
      <w:rFonts w:ascii="Calibri" w:hAnsi="Calibri" w:eastAsia="宋体" w:cs="Times New Roman"/>
      <w:kern w:val="2"/>
      <w:sz w:val="18"/>
      <w:szCs w:val="18"/>
    </w:rPr>
  </w:style>
  <w:style w:type="paragraph" w:customStyle="1" w:styleId="48">
    <w:name w:val="列出段落11"/>
    <w:basedOn w:val="1"/>
    <w:qFormat/>
    <w:uiPriority w:val="34"/>
    <w:pPr>
      <w:ind w:firstLine="420" w:firstLineChars="200"/>
    </w:pPr>
    <w:rPr>
      <w:szCs w:val="22"/>
      <w:lang w:val="zh-CN"/>
    </w:rPr>
  </w:style>
  <w:style w:type="paragraph" w:customStyle="1" w:styleId="49">
    <w:name w:val="TOC 标题1"/>
    <w:basedOn w:val="3"/>
    <w:next w:val="1"/>
    <w:qFormat/>
    <w:uiPriority w:val="39"/>
    <w:pPr>
      <w:widowControl/>
      <w:spacing w:before="480" w:after="0" w:line="276" w:lineRule="auto"/>
      <w:jc w:val="left"/>
      <w:outlineLvl w:val="9"/>
    </w:pPr>
    <w:rPr>
      <w:rFonts w:ascii="Calibri Light" w:hAnsi="Calibri Light"/>
      <w:bCs/>
      <w:color w:val="2E74B5"/>
      <w:kern w:val="0"/>
      <w:sz w:val="28"/>
      <w:szCs w:val="28"/>
    </w:rPr>
  </w:style>
  <w:style w:type="character" w:customStyle="1" w:styleId="50">
    <w:name w:val="页脚 字符"/>
    <w:basedOn w:val="27"/>
    <w:link w:val="18"/>
    <w:qFormat/>
    <w:uiPriority w:val="0"/>
    <w:rPr>
      <w:kern w:val="2"/>
      <w:sz w:val="18"/>
      <w:szCs w:val="24"/>
    </w:rPr>
  </w:style>
  <w:style w:type="character" w:customStyle="1" w:styleId="51">
    <w:name w:val="页眉 Char"/>
    <w:basedOn w:val="27"/>
    <w:link w:val="19"/>
    <w:qFormat/>
    <w:uiPriority w:val="99"/>
    <w:rPr>
      <w:kern w:val="2"/>
      <w:sz w:val="18"/>
      <w:szCs w:val="24"/>
    </w:rPr>
  </w:style>
  <w:style w:type="paragraph" w:styleId="52">
    <w:name w:val="List Paragraph"/>
    <w:basedOn w:val="1"/>
    <w:qFormat/>
    <w:uiPriority w:val="0"/>
    <w:pPr>
      <w:ind w:firstLine="420" w:firstLineChars="200"/>
    </w:pPr>
  </w:style>
  <w:style w:type="paragraph" w:customStyle="1" w:styleId="53">
    <w:name w:val="修订1"/>
    <w:unhideWhenUsed/>
    <w:qFormat/>
    <w:uiPriority w:val="99"/>
    <w:rPr>
      <w:rFonts w:ascii="Calibri" w:hAnsi="Calibri" w:eastAsia="宋体" w:cs="Times New Roman"/>
      <w:kern w:val="2"/>
      <w:sz w:val="21"/>
      <w:szCs w:val="24"/>
      <w:lang w:val="en-US" w:eastAsia="zh-CN" w:bidi="ar-SA"/>
    </w:rPr>
  </w:style>
  <w:style w:type="paragraph" w:customStyle="1" w:styleId="54">
    <w:name w:val="样式1"/>
    <w:basedOn w:val="1"/>
    <w:qFormat/>
    <w:uiPriority w:val="99"/>
    <w:pPr>
      <w:tabs>
        <w:tab w:val="left" w:pos="709"/>
      </w:tabs>
      <w:adjustRightInd w:val="0"/>
      <w:ind w:left="709" w:hanging="709"/>
      <w:textAlignment w:val="baseline"/>
    </w:pPr>
    <w:rPr>
      <w:rFonts w:ascii="宋体" w:hAnsi="宋体"/>
      <w:kern w:val="0"/>
      <w:szCs w:val="21"/>
    </w:rPr>
  </w:style>
  <w:style w:type="paragraph" w:customStyle="1" w:styleId="55">
    <w:name w:val="WPSOffice手动目录 1"/>
    <w:qFormat/>
    <w:uiPriority w:val="0"/>
    <w:rPr>
      <w:rFonts w:ascii="Calibri" w:hAnsi="Calibri" w:eastAsia="宋体" w:cs="Times New Roman"/>
      <w:lang w:val="en-US" w:eastAsia="zh-CN" w:bidi="ar-SA"/>
    </w:rPr>
  </w:style>
  <w:style w:type="character" w:customStyle="1" w:styleId="56">
    <w:name w:val="文档结构图 Char"/>
    <w:basedOn w:val="27"/>
    <w:link w:val="8"/>
    <w:semiHidden/>
    <w:qFormat/>
    <w:uiPriority w:val="99"/>
    <w:rPr>
      <w:rFonts w:ascii="Times New Roman" w:hAnsi="Times New Roman"/>
      <w:kern w:val="2"/>
      <w:sz w:val="21"/>
      <w:szCs w:val="21"/>
      <w:shd w:val="clear" w:color="auto" w:fill="000080"/>
    </w:rPr>
  </w:style>
  <w:style w:type="character" w:customStyle="1" w:styleId="57">
    <w:name w:val="正文文本 Char"/>
    <w:basedOn w:val="27"/>
    <w:link w:val="10"/>
    <w:qFormat/>
    <w:uiPriority w:val="99"/>
    <w:rPr>
      <w:rFonts w:ascii="Times New Roman" w:hAnsi="Times New Roman"/>
      <w:kern w:val="2"/>
      <w:sz w:val="24"/>
      <w:szCs w:val="24"/>
    </w:rPr>
  </w:style>
  <w:style w:type="character" w:customStyle="1" w:styleId="58">
    <w:name w:val="正文文本缩进 Char"/>
    <w:basedOn w:val="27"/>
    <w:link w:val="11"/>
    <w:qFormat/>
    <w:uiPriority w:val="99"/>
    <w:rPr>
      <w:rFonts w:ascii="Times New Roman" w:hAnsi="Times New Roman"/>
      <w:kern w:val="2"/>
      <w:sz w:val="28"/>
      <w:szCs w:val="24"/>
    </w:rPr>
  </w:style>
  <w:style w:type="character" w:customStyle="1" w:styleId="59">
    <w:name w:val="正文文本缩进 2 Char"/>
    <w:basedOn w:val="27"/>
    <w:link w:val="16"/>
    <w:qFormat/>
    <w:uiPriority w:val="0"/>
    <w:rPr>
      <w:rFonts w:ascii="Times New Roman" w:hAnsi="Times New Roman"/>
      <w:kern w:val="2"/>
      <w:sz w:val="21"/>
      <w:szCs w:val="24"/>
    </w:rPr>
  </w:style>
  <w:style w:type="character" w:customStyle="1" w:styleId="60">
    <w:name w:val="正文文本缩进 3 Char"/>
    <w:basedOn w:val="27"/>
    <w:link w:val="21"/>
    <w:qFormat/>
    <w:uiPriority w:val="0"/>
    <w:rPr>
      <w:rFonts w:ascii="Times New Roman" w:hAnsi="Times New Roman"/>
      <w:kern w:val="2"/>
      <w:sz w:val="16"/>
      <w:szCs w:val="16"/>
    </w:rPr>
  </w:style>
  <w:style w:type="paragraph" w:styleId="61">
    <w:name w:val="No Spacing"/>
    <w:link w:val="62"/>
    <w:qFormat/>
    <w:uiPriority w:val="1"/>
    <w:rPr>
      <w:rFonts w:ascii="Calibri" w:hAnsi="Calibri" w:eastAsia="宋体" w:cs="Times New Roman"/>
      <w:sz w:val="22"/>
      <w:szCs w:val="22"/>
      <w:lang w:val="en-US" w:eastAsia="zh-CN" w:bidi="ar-SA"/>
    </w:rPr>
  </w:style>
  <w:style w:type="character" w:customStyle="1" w:styleId="62">
    <w:name w:val="无间隔 Char"/>
    <w:basedOn w:val="27"/>
    <w:link w:val="61"/>
    <w:qFormat/>
    <w:uiPriority w:val="1"/>
    <w:rPr>
      <w:sz w:val="22"/>
      <w:szCs w:val="22"/>
      <w:lang w:val="en-US" w:eastAsia="zh-CN" w:bidi="ar-SA"/>
    </w:rPr>
  </w:style>
  <w:style w:type="paragraph" w:customStyle="1" w:styleId="63">
    <w:name w:val="正文_6"/>
    <w:qFormat/>
    <w:uiPriority w:val="0"/>
    <w:pPr>
      <w:widowControl w:val="0"/>
      <w:jc w:val="both"/>
    </w:pPr>
    <w:rPr>
      <w:rFonts w:ascii="Times New Roman" w:hAnsi="Times New Roman" w:eastAsia="宋体" w:cs="Times New Roman"/>
      <w:szCs w:val="24"/>
      <w:lang w:val="en-US" w:eastAsia="zh-CN" w:bidi="ar-SA"/>
    </w:rPr>
  </w:style>
  <w:style w:type="paragraph" w:customStyle="1" w:styleId="64">
    <w:name w:val="正文_8"/>
    <w:qFormat/>
    <w:uiPriority w:val="0"/>
    <w:pPr>
      <w:widowControl w:val="0"/>
      <w:jc w:val="both"/>
    </w:pPr>
    <w:rPr>
      <w:rFonts w:ascii="Calibri" w:hAnsi="Calibri" w:eastAsia="宋体" w:cs="Times New Roman"/>
      <w:kern w:val="2"/>
      <w:sz w:val="21"/>
      <w:szCs w:val="24"/>
      <w:lang w:val="en-US" w:eastAsia="zh-CN" w:bidi="ar-SA"/>
    </w:rPr>
  </w:style>
  <w:style w:type="paragraph" w:customStyle="1" w:styleId="65">
    <w:name w:val="标题 5_0"/>
    <w:basedOn w:val="64"/>
    <w:next w:val="64"/>
    <w:unhideWhenUsed/>
    <w:qFormat/>
    <w:uiPriority w:val="0"/>
    <w:pPr>
      <w:keepNext/>
      <w:keepLines/>
      <w:jc w:val="center"/>
      <w:outlineLvl w:val="4"/>
    </w:pPr>
    <w:rPr>
      <w:rFonts w:ascii="宋体" w:hAnsi="宋体"/>
      <w:b/>
      <w:bCs/>
      <w:kern w:val="0"/>
      <w:sz w:val="20"/>
      <w:szCs w:val="21"/>
    </w:rPr>
  </w:style>
  <w:style w:type="paragraph" w:customStyle="1" w:styleId="66">
    <w:name w:val="标题 4_1"/>
    <w:basedOn w:val="64"/>
    <w:next w:val="64"/>
    <w:unhideWhenUsed/>
    <w:qFormat/>
    <w:uiPriority w:val="0"/>
    <w:pPr>
      <w:keepNext/>
      <w:keepLines/>
      <w:outlineLvl w:val="3"/>
    </w:pPr>
    <w:rPr>
      <w:rFonts w:ascii="Arial" w:hAnsi="Arial" w:eastAsia="黑体"/>
      <w:bCs/>
      <w:kern w:val="0"/>
      <w:sz w:val="24"/>
      <w:szCs w:val="28"/>
    </w:rPr>
  </w:style>
  <w:style w:type="paragraph" w:customStyle="1" w:styleId="67">
    <w:name w:val="正文_16"/>
    <w:qFormat/>
    <w:uiPriority w:val="0"/>
    <w:pPr>
      <w:widowControl w:val="0"/>
      <w:jc w:val="both"/>
    </w:pPr>
    <w:rPr>
      <w:rFonts w:ascii="Calibri" w:hAnsi="Calibri" w:eastAsia="宋体" w:cs="Times New Roman"/>
      <w:kern w:val="2"/>
      <w:sz w:val="21"/>
      <w:szCs w:val="22"/>
      <w:lang w:val="en-US" w:eastAsia="zh-CN" w:bidi="ar-SA"/>
    </w:rPr>
  </w:style>
  <w:style w:type="paragraph" w:customStyle="1" w:styleId="68">
    <w:name w:val="标题 3_0标书3"/>
    <w:basedOn w:val="1"/>
    <w:next w:val="1"/>
    <w:link w:val="69"/>
    <w:qFormat/>
    <w:uiPriority w:val="0"/>
    <w:pPr>
      <w:keepNext/>
      <w:keepLines/>
      <w:spacing w:before="260" w:after="260"/>
      <w:jc w:val="left"/>
      <w:outlineLvl w:val="2"/>
    </w:pPr>
    <w:rPr>
      <w:rFonts w:ascii="Times New Roman" w:hAnsi="Times New Roman"/>
      <w:b/>
      <w:bCs/>
      <w:kern w:val="0"/>
      <w:sz w:val="28"/>
      <w:szCs w:val="32"/>
    </w:rPr>
  </w:style>
  <w:style w:type="character" w:customStyle="1" w:styleId="69">
    <w:name w:val="标题 3_0标书3 Char Char"/>
    <w:link w:val="68"/>
    <w:qFormat/>
    <w:locked/>
    <w:uiPriority w:val="0"/>
    <w:rPr>
      <w:rFonts w:ascii="Times New Roman" w:hAnsi="Times New Roman"/>
      <w:b/>
      <w:bCs/>
      <w:sz w:val="28"/>
      <w:szCs w:val="32"/>
    </w:rPr>
  </w:style>
  <w:style w:type="paragraph" w:customStyle="1" w:styleId="70">
    <w:name w:val="正文_0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71">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72">
    <w:name w:val="正文_1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73">
    <w:name w:val="正文_2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7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75">
    <w:name w:val="表格"/>
    <w:basedOn w:val="1"/>
    <w:qFormat/>
    <w:uiPriority w:val="0"/>
    <w:pPr>
      <w:adjustRightInd w:val="0"/>
      <w:snapToGrid w:val="0"/>
      <w:spacing w:line="360" w:lineRule="auto"/>
      <w:jc w:val="center"/>
    </w:pPr>
  </w:style>
  <w:style w:type="paragraph" w:customStyle="1" w:styleId="76">
    <w:name w:val="样式 样式 正文文字缩进 2 + 首行缩进:  2 字符 + 左侧:  -0.01 字符 首行缩进:  2 字符"/>
    <w:basedOn w:val="1"/>
    <w:qFormat/>
    <w:uiPriority w:val="0"/>
    <w:pPr>
      <w:tabs>
        <w:tab w:val="left" w:pos="-142"/>
        <w:tab w:val="left" w:pos="532"/>
      </w:tabs>
      <w:adjustRightInd w:val="0"/>
      <w:snapToGrid w:val="0"/>
      <w:spacing w:line="360" w:lineRule="auto"/>
      <w:ind w:left="-1" w:firstLine="200" w:firstLineChars="200"/>
      <w:jc w:val="left"/>
    </w:pPr>
    <w:rPr>
      <w:rFonts w:ascii="宋体" w:hAnsi="宋体" w:cs="宋体"/>
      <w:kern w:val="0"/>
      <w:sz w:val="28"/>
      <w:szCs w:val="20"/>
    </w:rPr>
  </w:style>
  <w:style w:type="paragraph" w:customStyle="1" w:styleId="77">
    <w:name w:val="公式"/>
    <w:basedOn w:val="1"/>
    <w:next w:val="1"/>
    <w:qFormat/>
    <w:uiPriority w:val="0"/>
    <w:pPr>
      <w:tabs>
        <w:tab w:val="center" w:pos="4253"/>
        <w:tab w:val="right" w:pos="8222"/>
      </w:tabs>
      <w:snapToGrid w:val="0"/>
      <w:spacing w:line="360" w:lineRule="auto"/>
    </w:pPr>
    <w:rPr>
      <w:sz w:val="24"/>
      <w:szCs w:val="20"/>
    </w:rPr>
  </w:style>
  <w:style w:type="paragraph" w:customStyle="1" w:styleId="78">
    <w:name w:val="正文_5"/>
    <w:qFormat/>
    <w:uiPriority w:val="0"/>
    <w:pPr>
      <w:widowControl w:val="0"/>
      <w:jc w:val="both"/>
    </w:pPr>
    <w:rPr>
      <w:rFonts w:ascii="Calibri" w:hAnsi="Calibri" w:eastAsia="宋体" w:cs="Times New Roman"/>
      <w:kern w:val="2"/>
      <w:sz w:val="21"/>
      <w:szCs w:val="24"/>
      <w:lang w:val="en-US" w:eastAsia="zh-CN" w:bidi="ar-SA"/>
    </w:rPr>
  </w:style>
  <w:style w:type="paragraph" w:customStyle="1" w:styleId="79">
    <w:name w:val="正文_7"/>
    <w:qFormat/>
    <w:uiPriority w:val="0"/>
    <w:pPr>
      <w:widowControl w:val="0"/>
      <w:jc w:val="both"/>
    </w:pPr>
    <w:rPr>
      <w:rFonts w:ascii="Calibri" w:hAnsi="Calibri" w:eastAsia="宋体" w:cs="Times New Roman"/>
      <w:kern w:val="2"/>
      <w:sz w:val="21"/>
      <w:szCs w:val="24"/>
      <w:lang w:val="en-US" w:eastAsia="zh-CN" w:bidi="ar-SA"/>
    </w:rPr>
  </w:style>
  <w:style w:type="paragraph" w:customStyle="1" w:styleId="80">
    <w:name w:val="标题 2_1_0"/>
    <w:basedOn w:val="1"/>
    <w:next w:val="1"/>
    <w:unhideWhenUsed/>
    <w:qFormat/>
    <w:uiPriority w:val="0"/>
    <w:pPr>
      <w:keepNext/>
      <w:keepLines/>
      <w:spacing w:before="120" w:after="120"/>
      <w:jc w:val="center"/>
      <w:outlineLvl w:val="1"/>
    </w:pPr>
    <w:rPr>
      <w:rFonts w:ascii="Arial" w:hAnsi="Arial" w:eastAsia="黑体"/>
      <w:b/>
      <w:bCs/>
      <w:kern w:val="0"/>
      <w:sz w:val="32"/>
      <w:szCs w:val="32"/>
    </w:rPr>
  </w:style>
  <w:style w:type="paragraph" w:customStyle="1" w:styleId="81">
    <w:name w:val="索引 1_0"/>
    <w:basedOn w:val="64"/>
    <w:next w:val="64"/>
    <w:unhideWhenUsed/>
    <w:qFormat/>
    <w:uiPriority w:val="0"/>
    <w:pPr>
      <w:spacing w:line="220" w:lineRule="exact"/>
      <w:jc w:val="center"/>
    </w:pPr>
    <w:rPr>
      <w:rFonts w:ascii="仿宋_GB2312" w:eastAsia="仿宋_GB2312"/>
      <w:szCs w:val="21"/>
    </w:rPr>
  </w:style>
  <w:style w:type="paragraph" w:customStyle="1" w:styleId="82">
    <w:name w:val="正文_10"/>
    <w:qFormat/>
    <w:uiPriority w:val="0"/>
    <w:pPr>
      <w:widowControl w:val="0"/>
      <w:jc w:val="both"/>
    </w:pPr>
    <w:rPr>
      <w:rFonts w:ascii="Calibri" w:hAnsi="Calibri" w:eastAsia="宋体" w:cs="Times New Roman"/>
      <w:kern w:val="2"/>
      <w:sz w:val="21"/>
      <w:szCs w:val="24"/>
      <w:lang w:val="en-US" w:eastAsia="zh-CN" w:bidi="ar-SA"/>
    </w:rPr>
  </w:style>
  <w:style w:type="paragraph" w:customStyle="1" w:styleId="83">
    <w:name w:val="目录 1_0"/>
    <w:basedOn w:val="82"/>
    <w:next w:val="82"/>
    <w:unhideWhenUsed/>
    <w:qFormat/>
    <w:uiPriority w:val="0"/>
    <w:pPr>
      <w:tabs>
        <w:tab w:val="right" w:leader="dot" w:pos="8302"/>
      </w:tabs>
      <w:spacing w:line="440" w:lineRule="exact"/>
      <w:ind w:left="540"/>
      <w:jc w:val="left"/>
    </w:pPr>
  </w:style>
  <w:style w:type="paragraph" w:customStyle="1" w:styleId="84">
    <w:name w:val="正文_13"/>
    <w:qFormat/>
    <w:uiPriority w:val="0"/>
    <w:pPr>
      <w:widowControl w:val="0"/>
      <w:jc w:val="both"/>
    </w:pPr>
    <w:rPr>
      <w:rFonts w:ascii="Calibri" w:hAnsi="Calibri" w:eastAsia="宋体" w:cs="Times New Roman"/>
      <w:kern w:val="2"/>
      <w:sz w:val="21"/>
      <w:szCs w:val="24"/>
      <w:lang w:val="en-US" w:eastAsia="zh-CN" w:bidi="ar-SA"/>
    </w:rPr>
  </w:style>
  <w:style w:type="paragraph" w:customStyle="1" w:styleId="85">
    <w:name w:val="正文_14"/>
    <w:qFormat/>
    <w:uiPriority w:val="0"/>
    <w:pPr>
      <w:widowControl w:val="0"/>
      <w:jc w:val="both"/>
    </w:pPr>
    <w:rPr>
      <w:rFonts w:ascii="Calibri" w:hAnsi="Calibri" w:eastAsia="宋体" w:cs="Times New Roman"/>
      <w:kern w:val="2"/>
      <w:sz w:val="21"/>
      <w:szCs w:val="24"/>
      <w:lang w:val="en-US" w:eastAsia="zh-CN" w:bidi="ar-SA"/>
    </w:rPr>
  </w:style>
  <w:style w:type="paragraph" w:customStyle="1" w:styleId="86">
    <w:name w:val="表格头"/>
    <w:qFormat/>
    <w:uiPriority w:val="0"/>
    <w:pPr>
      <w:widowControl w:val="0"/>
      <w:adjustRightInd w:val="0"/>
      <w:snapToGrid w:val="0"/>
      <w:spacing w:line="400" w:lineRule="exact"/>
      <w:jc w:val="both"/>
    </w:pPr>
    <w:rPr>
      <w:rFonts w:ascii="Calibri" w:hAnsi="Calibri" w:eastAsia="宋体" w:cs="Times New Roman"/>
      <w:kern w:val="2"/>
      <w:sz w:val="21"/>
      <w:szCs w:val="24"/>
      <w:lang w:val="en-US" w:eastAsia="zh-CN" w:bidi="ar-SA"/>
    </w:rPr>
  </w:style>
  <w:style w:type="paragraph" w:customStyle="1" w:styleId="87">
    <w:name w:val="reader-word-layer reader-word-s10-0"/>
    <w:basedOn w:val="1"/>
    <w:qFormat/>
    <w:uiPriority w:val="0"/>
    <w:pPr>
      <w:widowControl/>
      <w:spacing w:before="100" w:beforeAutospacing="1" w:after="100" w:afterAutospacing="1"/>
      <w:jc w:val="left"/>
    </w:pPr>
    <w:rPr>
      <w:rFonts w:ascii="宋体" w:hAnsi="宋体" w:cs="宋体"/>
      <w:kern w:val="0"/>
      <w:sz w:val="24"/>
    </w:rPr>
  </w:style>
  <w:style w:type="paragraph" w:customStyle="1" w:styleId="88">
    <w:name w:val="reader-word-layer reader-word-s10-6"/>
    <w:basedOn w:val="1"/>
    <w:qFormat/>
    <w:uiPriority w:val="0"/>
    <w:pPr>
      <w:widowControl/>
      <w:spacing w:before="100" w:beforeAutospacing="1" w:after="100" w:afterAutospacing="1"/>
      <w:jc w:val="left"/>
    </w:pPr>
    <w:rPr>
      <w:rFonts w:ascii="宋体" w:hAnsi="宋体" w:cs="宋体"/>
      <w:kern w:val="0"/>
      <w:sz w:val="24"/>
    </w:rPr>
  </w:style>
  <w:style w:type="paragraph" w:customStyle="1" w:styleId="89">
    <w:name w:val="slStyle10"/>
    <w:basedOn w:val="1"/>
    <w:next w:val="1"/>
    <w:qFormat/>
    <w:uiPriority w:val="0"/>
    <w:rPr>
      <w:rFonts w:ascii="宋体" w:hAnsi="宋体"/>
      <w:sz w:val="20"/>
    </w:rPr>
  </w:style>
  <w:style w:type="character" w:customStyle="1" w:styleId="90">
    <w:name w:val="navname1"/>
    <w:basedOn w:val="27"/>
    <w:qFormat/>
    <w:uiPriority w:val="99"/>
    <w:rPr>
      <w:rFonts w:ascii="Arial" w:hAnsi="Arial" w:cs="Arial"/>
      <w:b/>
      <w:bCs/>
      <w:color w:val="000000"/>
      <w:sz w:val="21"/>
      <w:szCs w:val="21"/>
      <w:u w:val="none"/>
    </w:rPr>
  </w:style>
  <w:style w:type="paragraph" w:customStyle="1" w:styleId="91">
    <w:name w:val="Char1"/>
    <w:basedOn w:val="1"/>
    <w:qFormat/>
    <w:uiPriority w:val="99"/>
    <w:rPr>
      <w:rFonts w:ascii="Times New Roman" w:hAnsi="Times New Roman"/>
    </w:rPr>
  </w:style>
  <w:style w:type="paragraph" w:customStyle="1" w:styleId="92">
    <w:name w:val="xl63"/>
    <w:basedOn w:val="1"/>
    <w:qFormat/>
    <w:uiPriority w:val="0"/>
    <w:pPr>
      <w:widowControl/>
      <w:shd w:val="clear" w:color="000000" w:fill="FFFFFF"/>
      <w:spacing w:before="100" w:beforeAutospacing="1" w:after="100" w:afterAutospacing="1"/>
      <w:jc w:val="left"/>
      <w:textAlignment w:val="top"/>
    </w:pPr>
    <w:rPr>
      <w:rFonts w:ascii="SansSerif" w:hAnsi="SansSerif" w:cs="宋体"/>
      <w:color w:val="000000"/>
      <w:kern w:val="0"/>
      <w:sz w:val="24"/>
    </w:rPr>
  </w:style>
  <w:style w:type="paragraph" w:customStyle="1" w:styleId="93">
    <w:name w:val="xl65"/>
    <w:basedOn w:val="1"/>
    <w:qFormat/>
    <w:uiPriority w:val="0"/>
    <w:pPr>
      <w:widowControl/>
      <w:shd w:val="clear" w:color="000000" w:fill="FFFFFF"/>
      <w:spacing w:before="100" w:beforeAutospacing="1" w:after="100" w:afterAutospacing="1"/>
      <w:jc w:val="right"/>
      <w:textAlignment w:val="center"/>
    </w:pPr>
    <w:rPr>
      <w:rFonts w:ascii="宋体" w:hAnsi="宋体" w:cs="宋体"/>
      <w:color w:val="000000"/>
      <w:kern w:val="0"/>
      <w:sz w:val="16"/>
      <w:szCs w:val="16"/>
    </w:rPr>
  </w:style>
  <w:style w:type="paragraph" w:customStyle="1" w:styleId="94">
    <w:name w:val="xl66"/>
    <w:basedOn w:val="1"/>
    <w:qFormat/>
    <w:uiPriority w:val="0"/>
    <w:pPr>
      <w:widowControl/>
      <w:pBdr>
        <w:left w:val="single" w:color="000000" w:sz="8"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cs="宋体"/>
      <w:b/>
      <w:bCs/>
      <w:color w:val="000000"/>
      <w:kern w:val="0"/>
      <w:sz w:val="16"/>
      <w:szCs w:val="16"/>
    </w:rPr>
  </w:style>
  <w:style w:type="paragraph" w:customStyle="1" w:styleId="95">
    <w:name w:val="xl67"/>
    <w:basedOn w:val="1"/>
    <w:qFormat/>
    <w:uiPriority w:val="0"/>
    <w:pPr>
      <w:widowControl/>
      <w:pBdr>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cs="宋体"/>
      <w:b/>
      <w:bCs/>
      <w:color w:val="000000"/>
      <w:kern w:val="0"/>
      <w:sz w:val="16"/>
      <w:szCs w:val="16"/>
    </w:rPr>
  </w:style>
  <w:style w:type="paragraph" w:customStyle="1" w:styleId="96">
    <w:name w:val="xl68"/>
    <w:basedOn w:val="1"/>
    <w:qFormat/>
    <w:uiPriority w:val="0"/>
    <w:pPr>
      <w:widowControl/>
      <w:pBdr>
        <w:bottom w:val="single" w:color="000000" w:sz="4" w:space="0"/>
        <w:right w:val="single" w:color="000000" w:sz="8" w:space="0"/>
      </w:pBdr>
      <w:shd w:val="clear" w:color="000000" w:fill="FFFFFF"/>
      <w:spacing w:before="100" w:beforeAutospacing="1" w:after="100" w:afterAutospacing="1"/>
      <w:jc w:val="center"/>
      <w:textAlignment w:val="center"/>
    </w:pPr>
    <w:rPr>
      <w:rFonts w:ascii="宋体" w:hAnsi="宋体" w:cs="宋体"/>
      <w:b/>
      <w:bCs/>
      <w:color w:val="000000"/>
      <w:kern w:val="0"/>
      <w:sz w:val="16"/>
      <w:szCs w:val="16"/>
    </w:rPr>
  </w:style>
  <w:style w:type="paragraph" w:customStyle="1" w:styleId="97">
    <w:name w:val="xl69"/>
    <w:basedOn w:val="1"/>
    <w:qFormat/>
    <w:uiPriority w:val="0"/>
    <w:pPr>
      <w:widowControl/>
      <w:pBdr>
        <w:left w:val="single" w:color="000000" w:sz="8"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cs="宋体"/>
      <w:color w:val="000000"/>
      <w:kern w:val="0"/>
      <w:sz w:val="16"/>
      <w:szCs w:val="16"/>
    </w:rPr>
  </w:style>
  <w:style w:type="paragraph" w:customStyle="1" w:styleId="98">
    <w:name w:val="xl70"/>
    <w:basedOn w:val="1"/>
    <w:qFormat/>
    <w:uiPriority w:val="0"/>
    <w:pPr>
      <w:widowControl/>
      <w:pBdr>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cs="宋体"/>
      <w:color w:val="000000"/>
      <w:kern w:val="0"/>
      <w:sz w:val="16"/>
      <w:szCs w:val="16"/>
    </w:rPr>
  </w:style>
  <w:style w:type="paragraph" w:customStyle="1" w:styleId="99">
    <w:name w:val="xl71"/>
    <w:basedOn w:val="1"/>
    <w:qFormat/>
    <w:uiPriority w:val="0"/>
    <w:pPr>
      <w:widowControl/>
      <w:pBdr>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cs="宋体"/>
      <w:color w:val="000000"/>
      <w:kern w:val="0"/>
      <w:sz w:val="16"/>
      <w:szCs w:val="16"/>
    </w:rPr>
  </w:style>
  <w:style w:type="paragraph" w:customStyle="1" w:styleId="100">
    <w:name w:val="xl72"/>
    <w:basedOn w:val="1"/>
    <w:qFormat/>
    <w:uiPriority w:val="0"/>
    <w:pPr>
      <w:widowControl/>
      <w:pBdr>
        <w:bottom w:val="single" w:color="000000" w:sz="4" w:space="0"/>
        <w:right w:val="single" w:color="000000" w:sz="4" w:space="0"/>
      </w:pBdr>
      <w:shd w:val="clear" w:color="000000" w:fill="FFFFFF"/>
      <w:spacing w:before="100" w:beforeAutospacing="1" w:after="100" w:afterAutospacing="1"/>
      <w:jc w:val="right"/>
      <w:textAlignment w:val="center"/>
    </w:pPr>
    <w:rPr>
      <w:rFonts w:ascii="Arial Narrow" w:hAnsi="Arial Narrow" w:cs="宋体"/>
      <w:color w:val="000000"/>
      <w:kern w:val="0"/>
      <w:sz w:val="16"/>
      <w:szCs w:val="16"/>
    </w:rPr>
  </w:style>
  <w:style w:type="paragraph" w:customStyle="1" w:styleId="101">
    <w:name w:val="xl73"/>
    <w:basedOn w:val="1"/>
    <w:qFormat/>
    <w:uiPriority w:val="0"/>
    <w:pPr>
      <w:widowControl/>
      <w:pBdr>
        <w:bottom w:val="single" w:color="000000" w:sz="4" w:space="0"/>
        <w:right w:val="single" w:color="000000" w:sz="8" w:space="0"/>
      </w:pBdr>
      <w:shd w:val="clear" w:color="000000" w:fill="FFFFFF"/>
      <w:spacing w:before="100" w:beforeAutospacing="1" w:after="100" w:afterAutospacing="1"/>
      <w:jc w:val="right"/>
      <w:textAlignment w:val="center"/>
    </w:pPr>
    <w:rPr>
      <w:rFonts w:ascii="Arial Narrow" w:hAnsi="Arial Narrow" w:cs="宋体"/>
      <w:color w:val="000000"/>
      <w:kern w:val="0"/>
      <w:sz w:val="16"/>
      <w:szCs w:val="16"/>
    </w:rPr>
  </w:style>
  <w:style w:type="paragraph" w:customStyle="1" w:styleId="102">
    <w:name w:val="xl74"/>
    <w:basedOn w:val="1"/>
    <w:qFormat/>
    <w:uiPriority w:val="0"/>
    <w:pPr>
      <w:widowControl/>
      <w:pBdr>
        <w:bottom w:val="single" w:color="000000" w:sz="4" w:space="0"/>
        <w:right w:val="single" w:color="000000" w:sz="4" w:space="0"/>
      </w:pBdr>
      <w:shd w:val="clear" w:color="000000" w:fill="FFFFFF"/>
      <w:spacing w:before="100" w:beforeAutospacing="1" w:after="100" w:afterAutospacing="1"/>
      <w:jc w:val="right"/>
      <w:textAlignment w:val="center"/>
    </w:pPr>
    <w:rPr>
      <w:rFonts w:ascii="Arial Narrow" w:hAnsi="Arial Narrow" w:cs="宋体"/>
      <w:color w:val="000000"/>
      <w:kern w:val="0"/>
      <w:sz w:val="16"/>
      <w:szCs w:val="16"/>
    </w:rPr>
  </w:style>
  <w:style w:type="paragraph" w:customStyle="1" w:styleId="103">
    <w:name w:val="xl75"/>
    <w:basedOn w:val="1"/>
    <w:qFormat/>
    <w:uiPriority w:val="0"/>
    <w:pPr>
      <w:widowControl/>
      <w:pBdr>
        <w:bottom w:val="single" w:color="000000" w:sz="4" w:space="0"/>
        <w:right w:val="single" w:color="000000" w:sz="4" w:space="0"/>
      </w:pBdr>
      <w:shd w:val="clear" w:color="000000" w:fill="FFFFFF"/>
      <w:spacing w:before="100" w:beforeAutospacing="1" w:after="100" w:afterAutospacing="1"/>
      <w:jc w:val="right"/>
      <w:textAlignment w:val="center"/>
    </w:pPr>
    <w:rPr>
      <w:rFonts w:ascii="Arial Narrow" w:hAnsi="Arial Narrow" w:cs="宋体"/>
      <w:color w:val="000000"/>
      <w:kern w:val="0"/>
      <w:sz w:val="16"/>
      <w:szCs w:val="16"/>
    </w:rPr>
  </w:style>
  <w:style w:type="paragraph" w:customStyle="1" w:styleId="104">
    <w:name w:val="xl76"/>
    <w:basedOn w:val="1"/>
    <w:qFormat/>
    <w:uiPriority w:val="0"/>
    <w:pPr>
      <w:widowControl/>
      <w:pBdr>
        <w:bottom w:val="single" w:color="000000" w:sz="4" w:space="0"/>
        <w:right w:val="single" w:color="000000" w:sz="8" w:space="0"/>
      </w:pBdr>
      <w:shd w:val="clear" w:color="000000" w:fill="FFFFFF"/>
      <w:spacing w:before="100" w:beforeAutospacing="1" w:after="100" w:afterAutospacing="1"/>
      <w:jc w:val="right"/>
      <w:textAlignment w:val="center"/>
    </w:pPr>
    <w:rPr>
      <w:rFonts w:ascii="Arial Narrow" w:hAnsi="Arial Narrow" w:cs="宋体"/>
      <w:color w:val="000000"/>
      <w:kern w:val="0"/>
      <w:sz w:val="16"/>
      <w:szCs w:val="16"/>
    </w:rPr>
  </w:style>
  <w:style w:type="paragraph" w:customStyle="1" w:styleId="105">
    <w:name w:val="xl77"/>
    <w:basedOn w:val="1"/>
    <w:qFormat/>
    <w:uiPriority w:val="0"/>
    <w:pPr>
      <w:widowControl/>
      <w:shd w:val="clear" w:color="000000" w:fill="FFFFFF"/>
      <w:spacing w:before="100" w:beforeAutospacing="1" w:after="100" w:afterAutospacing="1"/>
      <w:jc w:val="center"/>
      <w:textAlignment w:val="top"/>
    </w:pPr>
    <w:rPr>
      <w:rFonts w:ascii="宋体" w:hAnsi="宋体" w:cs="宋体"/>
      <w:b/>
      <w:bCs/>
      <w:color w:val="000000"/>
      <w:kern w:val="0"/>
      <w:sz w:val="36"/>
      <w:szCs w:val="36"/>
    </w:rPr>
  </w:style>
  <w:style w:type="paragraph" w:customStyle="1" w:styleId="106">
    <w:name w:val="xl78"/>
    <w:basedOn w:val="1"/>
    <w:qFormat/>
    <w:uiPriority w:val="0"/>
    <w:pPr>
      <w:widowControl/>
      <w:pBdr>
        <w:top w:val="single" w:color="000000" w:sz="8" w:space="0"/>
        <w:left w:val="single" w:color="000000" w:sz="8" w:space="0"/>
        <w:bottom w:val="single" w:color="000000" w:sz="4" w:space="0"/>
        <w:right w:val="single" w:color="000000" w:sz="8" w:space="0"/>
      </w:pBdr>
      <w:shd w:val="clear" w:color="000000" w:fill="FFFFFF"/>
      <w:spacing w:before="100" w:beforeAutospacing="1" w:after="100" w:afterAutospacing="1"/>
      <w:jc w:val="center"/>
      <w:textAlignment w:val="center"/>
    </w:pPr>
    <w:rPr>
      <w:rFonts w:ascii="宋体" w:hAnsi="宋体" w:cs="宋体"/>
      <w:b/>
      <w:bCs/>
      <w:color w:val="000000"/>
      <w:kern w:val="0"/>
      <w:sz w:val="24"/>
    </w:rPr>
  </w:style>
  <w:style w:type="paragraph" w:customStyle="1" w:styleId="107">
    <w:name w:val="xl79"/>
    <w:basedOn w:val="1"/>
    <w:qFormat/>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textAlignment w:val="center"/>
    </w:pPr>
    <w:rPr>
      <w:rFonts w:ascii="宋体" w:hAnsi="宋体" w:cs="宋体"/>
      <w:color w:val="000000"/>
      <w:kern w:val="0"/>
      <w:sz w:val="16"/>
      <w:szCs w:val="16"/>
    </w:rPr>
  </w:style>
  <w:style w:type="character" w:customStyle="1" w:styleId="108">
    <w:name w:val="Body Text Char2"/>
    <w:basedOn w:val="27"/>
    <w:qFormat/>
    <w:locked/>
    <w:uiPriority w:val="99"/>
    <w:rPr>
      <w:kern w:val="2"/>
      <w:sz w:val="24"/>
      <w:szCs w:val="24"/>
    </w:rPr>
  </w:style>
  <w:style w:type="character" w:customStyle="1" w:styleId="109">
    <w:name w:val="Plain Text Char"/>
    <w:qFormat/>
    <w:locked/>
    <w:uiPriority w:val="99"/>
    <w:rPr>
      <w:rFonts w:ascii="宋体" w:hAnsi="Courier New" w:eastAsia="宋体" w:cs="宋体"/>
      <w:kern w:val="2"/>
      <w:sz w:val="21"/>
      <w:szCs w:val="21"/>
      <w:lang w:val="en-US" w:eastAsia="zh-CN"/>
    </w:rPr>
  </w:style>
  <w:style w:type="paragraph" w:customStyle="1" w:styleId="110">
    <w:name w:val="Char"/>
    <w:basedOn w:val="1"/>
    <w:qFormat/>
    <w:uiPriority w:val="99"/>
    <w:rPr>
      <w:rFonts w:ascii="Tahoma" w:hAnsi="Tahoma" w:cs="Tahoma"/>
      <w:sz w:val="24"/>
    </w:rPr>
  </w:style>
  <w:style w:type="paragraph" w:customStyle="1" w:styleId="111">
    <w:name w:val="Char1 Char Char Char"/>
    <w:basedOn w:val="1"/>
    <w:qFormat/>
    <w:uiPriority w:val="99"/>
    <w:rPr>
      <w:rFonts w:ascii="Tahoma" w:hAnsi="Tahoma" w:eastAsia="仿宋_GB2312" w:cs="Tahoma"/>
      <w:b/>
      <w:bCs/>
      <w:sz w:val="24"/>
    </w:rPr>
  </w:style>
  <w:style w:type="paragraph" w:customStyle="1" w:styleId="112">
    <w:name w:val="Char1 Char Char Char1"/>
    <w:basedOn w:val="1"/>
    <w:qFormat/>
    <w:uiPriority w:val="99"/>
    <w:pPr>
      <w:widowControl/>
      <w:spacing w:after="160" w:line="240" w:lineRule="exact"/>
      <w:jc w:val="left"/>
    </w:pPr>
    <w:rPr>
      <w:rFonts w:ascii="Times New Roman" w:hAnsi="Times New Roman"/>
      <w:szCs w:val="21"/>
    </w:rPr>
  </w:style>
  <w:style w:type="paragraph" w:customStyle="1" w:styleId="113">
    <w:name w:val="默认段落字体 Para Char"/>
    <w:basedOn w:val="1"/>
    <w:qFormat/>
    <w:uiPriority w:val="99"/>
    <w:pPr>
      <w:adjustRightInd w:val="0"/>
      <w:spacing w:line="360" w:lineRule="auto"/>
    </w:pPr>
    <w:rPr>
      <w:rFonts w:ascii="Times New Roman" w:hAnsi="Times New Roman"/>
      <w:kern w:val="0"/>
      <w:sz w:val="24"/>
    </w:rPr>
  </w:style>
  <w:style w:type="paragraph" w:customStyle="1" w:styleId="114">
    <w:name w:val="Normal_1"/>
    <w:qFormat/>
    <w:uiPriority w:val="99"/>
    <w:rPr>
      <w:rFonts w:ascii="Times New Roman" w:hAnsi="Times New Roman" w:eastAsia="宋体" w:cs="Times New Roman"/>
      <w:sz w:val="24"/>
      <w:szCs w:val="24"/>
      <w:lang w:val="en-US" w:eastAsia="zh-CN" w:bidi="ar-SA"/>
    </w:rPr>
  </w:style>
  <w:style w:type="paragraph" w:customStyle="1" w:styleId="115">
    <w:name w:val="正文_1_1"/>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116">
    <w:name w:val="readmail_locationtip"/>
    <w:basedOn w:val="27"/>
    <w:qFormat/>
    <w:uiPriority w:val="99"/>
  </w:style>
  <w:style w:type="paragraph" w:customStyle="1" w:styleId="117">
    <w:name w:val="Char Char Char Char"/>
    <w:basedOn w:val="8"/>
    <w:qFormat/>
    <w:uiPriority w:val="99"/>
    <w:pPr>
      <w:adjustRightInd w:val="0"/>
      <w:snapToGrid w:val="0"/>
      <w:spacing w:line="360" w:lineRule="auto"/>
    </w:pPr>
    <w:rPr>
      <w:rFonts w:ascii="Tahoma" w:hAnsi="Tahoma" w:cs="Tahoma"/>
      <w:sz w:val="24"/>
      <w:szCs w:val="24"/>
    </w:rPr>
  </w:style>
  <w:style w:type="paragraph" w:customStyle="1" w:styleId="118">
    <w:name w:val="xl80"/>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19">
    <w:name w:val="xl81"/>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20">
    <w:name w:val="xl82"/>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21">
    <w:name w:val="xl83"/>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22">
    <w:name w:val="xl84"/>
    <w:basedOn w:val="1"/>
    <w:qFormat/>
    <w:uiPriority w:val="0"/>
    <w:pPr>
      <w:widowControl/>
      <w:shd w:val="clear" w:color="FFFFFF" w:fill="FFFFFF"/>
      <w:spacing w:before="100" w:beforeAutospacing="1" w:after="100" w:afterAutospacing="1"/>
      <w:jc w:val="left"/>
    </w:pPr>
    <w:rPr>
      <w:rFonts w:ascii="宋体" w:hAnsi="宋体" w:cs="宋体"/>
      <w:kern w:val="0"/>
      <w:sz w:val="24"/>
    </w:rPr>
  </w:style>
  <w:style w:type="paragraph" w:customStyle="1" w:styleId="123">
    <w:name w:val="xl85"/>
    <w:basedOn w:val="1"/>
    <w:qFormat/>
    <w:uiPriority w:val="0"/>
    <w:pPr>
      <w:widowControl/>
      <w:shd w:val="clear" w:color="FFFFFF" w:fill="FFFFFF"/>
      <w:spacing w:before="100" w:beforeAutospacing="1" w:after="100" w:afterAutospacing="1"/>
      <w:jc w:val="left"/>
      <w:textAlignment w:val="center"/>
    </w:pPr>
    <w:rPr>
      <w:rFonts w:ascii="宋体" w:hAnsi="宋体" w:cs="宋体"/>
      <w:kern w:val="0"/>
      <w:sz w:val="24"/>
      <w:u w:val="single"/>
    </w:rPr>
  </w:style>
  <w:style w:type="paragraph" w:customStyle="1" w:styleId="124">
    <w:name w:val="xl86"/>
    <w:basedOn w:val="1"/>
    <w:qFormat/>
    <w:uiPriority w:val="0"/>
    <w:pPr>
      <w:widowControl/>
      <w:shd w:val="clear" w:color="FFFFFF" w:fill="FFFFFF"/>
      <w:spacing w:before="100" w:beforeAutospacing="1" w:after="100" w:afterAutospacing="1"/>
      <w:jc w:val="center"/>
      <w:textAlignment w:val="center"/>
    </w:pPr>
    <w:rPr>
      <w:rFonts w:ascii="宋体" w:hAnsi="宋体" w:cs="宋体"/>
      <w:kern w:val="0"/>
      <w:sz w:val="24"/>
      <w:u w:val="single"/>
    </w:rPr>
  </w:style>
  <w:style w:type="character" w:customStyle="1" w:styleId="125">
    <w:name w:val="正文文本 (2) + 10 pt"/>
    <w:basedOn w:val="27"/>
    <w:qFormat/>
    <w:uiPriority w:val="99"/>
    <w:rPr>
      <w:rFonts w:ascii="宋体" w:hAnsi="宋体" w:eastAsia="宋体" w:cs="宋体"/>
      <w:color w:val="000000"/>
      <w:spacing w:val="0"/>
      <w:w w:val="100"/>
      <w:position w:val="0"/>
      <w:sz w:val="20"/>
      <w:szCs w:val="20"/>
      <w:u w:val="none"/>
      <w:lang w:val="zh-TW" w:eastAsia="zh-TW"/>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xl64"/>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character" w:customStyle="1" w:styleId="128">
    <w:name w:val="标题 2 Char"/>
    <w:qFormat/>
    <w:uiPriority w:val="9"/>
    <w:rPr>
      <w:rFonts w:ascii="Cambria" w:hAnsi="Cambria" w:eastAsia="宋体" w:cs="Times New Roman"/>
      <w:b/>
      <w:bCs/>
      <w:kern w:val="2"/>
      <w:sz w:val="32"/>
      <w:szCs w:val="32"/>
    </w:rPr>
  </w:style>
  <w:style w:type="character" w:customStyle="1" w:styleId="129">
    <w:name w:val="页脚 Char"/>
    <w:basedOn w:val="27"/>
    <w:link w:val="18"/>
    <w:qFormat/>
    <w:uiPriority w:val="0"/>
    <w:rPr>
      <w:rFonts w:hint="default" w:ascii="Calibri" w:hAnsi="Calibri" w:cs="Calibri"/>
      <w:kern w:val="2"/>
      <w:sz w:val="18"/>
      <w:szCs w:val="18"/>
    </w:rPr>
  </w:style>
  <w:style w:type="character" w:customStyle="1" w:styleId="130">
    <w:name w:val="checked"/>
    <w:basedOn w:val="27"/>
    <w:qFormat/>
    <w:uiPriority w:val="0"/>
    <w:rPr>
      <w:color w:val="5390CD"/>
    </w:rPr>
  </w:style>
  <w:style w:type="paragraph" w:customStyle="1" w:styleId="131">
    <w:name w:val="Table Paragraph"/>
    <w:qFormat/>
    <w:uiPriority w:val="0"/>
    <w:pPr>
      <w:widowControl w:val="0"/>
      <w:jc w:val="both"/>
    </w:pPr>
    <w:rPr>
      <w:rFonts w:ascii="仿宋" w:hAnsi="仿宋" w:eastAsia="仿宋" w:cs="仿宋"/>
      <w:kern w:val="2"/>
      <w:sz w:val="32"/>
      <w:szCs w:val="32"/>
      <w:lang w:val="zh-CN" w:eastAsia="zh-CN" w:bidi="zh-CN"/>
    </w:rPr>
  </w:style>
  <w:style w:type="paragraph" w:customStyle="1" w:styleId="132">
    <w:name w:val="_Style 5"/>
    <w:basedOn w:val="3"/>
    <w:next w:val="1"/>
    <w:qFormat/>
    <w:uiPriority w:val="0"/>
    <w:pPr>
      <w:outlineLvl w:val="9"/>
    </w:pPr>
  </w:style>
  <w:style w:type="paragraph" w:customStyle="1" w:styleId="133">
    <w:name w:val="列出段落"/>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059C94-2FED-42C0-9A48-8FC07A5F893C}">
  <ds:schemaRefs/>
</ds:datastoreItem>
</file>

<file path=docProps/app.xml><?xml version="1.0" encoding="utf-8"?>
<Properties xmlns="http://schemas.openxmlformats.org/officeDocument/2006/extended-properties" xmlns:vt="http://schemas.openxmlformats.org/officeDocument/2006/docPropsVTypes">
  <Template>Normal</Template>
  <Company>HP</Company>
  <Pages>126</Pages>
  <Words>44283</Words>
  <Characters>50561</Characters>
  <Lines>328</Lines>
  <Paragraphs>92</Paragraphs>
  <TotalTime>110</TotalTime>
  <ScaleCrop>false</ScaleCrop>
  <LinksUpToDate>false</LinksUpToDate>
  <CharactersWithSpaces>58808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2022-09-23T06:57:00Z</dcterms:created>
  <dc:creator>meimei</dc:creator>
  <cp:lastModifiedBy>WPS_1544330084</cp:lastModifiedBy>
  <cp:lastPrinted>2023-05-12T03:17:00Z</cp:lastPrinted>
  <dcterms:modified xsi:type="dcterms:W3CDTF">2023-11-09T01:53:03Z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2B11011400364790A22323069ED7E415_13</vt:lpwstr>
  </property>
</Properties>
</file>