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ascii="仿宋_GB2312" w:hAnsi="仿宋_GB2312" w:eastAsia="仿宋_GB2312" w:cs="仿宋_GB2312"/>
          <w:b/>
          <w:sz w:val="32"/>
          <w:szCs w:val="32"/>
        </w:rPr>
      </w:pPr>
    </w:p>
    <w:p>
      <w:pPr>
        <w:spacing w:line="360" w:lineRule="auto"/>
        <w:ind w:firstLine="260" w:firstLineChars="50"/>
        <w:jc w:val="center"/>
        <w:rPr>
          <w:rFonts w:ascii="仿宋_GB2312" w:hAnsi="仿宋_GB2312" w:eastAsia="仿宋_GB2312" w:cs="仿宋_GB2312"/>
          <w:b/>
          <w:sz w:val="52"/>
          <w:szCs w:val="52"/>
        </w:rPr>
      </w:pPr>
    </w:p>
    <w:p>
      <w:pPr>
        <w:spacing w:line="360" w:lineRule="auto"/>
        <w:ind w:firstLine="260" w:firstLineChars="50"/>
        <w:jc w:val="center"/>
        <w:rPr>
          <w:rFonts w:ascii="仿宋_GB2312" w:hAnsi="仿宋_GB2312" w:eastAsia="仿宋_GB2312" w:cs="仿宋_GB2312"/>
          <w:b/>
          <w:sz w:val="52"/>
          <w:szCs w:val="52"/>
        </w:rPr>
      </w:pPr>
    </w:p>
    <w:p>
      <w:pPr>
        <w:keepNext w:val="0"/>
        <w:keepLines w:val="0"/>
        <w:pageBreakBefore w:val="0"/>
        <w:widowControl w:val="0"/>
        <w:kinsoku/>
        <w:wordWrap/>
        <w:overflowPunct/>
        <w:topLinePunct w:val="0"/>
        <w:autoSpaceDE/>
        <w:autoSpaceDN/>
        <w:bidi w:val="0"/>
        <w:adjustRightInd/>
        <w:snapToGrid/>
        <w:spacing w:line="600" w:lineRule="exact"/>
        <w:ind w:firstLine="260" w:firstLineChars="50"/>
        <w:jc w:val="center"/>
        <w:textAlignment w:val="auto"/>
        <w:rPr>
          <w:rFonts w:hint="eastAsia" w:ascii="宋体" w:hAnsi="宋体" w:eastAsia="宋体" w:cs="宋体"/>
          <w:b/>
          <w:sz w:val="52"/>
          <w:szCs w:val="52"/>
        </w:rPr>
      </w:pPr>
      <w:r>
        <w:rPr>
          <w:rFonts w:hint="eastAsia" w:ascii="仿宋_GB2312" w:hAnsi="仿宋_GB2312" w:eastAsia="仿宋_GB2312" w:cs="仿宋_GB2312"/>
          <w:b/>
          <w:sz w:val="52"/>
          <w:szCs w:val="52"/>
          <w:lang w:val="en-US" w:eastAsia="zh-CN"/>
        </w:rPr>
        <w:t>朝阳市</w:t>
      </w:r>
      <w:r>
        <w:rPr>
          <w:rFonts w:hint="eastAsia" w:ascii="仿宋_GB2312" w:hAnsi="仿宋_GB2312" w:eastAsia="仿宋_GB2312" w:cs="仿宋_GB2312"/>
          <w:b/>
          <w:sz w:val="52"/>
          <w:szCs w:val="52"/>
        </w:rPr>
        <w:t>政府采购项目</w:t>
      </w:r>
    </w:p>
    <w:p>
      <w:pPr>
        <w:keepNext w:val="0"/>
        <w:keepLines w:val="0"/>
        <w:pageBreakBefore w:val="0"/>
        <w:widowControl w:val="0"/>
        <w:kinsoku/>
        <w:wordWrap/>
        <w:overflowPunct/>
        <w:topLinePunct w:val="0"/>
        <w:autoSpaceDE/>
        <w:autoSpaceDN/>
        <w:bidi w:val="0"/>
        <w:adjustRightInd/>
        <w:snapToGrid/>
        <w:spacing w:line="600" w:lineRule="exact"/>
        <w:ind w:firstLine="260" w:firstLineChars="50"/>
        <w:jc w:val="center"/>
        <w:textAlignment w:val="auto"/>
        <w:rPr>
          <w:rFonts w:hint="eastAsia" w:ascii="宋体" w:hAnsi="宋体" w:eastAsia="宋体" w:cs="宋体"/>
          <w:b/>
          <w:sz w:val="52"/>
          <w:szCs w:val="52"/>
        </w:rPr>
      </w:pPr>
    </w:p>
    <w:p>
      <w:pPr>
        <w:keepNext w:val="0"/>
        <w:keepLines w:val="0"/>
        <w:pageBreakBefore w:val="0"/>
        <w:widowControl w:val="0"/>
        <w:kinsoku/>
        <w:wordWrap/>
        <w:overflowPunct/>
        <w:topLinePunct w:val="0"/>
        <w:autoSpaceDE/>
        <w:autoSpaceDN/>
        <w:bidi w:val="0"/>
        <w:adjustRightInd/>
        <w:snapToGrid/>
        <w:spacing w:line="600" w:lineRule="exact"/>
        <w:ind w:firstLine="240" w:firstLineChars="50"/>
        <w:jc w:val="center"/>
        <w:textAlignment w:val="auto"/>
        <w:rPr>
          <w:rFonts w:hint="eastAsia" w:ascii="仿宋_GB2312" w:hAnsi="仿宋_GB2312" w:eastAsia="仿宋_GB2312" w:cs="仿宋_GB2312"/>
          <w:b/>
          <w:sz w:val="48"/>
          <w:szCs w:val="48"/>
        </w:rPr>
      </w:pPr>
      <w:r>
        <w:rPr>
          <w:rFonts w:hint="eastAsia" w:ascii="仿宋_GB2312" w:hAnsi="仿宋_GB2312" w:eastAsia="仿宋_GB2312" w:cs="仿宋_GB2312"/>
          <w:b/>
          <w:sz w:val="48"/>
          <w:szCs w:val="48"/>
          <w:lang w:eastAsia="zh-CN"/>
        </w:rPr>
        <w:t>货物</w:t>
      </w:r>
      <w:r>
        <w:rPr>
          <w:rFonts w:hint="eastAsia" w:ascii="仿宋_GB2312" w:hAnsi="仿宋_GB2312" w:eastAsia="仿宋_GB2312" w:cs="仿宋_GB2312"/>
          <w:b/>
          <w:sz w:val="48"/>
          <w:szCs w:val="48"/>
        </w:rPr>
        <w:t>类公开招标</w:t>
      </w:r>
    </w:p>
    <w:p>
      <w:pPr>
        <w:spacing w:line="480" w:lineRule="exact"/>
        <w:jc w:val="center"/>
        <w:rPr>
          <w:rFonts w:ascii="仿宋_GB2312" w:hAnsi="仿宋_GB2312" w:eastAsia="仿宋_GB2312" w:cs="仿宋_GB2312"/>
          <w:b/>
          <w:sz w:val="24"/>
        </w:rPr>
      </w:pPr>
    </w:p>
    <w:p>
      <w:pPr>
        <w:keepNext w:val="0"/>
        <w:keepLines w:val="0"/>
        <w:pageBreakBefore w:val="0"/>
        <w:widowControl w:val="0"/>
        <w:kinsoku/>
        <w:wordWrap/>
        <w:overflowPunct/>
        <w:topLinePunct w:val="0"/>
        <w:autoSpaceDE/>
        <w:autoSpaceDN/>
        <w:bidi w:val="0"/>
        <w:adjustRightInd/>
        <w:snapToGrid/>
        <w:spacing w:line="600" w:lineRule="exact"/>
        <w:ind w:firstLine="240" w:firstLineChars="50"/>
        <w:jc w:val="center"/>
        <w:textAlignment w:val="auto"/>
        <w:rPr>
          <w:rFonts w:hint="eastAsia" w:ascii="仿宋_GB2312" w:hAnsi="仿宋_GB2312" w:eastAsia="仿宋_GB2312" w:cs="仿宋_GB2312"/>
          <w:b/>
          <w:sz w:val="48"/>
          <w:szCs w:val="48"/>
          <w:lang w:eastAsia="zh-CN"/>
        </w:rPr>
      </w:pPr>
      <w:r>
        <w:rPr>
          <w:rFonts w:hint="eastAsia" w:ascii="仿宋_GB2312" w:hAnsi="仿宋_GB2312" w:eastAsia="仿宋_GB2312" w:cs="仿宋_GB2312"/>
          <w:b/>
          <w:sz w:val="48"/>
          <w:szCs w:val="48"/>
          <w:lang w:eastAsia="zh-CN"/>
        </w:rPr>
        <w:t>招标文件</w:t>
      </w:r>
    </w:p>
    <w:p>
      <w:pPr>
        <w:spacing w:line="480" w:lineRule="exact"/>
        <w:jc w:val="center"/>
        <w:rPr>
          <w:rFonts w:ascii="仿宋_GB2312" w:hAnsi="仿宋_GB2312" w:eastAsia="仿宋_GB2312" w:cs="仿宋_GB2312"/>
          <w:b/>
          <w:sz w:val="24"/>
        </w:rPr>
      </w:pPr>
    </w:p>
    <w:p>
      <w:pPr>
        <w:spacing w:line="480" w:lineRule="exact"/>
        <w:jc w:val="center"/>
        <w:rPr>
          <w:rFonts w:hint="eastAsia" w:ascii="仿宋_GB2312" w:hAnsi="仿宋_GB2312" w:eastAsia="仿宋_GB2312" w:cs="仿宋_GB2312"/>
          <w:b/>
          <w:color w:val="FF0000"/>
          <w:sz w:val="36"/>
          <w:szCs w:val="36"/>
          <w:lang w:eastAsia="zh-CN"/>
        </w:rPr>
      </w:pPr>
      <w:r>
        <w:rPr>
          <w:rFonts w:hint="eastAsia" w:ascii="仿宋_GB2312" w:hAnsi="仿宋_GB2312" w:eastAsia="仿宋_GB2312" w:cs="仿宋_GB2312"/>
          <w:b/>
          <w:color w:val="FF0000"/>
          <w:sz w:val="36"/>
          <w:szCs w:val="36"/>
          <w:lang w:eastAsia="zh-CN"/>
        </w:rPr>
        <w:t>（二次招标）</w:t>
      </w: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spacing w:line="480" w:lineRule="exact"/>
        <w:jc w:val="center"/>
        <w:rPr>
          <w:rFonts w:ascii="仿宋_GB2312" w:hAnsi="仿宋_GB2312" w:eastAsia="仿宋_GB2312" w:cs="仿宋_GB2312"/>
          <w:b/>
          <w:sz w:val="24"/>
        </w:rPr>
      </w:pPr>
    </w:p>
    <w:p>
      <w:pPr>
        <w:pStyle w:val="27"/>
        <w:rPr>
          <w:rFonts w:ascii="仿宋_GB2312" w:hAnsi="仿宋_GB2312" w:eastAsia="仿宋_GB2312" w:cs="仿宋_GB2312"/>
          <w:b/>
          <w:sz w:val="24"/>
        </w:rPr>
      </w:pPr>
    </w:p>
    <w:p>
      <w:pPr>
        <w:pStyle w:val="27"/>
        <w:rPr>
          <w:rFonts w:ascii="仿宋_GB2312" w:hAnsi="仿宋_GB2312" w:eastAsia="仿宋_GB2312" w:cs="仿宋_GB2312"/>
          <w:b/>
          <w:sz w:val="24"/>
        </w:rPr>
      </w:pPr>
    </w:p>
    <w:p>
      <w:pPr>
        <w:pStyle w:val="27"/>
        <w:rPr>
          <w:rFonts w:ascii="仿宋_GB2312" w:hAnsi="仿宋_GB2312" w:eastAsia="仿宋_GB2312" w:cs="仿宋_GB2312"/>
          <w:b/>
          <w:sz w:val="24"/>
        </w:rPr>
      </w:pPr>
    </w:p>
    <w:p>
      <w:pPr>
        <w:pStyle w:val="27"/>
        <w:rPr>
          <w:rFonts w:ascii="仿宋_GB2312" w:hAnsi="仿宋_GB2312" w:eastAsia="仿宋_GB2312" w:cs="仿宋_GB2312"/>
          <w:b/>
          <w:sz w:val="24"/>
        </w:rPr>
      </w:pPr>
    </w:p>
    <w:p>
      <w:pPr>
        <w:pStyle w:val="27"/>
        <w:rPr>
          <w:rFonts w:ascii="仿宋_GB2312" w:hAnsi="仿宋_GB2312" w:eastAsia="仿宋_GB2312" w:cs="仿宋_GB2312"/>
          <w:b/>
          <w:sz w:val="24"/>
        </w:rPr>
      </w:pPr>
    </w:p>
    <w:p>
      <w:pPr>
        <w:pStyle w:val="9"/>
      </w:pPr>
    </w:p>
    <w:p>
      <w:pPr>
        <w:spacing w:line="480" w:lineRule="exact"/>
        <w:jc w:val="center"/>
        <w:rPr>
          <w:rFonts w:ascii="仿宋_GB2312" w:hAnsi="仿宋_GB2312" w:eastAsia="仿宋_GB2312" w:cs="仿宋_GB2312"/>
          <w:b/>
          <w:sz w:val="24"/>
        </w:rPr>
      </w:pPr>
    </w:p>
    <w:p>
      <w:pPr>
        <w:keepNext w:val="0"/>
        <w:keepLines w:val="0"/>
        <w:widowControl/>
        <w:suppressLineNumbers w:val="0"/>
        <w:ind w:left="1800" w:hanging="1800" w:hangingChars="500"/>
        <w:jc w:val="left"/>
        <w:rPr>
          <w:rFonts w:hint="eastAsia"/>
          <w:lang w:eastAsia="zh-CN"/>
        </w:rPr>
      </w:pPr>
      <w:r>
        <w:rPr>
          <w:rFonts w:hint="eastAsia" w:ascii="宋体" w:hAnsi="宋体" w:eastAsia="宋体" w:cs="宋体"/>
          <w:b/>
          <w:sz w:val="36"/>
          <w:szCs w:val="36"/>
        </w:rPr>
        <w:t>项</w:t>
      </w:r>
      <w:r>
        <w:rPr>
          <w:rFonts w:hint="eastAsia" w:ascii="仿宋_GB2312" w:hAnsi="仿宋_GB2312" w:eastAsia="仿宋_GB2312" w:cs="仿宋_GB2312"/>
          <w:b/>
          <w:sz w:val="36"/>
          <w:szCs w:val="36"/>
        </w:rPr>
        <w:t>目名称：</w:t>
      </w:r>
      <w:r>
        <w:rPr>
          <w:rFonts w:hint="eastAsia" w:ascii="仿宋_GB2312" w:hAnsi="仿宋_GB2312" w:eastAsia="仿宋_GB2312" w:cs="仿宋_GB2312"/>
          <w:b/>
          <w:sz w:val="36"/>
          <w:szCs w:val="36"/>
          <w:lang w:eastAsia="zh-CN"/>
        </w:rPr>
        <w:t>朝阳市公安局交通管理支队2025高速公路三道防线卡口建设项目</w:t>
      </w:r>
      <w:r>
        <w:rPr>
          <w:rFonts w:hint="eastAsia" w:ascii="仿宋_GB2312" w:hAnsi="仿宋_GB2312" w:eastAsia="仿宋_GB2312" w:cs="仿宋_GB2312"/>
          <w:b/>
          <w:sz w:val="36"/>
          <w:szCs w:val="36"/>
          <w:lang w:val="en-US" w:eastAsia="zh-CN"/>
        </w:rPr>
        <w:t xml:space="preserve"> </w:t>
      </w:r>
    </w:p>
    <w:p>
      <w:pPr>
        <w:spacing w:line="360" w:lineRule="auto"/>
        <w:rPr>
          <w:rFonts w:hint="default" w:ascii="仿宋_GB2312" w:hAnsi="仿宋_GB2312" w:eastAsia="仿宋_GB2312" w:cs="仿宋_GB2312"/>
          <w:b/>
          <w:sz w:val="36"/>
          <w:szCs w:val="36"/>
          <w:lang w:val="en-US" w:eastAsia="zh-CN"/>
        </w:rPr>
      </w:pPr>
      <w:r>
        <w:rPr>
          <w:rFonts w:hint="eastAsia" w:ascii="仿宋_GB2312" w:hAnsi="仿宋_GB2312" w:eastAsia="仿宋_GB2312" w:cs="仿宋_GB2312"/>
          <w:b/>
          <w:sz w:val="36"/>
          <w:szCs w:val="36"/>
        </w:rPr>
        <w:t>项目编号：</w:t>
      </w:r>
      <w:r>
        <w:rPr>
          <w:rFonts w:hint="eastAsia" w:ascii="仿宋_GB2312" w:hAnsi="仿宋_GB2312" w:eastAsia="仿宋_GB2312" w:cs="仿宋_GB2312"/>
          <w:b/>
          <w:sz w:val="36"/>
          <w:szCs w:val="36"/>
          <w:lang w:val="en-US" w:eastAsia="zh-CN"/>
        </w:rPr>
        <w:t>JH25-211300-00016</w:t>
      </w:r>
    </w:p>
    <w:p>
      <w:pPr>
        <w:spacing w:line="360" w:lineRule="auto"/>
        <w:rPr>
          <w:rFonts w:ascii="仿宋_GB2312" w:hAnsi="仿宋_GB2312" w:eastAsia="仿宋_GB2312" w:cs="仿宋_GB2312"/>
          <w:b/>
          <w:bCs/>
          <w:sz w:val="44"/>
          <w:szCs w:val="44"/>
        </w:rPr>
        <w:sectPr>
          <w:pgSz w:w="11906" w:h="16838"/>
          <w:pgMar w:top="1440" w:right="2125" w:bottom="1440" w:left="1803" w:header="851" w:footer="992" w:gutter="0"/>
          <w:pgNumType w:start="1"/>
          <w:cols w:space="720" w:num="1"/>
          <w:docGrid w:type="linesAndChars" w:linePitch="312" w:charSpace="0"/>
        </w:sectPr>
      </w:pPr>
      <w:r>
        <w:rPr>
          <w:rFonts w:hint="eastAsia" w:ascii="仿宋_GB2312" w:hAnsi="仿宋_GB2312" w:eastAsia="仿宋_GB2312" w:cs="仿宋_GB2312"/>
          <w:b/>
          <w:sz w:val="36"/>
          <w:szCs w:val="36"/>
        </w:rPr>
        <w:t>编制单位：</w:t>
      </w:r>
      <w:r>
        <w:rPr>
          <w:rFonts w:hint="eastAsia" w:ascii="仿宋_GB2312" w:hAnsi="仿宋_GB2312" w:eastAsia="仿宋_GB2312" w:cs="仿宋_GB2312"/>
          <w:b/>
          <w:sz w:val="36"/>
          <w:szCs w:val="36"/>
          <w:lang w:val="en-US" w:eastAsia="zh-CN"/>
        </w:rPr>
        <w:t>朝阳市政府采购中心</w:t>
      </w:r>
    </w:p>
    <w:p>
      <w:pPr>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目  录</w:t>
      </w:r>
    </w:p>
    <w:p>
      <w:pPr>
        <w:jc w:val="center"/>
        <w:rPr>
          <w:rFonts w:ascii="仿宋_GB2312" w:hAnsi="仿宋_GB2312" w:eastAsia="仿宋_GB2312" w:cs="仿宋_GB2312"/>
          <w:b/>
          <w:bCs/>
          <w:sz w:val="44"/>
          <w:szCs w:val="44"/>
        </w:rPr>
      </w:pPr>
    </w:p>
    <w:p>
      <w:pPr>
        <w:pStyle w:val="15"/>
        <w:keepNext w:val="0"/>
        <w:keepLines w:val="0"/>
        <w:pageBreakBefore w:val="0"/>
        <w:widowControl w:val="0"/>
        <w:tabs>
          <w:tab w:val="right" w:leader="dot" w:pos="8300"/>
        </w:tabs>
        <w:kinsoku/>
        <w:wordWrap/>
        <w:overflowPunct/>
        <w:topLinePunct w:val="0"/>
        <w:autoSpaceDE/>
        <w:autoSpaceDN/>
        <w:bidi w:val="0"/>
        <w:adjustRightInd/>
        <w:snapToGrid/>
        <w:spacing w:line="480" w:lineRule="auto"/>
        <w:textAlignment w:val="auto"/>
        <w:rPr>
          <w:b/>
          <w:bCs/>
          <w:sz w:val="28"/>
          <w:szCs w:val="28"/>
        </w:rPr>
      </w:pPr>
      <w:r>
        <w:rPr>
          <w:b/>
          <w:bCs/>
          <w:sz w:val="28"/>
          <w:szCs w:val="28"/>
        </w:rPr>
        <w:fldChar w:fldCharType="begin"/>
      </w:r>
      <w:r>
        <w:rPr>
          <w:b/>
          <w:bCs/>
          <w:sz w:val="28"/>
          <w:szCs w:val="28"/>
        </w:rPr>
        <w:instrText xml:space="preserve">TOC \o "1-1" \h \u </w:instrText>
      </w:r>
      <w:r>
        <w:rPr>
          <w:b/>
          <w:bCs/>
          <w:sz w:val="28"/>
          <w:szCs w:val="28"/>
        </w:rPr>
        <w:fldChar w:fldCharType="separate"/>
      </w:r>
      <w:r>
        <w:rPr>
          <w:b/>
          <w:bCs/>
          <w:sz w:val="28"/>
          <w:szCs w:val="28"/>
        </w:rPr>
        <w:fldChar w:fldCharType="begin"/>
      </w:r>
      <w:r>
        <w:rPr>
          <w:b/>
          <w:bCs/>
          <w:sz w:val="28"/>
          <w:szCs w:val="28"/>
        </w:rPr>
        <w:instrText xml:space="preserve"> HYPERLINK \l _Toc1613868755 </w:instrText>
      </w:r>
      <w:r>
        <w:rPr>
          <w:b/>
          <w:bCs/>
          <w:sz w:val="28"/>
          <w:szCs w:val="28"/>
        </w:rPr>
        <w:fldChar w:fldCharType="separate"/>
      </w:r>
      <w:r>
        <w:rPr>
          <w:rFonts w:hint="eastAsia"/>
          <w:b/>
          <w:bCs/>
          <w:sz w:val="28"/>
          <w:szCs w:val="28"/>
          <w:lang w:eastAsia="zh-CN"/>
        </w:rPr>
        <w:t>招标公告</w:t>
      </w:r>
      <w:r>
        <w:rPr>
          <w:b/>
          <w:bCs/>
          <w:sz w:val="28"/>
          <w:szCs w:val="28"/>
        </w:rPr>
        <w:tab/>
      </w:r>
      <w:r>
        <w:rPr>
          <w:b/>
          <w:bCs/>
          <w:sz w:val="28"/>
          <w:szCs w:val="28"/>
        </w:rPr>
        <w:fldChar w:fldCharType="begin"/>
      </w:r>
      <w:r>
        <w:rPr>
          <w:b/>
          <w:bCs/>
          <w:sz w:val="28"/>
          <w:szCs w:val="28"/>
        </w:rPr>
        <w:instrText xml:space="preserve"> PAGEREF _Toc1613868755 </w:instrText>
      </w:r>
      <w:r>
        <w:rPr>
          <w:b/>
          <w:bCs/>
          <w:sz w:val="28"/>
          <w:szCs w:val="28"/>
        </w:rPr>
        <w:fldChar w:fldCharType="separate"/>
      </w:r>
      <w:r>
        <w:rPr>
          <w:b/>
          <w:bCs/>
          <w:sz w:val="28"/>
          <w:szCs w:val="28"/>
        </w:rPr>
        <w:t>1</w:t>
      </w:r>
      <w:r>
        <w:rPr>
          <w:b/>
          <w:bCs/>
          <w:sz w:val="28"/>
          <w:szCs w:val="28"/>
        </w:rPr>
        <w:fldChar w:fldCharType="end"/>
      </w:r>
      <w:r>
        <w:rPr>
          <w:b/>
          <w:bCs/>
          <w:sz w:val="28"/>
          <w:szCs w:val="28"/>
        </w:rPr>
        <w:fldChar w:fldCharType="end"/>
      </w:r>
    </w:p>
    <w:p>
      <w:pPr>
        <w:pStyle w:val="15"/>
        <w:keepNext w:val="0"/>
        <w:keepLines w:val="0"/>
        <w:pageBreakBefore w:val="0"/>
        <w:widowControl w:val="0"/>
        <w:tabs>
          <w:tab w:val="right" w:leader="dot" w:pos="8300"/>
        </w:tabs>
        <w:kinsoku/>
        <w:wordWrap/>
        <w:overflowPunct/>
        <w:topLinePunct w:val="0"/>
        <w:autoSpaceDE/>
        <w:autoSpaceDN/>
        <w:bidi w:val="0"/>
        <w:adjustRightInd/>
        <w:snapToGrid/>
        <w:spacing w:line="480" w:lineRule="auto"/>
        <w:textAlignment w:val="auto"/>
        <w:rPr>
          <w:b/>
          <w:bCs/>
          <w:sz w:val="28"/>
          <w:szCs w:val="28"/>
        </w:rPr>
      </w:pPr>
      <w:r>
        <w:rPr>
          <w:b/>
          <w:bCs/>
          <w:sz w:val="28"/>
          <w:szCs w:val="28"/>
        </w:rPr>
        <w:fldChar w:fldCharType="begin"/>
      </w:r>
      <w:r>
        <w:rPr>
          <w:b/>
          <w:bCs/>
          <w:sz w:val="28"/>
          <w:szCs w:val="28"/>
        </w:rPr>
        <w:instrText xml:space="preserve"> HYPERLINK \l _Toc1613868755 </w:instrText>
      </w:r>
      <w:r>
        <w:rPr>
          <w:b/>
          <w:bCs/>
          <w:sz w:val="28"/>
          <w:szCs w:val="28"/>
        </w:rPr>
        <w:fldChar w:fldCharType="separate"/>
      </w:r>
      <w:r>
        <w:rPr>
          <w:rFonts w:hint="eastAsia" w:ascii="仿宋_GB2312" w:hAnsi="仿宋_GB2312" w:eastAsia="仿宋_GB2312" w:cs="仿宋_GB2312"/>
          <w:b/>
          <w:bCs/>
          <w:sz w:val="28"/>
          <w:szCs w:val="28"/>
        </w:rPr>
        <w:t>第一章 投标人须知</w:t>
      </w:r>
      <w:r>
        <w:rPr>
          <w:b/>
          <w:bCs/>
          <w:sz w:val="28"/>
          <w:szCs w:val="28"/>
        </w:rPr>
        <w:tab/>
      </w:r>
      <w:r>
        <w:rPr>
          <w:b/>
          <w:bCs/>
          <w:sz w:val="28"/>
          <w:szCs w:val="28"/>
        </w:rPr>
        <w:fldChar w:fldCharType="begin"/>
      </w:r>
      <w:r>
        <w:rPr>
          <w:b/>
          <w:bCs/>
          <w:sz w:val="28"/>
          <w:szCs w:val="28"/>
        </w:rPr>
        <w:instrText xml:space="preserve"> PAGEREF _Toc1613868755 </w:instrText>
      </w:r>
      <w:r>
        <w:rPr>
          <w:b/>
          <w:bCs/>
          <w:sz w:val="28"/>
          <w:szCs w:val="28"/>
        </w:rPr>
        <w:fldChar w:fldCharType="separate"/>
      </w:r>
      <w:r>
        <w:rPr>
          <w:b/>
          <w:bCs/>
          <w:sz w:val="28"/>
          <w:szCs w:val="28"/>
        </w:rPr>
        <w:t>1</w:t>
      </w:r>
      <w:r>
        <w:rPr>
          <w:b/>
          <w:bCs/>
          <w:sz w:val="28"/>
          <w:szCs w:val="28"/>
        </w:rPr>
        <w:fldChar w:fldCharType="end"/>
      </w:r>
      <w:r>
        <w:rPr>
          <w:b/>
          <w:bCs/>
          <w:sz w:val="28"/>
          <w:szCs w:val="28"/>
        </w:rPr>
        <w:fldChar w:fldCharType="end"/>
      </w:r>
    </w:p>
    <w:p>
      <w:pPr>
        <w:pStyle w:val="15"/>
        <w:keepNext w:val="0"/>
        <w:keepLines w:val="0"/>
        <w:pageBreakBefore w:val="0"/>
        <w:widowControl w:val="0"/>
        <w:tabs>
          <w:tab w:val="right" w:leader="dot" w:pos="8300"/>
        </w:tabs>
        <w:kinsoku/>
        <w:wordWrap/>
        <w:overflowPunct/>
        <w:topLinePunct w:val="0"/>
        <w:autoSpaceDE/>
        <w:autoSpaceDN/>
        <w:bidi w:val="0"/>
        <w:adjustRightInd/>
        <w:snapToGrid/>
        <w:spacing w:line="480" w:lineRule="auto"/>
        <w:textAlignment w:val="auto"/>
        <w:rPr>
          <w:b/>
          <w:bCs/>
          <w:sz w:val="28"/>
          <w:szCs w:val="28"/>
        </w:rPr>
      </w:pPr>
      <w:r>
        <w:rPr>
          <w:b/>
          <w:bCs/>
          <w:sz w:val="28"/>
          <w:szCs w:val="28"/>
        </w:rPr>
        <w:fldChar w:fldCharType="begin"/>
      </w:r>
      <w:r>
        <w:rPr>
          <w:b/>
          <w:bCs/>
          <w:sz w:val="28"/>
          <w:szCs w:val="28"/>
        </w:rPr>
        <w:instrText xml:space="preserve"> HYPERLINK \l _Toc1191293835 </w:instrText>
      </w:r>
      <w:r>
        <w:rPr>
          <w:b/>
          <w:bCs/>
          <w:sz w:val="28"/>
          <w:szCs w:val="28"/>
        </w:rPr>
        <w:fldChar w:fldCharType="separate"/>
      </w:r>
      <w:r>
        <w:rPr>
          <w:rFonts w:hint="eastAsia" w:ascii="仿宋_GB2312" w:hAnsi="仿宋_GB2312" w:eastAsia="仿宋_GB2312" w:cs="仿宋_GB2312"/>
          <w:b/>
          <w:bCs/>
          <w:sz w:val="28"/>
          <w:szCs w:val="28"/>
        </w:rPr>
        <w:t>第二章 投标文件内容及格式</w:t>
      </w:r>
      <w:r>
        <w:rPr>
          <w:b/>
          <w:bCs/>
          <w:sz w:val="28"/>
          <w:szCs w:val="28"/>
        </w:rPr>
        <w:tab/>
      </w:r>
      <w:r>
        <w:rPr>
          <w:b/>
          <w:bCs/>
          <w:sz w:val="28"/>
          <w:szCs w:val="28"/>
        </w:rPr>
        <w:fldChar w:fldCharType="begin"/>
      </w:r>
      <w:r>
        <w:rPr>
          <w:b/>
          <w:bCs/>
          <w:sz w:val="28"/>
          <w:szCs w:val="28"/>
        </w:rPr>
        <w:instrText xml:space="preserve"> PAGEREF _Toc1191293835 </w:instrText>
      </w:r>
      <w:r>
        <w:rPr>
          <w:b/>
          <w:bCs/>
          <w:sz w:val="28"/>
          <w:szCs w:val="28"/>
        </w:rPr>
        <w:fldChar w:fldCharType="separate"/>
      </w:r>
      <w:r>
        <w:rPr>
          <w:b/>
          <w:bCs/>
          <w:sz w:val="28"/>
          <w:szCs w:val="28"/>
        </w:rPr>
        <w:t>16</w:t>
      </w:r>
      <w:r>
        <w:rPr>
          <w:b/>
          <w:bCs/>
          <w:sz w:val="28"/>
          <w:szCs w:val="28"/>
        </w:rPr>
        <w:fldChar w:fldCharType="end"/>
      </w:r>
      <w:r>
        <w:rPr>
          <w:b/>
          <w:bCs/>
          <w:sz w:val="28"/>
          <w:szCs w:val="28"/>
        </w:rPr>
        <w:fldChar w:fldCharType="end"/>
      </w:r>
    </w:p>
    <w:p>
      <w:pPr>
        <w:pStyle w:val="15"/>
        <w:keepNext w:val="0"/>
        <w:keepLines w:val="0"/>
        <w:pageBreakBefore w:val="0"/>
        <w:widowControl w:val="0"/>
        <w:tabs>
          <w:tab w:val="right" w:leader="dot" w:pos="8300"/>
        </w:tabs>
        <w:kinsoku/>
        <w:wordWrap/>
        <w:overflowPunct/>
        <w:topLinePunct w:val="0"/>
        <w:autoSpaceDE/>
        <w:autoSpaceDN/>
        <w:bidi w:val="0"/>
        <w:adjustRightInd/>
        <w:snapToGrid/>
        <w:spacing w:line="480" w:lineRule="auto"/>
        <w:textAlignment w:val="auto"/>
        <w:rPr>
          <w:b/>
          <w:bCs/>
          <w:sz w:val="28"/>
          <w:szCs w:val="28"/>
        </w:rPr>
      </w:pPr>
      <w:r>
        <w:rPr>
          <w:b/>
          <w:bCs/>
          <w:sz w:val="28"/>
          <w:szCs w:val="28"/>
        </w:rPr>
        <w:fldChar w:fldCharType="begin"/>
      </w:r>
      <w:r>
        <w:rPr>
          <w:b/>
          <w:bCs/>
          <w:sz w:val="28"/>
          <w:szCs w:val="28"/>
        </w:rPr>
        <w:instrText xml:space="preserve"> HYPERLINK \l _Toc302856120 </w:instrText>
      </w:r>
      <w:r>
        <w:rPr>
          <w:b/>
          <w:bCs/>
          <w:sz w:val="28"/>
          <w:szCs w:val="28"/>
        </w:rPr>
        <w:fldChar w:fldCharType="separate"/>
      </w:r>
      <w:r>
        <w:rPr>
          <w:rFonts w:hint="eastAsia"/>
          <w:b/>
          <w:bCs/>
          <w:sz w:val="28"/>
          <w:szCs w:val="28"/>
        </w:rPr>
        <w:t xml:space="preserve">第三章 </w:t>
      </w:r>
      <w:r>
        <w:rPr>
          <w:rFonts w:hint="eastAsia"/>
          <w:b/>
          <w:bCs/>
          <w:sz w:val="28"/>
          <w:szCs w:val="28"/>
          <w:lang w:eastAsia="zh-CN"/>
        </w:rPr>
        <w:t>货物</w:t>
      </w:r>
      <w:r>
        <w:rPr>
          <w:rFonts w:hint="eastAsia"/>
          <w:b/>
          <w:bCs/>
          <w:sz w:val="28"/>
          <w:szCs w:val="28"/>
        </w:rPr>
        <w:t>需求</w:t>
      </w:r>
      <w:r>
        <w:rPr>
          <w:b/>
          <w:bCs/>
          <w:sz w:val="28"/>
          <w:szCs w:val="28"/>
        </w:rPr>
        <w:tab/>
      </w:r>
      <w:r>
        <w:rPr>
          <w:b/>
          <w:bCs/>
          <w:sz w:val="28"/>
          <w:szCs w:val="28"/>
        </w:rPr>
        <w:fldChar w:fldCharType="begin"/>
      </w:r>
      <w:r>
        <w:rPr>
          <w:b/>
          <w:bCs/>
          <w:sz w:val="28"/>
          <w:szCs w:val="28"/>
        </w:rPr>
        <w:instrText xml:space="preserve"> PAGEREF _Toc302856120 </w:instrText>
      </w:r>
      <w:r>
        <w:rPr>
          <w:b/>
          <w:bCs/>
          <w:sz w:val="28"/>
          <w:szCs w:val="28"/>
        </w:rPr>
        <w:fldChar w:fldCharType="separate"/>
      </w:r>
      <w:r>
        <w:rPr>
          <w:b/>
          <w:bCs/>
          <w:sz w:val="28"/>
          <w:szCs w:val="28"/>
        </w:rPr>
        <w:t>35</w:t>
      </w:r>
      <w:r>
        <w:rPr>
          <w:b/>
          <w:bCs/>
          <w:sz w:val="28"/>
          <w:szCs w:val="28"/>
        </w:rPr>
        <w:fldChar w:fldCharType="end"/>
      </w:r>
      <w:r>
        <w:rPr>
          <w:b/>
          <w:bCs/>
          <w:sz w:val="28"/>
          <w:szCs w:val="28"/>
        </w:rPr>
        <w:fldChar w:fldCharType="end"/>
      </w:r>
    </w:p>
    <w:p>
      <w:pPr>
        <w:pStyle w:val="15"/>
        <w:keepNext w:val="0"/>
        <w:keepLines w:val="0"/>
        <w:pageBreakBefore w:val="0"/>
        <w:widowControl w:val="0"/>
        <w:tabs>
          <w:tab w:val="right" w:leader="dot" w:pos="8300"/>
        </w:tabs>
        <w:kinsoku/>
        <w:wordWrap/>
        <w:overflowPunct/>
        <w:topLinePunct w:val="0"/>
        <w:autoSpaceDE/>
        <w:autoSpaceDN/>
        <w:bidi w:val="0"/>
        <w:adjustRightInd/>
        <w:snapToGrid/>
        <w:spacing w:line="480" w:lineRule="auto"/>
        <w:textAlignment w:val="auto"/>
        <w:rPr>
          <w:b/>
          <w:bCs/>
          <w:sz w:val="28"/>
          <w:szCs w:val="28"/>
        </w:rPr>
      </w:pPr>
      <w:r>
        <w:rPr>
          <w:b/>
          <w:bCs/>
          <w:sz w:val="28"/>
          <w:szCs w:val="28"/>
        </w:rPr>
        <w:fldChar w:fldCharType="begin"/>
      </w:r>
      <w:r>
        <w:rPr>
          <w:b/>
          <w:bCs/>
          <w:sz w:val="28"/>
          <w:szCs w:val="28"/>
        </w:rPr>
        <w:instrText xml:space="preserve"> HYPERLINK \l _Toc1497959328 </w:instrText>
      </w:r>
      <w:r>
        <w:rPr>
          <w:b/>
          <w:bCs/>
          <w:sz w:val="28"/>
          <w:szCs w:val="28"/>
        </w:rPr>
        <w:fldChar w:fldCharType="separate"/>
      </w:r>
      <w:r>
        <w:rPr>
          <w:rFonts w:hint="eastAsia" w:ascii="仿宋_GB2312" w:hAnsi="仿宋_GB2312" w:eastAsia="仿宋_GB2312" w:cs="仿宋_GB2312"/>
          <w:b/>
          <w:bCs/>
          <w:sz w:val="28"/>
          <w:szCs w:val="28"/>
        </w:rPr>
        <w:t>第四章 评标方法</w:t>
      </w:r>
      <w:r>
        <w:rPr>
          <w:b/>
          <w:bCs/>
          <w:sz w:val="28"/>
          <w:szCs w:val="28"/>
        </w:rPr>
        <w:tab/>
      </w:r>
      <w:r>
        <w:rPr>
          <w:b/>
          <w:bCs/>
          <w:sz w:val="28"/>
          <w:szCs w:val="28"/>
        </w:rPr>
        <w:fldChar w:fldCharType="begin"/>
      </w:r>
      <w:r>
        <w:rPr>
          <w:b/>
          <w:bCs/>
          <w:sz w:val="28"/>
          <w:szCs w:val="28"/>
        </w:rPr>
        <w:instrText xml:space="preserve"> PAGEREF _Toc1497959328 </w:instrText>
      </w:r>
      <w:r>
        <w:rPr>
          <w:b/>
          <w:bCs/>
          <w:sz w:val="28"/>
          <w:szCs w:val="28"/>
        </w:rPr>
        <w:fldChar w:fldCharType="separate"/>
      </w:r>
      <w:r>
        <w:rPr>
          <w:b/>
          <w:bCs/>
          <w:sz w:val="28"/>
          <w:szCs w:val="28"/>
        </w:rPr>
        <w:t>39</w:t>
      </w:r>
      <w:r>
        <w:rPr>
          <w:b/>
          <w:bCs/>
          <w:sz w:val="28"/>
          <w:szCs w:val="28"/>
        </w:rPr>
        <w:fldChar w:fldCharType="end"/>
      </w:r>
      <w:r>
        <w:rPr>
          <w:b/>
          <w:bCs/>
          <w:sz w:val="28"/>
          <w:szCs w:val="28"/>
        </w:rPr>
        <w:fldChar w:fldCharType="end"/>
      </w:r>
    </w:p>
    <w:p>
      <w:pPr>
        <w:pStyle w:val="15"/>
        <w:keepNext w:val="0"/>
        <w:keepLines w:val="0"/>
        <w:pageBreakBefore w:val="0"/>
        <w:widowControl w:val="0"/>
        <w:tabs>
          <w:tab w:val="right" w:leader="dot" w:pos="8300"/>
        </w:tabs>
        <w:kinsoku/>
        <w:wordWrap/>
        <w:overflowPunct/>
        <w:topLinePunct w:val="0"/>
        <w:autoSpaceDE/>
        <w:autoSpaceDN/>
        <w:bidi w:val="0"/>
        <w:adjustRightInd/>
        <w:snapToGrid/>
        <w:spacing w:line="480" w:lineRule="auto"/>
        <w:textAlignment w:val="auto"/>
        <w:rPr>
          <w:b/>
          <w:bCs/>
          <w:sz w:val="28"/>
          <w:szCs w:val="28"/>
        </w:rPr>
      </w:pPr>
      <w:r>
        <w:rPr>
          <w:b/>
          <w:bCs/>
          <w:sz w:val="28"/>
          <w:szCs w:val="28"/>
        </w:rPr>
        <w:fldChar w:fldCharType="begin"/>
      </w:r>
      <w:r>
        <w:rPr>
          <w:b/>
          <w:bCs/>
          <w:sz w:val="28"/>
          <w:szCs w:val="28"/>
        </w:rPr>
        <w:instrText xml:space="preserve"> HYPERLINK \l _Toc2050244296 </w:instrText>
      </w:r>
      <w:r>
        <w:rPr>
          <w:b/>
          <w:bCs/>
          <w:sz w:val="28"/>
          <w:szCs w:val="28"/>
        </w:rPr>
        <w:fldChar w:fldCharType="separate"/>
      </w:r>
      <w:r>
        <w:rPr>
          <w:rFonts w:hint="eastAsia"/>
          <w:b/>
          <w:bCs/>
          <w:sz w:val="28"/>
          <w:szCs w:val="28"/>
          <w:lang w:val="en-US" w:eastAsia="zh-CN"/>
        </w:rPr>
        <w:t>第五章 政府采购合同条款及格式</w:t>
      </w:r>
      <w:r>
        <w:rPr>
          <w:b/>
          <w:bCs/>
          <w:sz w:val="28"/>
          <w:szCs w:val="28"/>
        </w:rPr>
        <w:tab/>
      </w:r>
      <w:r>
        <w:rPr>
          <w:b/>
          <w:bCs/>
          <w:sz w:val="28"/>
          <w:szCs w:val="28"/>
        </w:rPr>
        <w:fldChar w:fldCharType="begin"/>
      </w:r>
      <w:r>
        <w:rPr>
          <w:b/>
          <w:bCs/>
          <w:sz w:val="28"/>
          <w:szCs w:val="28"/>
        </w:rPr>
        <w:instrText xml:space="preserve"> PAGEREF _Toc2050244296 </w:instrText>
      </w:r>
      <w:r>
        <w:rPr>
          <w:b/>
          <w:bCs/>
          <w:sz w:val="28"/>
          <w:szCs w:val="28"/>
        </w:rPr>
        <w:fldChar w:fldCharType="separate"/>
      </w:r>
      <w:r>
        <w:rPr>
          <w:b/>
          <w:bCs/>
          <w:sz w:val="28"/>
          <w:szCs w:val="28"/>
        </w:rPr>
        <w:t>49</w:t>
      </w:r>
      <w:r>
        <w:rPr>
          <w:b/>
          <w:bCs/>
          <w:sz w:val="28"/>
          <w:szCs w:val="28"/>
        </w:rPr>
        <w:fldChar w:fldCharType="end"/>
      </w:r>
      <w:r>
        <w:rPr>
          <w:b/>
          <w:bCs/>
          <w:sz w:val="28"/>
          <w:szCs w:val="28"/>
        </w:rPr>
        <w:fldChar w:fldCharType="end"/>
      </w:r>
    </w:p>
    <w:p>
      <w:pPr>
        <w:keepNext w:val="0"/>
        <w:keepLines w:val="0"/>
        <w:pageBreakBefore w:val="0"/>
        <w:widowControl w:val="0"/>
        <w:kinsoku/>
        <w:wordWrap/>
        <w:overflowPunct/>
        <w:topLinePunct w:val="0"/>
        <w:autoSpaceDE/>
        <w:autoSpaceDN/>
        <w:bidi w:val="0"/>
        <w:adjustRightInd/>
        <w:snapToGrid/>
        <w:spacing w:line="480" w:lineRule="auto"/>
        <w:textAlignment w:val="auto"/>
      </w:pPr>
      <w:r>
        <w:rPr>
          <w:b/>
          <w:bCs/>
          <w:sz w:val="28"/>
          <w:szCs w:val="28"/>
        </w:rPr>
        <w:fldChar w:fldCharType="end"/>
      </w:r>
    </w:p>
    <w:p>
      <w:pPr>
        <w:pStyle w:val="4"/>
        <w:rPr>
          <w:rFonts w:ascii="仿宋_GB2312" w:hAnsi="仿宋_GB2312" w:eastAsia="仿宋_GB2312" w:cs="仿宋_GB2312"/>
        </w:rPr>
        <w:sectPr>
          <w:footerReference r:id="rId3" w:type="default"/>
          <w:pgSz w:w="11906" w:h="16838"/>
          <w:pgMar w:top="1440" w:right="1803" w:bottom="1440" w:left="1803" w:header="851" w:footer="992" w:gutter="0"/>
          <w:pgNumType w:start="1"/>
          <w:cols w:space="720" w:num="1"/>
          <w:docGrid w:type="linesAndChars" w:linePitch="312" w:charSpace="0"/>
        </w:sectPr>
      </w:pPr>
      <w:bookmarkStart w:id="0" w:name="_Toc9521"/>
      <w:bookmarkStart w:id="1" w:name="_Toc2983"/>
      <w:bookmarkStart w:id="2" w:name="_Toc1124_WPSOffice_Level1"/>
    </w:p>
    <w:p>
      <w:pPr>
        <w:pStyle w:val="5"/>
        <w:bidi w:val="0"/>
      </w:pPr>
      <w:r>
        <w:rPr>
          <w:rFonts w:hint="eastAsia" w:ascii="仿宋_GB2312" w:hAnsi="仿宋_GB2312" w:eastAsia="仿宋_GB2312" w:cs="仿宋_GB2312"/>
          <w:b/>
          <w:color w:val="auto"/>
          <w:kern w:val="2"/>
          <w:sz w:val="28"/>
          <w:szCs w:val="28"/>
          <w:lang w:val="en-US" w:eastAsia="zh-CN"/>
        </w:rPr>
        <w:t>（ 朝阳市公安局交通管理支队2025高速公路三道防线卡口建设项目 ）</w:t>
      </w:r>
      <w:r>
        <w:rPr>
          <w:rFonts w:hint="eastAsia"/>
        </w:rPr>
        <w:t>的招标公告</w:t>
      </w:r>
      <w:bookmarkEnd w:id="0"/>
      <w:bookmarkEnd w:id="1"/>
      <w:bookmarkEnd w:id="2"/>
    </w:p>
    <w:p>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项目概况</w:t>
      </w:r>
    </w:p>
    <w:p>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u w:val="single"/>
          <w:lang w:eastAsia="zh-CN"/>
        </w:rPr>
        <w:t>朝阳市公安局交通管理支队2025高速公路三道防线卡口建设项目</w:t>
      </w:r>
      <w:r>
        <w:rPr>
          <w:rFonts w:hint="eastAsia" w:ascii="仿宋_GB2312" w:hAnsi="仿宋_GB2312" w:eastAsia="仿宋_GB2312" w:cs="仿宋_GB2312"/>
          <w:szCs w:val="21"/>
          <w:lang w:eastAsia="zh-CN"/>
        </w:rPr>
        <w:t>的</w:t>
      </w:r>
      <w:r>
        <w:rPr>
          <w:rFonts w:hint="eastAsia" w:ascii="仿宋_GB2312" w:hAnsi="仿宋_GB2312" w:eastAsia="仿宋_GB2312" w:cs="仿宋_GB2312"/>
          <w:szCs w:val="21"/>
        </w:rPr>
        <w:t>潜在供应商应在</w:t>
      </w:r>
      <w:r>
        <w:rPr>
          <w:rFonts w:hint="eastAsia" w:ascii="仿宋_GB2312" w:hAnsi="仿宋_GB2312" w:eastAsia="仿宋_GB2312" w:cs="仿宋_GB2312"/>
          <w:szCs w:val="21"/>
          <w:u w:val="single"/>
          <w:lang w:val="en-US" w:eastAsia="zh-CN"/>
        </w:rPr>
        <w:t>辽宁政府采购网</w:t>
      </w:r>
      <w:r>
        <w:rPr>
          <w:rFonts w:hint="eastAsia" w:ascii="仿宋_GB2312" w:hAnsi="仿宋_GB2312" w:eastAsia="仿宋_GB2312" w:cs="仿宋_GB2312"/>
          <w:szCs w:val="21"/>
        </w:rPr>
        <w:t>获取</w:t>
      </w:r>
      <w:r>
        <w:rPr>
          <w:rFonts w:hint="eastAsia" w:ascii="仿宋_GB2312" w:hAnsi="仿宋_GB2312" w:eastAsia="仿宋_GB2312" w:cs="仿宋_GB2312"/>
          <w:szCs w:val="21"/>
          <w:highlight w:val="none"/>
        </w:rPr>
        <w:t>采购文件，并于</w:t>
      </w:r>
      <w:r>
        <w:rPr>
          <w:rFonts w:hint="eastAsia" w:ascii="仿宋_GB2312" w:hAnsi="仿宋_GB2312" w:eastAsia="仿宋_GB2312" w:cs="仿宋_GB2312"/>
          <w:color w:val="auto"/>
          <w:szCs w:val="21"/>
          <w:highlight w:val="none"/>
          <w:u w:val="single"/>
          <w:lang w:val="en-US" w:eastAsia="zh-CN"/>
        </w:rPr>
        <w:t>2025</w:t>
      </w:r>
      <w:r>
        <w:rPr>
          <w:rFonts w:hint="eastAsia" w:ascii="仿宋_GB2312" w:hAnsi="仿宋_GB2312" w:eastAsia="仿宋_GB2312" w:cs="仿宋_GB2312"/>
          <w:bCs/>
          <w:color w:val="auto"/>
          <w:szCs w:val="21"/>
          <w:highlight w:val="none"/>
          <w:u w:val="single"/>
        </w:rPr>
        <w:t>年</w:t>
      </w:r>
      <w:r>
        <w:rPr>
          <w:rFonts w:hint="eastAsia" w:ascii="仿宋_GB2312" w:hAnsi="仿宋_GB2312" w:eastAsia="仿宋_GB2312" w:cs="仿宋_GB2312"/>
          <w:bCs/>
          <w:color w:val="auto"/>
          <w:szCs w:val="21"/>
          <w:highlight w:val="none"/>
          <w:u w:val="single"/>
          <w:lang w:val="en-US" w:eastAsia="zh-CN"/>
        </w:rPr>
        <w:t>11</w:t>
      </w:r>
      <w:r>
        <w:rPr>
          <w:rFonts w:hint="eastAsia" w:ascii="仿宋_GB2312" w:hAnsi="仿宋_GB2312" w:eastAsia="仿宋_GB2312" w:cs="仿宋_GB2312"/>
          <w:bCs/>
          <w:color w:val="auto"/>
          <w:szCs w:val="21"/>
          <w:highlight w:val="none"/>
          <w:u w:val="single"/>
        </w:rPr>
        <w:t>月</w:t>
      </w:r>
      <w:r>
        <w:rPr>
          <w:rFonts w:hint="eastAsia" w:ascii="仿宋_GB2312" w:hAnsi="仿宋_GB2312" w:eastAsia="仿宋_GB2312" w:cs="仿宋_GB2312"/>
          <w:bCs/>
          <w:color w:val="auto"/>
          <w:szCs w:val="21"/>
          <w:highlight w:val="none"/>
          <w:u w:val="single"/>
          <w:lang w:val="en-US" w:eastAsia="zh-CN"/>
        </w:rPr>
        <w:t>18</w:t>
      </w:r>
      <w:r>
        <w:rPr>
          <w:rFonts w:hint="eastAsia" w:ascii="仿宋_GB2312" w:hAnsi="仿宋_GB2312" w:eastAsia="仿宋_GB2312" w:cs="仿宋_GB2312"/>
          <w:bCs/>
          <w:color w:val="auto"/>
          <w:szCs w:val="21"/>
          <w:highlight w:val="none"/>
          <w:u w:val="single"/>
        </w:rPr>
        <w:t>日</w:t>
      </w:r>
      <w:r>
        <w:rPr>
          <w:rFonts w:hint="eastAsia" w:ascii="仿宋_GB2312" w:hAnsi="仿宋_GB2312" w:eastAsia="仿宋_GB2312" w:cs="仿宋_GB2312"/>
          <w:bCs/>
          <w:color w:val="auto"/>
          <w:szCs w:val="21"/>
          <w:highlight w:val="none"/>
          <w:u w:val="single"/>
          <w:lang w:val="en-US" w:eastAsia="zh-CN"/>
        </w:rPr>
        <w:t>9</w:t>
      </w:r>
      <w:r>
        <w:rPr>
          <w:rFonts w:hint="eastAsia" w:ascii="仿宋_GB2312" w:hAnsi="仿宋_GB2312" w:eastAsia="仿宋_GB2312" w:cs="仿宋_GB2312"/>
          <w:bCs/>
          <w:color w:val="auto"/>
          <w:szCs w:val="21"/>
          <w:highlight w:val="none"/>
          <w:u w:val="single"/>
        </w:rPr>
        <w:t>点</w:t>
      </w:r>
      <w:r>
        <w:rPr>
          <w:rFonts w:hint="eastAsia" w:ascii="仿宋_GB2312" w:hAnsi="仿宋_GB2312" w:eastAsia="仿宋_GB2312" w:cs="仿宋_GB2312"/>
          <w:bCs/>
          <w:color w:val="auto"/>
          <w:szCs w:val="21"/>
          <w:highlight w:val="none"/>
          <w:u w:val="single"/>
          <w:lang w:val="en-US" w:eastAsia="zh-CN"/>
        </w:rPr>
        <w:t>00</w:t>
      </w:r>
      <w:r>
        <w:rPr>
          <w:rFonts w:hint="eastAsia" w:ascii="仿宋_GB2312" w:hAnsi="仿宋_GB2312" w:eastAsia="仿宋_GB2312" w:cs="仿宋_GB2312"/>
          <w:bCs/>
          <w:color w:val="auto"/>
          <w:szCs w:val="21"/>
          <w:highlight w:val="none"/>
          <w:u w:val="single"/>
        </w:rPr>
        <w:t>分</w:t>
      </w:r>
      <w:r>
        <w:rPr>
          <w:rFonts w:hint="eastAsia" w:ascii="仿宋_GB2312" w:hAnsi="仿宋_GB2312" w:eastAsia="仿宋_GB2312" w:cs="仿宋_GB2312"/>
          <w:bCs/>
          <w:szCs w:val="21"/>
          <w:highlight w:val="none"/>
        </w:rPr>
        <w:t>（北京时间）前提交响应文件</w:t>
      </w:r>
      <w:r>
        <w:rPr>
          <w:rFonts w:hint="eastAsia" w:ascii="仿宋_GB2312" w:hAnsi="仿宋_GB2312" w:eastAsia="仿宋_GB2312" w:cs="仿宋_GB2312"/>
          <w:szCs w:val="21"/>
          <w:highlight w:val="none"/>
        </w:rPr>
        <w:t>。</w:t>
      </w:r>
    </w:p>
    <w:p>
      <w:pPr>
        <w:keepNext w:val="0"/>
        <w:keepLines w:val="0"/>
        <w:pageBreakBefore w:val="0"/>
        <w:widowControl/>
        <w:kinsoku/>
        <w:wordWrap/>
        <w:overflowPunct/>
        <w:topLinePunct w:val="0"/>
        <w:autoSpaceDE/>
        <w:autoSpaceDN/>
        <w:bidi w:val="0"/>
        <w:adjustRightInd w:val="0"/>
        <w:snapToGrid w:val="0"/>
        <w:spacing w:line="320" w:lineRule="exact"/>
        <w:ind w:firstLine="420" w:firstLineChars="200"/>
        <w:jc w:val="left"/>
        <w:textAlignment w:val="auto"/>
        <w:rPr>
          <w:rFonts w:hint="eastAsia" w:ascii="仿宋_GB2312" w:hAnsi="仿宋_GB2312" w:eastAsia="仿宋_GB2312" w:cs="仿宋_GB2312"/>
          <w:b/>
          <w:bCs/>
          <w:kern w:val="0"/>
          <w:szCs w:val="21"/>
          <w:highlight w:val="none"/>
        </w:rPr>
      </w:pPr>
      <w:r>
        <w:rPr>
          <w:rFonts w:hint="eastAsia" w:ascii="仿宋_GB2312" w:hAnsi="仿宋_GB2312" w:eastAsia="仿宋_GB2312" w:cs="仿宋_GB2312"/>
          <w:kern w:val="0"/>
          <w:szCs w:val="21"/>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320" w:lineRule="exact"/>
        <w:textAlignment w:val="auto"/>
        <w:rPr>
          <w:rFonts w:hint="eastAsia" w:ascii="仿宋_GB2312" w:hAnsi="仿宋_GB2312" w:eastAsia="仿宋_GB2312" w:cs="仿宋_GB2312"/>
          <w:b/>
          <w:bCs/>
          <w:szCs w:val="21"/>
          <w:highlight w:val="none"/>
        </w:rPr>
      </w:pPr>
      <w:bookmarkStart w:id="3" w:name="_Toc35393790"/>
      <w:bookmarkStart w:id="4" w:name="_Toc28359079"/>
      <w:bookmarkStart w:id="5" w:name="_Toc35393621"/>
      <w:bookmarkStart w:id="6" w:name="_Toc28359002"/>
      <w:bookmarkStart w:id="7" w:name="_Hlk24379207"/>
      <w:r>
        <w:rPr>
          <w:rFonts w:hint="eastAsia" w:ascii="仿宋_GB2312" w:hAnsi="仿宋_GB2312" w:eastAsia="仿宋_GB2312" w:cs="仿宋_GB2312"/>
          <w:b/>
          <w:bCs/>
          <w:szCs w:val="21"/>
          <w:highlight w:val="none"/>
        </w:rPr>
        <w:t>一、项目基本情况</w:t>
      </w:r>
      <w:bookmarkEnd w:id="3"/>
      <w:bookmarkEnd w:id="4"/>
      <w:bookmarkEnd w:id="5"/>
      <w:bookmarkEnd w:id="6"/>
    </w:p>
    <w:p>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color w:val="FF0000"/>
          <w:szCs w:val="21"/>
          <w:highlight w:val="none"/>
          <w:lang w:val="en-US" w:eastAsia="zh-CN"/>
        </w:rPr>
      </w:pPr>
      <w:r>
        <w:rPr>
          <w:rFonts w:hint="eastAsia" w:ascii="仿宋_GB2312" w:hAnsi="仿宋_GB2312" w:eastAsia="仿宋_GB2312" w:cs="仿宋_GB2312"/>
          <w:szCs w:val="21"/>
          <w:highlight w:val="none"/>
        </w:rPr>
        <w:t>项目编号：</w:t>
      </w:r>
      <w:r>
        <w:rPr>
          <w:rFonts w:hint="eastAsia" w:ascii="仿宋_GB2312" w:hAnsi="仿宋_GB2312" w:eastAsia="仿宋_GB2312" w:cs="仿宋_GB2312"/>
          <w:szCs w:val="21"/>
          <w:highlight w:val="none"/>
          <w:lang w:eastAsia="zh-CN"/>
        </w:rPr>
        <w:t>JH25-211300-00016</w:t>
      </w:r>
    </w:p>
    <w:p>
      <w:pPr>
        <w:keepNext w:val="0"/>
        <w:keepLines w:val="0"/>
        <w:pageBreakBefore w:val="0"/>
        <w:widowControl w:val="0"/>
        <w:kinsoku/>
        <w:wordWrap/>
        <w:overflowPunct/>
        <w:topLinePunct w:val="0"/>
        <w:autoSpaceDE/>
        <w:autoSpaceDN/>
        <w:bidi w:val="0"/>
        <w:adjustRightInd w:val="0"/>
        <w:snapToGrid w:val="0"/>
        <w:spacing w:line="320" w:lineRule="exact"/>
        <w:ind w:left="1470" w:leftChars="200" w:hanging="1050" w:hangingChars="500"/>
        <w:textAlignment w:val="auto"/>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项目名称：</w:t>
      </w:r>
      <w:r>
        <w:rPr>
          <w:rFonts w:hint="eastAsia" w:ascii="仿宋_GB2312" w:hAnsi="仿宋_GB2312" w:eastAsia="仿宋_GB2312" w:cs="仿宋_GB2312"/>
          <w:szCs w:val="21"/>
          <w:highlight w:val="none"/>
          <w:lang w:eastAsia="zh-CN"/>
        </w:rPr>
        <w:t>朝阳市公安局交通管理支队2025高速公路三道防线卡口建设项目</w:t>
      </w:r>
    </w:p>
    <w:bookmarkEnd w:id="7"/>
    <w:p>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预算金额：</w:t>
      </w:r>
      <w:r>
        <w:rPr>
          <w:rFonts w:hint="eastAsia" w:ascii="仿宋_GB2312" w:hAnsi="仿宋_GB2312" w:eastAsia="仿宋_GB2312" w:cs="仿宋_GB2312"/>
          <w:szCs w:val="21"/>
          <w:highlight w:val="none"/>
          <w:lang w:val="en-US" w:eastAsia="zh-CN"/>
        </w:rPr>
        <w:t>2,351,280.00元</w:t>
      </w:r>
    </w:p>
    <w:p>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最高限价：</w:t>
      </w:r>
      <w:r>
        <w:rPr>
          <w:rFonts w:hint="eastAsia" w:ascii="仿宋_GB2312" w:hAnsi="仿宋_GB2312" w:eastAsia="仿宋_GB2312" w:cs="仿宋_GB2312"/>
          <w:szCs w:val="21"/>
          <w:highlight w:val="none"/>
          <w:lang w:val="en-US" w:eastAsia="zh-CN"/>
        </w:rPr>
        <w:t>2,351,280.00元</w:t>
      </w:r>
    </w:p>
    <w:p>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default"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szCs w:val="21"/>
          <w:highlight w:val="none"/>
        </w:rPr>
        <w:t>采购需求：</w:t>
      </w:r>
      <w:r>
        <w:rPr>
          <w:rFonts w:hint="eastAsia" w:ascii="仿宋_GB2312" w:hAnsi="仿宋_GB2312" w:eastAsia="仿宋_GB2312" w:cs="仿宋_GB2312"/>
          <w:szCs w:val="21"/>
          <w:highlight w:val="none"/>
          <w:lang w:eastAsia="zh-CN"/>
        </w:rPr>
        <w:t>具体详见第三章货物</w:t>
      </w:r>
      <w:r>
        <w:rPr>
          <w:rFonts w:hint="eastAsia" w:ascii="仿宋_GB2312" w:hAnsi="仿宋_GB2312" w:eastAsia="仿宋_GB2312" w:cs="仿宋_GB2312"/>
          <w:szCs w:val="21"/>
          <w:highlight w:val="none"/>
          <w:lang w:val="en-US" w:eastAsia="zh-CN"/>
        </w:rPr>
        <w:t>需求。</w:t>
      </w:r>
    </w:p>
    <w:p>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合同履行期限：</w:t>
      </w:r>
      <w:r>
        <w:rPr>
          <w:rFonts w:hint="eastAsia" w:ascii="仿宋_GB2312" w:hAnsi="仿宋_GB2312" w:eastAsia="仿宋_GB2312" w:cs="仿宋_GB2312"/>
          <w:szCs w:val="21"/>
          <w:highlight w:val="none"/>
          <w:lang w:eastAsia="zh-CN"/>
        </w:rPr>
        <w:t>签订合同后</w:t>
      </w:r>
      <w:r>
        <w:rPr>
          <w:rFonts w:hint="eastAsia" w:ascii="仿宋_GB2312" w:hAnsi="仿宋_GB2312" w:eastAsia="仿宋_GB2312" w:cs="仿宋_GB2312"/>
          <w:szCs w:val="21"/>
          <w:highlight w:val="none"/>
          <w:lang w:val="en-US" w:eastAsia="zh-CN"/>
        </w:rPr>
        <w:t>45日内完成。</w:t>
      </w:r>
    </w:p>
    <w:p>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default" w:ascii="仿宋_GB2312" w:hAnsi="仿宋_GB2312" w:eastAsia="仿宋_GB2312" w:cs="仿宋_GB2312"/>
          <w:color w:val="FF0000"/>
          <w:szCs w:val="21"/>
          <w:highlight w:val="none"/>
          <w:lang w:val="en-US" w:eastAsia="zh-CN"/>
        </w:rPr>
      </w:pPr>
      <w:r>
        <w:rPr>
          <w:rFonts w:hint="eastAsia" w:ascii="仿宋_GB2312" w:hAnsi="仿宋_GB2312" w:eastAsia="仿宋_GB2312" w:cs="仿宋_GB2312"/>
          <w:szCs w:val="21"/>
          <w:highlight w:val="none"/>
        </w:rPr>
        <w:t>需落实的政府采购政策内容：</w:t>
      </w:r>
      <w:r>
        <w:rPr>
          <w:rFonts w:hint="eastAsia" w:ascii="仿宋_GB2312" w:hAnsi="仿宋_GB2312" w:eastAsia="仿宋_GB2312" w:cs="仿宋_GB2312"/>
          <w:color w:val="auto"/>
          <w:szCs w:val="21"/>
          <w:highlight w:val="none"/>
          <w:lang w:val="en-US" w:eastAsia="zh-CN"/>
        </w:rPr>
        <w:t>落实政策为促进中小企业、支持监狱企业、促进残疾人就业、节能产品、环境标识产品等相关政策。</w:t>
      </w:r>
    </w:p>
    <w:p>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szCs w:val="21"/>
          <w:highlight w:val="none"/>
        </w:rPr>
      </w:pPr>
      <w:bookmarkStart w:id="8" w:name="_Toc28359080"/>
      <w:bookmarkStart w:id="9" w:name="_Toc28359003"/>
      <w:bookmarkStart w:id="10" w:name="_Toc35393791"/>
      <w:bookmarkStart w:id="11" w:name="_Toc35393622"/>
      <w:r>
        <w:rPr>
          <w:rFonts w:hint="eastAsia" w:ascii="仿宋_GB2312" w:hAnsi="仿宋_GB2312" w:eastAsia="仿宋_GB2312" w:cs="仿宋_GB2312"/>
          <w:szCs w:val="21"/>
          <w:highlight w:val="none"/>
        </w:rPr>
        <w:t>本项目（</w:t>
      </w:r>
      <w:r>
        <w:rPr>
          <w:rFonts w:hint="eastAsia" w:ascii="仿宋_GB2312" w:hAnsi="仿宋_GB2312" w:eastAsia="仿宋_GB2312" w:cs="仿宋_GB2312"/>
          <w:szCs w:val="21"/>
          <w:highlight w:val="none"/>
          <w:lang w:val="en-US" w:eastAsia="zh-CN"/>
        </w:rPr>
        <w:t>是/</w:t>
      </w:r>
      <w:r>
        <w:rPr>
          <w:rFonts w:hint="eastAsia" w:ascii="仿宋_GB2312" w:hAnsi="仿宋_GB2312" w:eastAsia="仿宋_GB2312" w:cs="仿宋_GB2312"/>
          <w:i/>
          <w:szCs w:val="21"/>
          <w:highlight w:val="none"/>
        </w:rPr>
        <w:t>否</w:t>
      </w:r>
      <w:r>
        <w:rPr>
          <w:rFonts w:hint="eastAsia" w:ascii="仿宋_GB2312" w:hAnsi="仿宋_GB2312" w:eastAsia="仿宋_GB2312" w:cs="仿宋_GB2312"/>
          <w:szCs w:val="21"/>
          <w:highlight w:val="none"/>
        </w:rPr>
        <w:t>）接受联合体投标</w:t>
      </w:r>
      <w:r>
        <w:rPr>
          <w:rFonts w:hint="eastAsia" w:ascii="仿宋_GB2312" w:hAnsi="仿宋_GB2312" w:eastAsia="仿宋_GB2312" w:cs="仿宋_GB2312"/>
          <w:szCs w:val="21"/>
          <w:highlight w:val="none"/>
          <w:lang w:eastAsia="zh-CN"/>
        </w:rPr>
        <w:t>：</w:t>
      </w:r>
      <w:r>
        <w:rPr>
          <w:rFonts w:hint="eastAsia" w:ascii="仿宋_GB2312" w:hAnsi="仿宋_GB2312" w:eastAsia="仿宋_GB2312" w:cs="仿宋_GB2312"/>
          <w:szCs w:val="21"/>
          <w:highlight w:val="none"/>
          <w:lang w:val="en-US" w:eastAsia="zh-CN"/>
        </w:rPr>
        <w:t>否</w:t>
      </w:r>
      <w:r>
        <w:rPr>
          <w:rFonts w:hint="eastAsia" w:ascii="仿宋_GB2312" w:hAnsi="仿宋_GB2312" w:eastAsia="仿宋_GB2312" w:cs="仿宋_GB2312"/>
          <w:szCs w:val="21"/>
          <w:highlight w:val="none"/>
        </w:rPr>
        <w:t>。</w:t>
      </w:r>
    </w:p>
    <w:p>
      <w:pPr>
        <w:keepNext w:val="0"/>
        <w:keepLines w:val="0"/>
        <w:pageBreakBefore w:val="0"/>
        <w:widowControl w:val="0"/>
        <w:kinsoku/>
        <w:wordWrap/>
        <w:overflowPunct/>
        <w:topLinePunct w:val="0"/>
        <w:autoSpaceDE/>
        <w:autoSpaceDN/>
        <w:bidi w:val="0"/>
        <w:adjustRightInd w:val="0"/>
        <w:snapToGrid w:val="0"/>
        <w:spacing w:line="320" w:lineRule="exact"/>
        <w:textAlignment w:val="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二、供应商的资格要求：</w:t>
      </w:r>
      <w:bookmarkEnd w:id="8"/>
      <w:bookmarkEnd w:id="9"/>
      <w:bookmarkEnd w:id="10"/>
      <w:bookmarkEnd w:id="11"/>
    </w:p>
    <w:p>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1.满足《中华人民共和国政府采购法》第二十二条规定；</w:t>
      </w:r>
    </w:p>
    <w:p>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color w:val="FF0000"/>
          <w:szCs w:val="21"/>
          <w:highlight w:val="none"/>
          <w:lang w:eastAsia="zh-CN"/>
        </w:rPr>
      </w:pPr>
      <w:bookmarkStart w:id="12" w:name="_Toc28359081"/>
      <w:bookmarkStart w:id="13" w:name="_Toc28359004"/>
      <w:r>
        <w:rPr>
          <w:rFonts w:hint="eastAsia" w:ascii="仿宋_GB2312" w:hAnsi="仿宋_GB2312" w:eastAsia="仿宋_GB2312" w:cs="仿宋_GB2312"/>
          <w:szCs w:val="21"/>
          <w:highlight w:val="none"/>
        </w:rPr>
        <w:t>2.落实政府采购政策需满足的资格要求：</w:t>
      </w:r>
      <w:r>
        <w:rPr>
          <w:rFonts w:hint="eastAsia" w:ascii="仿宋_GB2312" w:hAnsi="仿宋_GB2312" w:eastAsia="仿宋_GB2312" w:cs="仿宋_GB2312"/>
          <w:color w:val="auto"/>
          <w:szCs w:val="21"/>
          <w:highlight w:val="none"/>
          <w:lang w:eastAsia="zh-CN"/>
        </w:rPr>
        <w:t>详见招标文件。</w:t>
      </w:r>
    </w:p>
    <w:p>
      <w:pPr>
        <w:keepNext w:val="0"/>
        <w:keepLines w:val="0"/>
        <w:pageBreakBefore w:val="0"/>
        <w:widowControl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color w:val="FF0000"/>
          <w:szCs w:val="21"/>
          <w:highlight w:val="none"/>
          <w:u w:val="single"/>
          <w:lang w:val="en-US" w:eastAsia="zh-CN"/>
        </w:rPr>
      </w:pPr>
      <w:r>
        <w:rPr>
          <w:rFonts w:hint="eastAsia" w:ascii="仿宋_GB2312" w:hAnsi="仿宋_GB2312" w:eastAsia="仿宋_GB2312" w:cs="仿宋_GB2312"/>
          <w:szCs w:val="21"/>
          <w:highlight w:val="none"/>
        </w:rPr>
        <w:t>3.本项目的特定资格要求：</w:t>
      </w:r>
      <w:r>
        <w:rPr>
          <w:rFonts w:hint="eastAsia" w:ascii="仿宋_GB2312" w:hAnsi="仿宋_GB2312" w:eastAsia="仿宋_GB2312" w:cs="仿宋_GB2312"/>
          <w:color w:val="auto"/>
          <w:szCs w:val="21"/>
          <w:highlight w:val="none"/>
          <w:u w:val="none"/>
          <w:lang w:val="en-US" w:eastAsia="zh-CN"/>
        </w:rPr>
        <w:t>无</w:t>
      </w:r>
    </w:p>
    <w:p>
      <w:pPr>
        <w:keepNext w:val="0"/>
        <w:keepLines w:val="0"/>
        <w:pageBreakBefore w:val="0"/>
        <w:kinsoku/>
        <w:wordWrap/>
        <w:overflowPunct/>
        <w:topLinePunct w:val="0"/>
        <w:autoSpaceDE/>
        <w:autoSpaceDN/>
        <w:bidi w:val="0"/>
        <w:adjustRightInd w:val="0"/>
        <w:snapToGrid w:val="0"/>
        <w:spacing w:line="320" w:lineRule="exact"/>
        <w:textAlignment w:val="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三、政府采购供应商入库须知</w:t>
      </w:r>
    </w:p>
    <w:p>
      <w:pPr>
        <w:keepNext w:val="0"/>
        <w:keepLines w:val="0"/>
        <w:pageBreakBefore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szCs w:val="21"/>
          <w:highlight w:val="none"/>
        </w:rPr>
      </w:pPr>
      <w:bookmarkStart w:id="14" w:name="_Toc35393623"/>
      <w:bookmarkStart w:id="15" w:name="_Toc35393792"/>
      <w:r>
        <w:rPr>
          <w:rFonts w:hint="eastAsia" w:ascii="仿宋_GB2312" w:hAnsi="仿宋_GB2312" w:eastAsia="仿宋_GB2312" w:cs="仿宋_GB2312"/>
          <w:szCs w:val="21"/>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pPr>
        <w:keepNext w:val="0"/>
        <w:keepLines w:val="0"/>
        <w:pageBreakBefore w:val="0"/>
        <w:kinsoku/>
        <w:wordWrap/>
        <w:overflowPunct/>
        <w:topLinePunct w:val="0"/>
        <w:autoSpaceDE/>
        <w:autoSpaceDN/>
        <w:bidi w:val="0"/>
        <w:adjustRightInd w:val="0"/>
        <w:snapToGrid w:val="0"/>
        <w:spacing w:line="320" w:lineRule="exact"/>
        <w:textAlignment w:val="auto"/>
        <w:rPr>
          <w:rFonts w:hint="eastAsia" w:ascii="仿宋_GB2312" w:hAnsi="仿宋_GB2312" w:eastAsia="仿宋_GB2312" w:cs="仿宋_GB2312"/>
          <w:b/>
          <w:bCs/>
          <w:szCs w:val="21"/>
          <w:highlight w:val="none"/>
        </w:rPr>
      </w:pPr>
      <w:r>
        <w:rPr>
          <w:rFonts w:hint="eastAsia" w:ascii="仿宋_GB2312" w:hAnsi="仿宋_GB2312" w:eastAsia="仿宋_GB2312" w:cs="仿宋_GB2312"/>
          <w:b/>
          <w:bCs/>
          <w:szCs w:val="21"/>
          <w:highlight w:val="none"/>
        </w:rPr>
        <w:t>四、获取招标文件</w:t>
      </w:r>
      <w:bookmarkEnd w:id="12"/>
      <w:bookmarkEnd w:id="13"/>
      <w:bookmarkEnd w:id="14"/>
      <w:bookmarkEnd w:id="15"/>
    </w:p>
    <w:p>
      <w:pPr>
        <w:keepNext w:val="0"/>
        <w:keepLines w:val="0"/>
        <w:pageBreakBefore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szCs w:val="21"/>
          <w:highlight w:val="none"/>
          <w:u w:val="none"/>
          <w:lang w:eastAsia="zh-CN"/>
        </w:rPr>
      </w:pPr>
      <w:r>
        <w:rPr>
          <w:rFonts w:hint="eastAsia" w:ascii="仿宋_GB2312" w:hAnsi="仿宋_GB2312" w:eastAsia="仿宋_GB2312" w:cs="仿宋_GB2312"/>
          <w:szCs w:val="21"/>
          <w:highlight w:val="none"/>
        </w:rPr>
        <w:t>时间：</w:t>
      </w:r>
      <w:r>
        <w:rPr>
          <w:rFonts w:hint="eastAsia" w:ascii="仿宋_GB2312" w:hAnsi="仿宋_GB2312" w:eastAsia="仿宋_GB2312" w:cs="仿宋_GB2312"/>
          <w:szCs w:val="21"/>
          <w:highlight w:val="none"/>
          <w:u w:val="single"/>
          <w:lang w:val="en-US" w:eastAsia="zh-CN"/>
        </w:rPr>
        <w:t>2025</w:t>
      </w:r>
      <w:r>
        <w:rPr>
          <w:rFonts w:hint="eastAsia" w:ascii="仿宋_GB2312" w:hAnsi="仿宋_GB2312" w:eastAsia="仿宋_GB2312" w:cs="仿宋_GB2312"/>
          <w:szCs w:val="21"/>
          <w:highlight w:val="none"/>
          <w:u w:val="single"/>
        </w:rPr>
        <w:t>年</w:t>
      </w:r>
      <w:r>
        <w:rPr>
          <w:rFonts w:hint="eastAsia" w:ascii="仿宋_GB2312" w:hAnsi="仿宋_GB2312" w:eastAsia="仿宋_GB2312" w:cs="仿宋_GB2312"/>
          <w:szCs w:val="21"/>
          <w:highlight w:val="none"/>
          <w:u w:val="single"/>
          <w:lang w:val="en-US" w:eastAsia="zh-CN"/>
        </w:rPr>
        <w:t>10</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28</w:t>
      </w:r>
      <w:r>
        <w:rPr>
          <w:rFonts w:hint="eastAsia" w:ascii="仿宋_GB2312" w:hAnsi="仿宋_GB2312" w:eastAsia="仿宋_GB2312" w:cs="仿宋_GB2312"/>
          <w:szCs w:val="21"/>
          <w:highlight w:val="none"/>
          <w:u w:val="single"/>
        </w:rPr>
        <w:t>日</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lang w:val="en-US" w:eastAsia="zh-CN"/>
        </w:rPr>
        <w:t>2025</w:t>
      </w:r>
      <w:r>
        <w:rPr>
          <w:rFonts w:hint="eastAsia" w:ascii="仿宋_GB2312" w:hAnsi="仿宋_GB2312" w:eastAsia="仿宋_GB2312" w:cs="仿宋_GB2312"/>
          <w:szCs w:val="21"/>
          <w:highlight w:val="none"/>
          <w:u w:val="single"/>
        </w:rPr>
        <w:t>年</w:t>
      </w:r>
      <w:r>
        <w:rPr>
          <w:rFonts w:hint="eastAsia" w:ascii="仿宋_GB2312" w:hAnsi="仿宋_GB2312" w:eastAsia="仿宋_GB2312" w:cs="仿宋_GB2312"/>
          <w:szCs w:val="21"/>
          <w:highlight w:val="none"/>
          <w:u w:val="single"/>
          <w:lang w:val="en-US" w:eastAsia="zh-CN"/>
        </w:rPr>
        <w:t>11</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3</w:t>
      </w:r>
      <w:r>
        <w:rPr>
          <w:rFonts w:hint="eastAsia" w:ascii="仿宋_GB2312" w:hAnsi="仿宋_GB2312" w:eastAsia="仿宋_GB2312" w:cs="仿宋_GB2312"/>
          <w:szCs w:val="21"/>
          <w:highlight w:val="none"/>
          <w:u w:val="single"/>
        </w:rPr>
        <w:t>日</w:t>
      </w:r>
      <w:r>
        <w:rPr>
          <w:rFonts w:hint="eastAsia" w:ascii="仿宋_GB2312" w:hAnsi="仿宋_GB2312" w:eastAsia="仿宋_GB2312" w:cs="仿宋_GB2312"/>
          <w:szCs w:val="21"/>
          <w:highlight w:val="none"/>
          <w:u w:val="none"/>
          <w:lang w:eastAsia="zh-CN"/>
        </w:rPr>
        <w:t>（</w:t>
      </w:r>
      <w:r>
        <w:rPr>
          <w:rFonts w:hint="eastAsia" w:ascii="仿宋_GB2312" w:hAnsi="仿宋_GB2312" w:eastAsia="仿宋_GB2312" w:cs="仿宋_GB2312"/>
          <w:szCs w:val="21"/>
          <w:highlight w:val="none"/>
          <w:u w:val="none"/>
        </w:rPr>
        <w:t xml:space="preserve">北京时间，法定节假日除外 </w:t>
      </w:r>
      <w:r>
        <w:rPr>
          <w:rFonts w:hint="eastAsia" w:ascii="仿宋_GB2312" w:hAnsi="仿宋_GB2312" w:eastAsia="仿宋_GB2312" w:cs="仿宋_GB2312"/>
          <w:szCs w:val="21"/>
          <w:highlight w:val="none"/>
          <w:u w:val="none"/>
          <w:lang w:eastAsia="zh-CN"/>
        </w:rPr>
        <w:t>）</w:t>
      </w:r>
    </w:p>
    <w:p>
      <w:pPr>
        <w:keepNext w:val="0"/>
        <w:keepLines w:val="0"/>
        <w:pageBreakBefore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szCs w:val="21"/>
          <w:highlight w:val="none"/>
          <w:u w:val="none"/>
          <w:lang w:val="en-US" w:eastAsia="zh-CN"/>
        </w:rPr>
      </w:pPr>
      <w:r>
        <w:rPr>
          <w:rFonts w:hint="eastAsia" w:ascii="仿宋_GB2312" w:hAnsi="仿宋_GB2312" w:eastAsia="仿宋_GB2312" w:cs="仿宋_GB2312"/>
          <w:szCs w:val="21"/>
          <w:highlight w:val="none"/>
          <w:lang w:val="en-US" w:eastAsia="zh-CN"/>
        </w:rPr>
        <w:t>地点：</w:t>
      </w:r>
      <w:r>
        <w:rPr>
          <w:rFonts w:hint="eastAsia" w:ascii="仿宋_GB2312" w:hAnsi="仿宋_GB2312" w:eastAsia="仿宋_GB2312" w:cs="仿宋_GB2312"/>
          <w:szCs w:val="21"/>
          <w:highlight w:val="none"/>
          <w:u w:val="none"/>
          <w:lang w:val="en-US" w:eastAsia="zh-CN"/>
        </w:rPr>
        <w:t>辽宁政府采购网</w:t>
      </w:r>
    </w:p>
    <w:p>
      <w:pPr>
        <w:keepNext w:val="0"/>
        <w:keepLines w:val="0"/>
        <w:pageBreakBefore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方式：</w:t>
      </w:r>
      <w:r>
        <w:rPr>
          <w:rFonts w:hint="eastAsia" w:ascii="仿宋_GB2312" w:hAnsi="仿宋_GB2312" w:eastAsia="仿宋_GB2312" w:cs="仿宋_GB2312"/>
          <w:szCs w:val="21"/>
          <w:highlight w:val="none"/>
          <w:lang w:eastAsia="zh-CN"/>
        </w:rPr>
        <w:t>在线下载</w:t>
      </w:r>
    </w:p>
    <w:p>
      <w:pPr>
        <w:keepNext w:val="0"/>
        <w:keepLines w:val="0"/>
        <w:pageBreakBefore w:val="0"/>
        <w:kinsoku/>
        <w:wordWrap/>
        <w:overflowPunct/>
        <w:topLinePunct w:val="0"/>
        <w:autoSpaceDE/>
        <w:autoSpaceDN/>
        <w:bidi w:val="0"/>
        <w:adjustRightInd w:val="0"/>
        <w:snapToGrid w:val="0"/>
        <w:spacing w:line="320" w:lineRule="exact"/>
        <w:ind w:firstLine="420" w:firstLineChars="200"/>
        <w:textAlignment w:val="auto"/>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售价：</w:t>
      </w:r>
      <w:r>
        <w:rPr>
          <w:rFonts w:hint="eastAsia" w:ascii="仿宋_GB2312" w:hAnsi="仿宋_GB2312" w:eastAsia="仿宋_GB2312" w:cs="仿宋_GB2312"/>
          <w:szCs w:val="21"/>
          <w:highlight w:val="none"/>
          <w:lang w:val="en-US" w:eastAsia="zh-CN"/>
        </w:rPr>
        <w:t>免费</w:t>
      </w:r>
      <w:bookmarkStart w:id="142" w:name="_GoBack"/>
      <w:bookmarkEnd w:id="142"/>
    </w:p>
    <w:p>
      <w:pPr>
        <w:keepNext w:val="0"/>
        <w:keepLines w:val="0"/>
        <w:pageBreakBefore w:val="0"/>
        <w:kinsoku/>
        <w:wordWrap/>
        <w:overflowPunct/>
        <w:topLinePunct w:val="0"/>
        <w:autoSpaceDE/>
        <w:autoSpaceDN/>
        <w:bidi w:val="0"/>
        <w:adjustRightInd w:val="0"/>
        <w:snapToGrid w:val="0"/>
        <w:spacing w:line="320" w:lineRule="exact"/>
        <w:textAlignment w:val="auto"/>
        <w:rPr>
          <w:rFonts w:hint="eastAsia" w:ascii="仿宋_GB2312" w:hAnsi="仿宋_GB2312" w:eastAsia="仿宋_GB2312" w:cs="仿宋_GB2312"/>
          <w:b/>
          <w:bCs/>
          <w:szCs w:val="21"/>
          <w:highlight w:val="none"/>
        </w:rPr>
      </w:pPr>
      <w:bookmarkStart w:id="16" w:name="_Toc28359005"/>
      <w:bookmarkStart w:id="17" w:name="_Toc28359082"/>
      <w:bookmarkStart w:id="18" w:name="_Toc35393624"/>
      <w:bookmarkStart w:id="19" w:name="_Toc35393793"/>
      <w:r>
        <w:rPr>
          <w:rFonts w:hint="eastAsia" w:ascii="仿宋_GB2312" w:hAnsi="仿宋_GB2312" w:eastAsia="仿宋_GB2312" w:cs="仿宋_GB2312"/>
          <w:b/>
          <w:bCs/>
          <w:szCs w:val="21"/>
          <w:highlight w:val="none"/>
        </w:rPr>
        <w:t>五、提交投标文件</w:t>
      </w:r>
      <w:bookmarkEnd w:id="16"/>
      <w:bookmarkEnd w:id="17"/>
      <w:r>
        <w:rPr>
          <w:rFonts w:hint="eastAsia" w:ascii="仿宋_GB2312" w:hAnsi="仿宋_GB2312" w:eastAsia="仿宋_GB2312" w:cs="仿宋_GB2312"/>
          <w:b/>
          <w:bCs/>
          <w:szCs w:val="21"/>
          <w:highlight w:val="none"/>
        </w:rPr>
        <w:t>截止时间</w:t>
      </w:r>
      <w:r>
        <w:rPr>
          <w:rFonts w:hint="eastAsia" w:ascii="仿宋_GB2312" w:hAnsi="仿宋_GB2312" w:eastAsia="仿宋_GB2312" w:cs="仿宋_GB2312"/>
          <w:b/>
          <w:bCs/>
          <w:szCs w:val="21"/>
          <w:highlight w:val="none"/>
          <w:lang w:eastAsia="zh-CN"/>
        </w:rPr>
        <w:t>、开标时间</w:t>
      </w:r>
      <w:r>
        <w:rPr>
          <w:rFonts w:hint="eastAsia" w:ascii="仿宋_GB2312" w:hAnsi="仿宋_GB2312" w:eastAsia="仿宋_GB2312" w:cs="仿宋_GB2312"/>
          <w:b/>
          <w:bCs/>
          <w:szCs w:val="21"/>
          <w:highlight w:val="none"/>
        </w:rPr>
        <w:t>和地点</w:t>
      </w:r>
      <w:bookmarkEnd w:id="18"/>
      <w:bookmarkEnd w:id="19"/>
    </w:p>
    <w:p>
      <w:pPr>
        <w:keepNext w:val="0"/>
        <w:keepLines w:val="0"/>
        <w:pageBreakBefore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提交投标文件和备份文件截止时间：</w:t>
      </w:r>
      <w:r>
        <w:rPr>
          <w:rFonts w:hint="eastAsia" w:ascii="仿宋_GB2312" w:hAnsi="仿宋_GB2312" w:eastAsia="仿宋_GB2312" w:cs="仿宋_GB2312"/>
          <w:szCs w:val="21"/>
          <w:highlight w:val="none"/>
          <w:u w:val="single"/>
          <w:lang w:val="en-US" w:eastAsia="zh-CN"/>
        </w:rPr>
        <w:t>2025</w:t>
      </w:r>
      <w:r>
        <w:rPr>
          <w:rFonts w:hint="eastAsia" w:ascii="仿宋_GB2312" w:hAnsi="仿宋_GB2312" w:eastAsia="仿宋_GB2312" w:cs="仿宋_GB2312"/>
          <w:szCs w:val="21"/>
          <w:highlight w:val="none"/>
          <w:u w:val="single"/>
        </w:rPr>
        <w:t>年</w:t>
      </w:r>
      <w:r>
        <w:rPr>
          <w:rFonts w:hint="eastAsia" w:ascii="仿宋_GB2312" w:hAnsi="仿宋_GB2312" w:eastAsia="仿宋_GB2312" w:cs="仿宋_GB2312"/>
          <w:szCs w:val="21"/>
          <w:highlight w:val="none"/>
          <w:u w:val="single"/>
          <w:lang w:val="en-US" w:eastAsia="zh-CN"/>
        </w:rPr>
        <w:t>11</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18</w:t>
      </w:r>
      <w:r>
        <w:rPr>
          <w:rFonts w:hint="eastAsia" w:ascii="仿宋_GB2312" w:hAnsi="仿宋_GB2312" w:eastAsia="仿宋_GB2312" w:cs="仿宋_GB2312"/>
          <w:szCs w:val="21"/>
          <w:highlight w:val="none"/>
          <w:u w:val="single"/>
        </w:rPr>
        <w:t>日</w:t>
      </w:r>
      <w:r>
        <w:rPr>
          <w:rFonts w:hint="eastAsia" w:ascii="仿宋_GB2312" w:hAnsi="仿宋_GB2312" w:eastAsia="仿宋_GB2312" w:cs="仿宋_GB2312"/>
          <w:szCs w:val="21"/>
          <w:highlight w:val="none"/>
          <w:u w:val="single"/>
          <w:lang w:val="en-US" w:eastAsia="zh-CN"/>
        </w:rPr>
        <w:t>9</w:t>
      </w:r>
      <w:r>
        <w:rPr>
          <w:rFonts w:hint="eastAsia" w:ascii="仿宋_GB2312" w:hAnsi="仿宋_GB2312" w:eastAsia="仿宋_GB2312" w:cs="仿宋_GB2312"/>
          <w:szCs w:val="21"/>
          <w:highlight w:val="none"/>
          <w:u w:val="single"/>
        </w:rPr>
        <w:t>点</w:t>
      </w:r>
      <w:r>
        <w:rPr>
          <w:rFonts w:hint="eastAsia" w:ascii="仿宋_GB2312" w:hAnsi="仿宋_GB2312" w:eastAsia="仿宋_GB2312" w:cs="仿宋_GB2312"/>
          <w:szCs w:val="21"/>
          <w:highlight w:val="none"/>
          <w:u w:val="single"/>
          <w:lang w:val="en-US" w:eastAsia="zh-CN"/>
        </w:rPr>
        <w:t>00</w:t>
      </w:r>
      <w:r>
        <w:rPr>
          <w:rFonts w:hint="eastAsia" w:ascii="仿宋_GB2312" w:hAnsi="仿宋_GB2312" w:eastAsia="仿宋_GB2312" w:cs="仿宋_GB2312"/>
          <w:szCs w:val="21"/>
          <w:highlight w:val="none"/>
          <w:u w:val="single"/>
        </w:rPr>
        <w:t>分</w:t>
      </w:r>
      <w:r>
        <w:rPr>
          <w:rFonts w:hint="eastAsia" w:ascii="仿宋_GB2312" w:hAnsi="仿宋_GB2312" w:eastAsia="仿宋_GB2312" w:cs="仿宋_GB2312"/>
          <w:szCs w:val="21"/>
          <w:highlight w:val="none"/>
        </w:rPr>
        <w:t>（北京时间）</w:t>
      </w:r>
    </w:p>
    <w:p>
      <w:pPr>
        <w:keepNext w:val="0"/>
        <w:keepLines w:val="0"/>
        <w:pageBreakBefore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szCs w:val="21"/>
          <w:u w:val="single"/>
          <w:lang w:val="en-US" w:eastAsia="zh-CN"/>
        </w:rPr>
      </w:pPr>
      <w:r>
        <w:rPr>
          <w:rFonts w:hint="eastAsia" w:ascii="仿宋_GB2312" w:hAnsi="仿宋_GB2312" w:eastAsia="仿宋_GB2312" w:cs="仿宋_GB2312"/>
          <w:szCs w:val="21"/>
          <w:lang w:val="en-US" w:eastAsia="zh-CN"/>
        </w:rPr>
        <w:t>提交投标文件方式</w:t>
      </w:r>
      <w:r>
        <w:rPr>
          <w:rFonts w:hint="eastAsia" w:ascii="仿宋_GB2312" w:hAnsi="仿宋_GB2312" w:eastAsia="仿宋_GB2312" w:cs="仿宋_GB2312"/>
          <w:szCs w:val="21"/>
        </w:rPr>
        <w:t>：</w:t>
      </w:r>
      <w:bookmarkStart w:id="20" w:name="_Toc35393794"/>
      <w:bookmarkStart w:id="21" w:name="_Toc28359084"/>
      <w:bookmarkStart w:id="22" w:name="_Toc35393625"/>
      <w:bookmarkStart w:id="23" w:name="_Toc28359007"/>
      <w:r>
        <w:rPr>
          <w:rFonts w:hint="eastAsia" w:ascii="仿宋_GB2312" w:hAnsi="仿宋_GB2312" w:eastAsia="仿宋_GB2312" w:cs="仿宋_GB2312"/>
          <w:szCs w:val="21"/>
          <w:u w:val="single"/>
          <w:lang w:val="en-US" w:eastAsia="zh-CN"/>
        </w:rPr>
        <w:t>辽宁政府采购网线上提交</w:t>
      </w:r>
    </w:p>
    <w:p>
      <w:pPr>
        <w:keepNext w:val="0"/>
        <w:keepLines w:val="0"/>
        <w:pageBreakBefore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szCs w:val="21"/>
          <w:u w:val="single"/>
          <w:lang w:val="en-US" w:eastAsia="zh-CN"/>
        </w:rPr>
      </w:pPr>
      <w:r>
        <w:rPr>
          <w:rFonts w:hint="eastAsia" w:ascii="仿宋_GB2312" w:hAnsi="仿宋_GB2312" w:eastAsia="仿宋_GB2312" w:cs="仿宋_GB2312"/>
          <w:szCs w:val="21"/>
          <w:lang w:eastAsia="zh-CN"/>
        </w:rPr>
        <w:t>开标</w:t>
      </w:r>
      <w:r>
        <w:rPr>
          <w:rFonts w:hint="eastAsia" w:ascii="仿宋_GB2312" w:hAnsi="仿宋_GB2312" w:eastAsia="仿宋_GB2312" w:cs="仿宋_GB2312"/>
          <w:szCs w:val="21"/>
        </w:rPr>
        <w:t>地点：</w:t>
      </w:r>
      <w:r>
        <w:rPr>
          <w:rFonts w:hint="eastAsia" w:ascii="仿宋_GB2312" w:hAnsi="仿宋_GB2312" w:eastAsia="仿宋_GB2312" w:cs="仿宋_GB2312"/>
          <w:szCs w:val="21"/>
          <w:u w:val="single"/>
        </w:rPr>
        <w:t>朝阳市公共资源交易中心（双塔区人民路1B三楼）</w:t>
      </w:r>
    </w:p>
    <w:p>
      <w:pPr>
        <w:keepNext w:val="0"/>
        <w:keepLines w:val="0"/>
        <w:pageBreakBefore w:val="0"/>
        <w:kinsoku/>
        <w:wordWrap/>
        <w:overflowPunct/>
        <w:topLinePunct w:val="0"/>
        <w:autoSpaceDE/>
        <w:autoSpaceDN/>
        <w:bidi w:val="0"/>
        <w:adjustRightInd w:val="0"/>
        <w:snapToGrid w:val="0"/>
        <w:spacing w:line="320" w:lineRule="exact"/>
        <w:textAlignment w:val="auto"/>
        <w:rPr>
          <w:rFonts w:hint="eastAsia" w:ascii="仿宋_GB2312" w:hAnsi="仿宋_GB2312" w:eastAsia="仿宋_GB2312" w:cs="仿宋_GB2312"/>
          <w:b/>
          <w:bCs/>
          <w:szCs w:val="21"/>
        </w:rPr>
      </w:pPr>
      <w:r>
        <w:rPr>
          <w:rFonts w:hint="eastAsia" w:ascii="仿宋_GB2312" w:hAnsi="仿宋_GB2312" w:eastAsia="仿宋_GB2312" w:cs="仿宋_GB2312"/>
          <w:b/>
          <w:bCs/>
          <w:szCs w:val="21"/>
          <w:lang w:val="en-US" w:eastAsia="zh-CN"/>
        </w:rPr>
        <w:t>六</w:t>
      </w:r>
      <w:r>
        <w:rPr>
          <w:rFonts w:hint="eastAsia" w:ascii="仿宋_GB2312" w:hAnsi="仿宋_GB2312" w:eastAsia="仿宋_GB2312" w:cs="仿宋_GB2312"/>
          <w:b/>
          <w:bCs/>
          <w:szCs w:val="21"/>
        </w:rPr>
        <w:t>、公告期限</w:t>
      </w:r>
      <w:bookmarkEnd w:id="20"/>
      <w:bookmarkEnd w:id="21"/>
      <w:bookmarkEnd w:id="22"/>
      <w:bookmarkEnd w:id="23"/>
    </w:p>
    <w:p>
      <w:pPr>
        <w:keepNext w:val="0"/>
        <w:keepLines w:val="0"/>
        <w:pageBreakBefore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自本公告发布之日起5个工作日。</w:t>
      </w:r>
    </w:p>
    <w:p>
      <w:pPr>
        <w:keepNext w:val="0"/>
        <w:keepLines w:val="0"/>
        <w:pageBreakBefore w:val="0"/>
        <w:widowControl/>
        <w:kinsoku/>
        <w:wordWrap/>
        <w:overflowPunct/>
        <w:topLinePunct w:val="0"/>
        <w:autoSpaceDE/>
        <w:autoSpaceDN/>
        <w:bidi w:val="0"/>
        <w:adjustRightInd w:val="0"/>
        <w:snapToGrid w:val="0"/>
        <w:spacing w:line="320" w:lineRule="exact"/>
        <w:jc w:val="left"/>
        <w:textAlignment w:val="auto"/>
        <w:rPr>
          <w:rFonts w:hint="eastAsia" w:ascii="仿宋_GB2312" w:hAnsi="仿宋_GB2312" w:eastAsia="仿宋_GB2312" w:cs="仿宋_GB2312"/>
          <w:b/>
          <w:bCs w:val="0"/>
          <w:szCs w:val="21"/>
        </w:rPr>
      </w:pPr>
      <w:r>
        <w:rPr>
          <w:rFonts w:hint="eastAsia" w:ascii="仿宋_GB2312" w:hAnsi="仿宋_GB2312" w:eastAsia="仿宋_GB2312" w:cs="仿宋_GB2312"/>
          <w:b/>
          <w:bCs w:val="0"/>
          <w:szCs w:val="21"/>
          <w:lang w:val="en-US" w:eastAsia="zh-CN"/>
        </w:rPr>
        <w:t>七</w:t>
      </w:r>
      <w:r>
        <w:rPr>
          <w:rFonts w:hint="eastAsia" w:ascii="仿宋_GB2312" w:hAnsi="仿宋_GB2312" w:eastAsia="仿宋_GB2312" w:cs="仿宋_GB2312"/>
          <w:b/>
          <w:bCs w:val="0"/>
          <w:szCs w:val="21"/>
        </w:rPr>
        <w:t>、质疑与投诉</w:t>
      </w:r>
    </w:p>
    <w:p>
      <w:pPr>
        <w:keepNext w:val="0"/>
        <w:keepLines w:val="0"/>
        <w:pageBreakBefore w:val="0"/>
        <w:widowControl/>
        <w:kinsoku/>
        <w:wordWrap/>
        <w:overflowPunct/>
        <w:topLinePunct w:val="0"/>
        <w:autoSpaceDE/>
        <w:autoSpaceDN/>
        <w:bidi w:val="0"/>
        <w:adjustRightInd w:val="0"/>
        <w:snapToGrid w:val="0"/>
        <w:spacing w:line="320" w:lineRule="exact"/>
        <w:ind w:firstLine="420" w:firstLineChars="200"/>
        <w:jc w:val="left"/>
        <w:textAlignment w:val="auto"/>
        <w:rPr>
          <w:rFonts w:hint="eastAsia" w:ascii="仿宋_GB2312" w:hAnsi="仿宋_GB2312" w:eastAsia="仿宋_GB2312" w:cs="仿宋_GB2312"/>
          <w:szCs w:val="21"/>
        </w:rPr>
      </w:pPr>
      <w:bookmarkStart w:id="24" w:name="_Toc35393626"/>
      <w:bookmarkStart w:id="25" w:name="_Toc35393795"/>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pPr>
        <w:keepNext w:val="0"/>
        <w:keepLines w:val="0"/>
        <w:pageBreakBefore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rPr>
        <w:t>接收质疑函方式：根据《辽宁省政府采购电子化质疑投诉管理办法》，质疑统一在辽宁政府采购网电子化质疑投诉系统中提出。质疑供应商无法在系统中提出质疑的，可采取现场递交书面纸质质疑函方式进行，详见辽宁政府采购网。</w:t>
      </w:r>
    </w:p>
    <w:p>
      <w:pPr>
        <w:keepNext w:val="0"/>
        <w:keepLines w:val="0"/>
        <w:pageBreakBefore w:val="0"/>
        <w:kinsoku/>
        <w:wordWrap/>
        <w:overflowPunct/>
        <w:topLinePunct w:val="0"/>
        <w:autoSpaceDE/>
        <w:autoSpaceDN/>
        <w:bidi w:val="0"/>
        <w:adjustRightInd w:val="0"/>
        <w:snapToGrid w:val="0"/>
        <w:spacing w:line="32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rPr>
        <w:t>质疑函内容、格式：应符合《政府采购质疑和投诉办法》相关规定和财政部制定的《政府采购质疑函范本》格式，详见辽宁政府采购网。</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pPr>
        <w:keepNext w:val="0"/>
        <w:keepLines w:val="0"/>
        <w:pageBreakBefore w:val="0"/>
        <w:numPr>
          <w:ilvl w:val="0"/>
          <w:numId w:val="0"/>
        </w:numPr>
        <w:kinsoku/>
        <w:wordWrap/>
        <w:overflowPunct/>
        <w:topLinePunct w:val="0"/>
        <w:autoSpaceDE/>
        <w:autoSpaceDN/>
        <w:bidi w:val="0"/>
        <w:adjustRightInd w:val="0"/>
        <w:snapToGrid w:val="0"/>
        <w:spacing w:line="320" w:lineRule="exact"/>
        <w:textAlignment w:val="auto"/>
        <w:rPr>
          <w:rFonts w:hint="eastAsia" w:ascii="仿宋_GB2312" w:hAnsi="仿宋_GB2312" w:eastAsia="仿宋_GB2312" w:cs="仿宋_GB2312"/>
          <w:b/>
          <w:bCs/>
          <w:szCs w:val="21"/>
        </w:rPr>
      </w:pPr>
      <w:r>
        <w:rPr>
          <w:rFonts w:hint="eastAsia" w:ascii="仿宋_GB2312" w:hAnsi="仿宋_GB2312" w:eastAsia="仿宋_GB2312" w:cs="仿宋_GB2312"/>
          <w:b/>
          <w:bCs/>
          <w:szCs w:val="21"/>
          <w:lang w:eastAsia="zh-CN"/>
        </w:rPr>
        <w:t>八、</w:t>
      </w:r>
      <w:r>
        <w:rPr>
          <w:rFonts w:hint="eastAsia" w:ascii="仿宋_GB2312" w:hAnsi="仿宋_GB2312" w:eastAsia="仿宋_GB2312" w:cs="仿宋_GB2312"/>
          <w:b/>
          <w:bCs/>
          <w:szCs w:val="21"/>
        </w:rPr>
        <w:t>其他补充事宜</w:t>
      </w:r>
      <w:bookmarkEnd w:id="24"/>
      <w:bookmarkEnd w:id="25"/>
    </w:p>
    <w:p>
      <w:pPr>
        <w:keepNext w:val="0"/>
        <w:keepLines w:val="0"/>
        <w:pageBreakBefore w:val="0"/>
        <w:widowControl/>
        <w:numPr>
          <w:ilvl w:val="0"/>
          <w:numId w:val="0"/>
        </w:numPr>
        <w:kinsoku/>
        <w:wordWrap/>
        <w:overflowPunct/>
        <w:topLinePunct w:val="0"/>
        <w:autoSpaceDE/>
        <w:autoSpaceDN/>
        <w:bidi w:val="0"/>
        <w:adjustRightInd w:val="0"/>
        <w:snapToGrid w:val="0"/>
        <w:spacing w:line="320" w:lineRule="exact"/>
        <w:ind w:firstLine="420" w:firstLineChars="200"/>
        <w:jc w:val="left"/>
        <w:textAlignment w:val="auto"/>
        <w:rPr>
          <w:rFonts w:hint="eastAsia"/>
        </w:rPr>
      </w:pPr>
      <w:bookmarkStart w:id="26" w:name="_Toc28359085"/>
      <w:bookmarkStart w:id="27" w:name="_Toc35393796"/>
      <w:bookmarkStart w:id="28" w:name="_Toc35393627"/>
      <w:bookmarkStart w:id="29" w:name="_Toc28359008"/>
      <w:r>
        <w:rPr>
          <w:rFonts w:hint="eastAsia" w:ascii="仿宋_GB2312" w:hAnsi="仿宋_GB2312" w:eastAsia="仿宋_GB2312" w:cs="仿宋_GB2312"/>
          <w:szCs w:val="21"/>
          <w:lang w:val="en-US" w:eastAsia="zh-CN"/>
        </w:rPr>
        <w:t>1.本项目采取线上开评标的方式进行。各投标供应商在采购活动开始时，须用CA证书解密电子文件，电子解密时间为30分钟，如遇特殊情况以现场实际解密时长为准。如有问题可拨打开评标服务部电话进行咨询：0421-2836536；</w:t>
      </w:r>
      <w:r>
        <w:rPr>
          <w:rFonts w:hint="eastAsia" w:ascii="仿宋_GB2312" w:hAnsi="仿宋_GB2312" w:eastAsia="仿宋_GB2312" w:cs="仿宋_GB2312"/>
          <w:szCs w:val="21"/>
        </w:rPr>
        <w:t>相关技术问题可拨打网站客服电话进行咨询：400-</w:t>
      </w:r>
      <w:r>
        <w:rPr>
          <w:rFonts w:hint="eastAsia" w:ascii="仿宋_GB2312" w:hAnsi="仿宋_GB2312" w:eastAsia="仿宋_GB2312" w:cs="仿宋_GB2312"/>
          <w:szCs w:val="21"/>
          <w:lang w:val="en-US" w:eastAsia="zh-CN"/>
        </w:rPr>
        <w:t>128</w:t>
      </w: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8588</w:t>
      </w:r>
      <w:r>
        <w:rPr>
          <w:rFonts w:hint="eastAsia" w:ascii="仿宋_GB2312" w:hAnsi="仿宋_GB2312" w:eastAsia="仿宋_GB2312" w:cs="仿宋_GB2312"/>
          <w:szCs w:val="21"/>
        </w:rPr>
        <w:t>。</w:t>
      </w:r>
    </w:p>
    <w:p>
      <w:pPr>
        <w:pStyle w:val="17"/>
        <w:keepNext w:val="0"/>
        <w:keepLines w:val="0"/>
        <w:pageBreakBefore w:val="0"/>
        <w:kinsoku/>
        <w:wordWrap/>
        <w:overflowPunct/>
        <w:topLinePunct w:val="0"/>
        <w:autoSpaceDE/>
        <w:autoSpaceDN/>
        <w:bidi w:val="0"/>
        <w:spacing w:line="320" w:lineRule="exact"/>
        <w:ind w:firstLine="420"/>
        <w:textAlignment w:val="auto"/>
        <w:rPr>
          <w:rFonts w:hint="default" w:hAnsi="仿宋_GB2312" w:eastAsia="仿宋_GB2312" w:cs="仿宋_GB2312"/>
          <w:b/>
          <w:bCs/>
          <w:szCs w:val="21"/>
          <w:lang w:val="en-US" w:eastAsia="zh-CN"/>
        </w:rPr>
      </w:pPr>
      <w:r>
        <w:rPr>
          <w:rFonts w:hint="eastAsia" w:ascii="仿宋_GB2312" w:hAnsi="仿宋_GB2312" w:eastAsia="仿宋_GB2312" w:cs="仿宋_GB2312"/>
          <w:szCs w:val="21"/>
          <w:lang w:val="en-US" w:eastAsia="zh-CN"/>
        </w:rPr>
        <w:t>2.</w:t>
      </w:r>
      <w:r>
        <w:rPr>
          <w:rFonts w:hint="eastAsia" w:hAnsi="仿宋_GB2312" w:eastAsia="仿宋_GB2312" w:cs="仿宋_GB2312"/>
          <w:szCs w:val="21"/>
          <w:lang w:val="en-US" w:eastAsia="zh-CN"/>
        </w:rPr>
        <w:t>本项目收取</w:t>
      </w:r>
      <w:r>
        <w:rPr>
          <w:rFonts w:hint="eastAsia"/>
          <w:lang w:val="en-US" w:eastAsia="zh-CN"/>
        </w:rPr>
        <w:t>备份投标文件。供应商须保证备份文件与电子评审系统中上传的投标文件内容、格式一致，以备系统突发故障使用。备份投标文件以U盘、移动硬盘存储的可加密等形式单独密封和《递交备份投标文件登记表》一同递交或邮寄至：</w:t>
      </w:r>
      <w:r>
        <w:rPr>
          <w:rFonts w:hint="eastAsia" w:ascii="仿宋_GB2312" w:hAnsi="仿宋_GB2312" w:eastAsia="仿宋_GB2312" w:cs="仿宋_GB2312"/>
          <w:szCs w:val="21"/>
        </w:rPr>
        <w:t>朝阳市公共资源交易中心</w:t>
      </w:r>
      <w:r>
        <w:rPr>
          <w:rFonts w:hint="eastAsia" w:hAnsi="仿宋_GB2312" w:eastAsia="仿宋_GB2312" w:cs="仿宋_GB2312"/>
          <w:szCs w:val="21"/>
          <w:lang w:val="en-US" w:eastAsia="zh-CN"/>
        </w:rPr>
        <w:t>0406室</w:t>
      </w:r>
      <w:r>
        <w:rPr>
          <w:rFonts w:hint="eastAsia" w:ascii="仿宋_GB2312" w:hAnsi="仿宋_GB2312" w:eastAsia="仿宋_GB2312" w:cs="仿宋_GB2312"/>
          <w:szCs w:val="21"/>
        </w:rPr>
        <w:t>（双塔区人民路1B</w:t>
      </w:r>
      <w:r>
        <w:rPr>
          <w:rFonts w:hint="eastAsia" w:hAnsi="仿宋_GB2312" w:eastAsia="仿宋_GB2312" w:cs="仿宋_GB2312"/>
          <w:szCs w:val="21"/>
          <w:lang w:eastAsia="zh-CN"/>
        </w:rPr>
        <w:t>四</w:t>
      </w:r>
      <w:r>
        <w:rPr>
          <w:rFonts w:hint="eastAsia" w:ascii="仿宋_GB2312" w:hAnsi="仿宋_GB2312" w:eastAsia="仿宋_GB2312" w:cs="仿宋_GB2312"/>
          <w:szCs w:val="21"/>
        </w:rPr>
        <w:t>楼）</w:t>
      </w:r>
      <w:r>
        <w:rPr>
          <w:rFonts w:hint="eastAsia" w:hAnsi="仿宋_GB2312" w:eastAsia="仿宋_GB2312" w:cs="仿宋_GB2312"/>
          <w:szCs w:val="21"/>
          <w:lang w:val="en-US" w:eastAsia="zh-CN"/>
        </w:rPr>
        <w:t>，</w:t>
      </w:r>
      <w:r>
        <w:rPr>
          <w:rFonts w:hint="eastAsia" w:ascii="仿宋_GB2312" w:hAnsi="仿宋_GB2312" w:eastAsia="仿宋_GB2312" w:cs="仿宋_GB2312"/>
          <w:kern w:val="2"/>
          <w:sz w:val="21"/>
          <w:szCs w:val="21"/>
          <w:lang w:val="en-US" w:eastAsia="zh-CN" w:bidi="ar-SA"/>
        </w:rPr>
        <w:t>收件人：</w:t>
      </w:r>
      <w:r>
        <w:rPr>
          <w:rFonts w:hint="eastAsia" w:hAnsi="仿宋_GB2312" w:eastAsia="仿宋_GB2312" w:cs="仿宋_GB2312"/>
          <w:kern w:val="2"/>
          <w:sz w:val="21"/>
          <w:szCs w:val="21"/>
          <w:lang w:val="en-US" w:eastAsia="zh-CN" w:bidi="ar-SA"/>
        </w:rPr>
        <w:t>王天蕾</w:t>
      </w:r>
      <w:r>
        <w:rPr>
          <w:rFonts w:hint="eastAsia" w:ascii="仿宋_GB2312" w:hAnsi="仿宋_GB2312" w:eastAsia="仿宋_GB2312" w:cs="仿宋_GB2312"/>
          <w:kern w:val="2"/>
          <w:sz w:val="21"/>
          <w:szCs w:val="21"/>
          <w:lang w:val="en-US" w:eastAsia="zh-CN" w:bidi="ar-SA"/>
        </w:rPr>
        <w:t>，联系电话：</w:t>
      </w:r>
      <w:r>
        <w:rPr>
          <w:rFonts w:hint="eastAsia" w:hAnsi="仿宋_GB2312" w:eastAsia="仿宋_GB2312" w:cs="仿宋_GB2312"/>
          <w:kern w:val="2"/>
          <w:sz w:val="21"/>
          <w:szCs w:val="21"/>
          <w:lang w:val="en-US" w:eastAsia="zh-CN" w:bidi="ar-SA"/>
        </w:rPr>
        <w:t>0421-2836536</w:t>
      </w:r>
      <w:r>
        <w:rPr>
          <w:rFonts w:hint="eastAsia" w:hAnsi="仿宋_GB2312" w:eastAsia="仿宋_GB2312" w:cs="仿宋_GB2312"/>
          <w:szCs w:val="21"/>
          <w:lang w:val="en-US" w:eastAsia="zh-CN"/>
        </w:rPr>
        <w:t>。</w:t>
      </w:r>
      <w:r>
        <w:rPr>
          <w:rFonts w:hint="eastAsia" w:hAnsi="仿宋_GB2312" w:eastAsia="仿宋_GB2312" w:cs="仿宋_GB2312"/>
          <w:b/>
          <w:bCs/>
          <w:szCs w:val="21"/>
          <w:lang w:val="en-US" w:eastAsia="zh-CN"/>
        </w:rPr>
        <w:t>送达时间以朝阳市公共资源交易中心收件人收到时间为准。</w:t>
      </w:r>
    </w:p>
    <w:p>
      <w:pPr>
        <w:keepNext w:val="0"/>
        <w:keepLines w:val="0"/>
        <w:pageBreakBefore w:val="0"/>
        <w:widowControl/>
        <w:kinsoku/>
        <w:wordWrap/>
        <w:overflowPunct/>
        <w:topLinePunct w:val="0"/>
        <w:autoSpaceDE/>
        <w:autoSpaceDN/>
        <w:bidi w:val="0"/>
        <w:adjustRightInd w:val="0"/>
        <w:snapToGrid w:val="0"/>
        <w:spacing w:line="320" w:lineRule="exact"/>
        <w:ind w:firstLine="420" w:firstLineChars="200"/>
        <w:jc w:val="left"/>
        <w:textAlignment w:val="auto"/>
        <w:rPr>
          <w:rFonts w:hint="eastAsia" w:ascii="仿宋_GB2312" w:hAnsi="仿宋_GB2312" w:eastAsia="仿宋_GB2312" w:cs="仿宋_GB2312"/>
          <w:szCs w:val="21"/>
        </w:rPr>
      </w:pPr>
      <w:r>
        <w:rPr>
          <w:rFonts w:hint="eastAsia" w:ascii="仿宋_GB2312" w:hAnsi="仿宋_GB2312" w:eastAsia="仿宋_GB2312" w:cs="仿宋_GB2312"/>
          <w:szCs w:val="21"/>
          <w:lang w:val="en-US" w:eastAsia="zh-CN"/>
        </w:rPr>
        <w:t>3.</w:t>
      </w:r>
      <w:r>
        <w:rPr>
          <w:rFonts w:hint="eastAsia" w:ascii="仿宋_GB2312" w:hAnsi="仿宋_GB2312" w:eastAsia="仿宋_GB2312" w:cs="仿宋_GB2312"/>
          <w:szCs w:val="21"/>
        </w:rPr>
        <w:t>供应商在电子评审活动中出现以下情形的，应按如下规定进行处理：</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（1）因供应商原因造成投标文件未解密的；</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（2）因供应商自用设备原因造成的未在规定时间内解密、上传文件或投标报价等问题影响电子评审的；</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（3）因供应商原因未对文件校验造成信息缺失、文件内容或格式不正确</w:t>
      </w:r>
      <w:r>
        <w:rPr>
          <w:rFonts w:hint="eastAsia" w:ascii="仿宋_GB2312" w:hAnsi="仿宋_GB2312" w:eastAsia="仿宋_GB2312" w:cs="仿宋_GB2312"/>
          <w:szCs w:val="21"/>
          <w:lang w:eastAsia="zh-CN"/>
        </w:rPr>
        <w:t>以及备份文件不符合要求</w:t>
      </w:r>
      <w:r>
        <w:rPr>
          <w:rFonts w:hint="eastAsia" w:ascii="仿宋_GB2312" w:hAnsi="仿宋_GB2312" w:eastAsia="仿宋_GB2312" w:cs="仿宋_GB2312"/>
          <w:szCs w:val="21"/>
        </w:rPr>
        <w:t>等问题影响评审的。</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b/>
          <w:bCs/>
          <w:szCs w:val="21"/>
          <w:lang w:val="en-US" w:eastAsia="zh-CN"/>
        </w:rPr>
      </w:pPr>
      <w:r>
        <w:rPr>
          <w:rFonts w:hint="eastAsia" w:ascii="仿宋_GB2312" w:hAnsi="仿宋_GB2312" w:eastAsia="仿宋_GB2312" w:cs="仿宋_GB2312"/>
          <w:szCs w:val="21"/>
        </w:rPr>
        <w:t>出现前款（1）（2）情形的，视为放弃投标；出现前款（3）情形的，由供应商自行承担相应责任。</w:t>
      </w:r>
    </w:p>
    <w:p>
      <w:pPr>
        <w:keepNext w:val="0"/>
        <w:keepLines w:val="0"/>
        <w:pageBreakBefore w:val="0"/>
        <w:kinsoku/>
        <w:wordWrap/>
        <w:overflowPunct/>
        <w:topLinePunct w:val="0"/>
        <w:autoSpaceDE/>
        <w:autoSpaceDN/>
        <w:bidi w:val="0"/>
        <w:adjustRightInd w:val="0"/>
        <w:snapToGrid w:val="0"/>
        <w:spacing w:line="320" w:lineRule="exact"/>
        <w:textAlignment w:val="auto"/>
        <w:rPr>
          <w:rFonts w:hint="eastAsia" w:ascii="仿宋_GB2312" w:hAnsi="仿宋_GB2312" w:eastAsia="仿宋_GB2312" w:cs="仿宋_GB2312"/>
          <w:b/>
          <w:bCs/>
          <w:szCs w:val="21"/>
        </w:rPr>
      </w:pPr>
      <w:r>
        <w:rPr>
          <w:rFonts w:hint="eastAsia" w:ascii="仿宋_GB2312" w:hAnsi="仿宋_GB2312" w:eastAsia="仿宋_GB2312" w:cs="仿宋_GB2312"/>
          <w:b/>
          <w:bCs/>
          <w:szCs w:val="21"/>
          <w:lang w:eastAsia="zh-CN"/>
        </w:rPr>
        <w:t>九</w:t>
      </w:r>
      <w:r>
        <w:rPr>
          <w:rFonts w:hint="eastAsia" w:ascii="仿宋_GB2312" w:hAnsi="仿宋_GB2312" w:eastAsia="仿宋_GB2312" w:cs="仿宋_GB2312"/>
          <w:b/>
          <w:bCs/>
          <w:szCs w:val="21"/>
        </w:rPr>
        <w:t>、对本次招标提出询问，请按以下方式联系</w:t>
      </w:r>
      <w:bookmarkEnd w:id="26"/>
      <w:bookmarkEnd w:id="27"/>
      <w:bookmarkEnd w:id="28"/>
      <w:bookmarkEnd w:id="29"/>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1.采购人信息</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color w:val="auto"/>
          <w:szCs w:val="21"/>
          <w:u w:val="single"/>
          <w:lang w:val="en-US" w:eastAsia="zh-CN"/>
        </w:rPr>
      </w:pPr>
      <w:r>
        <w:rPr>
          <w:rFonts w:hint="eastAsia" w:ascii="仿宋_GB2312" w:hAnsi="仿宋_GB2312" w:eastAsia="仿宋_GB2312" w:cs="仿宋_GB2312"/>
          <w:color w:val="auto"/>
          <w:szCs w:val="21"/>
        </w:rPr>
        <w:t>名</w:t>
      </w:r>
      <w:r>
        <w:rPr>
          <w:rFonts w:hint="eastAsia" w:ascii="仿宋_GB2312" w:hAnsi="仿宋_GB2312" w:eastAsia="仿宋_GB2312" w:cs="仿宋_GB2312"/>
          <w:color w:val="auto"/>
          <w:szCs w:val="21"/>
          <w:lang w:val="en-US" w:eastAsia="zh-CN"/>
        </w:rPr>
        <w:t xml:space="preserve">    </w:t>
      </w:r>
      <w:r>
        <w:rPr>
          <w:rFonts w:hint="eastAsia" w:ascii="仿宋_GB2312" w:hAnsi="仿宋_GB2312" w:eastAsia="仿宋_GB2312" w:cs="仿宋_GB2312"/>
          <w:color w:val="auto"/>
          <w:szCs w:val="21"/>
        </w:rPr>
        <w:t>称：</w:t>
      </w:r>
      <w:r>
        <w:rPr>
          <w:rFonts w:hint="eastAsia" w:ascii="仿宋_GB2312" w:hAnsi="仿宋_GB2312" w:eastAsia="仿宋_GB2312" w:cs="仿宋_GB2312"/>
          <w:color w:val="auto"/>
          <w:szCs w:val="21"/>
          <w:u w:val="single"/>
          <w:lang w:val="en-US" w:eastAsia="zh-CN"/>
        </w:rPr>
        <w:t>朝阳市公安局交通管理支队</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color w:val="auto"/>
          <w:szCs w:val="21"/>
          <w:u w:val="single"/>
          <w:lang w:val="en-US" w:eastAsia="zh-CN"/>
        </w:rPr>
      </w:pPr>
      <w:r>
        <w:rPr>
          <w:rFonts w:hint="eastAsia" w:ascii="仿宋_GB2312" w:hAnsi="仿宋_GB2312" w:eastAsia="仿宋_GB2312" w:cs="仿宋_GB2312"/>
          <w:color w:val="auto"/>
          <w:szCs w:val="21"/>
        </w:rPr>
        <w:t>地</w:t>
      </w:r>
      <w:r>
        <w:rPr>
          <w:rFonts w:hint="eastAsia" w:ascii="仿宋_GB2312" w:hAnsi="仿宋_GB2312" w:eastAsia="仿宋_GB2312" w:cs="仿宋_GB2312"/>
          <w:color w:val="auto"/>
          <w:szCs w:val="21"/>
          <w:lang w:val="en-US" w:eastAsia="zh-CN"/>
        </w:rPr>
        <w:t xml:space="preserve">    </w:t>
      </w:r>
      <w:r>
        <w:rPr>
          <w:rFonts w:hint="eastAsia" w:ascii="仿宋_GB2312" w:hAnsi="仿宋_GB2312" w:eastAsia="仿宋_GB2312" w:cs="仿宋_GB2312"/>
          <w:color w:val="auto"/>
          <w:szCs w:val="21"/>
        </w:rPr>
        <w:t>址：</w:t>
      </w:r>
      <w:r>
        <w:rPr>
          <w:rFonts w:hint="eastAsia" w:ascii="仿宋_GB2312" w:hAnsi="仿宋_GB2312" w:eastAsia="仿宋_GB2312" w:cs="仿宋_GB2312"/>
          <w:color w:val="auto"/>
          <w:szCs w:val="21"/>
          <w:u w:val="single"/>
          <w:lang w:val="en-US" w:eastAsia="zh-CN"/>
        </w:rPr>
        <w:t>朝阳大街一段2号</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color w:val="auto"/>
          <w:szCs w:val="21"/>
          <w:u w:val="single"/>
          <w:lang w:val="en-US" w:eastAsia="zh-CN"/>
        </w:rPr>
      </w:pPr>
      <w:r>
        <w:rPr>
          <w:rFonts w:hint="eastAsia" w:ascii="仿宋_GB2312" w:hAnsi="仿宋_GB2312" w:eastAsia="仿宋_GB2312" w:cs="仿宋_GB2312"/>
          <w:color w:val="auto"/>
          <w:szCs w:val="21"/>
        </w:rPr>
        <w:t>联系方式：</w:t>
      </w:r>
      <w:r>
        <w:rPr>
          <w:rFonts w:hint="eastAsia" w:ascii="仿宋_GB2312" w:hAnsi="仿宋_GB2312" w:eastAsia="仿宋_GB2312" w:cs="仿宋_GB2312"/>
          <w:kern w:val="0"/>
          <w:szCs w:val="21"/>
          <w:u w:val="single"/>
          <w:lang w:val="en-US" w:eastAsia="zh-CN"/>
        </w:rPr>
        <w:t>0421-2801719</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2.采购代理机构信息</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名称：</w:t>
      </w:r>
      <w:r>
        <w:rPr>
          <w:rFonts w:hint="eastAsia" w:ascii="仿宋_GB2312" w:hAnsi="仿宋_GB2312" w:eastAsia="仿宋_GB2312" w:cs="仿宋_GB2312"/>
          <w:color w:val="auto"/>
          <w:szCs w:val="21"/>
          <w:u w:val="single"/>
        </w:rPr>
        <w:t xml:space="preserve">朝阳市政府采购中心 </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地址：</w:t>
      </w:r>
      <w:r>
        <w:rPr>
          <w:rFonts w:hint="eastAsia" w:ascii="仿宋_GB2312" w:hAnsi="仿宋_GB2312" w:eastAsia="仿宋_GB2312" w:cs="仿宋_GB2312"/>
          <w:color w:val="auto"/>
          <w:szCs w:val="21"/>
          <w:u w:val="single"/>
        </w:rPr>
        <w:t xml:space="preserve">朝阳市公共资源交易中心（双塔区人民路1B三楼） </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color w:val="auto"/>
          <w:szCs w:val="21"/>
          <w:u w:val="single"/>
          <w:lang w:val="en-US" w:eastAsia="zh-CN"/>
        </w:rPr>
      </w:pPr>
      <w:r>
        <w:rPr>
          <w:rFonts w:hint="eastAsia" w:ascii="仿宋_GB2312" w:hAnsi="仿宋_GB2312" w:eastAsia="仿宋_GB2312" w:cs="仿宋_GB2312"/>
          <w:color w:val="auto"/>
          <w:szCs w:val="21"/>
        </w:rPr>
        <w:t>联系方式：</w:t>
      </w:r>
      <w:r>
        <w:rPr>
          <w:rFonts w:hint="eastAsia" w:ascii="仿宋_GB2312" w:hAnsi="仿宋_GB2312" w:eastAsia="仿宋_GB2312" w:cs="仿宋_GB2312"/>
          <w:color w:val="auto"/>
          <w:szCs w:val="21"/>
          <w:u w:val="single"/>
          <w:lang w:val="en-US" w:eastAsia="zh-CN"/>
        </w:rPr>
        <w:t>0421-2865002</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color w:val="auto"/>
          <w:szCs w:val="21"/>
          <w:u w:val="single"/>
          <w:lang w:val="en-US" w:eastAsia="zh-CN"/>
        </w:rPr>
      </w:pPr>
      <w:r>
        <w:rPr>
          <w:rFonts w:hint="eastAsia" w:ascii="仿宋_GB2312" w:hAnsi="仿宋_GB2312" w:eastAsia="仿宋_GB2312" w:cs="仿宋_GB2312"/>
          <w:color w:val="auto"/>
          <w:szCs w:val="21"/>
        </w:rPr>
        <w:t>项目联系人：</w:t>
      </w:r>
      <w:r>
        <w:rPr>
          <w:rFonts w:hint="eastAsia" w:ascii="仿宋_GB2312" w:hAnsi="仿宋_GB2312" w:eastAsia="仿宋_GB2312" w:cs="仿宋_GB2312"/>
          <w:color w:val="auto"/>
          <w:szCs w:val="21"/>
          <w:u w:val="single"/>
          <w:lang w:val="en-US" w:eastAsia="zh-CN"/>
        </w:rPr>
        <w:t>陈学锋 肖德强 朱佳琳</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rPr>
        <w:t>3.项目联系方式</w:t>
      </w:r>
      <w:r>
        <w:rPr>
          <w:rFonts w:hint="eastAsia" w:ascii="仿宋_GB2312" w:hAnsi="仿宋_GB2312" w:eastAsia="仿宋_GB2312" w:cs="仿宋_GB2312"/>
          <w:color w:val="auto"/>
          <w:szCs w:val="21"/>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default"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 xml:space="preserve">项目评审和通知书发放        </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u w:val="single"/>
        </w:rPr>
        <w:t>电话：</w:t>
      </w:r>
      <w:r>
        <w:rPr>
          <w:rFonts w:hint="eastAsia" w:ascii="仿宋_GB2312" w:hAnsi="仿宋_GB2312" w:eastAsia="仿宋_GB2312" w:cs="仿宋_GB2312"/>
          <w:color w:val="auto"/>
          <w:szCs w:val="21"/>
          <w:u w:val="single"/>
          <w:lang w:val="en-US" w:eastAsia="zh-CN"/>
        </w:rPr>
        <w:t xml:space="preserve">0421-2836536 </w:t>
      </w:r>
      <w:r>
        <w:rPr>
          <w:rFonts w:hint="eastAsia" w:ascii="仿宋_GB2312" w:hAnsi="仿宋_GB2312" w:eastAsia="仿宋_GB2312" w:cs="仿宋_GB2312"/>
          <w:color w:val="auto"/>
          <w:szCs w:val="21"/>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 xml:space="preserve">合同备案       </w:t>
      </w:r>
    </w:p>
    <w:p>
      <w:pPr>
        <w:keepNext w:val="0"/>
        <w:keepLines w:val="0"/>
        <w:pageBreakBefore w:val="0"/>
        <w:widowControl/>
        <w:kinsoku/>
        <w:wordWrap/>
        <w:overflowPunct/>
        <w:topLinePunct w:val="0"/>
        <w:autoSpaceDE/>
        <w:autoSpaceDN/>
        <w:bidi w:val="0"/>
        <w:adjustRightInd w:val="0"/>
        <w:snapToGrid w:val="0"/>
        <w:spacing w:line="320" w:lineRule="exact"/>
        <w:ind w:firstLine="480"/>
        <w:jc w:val="left"/>
        <w:textAlignment w:val="auto"/>
        <w:rPr>
          <w:rFonts w:hint="default" w:ascii="仿宋_GB2312" w:hAnsi="仿宋_GB2312" w:eastAsia="仿宋_GB2312" w:cs="仿宋_GB2312"/>
          <w:color w:val="auto"/>
          <w:szCs w:val="21"/>
          <w:lang w:val="en-US"/>
        </w:rPr>
        <w:sectPr>
          <w:footerReference r:id="rId4" w:type="default"/>
          <w:pgSz w:w="11906" w:h="16838"/>
          <w:pgMar w:top="1440" w:right="1803" w:bottom="1440" w:left="1803" w:header="851" w:footer="992" w:gutter="0"/>
          <w:pgNumType w:start="1"/>
          <w:cols w:space="720" w:num="1"/>
          <w:docGrid w:type="lines" w:linePitch="312" w:charSpace="0"/>
        </w:sectPr>
      </w:pPr>
      <w:r>
        <w:rPr>
          <w:rFonts w:hint="eastAsia" w:ascii="仿宋_GB2312" w:hAnsi="仿宋_GB2312" w:eastAsia="仿宋_GB2312" w:cs="仿宋_GB2312"/>
          <w:color w:val="auto"/>
          <w:szCs w:val="21"/>
          <w:u w:val="single"/>
          <w:lang w:eastAsia="zh-CN"/>
        </w:rPr>
        <w:t>电话：</w:t>
      </w:r>
      <w:r>
        <w:rPr>
          <w:rFonts w:hint="eastAsia" w:ascii="仿宋_GB2312" w:hAnsi="仿宋_GB2312" w:eastAsia="仿宋_GB2312" w:cs="仿宋_GB2312"/>
          <w:color w:val="auto"/>
          <w:szCs w:val="21"/>
          <w:u w:val="single"/>
          <w:lang w:val="en-US" w:eastAsia="zh-CN"/>
        </w:rPr>
        <w:t xml:space="preserve">0421-2834253 </w:t>
      </w:r>
    </w:p>
    <w:p>
      <w:pPr>
        <w:pStyle w:val="4"/>
        <w:snapToGrid w:val="0"/>
        <w:spacing w:before="312" w:beforeLines="100" w:after="312" w:afterLines="100" w:line="360" w:lineRule="auto"/>
        <w:jc w:val="center"/>
        <w:rPr>
          <w:rFonts w:ascii="仿宋_GB2312" w:hAnsi="仿宋_GB2312" w:eastAsia="仿宋_GB2312" w:cs="仿宋_GB2312"/>
        </w:rPr>
      </w:pPr>
      <w:bookmarkStart w:id="30" w:name="_Toc1613868755"/>
      <w:bookmarkStart w:id="31" w:name="_Toc27235"/>
      <w:bookmarkStart w:id="32" w:name="_Toc26518_WPSOffice_Level1"/>
      <w:bookmarkStart w:id="33" w:name="_Toc17894"/>
      <w:r>
        <w:rPr>
          <w:rFonts w:hint="eastAsia" w:ascii="仿宋_GB2312" w:hAnsi="仿宋_GB2312" w:eastAsia="仿宋_GB2312" w:cs="仿宋_GB2312"/>
        </w:rPr>
        <w:t>第一章 投标人须知</w:t>
      </w:r>
      <w:bookmarkEnd w:id="30"/>
      <w:bookmarkEnd w:id="31"/>
      <w:bookmarkEnd w:id="32"/>
      <w:bookmarkEnd w:id="33"/>
    </w:p>
    <w:p>
      <w:pPr>
        <w:pStyle w:val="5"/>
        <w:adjustRightInd w:val="0"/>
        <w:snapToGrid w:val="0"/>
        <w:spacing w:before="0" w:after="0" w:line="360" w:lineRule="auto"/>
        <w:rPr>
          <w:rFonts w:hint="eastAsia" w:ascii="仿宋_GB2312" w:hAnsi="仿宋_GB2312" w:eastAsia="仿宋_GB2312" w:cs="仿宋_GB2312"/>
          <w:sz w:val="32"/>
          <w:szCs w:val="36"/>
        </w:rPr>
      </w:pPr>
      <w:bookmarkStart w:id="34" w:name="_Toc18613_WPSOffice_Level2"/>
      <w:r>
        <w:rPr>
          <w:rFonts w:hint="eastAsia" w:ascii="仿宋_GB2312" w:hAnsi="仿宋_GB2312" w:eastAsia="仿宋_GB2312" w:cs="仿宋_GB2312"/>
          <w:sz w:val="32"/>
          <w:szCs w:val="36"/>
        </w:rPr>
        <w:t>一 投标人须知表</w:t>
      </w:r>
      <w:bookmarkEnd w:id="34"/>
    </w:p>
    <w:tbl>
      <w:tblPr>
        <w:tblStyle w:val="20"/>
        <w:tblW w:w="9053" w:type="dxa"/>
        <w:tblInd w:w="-392" w:type="dxa"/>
        <w:tblLayout w:type="fixed"/>
        <w:tblCellMar>
          <w:top w:w="0" w:type="dxa"/>
          <w:left w:w="108" w:type="dxa"/>
          <w:bottom w:w="0" w:type="dxa"/>
          <w:right w:w="108" w:type="dxa"/>
        </w:tblCellMar>
      </w:tblPr>
      <w:tblGrid>
        <w:gridCol w:w="750"/>
        <w:gridCol w:w="1959"/>
        <w:gridCol w:w="6344"/>
      </w:tblGrid>
      <w:tr>
        <w:tblPrEx>
          <w:tblCellMar>
            <w:top w:w="0" w:type="dxa"/>
            <w:left w:w="108" w:type="dxa"/>
            <w:bottom w:w="0" w:type="dxa"/>
            <w:right w:w="108" w:type="dxa"/>
          </w:tblCellMar>
        </w:tblPrEx>
        <w:trPr>
          <w:trHeight w:val="556" w:hRule="atLeast"/>
          <w:tblHeader/>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ind w:left="-69" w:leftChars="-33" w:right="-69" w:rightChars="-33"/>
              <w:jc w:val="center"/>
              <w:rPr>
                <w:rFonts w:hint="eastAsia" w:ascii="仿宋_GB2312" w:hAnsi="仿宋_GB2312" w:eastAsia="仿宋_GB2312" w:cs="仿宋_GB2312"/>
                <w:kern w:val="0"/>
                <w:szCs w:val="21"/>
              </w:rPr>
            </w:pPr>
            <w:bookmarkStart w:id="35" w:name="sys_招标项目基本内容及要求其他：Block"/>
            <w:bookmarkEnd w:id="35"/>
            <w:bookmarkStart w:id="36" w:name="招标项目基本内容及要求：Block"/>
            <w:bookmarkEnd w:id="36"/>
            <w:bookmarkStart w:id="37" w:name="招标项目基本内容及要求其他：Block"/>
            <w:bookmarkEnd w:id="37"/>
            <w:bookmarkStart w:id="38" w:name="sys_招标项目基本内容及要求：Block"/>
            <w:bookmarkEnd w:id="38"/>
            <w:r>
              <w:rPr>
                <w:rFonts w:hint="eastAsia" w:ascii="仿宋_GB2312" w:hAnsi="仿宋_GB2312" w:eastAsia="仿宋_GB2312" w:cs="仿宋_GB2312"/>
                <w:kern w:val="0"/>
                <w:szCs w:val="21"/>
              </w:rPr>
              <w:t>条款号</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项   目</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内     容</w:t>
            </w:r>
          </w:p>
        </w:tc>
      </w:tr>
      <w:tr>
        <w:tblPrEx>
          <w:tblCellMar>
            <w:top w:w="0" w:type="dxa"/>
            <w:left w:w="108" w:type="dxa"/>
            <w:bottom w:w="0" w:type="dxa"/>
            <w:right w:w="108" w:type="dxa"/>
          </w:tblCellMar>
        </w:tblPrEx>
        <w:trPr>
          <w:trHeight w:val="1259"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1.1</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采购人</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_GB2312" w:hAnsi="仿宋_GB2312" w:eastAsia="仿宋_GB2312" w:cs="仿宋_GB2312"/>
                <w:kern w:val="0"/>
                <w:szCs w:val="21"/>
                <w:u w:val="single"/>
                <w:lang w:val="en-US" w:eastAsia="zh-CN"/>
              </w:rPr>
            </w:pPr>
            <w:r>
              <w:rPr>
                <w:rFonts w:hint="eastAsia" w:ascii="仿宋_GB2312" w:hAnsi="仿宋_GB2312" w:eastAsia="仿宋_GB2312" w:cs="仿宋_GB2312"/>
                <w:kern w:val="0"/>
                <w:szCs w:val="21"/>
              </w:rPr>
              <w:t>名  称：</w:t>
            </w:r>
            <w:r>
              <w:rPr>
                <w:rFonts w:hint="eastAsia" w:ascii="仿宋_GB2312" w:hAnsi="仿宋_GB2312" w:eastAsia="仿宋_GB2312" w:cs="仿宋_GB2312"/>
                <w:color w:val="auto"/>
                <w:szCs w:val="21"/>
                <w:u w:val="single"/>
                <w:lang w:val="en-US" w:eastAsia="zh-CN"/>
              </w:rPr>
              <w:t>朝阳市公安局交通管理支队</w:t>
            </w:r>
          </w:p>
          <w:p>
            <w:pPr>
              <w:widowControl/>
              <w:jc w:val="left"/>
              <w:rPr>
                <w:rFonts w:hint="eastAsia" w:ascii="仿宋_GB2312" w:hAnsi="仿宋_GB2312" w:eastAsia="仿宋_GB2312" w:cs="仿宋_GB2312"/>
                <w:kern w:val="0"/>
                <w:szCs w:val="21"/>
                <w:u w:val="single"/>
                <w:lang w:val="en-US" w:eastAsia="zh-CN"/>
              </w:rPr>
            </w:pPr>
            <w:r>
              <w:rPr>
                <w:rFonts w:hint="eastAsia" w:ascii="仿宋_GB2312" w:hAnsi="仿宋_GB2312" w:eastAsia="仿宋_GB2312" w:cs="仿宋_GB2312"/>
                <w:kern w:val="0"/>
                <w:szCs w:val="21"/>
              </w:rPr>
              <w:t>地  址：</w:t>
            </w:r>
            <w:r>
              <w:rPr>
                <w:rFonts w:hint="eastAsia" w:ascii="仿宋_GB2312" w:hAnsi="仿宋_GB2312" w:eastAsia="仿宋_GB2312" w:cs="仿宋_GB2312"/>
                <w:color w:val="auto"/>
                <w:szCs w:val="21"/>
                <w:u w:val="single"/>
                <w:lang w:val="en-US" w:eastAsia="zh-CN"/>
              </w:rPr>
              <w:t>朝阳大街一段2号</w:t>
            </w:r>
          </w:p>
          <w:p>
            <w:pPr>
              <w:widowControl/>
              <w:jc w:val="left"/>
              <w:rPr>
                <w:rFonts w:hint="default" w:ascii="仿宋_GB2312" w:hAnsi="仿宋_GB2312" w:eastAsia="仿宋_GB2312" w:cs="仿宋_GB2312"/>
                <w:kern w:val="0"/>
                <w:szCs w:val="21"/>
                <w:u w:val="single"/>
                <w:lang w:val="en-US" w:eastAsia="zh-CN"/>
              </w:rPr>
            </w:pPr>
            <w:r>
              <w:rPr>
                <w:rFonts w:hint="eastAsia" w:ascii="仿宋_GB2312" w:hAnsi="仿宋_GB2312" w:eastAsia="仿宋_GB2312" w:cs="仿宋_GB2312"/>
                <w:kern w:val="0"/>
                <w:szCs w:val="21"/>
              </w:rPr>
              <w:t>联系人：</w:t>
            </w:r>
            <w:r>
              <w:rPr>
                <w:rFonts w:hint="eastAsia" w:ascii="仿宋_GB2312" w:hAnsi="仿宋_GB2312" w:eastAsia="仿宋_GB2312" w:cs="仿宋_GB2312"/>
                <w:kern w:val="0"/>
                <w:szCs w:val="21"/>
                <w:u w:val="single"/>
                <w:lang w:val="en-US" w:eastAsia="zh-CN"/>
              </w:rPr>
              <w:t>吕鹏程</w:t>
            </w:r>
          </w:p>
          <w:p>
            <w:pPr>
              <w:widowControl/>
              <w:jc w:val="left"/>
              <w:rPr>
                <w:rFonts w:hint="default" w:ascii="仿宋_GB2312" w:hAnsi="仿宋_GB2312" w:eastAsia="仿宋_GB2312" w:cs="仿宋_GB2312"/>
                <w:kern w:val="0"/>
                <w:szCs w:val="21"/>
                <w:u w:val="single"/>
                <w:lang w:val="en-US" w:eastAsia="zh-CN"/>
              </w:rPr>
            </w:pPr>
            <w:r>
              <w:rPr>
                <w:rFonts w:hint="eastAsia" w:ascii="仿宋_GB2312" w:hAnsi="仿宋_GB2312" w:eastAsia="仿宋_GB2312" w:cs="仿宋_GB2312"/>
                <w:kern w:val="0"/>
                <w:szCs w:val="21"/>
              </w:rPr>
              <w:t>电  话：</w:t>
            </w:r>
            <w:r>
              <w:rPr>
                <w:rFonts w:hint="eastAsia" w:ascii="仿宋_GB2312" w:hAnsi="仿宋_GB2312" w:eastAsia="仿宋_GB2312" w:cs="仿宋_GB2312"/>
                <w:kern w:val="0"/>
                <w:szCs w:val="21"/>
                <w:u w:val="single"/>
                <w:lang w:val="en-US" w:eastAsia="zh-CN"/>
              </w:rPr>
              <w:t>0421-2801719</w:t>
            </w:r>
          </w:p>
        </w:tc>
      </w:tr>
      <w:tr>
        <w:tblPrEx>
          <w:tblCellMar>
            <w:top w:w="0" w:type="dxa"/>
            <w:left w:w="108" w:type="dxa"/>
            <w:bottom w:w="0" w:type="dxa"/>
            <w:right w:w="108" w:type="dxa"/>
          </w:tblCellMar>
        </w:tblPrEx>
        <w:trPr>
          <w:trHeight w:val="1254"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1.2</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采购代理机构</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名  称：</w:t>
            </w:r>
            <w:r>
              <w:rPr>
                <w:rFonts w:hint="eastAsia" w:ascii="仿宋_GB2312" w:hAnsi="仿宋_GB2312" w:eastAsia="仿宋_GB2312" w:cs="仿宋_GB2312"/>
                <w:kern w:val="0"/>
                <w:szCs w:val="21"/>
                <w:u w:val="single"/>
                <w:lang w:val="en-US" w:eastAsia="zh-CN"/>
              </w:rPr>
              <w:t>朝阳市政府采购中心</w:t>
            </w:r>
          </w:p>
          <w:p>
            <w:pPr>
              <w:widowControl/>
              <w:jc w:val="left"/>
              <w:rPr>
                <w:rFonts w:hint="eastAsia" w:ascii="仿宋_GB2312" w:hAnsi="仿宋_GB2312" w:eastAsia="仿宋_GB2312" w:cs="仿宋_GB2312"/>
                <w:kern w:val="0"/>
                <w:szCs w:val="21"/>
                <w:u w:val="single"/>
                <w:lang w:val="en-US" w:eastAsia="zh-CN"/>
              </w:rPr>
            </w:pPr>
            <w:r>
              <w:rPr>
                <w:rFonts w:hint="eastAsia" w:ascii="仿宋_GB2312" w:hAnsi="仿宋_GB2312" w:eastAsia="仿宋_GB2312" w:cs="仿宋_GB2312"/>
                <w:kern w:val="0"/>
                <w:szCs w:val="21"/>
              </w:rPr>
              <w:t>地  址：</w:t>
            </w:r>
            <w:r>
              <w:rPr>
                <w:rFonts w:hint="eastAsia" w:ascii="仿宋_GB2312" w:hAnsi="仿宋_GB2312" w:eastAsia="仿宋_GB2312" w:cs="仿宋_GB2312"/>
                <w:kern w:val="0"/>
                <w:szCs w:val="21"/>
                <w:u w:val="single"/>
                <w:lang w:val="en-US" w:eastAsia="zh-CN"/>
              </w:rPr>
              <w:t>双塔区人民路1B三楼（朝阳市公共资源交易中心）</w:t>
            </w:r>
          </w:p>
          <w:p>
            <w:pPr>
              <w:widowControl/>
              <w:jc w:val="left"/>
              <w:rPr>
                <w:rFonts w:hint="eastAsia" w:ascii="仿宋_GB2312" w:hAnsi="仿宋_GB2312" w:eastAsia="仿宋_GB2312" w:cs="仿宋_GB2312"/>
                <w:kern w:val="0"/>
                <w:szCs w:val="21"/>
                <w:u w:val="single"/>
                <w:lang w:val="en-US" w:eastAsia="zh-CN"/>
              </w:rPr>
            </w:pPr>
            <w:r>
              <w:rPr>
                <w:rFonts w:hint="eastAsia" w:ascii="仿宋_GB2312" w:hAnsi="仿宋_GB2312" w:eastAsia="仿宋_GB2312" w:cs="仿宋_GB2312"/>
                <w:kern w:val="0"/>
                <w:szCs w:val="21"/>
              </w:rPr>
              <w:t>联系人：</w:t>
            </w:r>
            <w:r>
              <w:rPr>
                <w:rFonts w:hint="eastAsia" w:ascii="仿宋_GB2312" w:hAnsi="仿宋_GB2312" w:eastAsia="仿宋_GB2312" w:cs="仿宋_GB2312"/>
                <w:color w:val="auto"/>
                <w:szCs w:val="21"/>
                <w:u w:val="single"/>
                <w:lang w:val="en-US" w:eastAsia="zh-CN"/>
              </w:rPr>
              <w:t>陈学锋 肖德强 朱佳琳</w:t>
            </w:r>
          </w:p>
          <w:p>
            <w:pPr>
              <w:widowControl/>
              <w:jc w:val="left"/>
              <w:rPr>
                <w:rFonts w:hint="default" w:ascii="仿宋_GB2312" w:hAnsi="仿宋_GB2312" w:eastAsia="仿宋_GB2312" w:cs="仿宋_GB2312"/>
                <w:kern w:val="0"/>
                <w:szCs w:val="21"/>
                <w:u w:val="single"/>
                <w:lang w:val="en-US" w:eastAsia="zh-CN"/>
              </w:rPr>
            </w:pPr>
            <w:r>
              <w:rPr>
                <w:rFonts w:hint="eastAsia" w:ascii="仿宋_GB2312" w:hAnsi="仿宋_GB2312" w:eastAsia="仿宋_GB2312" w:cs="仿宋_GB2312"/>
                <w:kern w:val="0"/>
                <w:szCs w:val="21"/>
              </w:rPr>
              <w:t>电  话：</w:t>
            </w:r>
            <w:r>
              <w:rPr>
                <w:rFonts w:hint="eastAsia" w:ascii="仿宋_GB2312" w:hAnsi="仿宋_GB2312" w:eastAsia="仿宋_GB2312" w:cs="仿宋_GB2312"/>
                <w:color w:val="auto"/>
                <w:szCs w:val="21"/>
                <w:u w:val="single"/>
                <w:lang w:val="en-US" w:eastAsia="zh-CN"/>
              </w:rPr>
              <w:t>0421-2865002</w:t>
            </w:r>
          </w:p>
        </w:tc>
      </w:tr>
      <w:tr>
        <w:tblPrEx>
          <w:tblCellMar>
            <w:top w:w="0" w:type="dxa"/>
            <w:left w:w="108" w:type="dxa"/>
            <w:bottom w:w="0" w:type="dxa"/>
            <w:right w:w="108" w:type="dxa"/>
          </w:tblCellMar>
        </w:tblPrEx>
        <w:trPr>
          <w:trHeight w:val="632"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1.3.4</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合格供应商还要满足的其它资格条件</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color w:val="auto"/>
                <w:szCs w:val="21"/>
                <w:u w:val="none"/>
                <w:lang w:val="en-US" w:eastAsia="zh-CN"/>
              </w:rPr>
              <w:t>无</w:t>
            </w:r>
          </w:p>
        </w:tc>
      </w:tr>
      <w:tr>
        <w:tblPrEx>
          <w:tblCellMar>
            <w:top w:w="0" w:type="dxa"/>
            <w:left w:w="108" w:type="dxa"/>
            <w:bottom w:w="0" w:type="dxa"/>
            <w:right w:w="108" w:type="dxa"/>
          </w:tblCellMar>
        </w:tblPrEx>
        <w:trPr>
          <w:trHeight w:val="632"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1.3.</w:t>
            </w:r>
            <w:r>
              <w:rPr>
                <w:rFonts w:hint="eastAsia" w:ascii="仿宋_GB2312" w:hAnsi="仿宋_GB2312" w:eastAsia="仿宋_GB2312" w:cs="仿宋_GB2312"/>
                <w:kern w:val="0"/>
                <w:szCs w:val="21"/>
                <w:lang w:val="en-US" w:eastAsia="zh-CN"/>
              </w:rPr>
              <w:t>5</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tabs>
                <w:tab w:val="left" w:pos="1425"/>
              </w:tabs>
              <w:jc w:val="center"/>
              <w:rPr>
                <w:rFonts w:hint="eastAsia" w:ascii="仿宋_GB2312" w:hAnsi="仿宋_GB2312" w:eastAsia="仿宋_GB2312" w:cs="仿宋_GB2312"/>
                <w:bCs/>
                <w:kern w:val="0"/>
                <w:szCs w:val="21"/>
              </w:rPr>
            </w:pPr>
            <w:r>
              <w:rPr>
                <w:rFonts w:hint="eastAsia" w:ascii="仿宋_GB2312" w:hAnsi="仿宋_GB2312" w:eastAsia="仿宋_GB2312" w:cs="仿宋_GB2312"/>
                <w:bCs/>
                <w:kern w:val="0"/>
                <w:szCs w:val="21"/>
              </w:rPr>
              <w:t>是否允许采购</w:t>
            </w:r>
          </w:p>
          <w:p>
            <w:pPr>
              <w:tabs>
                <w:tab w:val="left" w:pos="1425"/>
              </w:tabs>
              <w:jc w:val="center"/>
              <w:rPr>
                <w:rFonts w:hint="eastAsia" w:ascii="仿宋_GB2312" w:hAnsi="仿宋_GB2312" w:eastAsia="仿宋_GB2312" w:cs="仿宋_GB2312"/>
                <w:bCs/>
                <w:kern w:val="0"/>
                <w:sz w:val="21"/>
                <w:szCs w:val="21"/>
                <w:lang w:val="en-US" w:eastAsia="zh-CN" w:bidi="ar-SA"/>
              </w:rPr>
            </w:pPr>
            <w:r>
              <w:rPr>
                <w:rFonts w:hint="eastAsia" w:ascii="仿宋_GB2312" w:hAnsi="仿宋_GB2312" w:eastAsia="仿宋_GB2312" w:cs="仿宋_GB2312"/>
                <w:bCs/>
                <w:kern w:val="0"/>
                <w:szCs w:val="21"/>
              </w:rPr>
              <w:t>进口产品</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pPr>
              <w:rPr>
                <w:rFonts w:hint="eastAsia" w:ascii="仿宋_GB2312" w:hAnsi="仿宋_GB2312" w:eastAsia="仿宋_GB2312" w:cs="仿宋_GB2312"/>
                <w:bCs/>
                <w:kern w:val="0"/>
                <w:sz w:val="21"/>
                <w:szCs w:val="21"/>
                <w:lang w:val="en-US" w:eastAsia="zh-CN" w:bidi="ar-SA"/>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否</w:t>
            </w:r>
          </w:p>
        </w:tc>
      </w:tr>
      <w:tr>
        <w:tblPrEx>
          <w:tblCellMar>
            <w:top w:w="0" w:type="dxa"/>
            <w:left w:w="108" w:type="dxa"/>
            <w:bottom w:w="0" w:type="dxa"/>
            <w:right w:w="108" w:type="dxa"/>
          </w:tblCellMar>
        </w:tblPrEx>
        <w:trPr>
          <w:trHeight w:val="632"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rPr>
              <w:t>1.3.</w:t>
            </w:r>
            <w:r>
              <w:rPr>
                <w:rFonts w:hint="eastAsia" w:ascii="仿宋_GB2312" w:hAnsi="仿宋_GB2312" w:eastAsia="仿宋_GB2312" w:cs="仿宋_GB2312"/>
                <w:kern w:val="0"/>
                <w:szCs w:val="21"/>
                <w:lang w:val="en-US" w:eastAsia="zh-CN"/>
              </w:rPr>
              <w:t>6</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tabs>
                <w:tab w:val="left" w:pos="1425"/>
              </w:tabs>
              <w:jc w:val="center"/>
              <w:rPr>
                <w:rFonts w:hint="eastAsia" w:ascii="仿宋_GB2312" w:hAnsi="仿宋_GB2312" w:eastAsia="仿宋_GB2312" w:cs="仿宋_GB2312"/>
                <w:bCs/>
                <w:kern w:val="0"/>
                <w:szCs w:val="21"/>
                <w:lang w:val="en-US" w:eastAsia="zh-CN"/>
              </w:rPr>
            </w:pPr>
            <w:r>
              <w:rPr>
                <w:rFonts w:hint="eastAsia" w:ascii="仿宋_GB2312" w:hAnsi="仿宋_GB2312" w:eastAsia="仿宋_GB2312" w:cs="仿宋_GB2312"/>
                <w:szCs w:val="21"/>
              </w:rPr>
              <w:t>中小企业</w:t>
            </w:r>
            <w:r>
              <w:rPr>
                <w:rFonts w:hint="eastAsia" w:ascii="仿宋_GB2312" w:hAnsi="仿宋_GB2312" w:eastAsia="仿宋_GB2312" w:cs="仿宋_GB2312"/>
                <w:kern w:val="0"/>
                <w:szCs w:val="21"/>
              </w:rPr>
              <w:t>采购</w:t>
            </w:r>
            <w:r>
              <w:rPr>
                <w:rFonts w:hint="eastAsia" w:ascii="仿宋_GB2312" w:hAnsi="仿宋_GB2312" w:eastAsia="仿宋_GB2312" w:cs="仿宋_GB2312"/>
                <w:kern w:val="0"/>
                <w:szCs w:val="21"/>
                <w:lang w:val="en-US" w:eastAsia="zh-CN"/>
              </w:rPr>
              <w:t>政策</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napToGrid/>
              <w:spacing w:line="300" w:lineRule="exact"/>
              <w:jc w:val="left"/>
              <w:rPr>
                <w:rFonts w:hint="eastAsia"/>
              </w:rPr>
            </w:pPr>
            <w:r>
              <w:rPr>
                <w:rFonts w:hint="eastAsia"/>
              </w:rPr>
              <w:t>一、是否为专门面向中小企业采购</w:t>
            </w:r>
          </w:p>
          <w:p>
            <w:pPr>
              <w:keepNext w:val="0"/>
              <w:keepLines w:val="0"/>
              <w:pageBreakBefore w:val="0"/>
              <w:widowControl/>
              <w:kinsoku/>
              <w:wordWrap/>
              <w:overflowPunct/>
              <w:topLinePunct w:val="0"/>
              <w:autoSpaceDE/>
              <w:autoSpaceDN/>
              <w:bidi w:val="0"/>
              <w:snapToGrid/>
              <w:spacing w:line="300" w:lineRule="exact"/>
              <w:jc w:val="left"/>
              <w:rPr>
                <w:rFonts w:hint="eastAsia"/>
              </w:rPr>
            </w:pPr>
            <w:r>
              <w:rPr>
                <w:rFonts w:hint="eastAsia"/>
              </w:rPr>
              <w:sym w:font="Wingdings 2" w:char="00A3"/>
            </w:r>
            <w:r>
              <w:rPr>
                <w:rFonts w:hint="eastAsia"/>
              </w:rPr>
              <w:t>是</w:t>
            </w:r>
          </w:p>
          <w:p>
            <w:pPr>
              <w:keepNext w:val="0"/>
              <w:keepLines w:val="0"/>
              <w:pageBreakBefore w:val="0"/>
              <w:widowControl/>
              <w:kinsoku/>
              <w:wordWrap/>
              <w:overflowPunct/>
              <w:topLinePunct w:val="0"/>
              <w:autoSpaceDE/>
              <w:autoSpaceDN/>
              <w:bidi w:val="0"/>
              <w:snapToGrid/>
              <w:spacing w:line="300" w:lineRule="exact"/>
              <w:jc w:val="left"/>
              <w:rPr>
                <w:rFonts w:hint="eastAsia"/>
              </w:rPr>
            </w:pPr>
            <w:r>
              <w:rPr>
                <w:rFonts w:hint="eastAsia" w:ascii="仿宋_GB2312" w:hAnsi="仿宋_GB2312" w:eastAsia="仿宋_GB2312" w:cs="仿宋_GB2312"/>
                <w:kern w:val="0"/>
                <w:szCs w:val="21"/>
              </w:rPr>
              <w:sym w:font="Wingdings 2" w:char="0052"/>
            </w:r>
            <w:r>
              <w:rPr>
                <w:rFonts w:hint="eastAsia"/>
              </w:rPr>
              <w:t>否</w:t>
            </w:r>
          </w:p>
          <w:p>
            <w:pPr>
              <w:keepNext w:val="0"/>
              <w:keepLines w:val="0"/>
              <w:pageBreakBefore w:val="0"/>
              <w:widowControl/>
              <w:kinsoku/>
              <w:wordWrap/>
              <w:overflowPunct/>
              <w:topLinePunct w:val="0"/>
              <w:autoSpaceDE/>
              <w:autoSpaceDN/>
              <w:bidi w:val="0"/>
              <w:snapToGrid/>
              <w:spacing w:line="300" w:lineRule="exact"/>
              <w:ind w:firstLine="630" w:firstLineChars="300"/>
              <w:jc w:val="left"/>
              <w:rPr>
                <w:rFonts w:hint="eastAsia"/>
              </w:rPr>
            </w:pPr>
            <w:r>
              <w:rPr>
                <w:rFonts w:hint="eastAsia"/>
              </w:rPr>
              <w:t>是否为中小企业预留份额采购</w:t>
            </w:r>
          </w:p>
          <w:p>
            <w:pPr>
              <w:keepNext w:val="0"/>
              <w:keepLines w:val="0"/>
              <w:pageBreakBefore w:val="0"/>
              <w:widowControl/>
              <w:kinsoku/>
              <w:wordWrap/>
              <w:overflowPunct/>
              <w:topLinePunct w:val="0"/>
              <w:autoSpaceDE/>
              <w:autoSpaceDN/>
              <w:bidi w:val="0"/>
              <w:snapToGrid/>
              <w:spacing w:line="300" w:lineRule="exact"/>
              <w:ind w:firstLine="630" w:firstLineChars="300"/>
              <w:jc w:val="left"/>
              <w:rPr>
                <w:rFonts w:hint="eastAsia"/>
              </w:rPr>
            </w:pPr>
            <w:r>
              <w:rPr>
                <w:rFonts w:hint="eastAsia"/>
              </w:rPr>
              <w:sym w:font="Wingdings 2" w:char="00A3"/>
            </w:r>
            <w:r>
              <w:rPr>
                <w:rFonts w:hint="eastAsia"/>
              </w:rPr>
              <w:t>是</w:t>
            </w:r>
          </w:p>
          <w:p>
            <w:pPr>
              <w:keepNext w:val="0"/>
              <w:keepLines w:val="0"/>
              <w:pageBreakBefore w:val="0"/>
              <w:widowControl/>
              <w:kinsoku/>
              <w:wordWrap/>
              <w:overflowPunct/>
              <w:topLinePunct w:val="0"/>
              <w:autoSpaceDE/>
              <w:autoSpaceDN/>
              <w:bidi w:val="0"/>
              <w:snapToGrid/>
              <w:spacing w:line="300" w:lineRule="exact"/>
              <w:ind w:firstLine="630" w:firstLineChars="300"/>
              <w:jc w:val="left"/>
              <w:rPr>
                <w:rFonts w:hint="eastAsia"/>
              </w:rPr>
            </w:pPr>
            <w:r>
              <w:rPr>
                <w:rFonts w:hint="eastAsia" w:ascii="仿宋_GB2312" w:hAnsi="仿宋_GB2312" w:eastAsia="仿宋_GB2312" w:cs="仿宋_GB2312"/>
                <w:kern w:val="0"/>
                <w:szCs w:val="21"/>
              </w:rPr>
              <w:sym w:font="Wingdings 2" w:char="0052"/>
            </w:r>
            <w:r>
              <w:rPr>
                <w:rFonts w:hint="eastAsia"/>
              </w:rPr>
              <w:t>否</w:t>
            </w:r>
          </w:p>
          <w:p>
            <w:pPr>
              <w:keepNext w:val="0"/>
              <w:keepLines w:val="0"/>
              <w:pageBreakBefore w:val="0"/>
              <w:widowControl/>
              <w:kinsoku/>
              <w:wordWrap/>
              <w:overflowPunct/>
              <w:topLinePunct w:val="0"/>
              <w:autoSpaceDE/>
              <w:autoSpaceDN/>
              <w:bidi w:val="0"/>
              <w:snapToGrid/>
              <w:spacing w:line="300" w:lineRule="exact"/>
              <w:ind w:left="1470" w:leftChars="500" w:hanging="420" w:hangingChars="200"/>
              <w:jc w:val="left"/>
              <w:rPr>
                <w:rFonts w:hint="eastAsia"/>
              </w:rPr>
            </w:pPr>
            <w:r>
              <w:rPr>
                <w:rFonts w:hint="eastAsia"/>
              </w:rPr>
              <w:sym w:font="Wingdings 2" w:char="00A3"/>
            </w:r>
            <w:r>
              <w:rPr>
                <w:rFonts w:hint="eastAsia"/>
              </w:rPr>
              <w:t>1.法律法规和国家有关政策明确规定优先或者应当面向事业单位、社会组织等非企业主体采购的；</w:t>
            </w:r>
          </w:p>
          <w:p>
            <w:pPr>
              <w:keepNext w:val="0"/>
              <w:keepLines w:val="0"/>
              <w:pageBreakBefore w:val="0"/>
              <w:widowControl/>
              <w:kinsoku/>
              <w:wordWrap/>
              <w:overflowPunct/>
              <w:topLinePunct w:val="0"/>
              <w:autoSpaceDE/>
              <w:autoSpaceDN/>
              <w:bidi w:val="0"/>
              <w:snapToGrid/>
              <w:spacing w:line="300" w:lineRule="exact"/>
              <w:ind w:left="1470" w:leftChars="500" w:hanging="420" w:hangingChars="200"/>
              <w:jc w:val="left"/>
              <w:rPr>
                <w:rFonts w:hint="eastAsia"/>
              </w:rPr>
            </w:pPr>
            <w:r>
              <w:rPr>
                <w:rFonts w:hint="eastAsia"/>
              </w:rPr>
              <w:sym w:font="Wingdings 2" w:char="00A3"/>
            </w:r>
            <w:r>
              <w:rPr>
                <w:rFonts w:hint="eastAsia"/>
              </w:rPr>
              <w:t>2.因确需使用不可替代的专利、专有技术，基础设施限制，或者提供特定公共服务等原因，只能从中小企业之外的供应商处采购的；</w:t>
            </w:r>
          </w:p>
          <w:p>
            <w:pPr>
              <w:keepNext w:val="0"/>
              <w:keepLines w:val="0"/>
              <w:pageBreakBefore w:val="0"/>
              <w:widowControl/>
              <w:kinsoku/>
              <w:wordWrap/>
              <w:overflowPunct/>
              <w:topLinePunct w:val="0"/>
              <w:autoSpaceDE/>
              <w:autoSpaceDN/>
              <w:bidi w:val="0"/>
              <w:snapToGrid/>
              <w:spacing w:line="300" w:lineRule="exact"/>
              <w:ind w:left="1470" w:leftChars="500" w:hanging="420" w:hangingChars="200"/>
              <w:jc w:val="left"/>
              <w:rPr>
                <w:rFonts w:hint="eastAsia"/>
              </w:rPr>
            </w:pPr>
            <w:r>
              <w:rPr>
                <w:rFonts w:hint="eastAsia" w:ascii="仿宋_GB2312" w:hAnsi="仿宋_GB2312" w:eastAsia="仿宋_GB2312" w:cs="仿宋_GB2312"/>
                <w:kern w:val="0"/>
                <w:szCs w:val="21"/>
              </w:rPr>
              <w:sym w:font="Wingdings 2" w:char="0052"/>
            </w:r>
            <w:r>
              <w:rPr>
                <w:rFonts w:hint="eastAsia"/>
              </w:rPr>
              <w:t>3.按照本办法规定预留采购份额无法确保充分供应、充分竞争，或者存在可能影响政府采购目标实现的情形；</w:t>
            </w:r>
          </w:p>
          <w:p>
            <w:pPr>
              <w:keepNext w:val="0"/>
              <w:keepLines w:val="0"/>
              <w:pageBreakBefore w:val="0"/>
              <w:widowControl/>
              <w:kinsoku/>
              <w:wordWrap/>
              <w:overflowPunct/>
              <w:topLinePunct w:val="0"/>
              <w:autoSpaceDE/>
              <w:autoSpaceDN/>
              <w:bidi w:val="0"/>
              <w:snapToGrid/>
              <w:spacing w:line="300" w:lineRule="exact"/>
              <w:ind w:firstLine="1050" w:firstLineChars="500"/>
              <w:jc w:val="left"/>
              <w:rPr>
                <w:rFonts w:hint="eastAsia"/>
              </w:rPr>
            </w:pPr>
            <w:r>
              <w:rPr>
                <w:rFonts w:hint="eastAsia"/>
              </w:rPr>
              <w:sym w:font="Wingdings 2" w:char="00A3"/>
            </w:r>
            <w:r>
              <w:rPr>
                <w:rFonts w:hint="eastAsia"/>
              </w:rPr>
              <w:t>4.框架协议采购项目；</w:t>
            </w:r>
          </w:p>
          <w:p>
            <w:pPr>
              <w:keepNext w:val="0"/>
              <w:keepLines w:val="0"/>
              <w:pageBreakBefore w:val="0"/>
              <w:widowControl/>
              <w:kinsoku/>
              <w:wordWrap/>
              <w:overflowPunct/>
              <w:topLinePunct w:val="0"/>
              <w:autoSpaceDE/>
              <w:autoSpaceDN/>
              <w:bidi w:val="0"/>
              <w:snapToGrid/>
              <w:spacing w:line="300" w:lineRule="exact"/>
              <w:ind w:firstLine="1050" w:firstLineChars="500"/>
              <w:jc w:val="left"/>
              <w:rPr>
                <w:rFonts w:hint="eastAsia"/>
              </w:rPr>
            </w:pPr>
            <w:r>
              <w:rPr>
                <w:rFonts w:hint="eastAsia"/>
              </w:rPr>
              <w:sym w:font="Wingdings 2" w:char="00A3"/>
            </w:r>
            <w:r>
              <w:rPr>
                <w:rFonts w:hint="eastAsia"/>
              </w:rPr>
              <w:t>5.省级以上人民政府财政部门规定的其他情形。</w:t>
            </w:r>
          </w:p>
          <w:p>
            <w:pPr>
              <w:keepNext w:val="0"/>
              <w:keepLines w:val="0"/>
              <w:pageBreakBefore w:val="0"/>
              <w:widowControl/>
              <w:kinsoku/>
              <w:wordWrap/>
              <w:overflowPunct/>
              <w:topLinePunct w:val="0"/>
              <w:autoSpaceDE/>
              <w:autoSpaceDN/>
              <w:bidi w:val="0"/>
              <w:snapToGrid/>
              <w:spacing w:line="300" w:lineRule="exact"/>
              <w:ind w:left="1470" w:leftChars="500" w:hanging="420" w:hangingChars="200"/>
              <w:jc w:val="left"/>
              <w:rPr>
                <w:rFonts w:hint="eastAsia"/>
              </w:rPr>
            </w:pPr>
            <w:r>
              <w:rPr>
                <w:rFonts w:hint="eastAsia"/>
              </w:rPr>
              <w:t>注：除上述情形外，其他均为适宜由中小企业提供的情形。</w:t>
            </w:r>
          </w:p>
          <w:p>
            <w:pPr>
              <w:keepNext w:val="0"/>
              <w:keepLines w:val="0"/>
              <w:pageBreakBefore w:val="0"/>
              <w:widowControl/>
              <w:numPr>
                <w:ilvl w:val="0"/>
                <w:numId w:val="3"/>
              </w:numPr>
              <w:kinsoku/>
              <w:wordWrap/>
              <w:overflowPunct/>
              <w:topLinePunct w:val="0"/>
              <w:autoSpaceDE/>
              <w:autoSpaceDN/>
              <w:bidi w:val="0"/>
              <w:snapToGrid/>
              <w:spacing w:line="300" w:lineRule="exact"/>
              <w:ind w:left="4620" w:hanging="4620" w:hangingChars="2200"/>
              <w:jc w:val="left"/>
              <w:rPr>
                <w:rFonts w:hint="eastAsia"/>
                <w:lang w:val="en-US" w:eastAsia="zh-CN"/>
              </w:rPr>
            </w:pPr>
            <w:r>
              <w:rPr>
                <w:rFonts w:hint="eastAsia"/>
              </w:rPr>
              <w:t>采购标的对应的中小企业划分标准所属行业：</w:t>
            </w:r>
            <w:r>
              <w:rPr>
                <w:rFonts w:hint="eastAsia"/>
                <w:u w:val="single"/>
                <w:lang w:val="en-US" w:eastAsia="zh-CN"/>
              </w:rPr>
              <w:t>工业</w:t>
            </w:r>
            <w:r>
              <w:rPr>
                <w:rFonts w:hint="eastAsia"/>
                <w:lang w:val="en-US" w:eastAsia="zh-CN"/>
              </w:rPr>
              <w:t xml:space="preserve">        </w:t>
            </w:r>
          </w:p>
          <w:p>
            <w:pPr>
              <w:keepNext w:val="0"/>
              <w:keepLines w:val="0"/>
              <w:pageBreakBefore w:val="0"/>
              <w:kinsoku/>
              <w:wordWrap/>
              <w:overflowPunct/>
              <w:topLinePunct w:val="0"/>
              <w:autoSpaceDE/>
              <w:autoSpaceDN/>
              <w:bidi w:val="0"/>
              <w:snapToGrid/>
              <w:spacing w:line="300" w:lineRule="exact"/>
              <w:rPr>
                <w:rFonts w:hint="eastAsia"/>
              </w:rPr>
            </w:pPr>
            <w:r>
              <w:rPr>
                <w:rFonts w:hint="eastAsia"/>
              </w:rPr>
              <w:t>三、中小企业优惠措施：</w:t>
            </w:r>
          </w:p>
          <w:p>
            <w:pPr>
              <w:keepNext w:val="0"/>
              <w:keepLines w:val="0"/>
              <w:pageBreakBefore w:val="0"/>
              <w:kinsoku/>
              <w:wordWrap/>
              <w:overflowPunct/>
              <w:topLinePunct w:val="0"/>
              <w:autoSpaceDE/>
              <w:autoSpaceDN/>
              <w:bidi w:val="0"/>
              <w:snapToGrid/>
              <w:spacing w:line="300" w:lineRule="exact"/>
              <w:ind w:firstLine="420" w:firstLineChars="200"/>
              <w:rPr>
                <w:rFonts w:hint="eastAsia"/>
              </w:rPr>
            </w:pPr>
            <w:r>
              <w:rPr>
                <w:rFonts w:hint="eastAsia"/>
              </w:rPr>
              <w:t xml:space="preserve">资金支付期限 </w:t>
            </w:r>
            <w:r>
              <w:rPr>
                <w:rFonts w:hint="eastAsia"/>
              </w:rPr>
              <w:sym w:font="Wingdings 2" w:char="00A3"/>
            </w:r>
            <w:r>
              <w:rPr>
                <w:rFonts w:hint="eastAsia"/>
              </w:rPr>
              <w:t>有</w:t>
            </w:r>
            <w:r>
              <w:rPr>
                <w:rFonts w:hint="eastAsia" w:ascii="仿宋_GB2312" w:hAnsi="仿宋_GB2312" w:eastAsia="仿宋_GB2312" w:cs="仿宋_GB2312"/>
                <w:color w:val="auto"/>
                <w:kern w:val="0"/>
                <w:szCs w:val="21"/>
                <w:u w:val="single"/>
              </w:rPr>
              <w:t xml:space="preserve">          </w:t>
            </w:r>
            <w:r>
              <w:rPr>
                <w:rFonts w:hint="eastAsia"/>
              </w:rPr>
              <w:t xml:space="preserve">         </w:t>
            </w:r>
          </w:p>
          <w:p>
            <w:pPr>
              <w:keepNext w:val="0"/>
              <w:keepLines w:val="0"/>
              <w:pageBreakBefore w:val="0"/>
              <w:kinsoku/>
              <w:wordWrap/>
              <w:overflowPunct/>
              <w:topLinePunct w:val="0"/>
              <w:autoSpaceDE/>
              <w:autoSpaceDN/>
              <w:bidi w:val="0"/>
              <w:snapToGrid/>
              <w:spacing w:line="300" w:lineRule="exact"/>
              <w:ind w:firstLine="1680" w:firstLineChars="800"/>
              <w:rPr>
                <w:rFonts w:hint="eastAsia"/>
              </w:rPr>
            </w:pPr>
            <w:r>
              <w:rPr>
                <w:rFonts w:hint="eastAsia"/>
              </w:rPr>
              <w:t xml:space="preserve"> </w:t>
            </w:r>
            <w:r>
              <w:rPr>
                <w:rFonts w:hint="eastAsia" w:ascii="仿宋_GB2312" w:hAnsi="仿宋_GB2312" w:eastAsia="仿宋_GB2312" w:cs="仿宋_GB2312"/>
                <w:kern w:val="0"/>
                <w:szCs w:val="21"/>
              </w:rPr>
              <w:sym w:font="Wingdings 2" w:char="0052"/>
            </w:r>
            <w:r>
              <w:rPr>
                <w:rFonts w:hint="eastAsia"/>
              </w:rPr>
              <w:t>无</w:t>
            </w:r>
          </w:p>
          <w:p>
            <w:pPr>
              <w:keepNext w:val="0"/>
              <w:keepLines w:val="0"/>
              <w:pageBreakBefore w:val="0"/>
              <w:kinsoku/>
              <w:wordWrap/>
              <w:overflowPunct/>
              <w:topLinePunct w:val="0"/>
              <w:autoSpaceDE/>
              <w:autoSpaceDN/>
              <w:bidi w:val="0"/>
              <w:snapToGrid/>
              <w:spacing w:line="300" w:lineRule="exact"/>
              <w:ind w:firstLine="420" w:firstLineChars="200"/>
              <w:rPr>
                <w:rFonts w:hint="eastAsia"/>
              </w:rPr>
            </w:pPr>
            <w:r>
              <w:rPr>
                <w:rFonts w:hint="eastAsia"/>
              </w:rPr>
              <w:t xml:space="preserve">预付款比例  </w:t>
            </w:r>
            <w:r>
              <w:rPr>
                <w:rFonts w:hint="eastAsia"/>
              </w:rPr>
              <w:sym w:font="Wingdings 2" w:char="00A3"/>
            </w:r>
            <w:r>
              <w:rPr>
                <w:rFonts w:hint="eastAsia"/>
              </w:rPr>
              <w:t>有</w:t>
            </w:r>
            <w:r>
              <w:rPr>
                <w:rFonts w:hint="eastAsia"/>
                <w:u w:val="single"/>
                <w:lang w:val="en-US" w:eastAsia="zh-CN"/>
              </w:rPr>
              <w:t xml:space="preserve">          </w:t>
            </w:r>
            <w:r>
              <w:rPr>
                <w:rFonts w:hint="eastAsia"/>
              </w:rPr>
              <w:t xml:space="preserve">          </w:t>
            </w:r>
          </w:p>
          <w:p>
            <w:pPr>
              <w:pStyle w:val="27"/>
              <w:keepNext w:val="0"/>
              <w:keepLines w:val="0"/>
              <w:pageBreakBefore w:val="0"/>
              <w:kinsoku/>
              <w:wordWrap/>
              <w:overflowPunct/>
              <w:topLinePunct w:val="0"/>
              <w:autoSpaceDE/>
              <w:autoSpaceDN/>
              <w:bidi w:val="0"/>
              <w:snapToGrid/>
              <w:spacing w:line="300" w:lineRule="exact"/>
              <w:rPr>
                <w:rFonts w:hint="default" w:eastAsia="仿宋"/>
                <w:lang w:val="en-US" w:eastAsia="zh-CN"/>
              </w:rPr>
            </w:pPr>
            <w:r>
              <w:rPr>
                <w:rFonts w:hint="eastAsia"/>
                <w:lang w:val="en-US" w:eastAsia="zh-CN"/>
              </w:rPr>
              <w:t xml:space="preserve">              </w:t>
            </w:r>
            <w:r>
              <w:rPr>
                <w:rFonts w:hint="eastAsia" w:ascii="仿宋_GB2312" w:hAnsi="仿宋_GB2312" w:eastAsia="仿宋_GB2312" w:cs="仿宋_GB2312"/>
                <w:kern w:val="0"/>
                <w:szCs w:val="21"/>
              </w:rPr>
              <w:sym w:font="Wingdings 2" w:char="0052"/>
            </w:r>
            <w:r>
              <w:rPr>
                <w:rFonts w:hint="eastAsia"/>
              </w:rPr>
              <w:t>无</w:t>
            </w:r>
          </w:p>
        </w:tc>
      </w:tr>
      <w:tr>
        <w:tblPrEx>
          <w:tblCellMar>
            <w:top w:w="0" w:type="dxa"/>
            <w:left w:w="108" w:type="dxa"/>
            <w:bottom w:w="0" w:type="dxa"/>
            <w:right w:w="108" w:type="dxa"/>
          </w:tblCellMar>
        </w:tblPrEx>
        <w:trPr>
          <w:trHeight w:val="632"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rPr>
              <w:t>1.3.</w:t>
            </w:r>
            <w:r>
              <w:rPr>
                <w:rFonts w:hint="eastAsia" w:ascii="仿宋_GB2312" w:hAnsi="仿宋_GB2312" w:eastAsia="仿宋_GB2312" w:cs="仿宋_GB2312"/>
                <w:kern w:val="0"/>
                <w:szCs w:val="21"/>
                <w:lang w:val="en-US" w:eastAsia="zh-CN"/>
              </w:rPr>
              <w:t>7</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tabs>
                <w:tab w:val="left" w:pos="1425"/>
              </w:tabs>
              <w:jc w:val="center"/>
              <w:rPr>
                <w:rFonts w:hint="eastAsia" w:ascii="仿宋_GB2312" w:hAnsi="仿宋_GB2312" w:eastAsia="仿宋_GB2312" w:cs="仿宋_GB2312"/>
                <w:szCs w:val="21"/>
              </w:rPr>
            </w:pPr>
            <w:r>
              <w:rPr>
                <w:rFonts w:hint="eastAsia" w:ascii="仿宋_GB2312" w:hAnsi="仿宋_GB2312" w:eastAsia="仿宋_GB2312" w:cs="仿宋_GB2312"/>
                <w:szCs w:val="21"/>
              </w:rPr>
              <w:t>是否有政府强制</w:t>
            </w:r>
          </w:p>
          <w:p>
            <w:pPr>
              <w:tabs>
                <w:tab w:val="left" w:pos="1425"/>
              </w:tabs>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采购的节能产品</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rPr>
                <w:rFonts w:hint="default" w:ascii="仿宋_GB2312" w:hAnsi="仿宋_GB2312" w:eastAsia="仿宋_GB2312" w:cs="仿宋_GB2312"/>
                <w:color w:val="auto"/>
                <w:kern w:val="0"/>
                <w:szCs w:val="21"/>
                <w:highlight w:val="none"/>
                <w:lang w:val="en-US" w:eastAsia="zh-CN"/>
              </w:rPr>
            </w:pPr>
            <w:r>
              <w:rPr>
                <w:rFonts w:hint="eastAsia"/>
                <w:highlight w:val="none"/>
              </w:rPr>
              <w:sym w:font="Wingdings 2" w:char="00A3"/>
            </w:r>
            <w:r>
              <w:rPr>
                <w:rFonts w:hint="eastAsia"/>
                <w:highlight w:val="none"/>
              </w:rPr>
              <w:t>有</w:t>
            </w:r>
            <w:r>
              <w:rPr>
                <w:rFonts w:hint="eastAsia"/>
                <w:highlight w:val="none"/>
                <w:lang w:eastAsia="zh-CN"/>
              </w:rPr>
              <w:t>，</w:t>
            </w:r>
            <w:r>
              <w:rPr>
                <w:rFonts w:hint="eastAsia" w:ascii="仿宋_GB2312" w:hAnsi="仿宋_GB2312" w:eastAsia="仿宋_GB2312" w:cs="仿宋_GB2312"/>
                <w:color w:val="auto"/>
                <w:kern w:val="0"/>
                <w:szCs w:val="21"/>
                <w:highlight w:val="none"/>
              </w:rPr>
              <w:t>具体产品为</w:t>
            </w:r>
            <w:r>
              <w:rPr>
                <w:rFonts w:hint="eastAsia" w:ascii="仿宋_GB2312" w:hAnsi="仿宋_GB2312" w:eastAsia="仿宋_GB2312" w:cs="仿宋_GB2312"/>
                <w:color w:val="auto"/>
                <w:kern w:val="0"/>
                <w:szCs w:val="21"/>
                <w:highlight w:val="none"/>
                <w:u w:val="single"/>
                <w:lang w:val="en-US" w:eastAsia="zh-CN"/>
              </w:rPr>
              <w:t xml:space="preserve">           </w:t>
            </w:r>
            <w:r>
              <w:rPr>
                <w:rFonts w:hint="eastAsia" w:ascii="仿宋_GB2312" w:hAnsi="仿宋_GB2312" w:eastAsia="仿宋_GB2312" w:cs="仿宋_GB2312"/>
                <w:color w:val="auto"/>
                <w:kern w:val="0"/>
                <w:szCs w:val="21"/>
                <w:highlight w:val="none"/>
                <w:u w:val="none"/>
                <w:lang w:val="en-US" w:eastAsia="zh-CN"/>
              </w:rPr>
              <w:t>。</w:t>
            </w:r>
          </w:p>
          <w:p>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highlight w:val="none"/>
              </w:rPr>
              <w:sym w:font="Wingdings 2" w:char="0052"/>
            </w:r>
            <w:r>
              <w:rPr>
                <w:rFonts w:hint="eastAsia" w:ascii="仿宋_GB2312" w:hAnsi="仿宋_GB2312" w:eastAsia="仿宋_GB2312" w:cs="仿宋_GB2312"/>
                <w:highlight w:val="none"/>
                <w:lang w:eastAsia="zh-CN"/>
              </w:rPr>
              <w:t>没有</w:t>
            </w:r>
            <w:r>
              <w:rPr>
                <w:rFonts w:hint="eastAsia" w:ascii="仿宋_GB2312" w:hAnsi="仿宋_GB2312" w:eastAsia="仿宋_GB2312" w:cs="仿宋_GB2312"/>
                <w:highlight w:val="none"/>
                <w:lang w:val="en-US" w:eastAsia="zh-CN"/>
              </w:rPr>
              <w:t xml:space="preserve"> </w:t>
            </w:r>
          </w:p>
        </w:tc>
      </w:tr>
      <w:tr>
        <w:tblPrEx>
          <w:tblCellMar>
            <w:top w:w="0" w:type="dxa"/>
            <w:left w:w="108" w:type="dxa"/>
            <w:bottom w:w="0" w:type="dxa"/>
            <w:right w:w="108" w:type="dxa"/>
          </w:tblCellMar>
        </w:tblPrEx>
        <w:trPr>
          <w:trHeight w:val="321"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1.4</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tabs>
                <w:tab w:val="left" w:pos="1425"/>
              </w:tabs>
              <w:jc w:val="center"/>
              <w:rPr>
                <w:rFonts w:hint="eastAsia" w:ascii="仿宋_GB2312" w:hAnsi="仿宋_GB2312" w:eastAsia="仿宋_GB2312" w:cs="仿宋_GB2312"/>
                <w:bCs/>
                <w:kern w:val="0"/>
                <w:szCs w:val="21"/>
              </w:rPr>
            </w:pPr>
            <w:r>
              <w:rPr>
                <w:rFonts w:hint="eastAsia" w:ascii="仿宋_GB2312" w:hAnsi="仿宋_GB2312" w:eastAsia="仿宋_GB2312" w:cs="仿宋_GB2312"/>
                <w:bCs/>
                <w:kern w:val="0"/>
                <w:szCs w:val="21"/>
              </w:rPr>
              <w:t>是否允许联合体</w:t>
            </w:r>
          </w:p>
          <w:p>
            <w:pPr>
              <w:tabs>
                <w:tab w:val="left" w:pos="1425"/>
              </w:tabs>
              <w:jc w:val="center"/>
              <w:rPr>
                <w:rFonts w:hint="eastAsia" w:ascii="仿宋_GB2312" w:hAnsi="仿宋_GB2312" w:eastAsia="仿宋_GB2312" w:cs="仿宋_GB2312"/>
                <w:b/>
                <w:kern w:val="0"/>
                <w:szCs w:val="21"/>
              </w:rPr>
            </w:pPr>
            <w:r>
              <w:rPr>
                <w:rFonts w:hint="eastAsia" w:ascii="仿宋_GB2312" w:hAnsi="仿宋_GB2312" w:eastAsia="仿宋_GB2312" w:cs="仿宋_GB2312"/>
                <w:bCs/>
                <w:kern w:val="0"/>
                <w:szCs w:val="21"/>
              </w:rPr>
              <w:t>投标</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否</w:t>
            </w:r>
          </w:p>
        </w:tc>
      </w:tr>
      <w:tr>
        <w:tblPrEx>
          <w:tblCellMar>
            <w:top w:w="0" w:type="dxa"/>
            <w:left w:w="108" w:type="dxa"/>
            <w:bottom w:w="0" w:type="dxa"/>
            <w:right w:w="108" w:type="dxa"/>
          </w:tblCellMar>
        </w:tblPrEx>
        <w:trPr>
          <w:trHeight w:val="632"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1.4.8</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tabs>
                <w:tab w:val="left" w:pos="1425"/>
              </w:tabs>
              <w:jc w:val="center"/>
              <w:rPr>
                <w:rFonts w:hint="eastAsia" w:ascii="仿宋_GB2312" w:hAnsi="仿宋_GB2312" w:eastAsia="仿宋_GB2312" w:cs="仿宋_GB2312"/>
                <w:bCs/>
                <w:kern w:val="0"/>
                <w:szCs w:val="21"/>
              </w:rPr>
            </w:pPr>
            <w:r>
              <w:rPr>
                <w:rFonts w:hint="eastAsia" w:ascii="仿宋_GB2312" w:hAnsi="仿宋_GB2312" w:eastAsia="仿宋_GB2312" w:cs="仿宋_GB2312"/>
                <w:bCs/>
                <w:kern w:val="0"/>
                <w:szCs w:val="21"/>
              </w:rPr>
              <w:t>联合体投标的</w:t>
            </w:r>
          </w:p>
          <w:p>
            <w:pPr>
              <w:tabs>
                <w:tab w:val="left" w:pos="1425"/>
              </w:tabs>
              <w:jc w:val="center"/>
              <w:rPr>
                <w:rFonts w:hint="eastAsia" w:ascii="仿宋_GB2312" w:hAnsi="仿宋_GB2312" w:eastAsia="仿宋_GB2312" w:cs="仿宋_GB2312"/>
                <w:bCs/>
                <w:kern w:val="0"/>
                <w:szCs w:val="21"/>
              </w:rPr>
            </w:pPr>
            <w:r>
              <w:rPr>
                <w:rFonts w:hint="eastAsia" w:ascii="仿宋_GB2312" w:hAnsi="仿宋_GB2312" w:eastAsia="仿宋_GB2312" w:cs="仿宋_GB2312"/>
                <w:bCs/>
                <w:kern w:val="0"/>
                <w:szCs w:val="21"/>
              </w:rPr>
              <w:t>其他资格要求</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bCs/>
                <w:kern w:val="0"/>
                <w:szCs w:val="21"/>
                <w:lang w:val="en-US" w:eastAsia="zh-CN"/>
              </w:rPr>
            </w:pPr>
            <w:r>
              <w:rPr>
                <w:rFonts w:hint="eastAsia" w:ascii="仿宋_GB2312" w:hAnsi="仿宋_GB2312" w:eastAsia="仿宋_GB2312" w:cs="仿宋_GB2312"/>
                <w:bCs/>
                <w:kern w:val="0"/>
                <w:szCs w:val="21"/>
                <w:lang w:val="en-US" w:eastAsia="zh-CN"/>
              </w:rPr>
              <w:t>无</w:t>
            </w:r>
          </w:p>
        </w:tc>
      </w:tr>
      <w:tr>
        <w:tblPrEx>
          <w:tblCellMar>
            <w:top w:w="0" w:type="dxa"/>
            <w:left w:w="108" w:type="dxa"/>
            <w:bottom w:w="0" w:type="dxa"/>
            <w:right w:w="108" w:type="dxa"/>
          </w:tblCellMar>
        </w:tblPrEx>
        <w:trPr>
          <w:trHeight w:val="943"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2.2</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项目预算金额、最高限价</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60" w:lineRule="auto"/>
              <w:rPr>
                <w:rFonts w:hint="eastAsia" w:ascii="仿宋_GB2312" w:hAnsi="仿宋_GB2312" w:eastAsia="仿宋_GB2312" w:cs="仿宋_GB2312"/>
                <w:bCs/>
                <w:kern w:val="0"/>
                <w:szCs w:val="21"/>
                <w:u w:val="single"/>
                <w:lang w:val="en-US" w:eastAsia="zh-CN"/>
              </w:rPr>
            </w:pPr>
            <w:r>
              <w:rPr>
                <w:rFonts w:hint="eastAsia" w:ascii="仿宋_GB2312" w:hAnsi="仿宋_GB2312" w:eastAsia="仿宋_GB2312" w:cs="仿宋_GB2312"/>
                <w:bCs/>
                <w:kern w:val="0"/>
                <w:szCs w:val="21"/>
              </w:rPr>
              <w:t>预算金额：</w:t>
            </w:r>
            <w:r>
              <w:rPr>
                <w:rFonts w:hint="eastAsia" w:ascii="仿宋_GB2312" w:hAnsi="仿宋_GB2312" w:eastAsia="仿宋_GB2312" w:cs="仿宋_GB2312"/>
                <w:szCs w:val="21"/>
                <w:u w:val="single"/>
                <w:lang w:val="en-US" w:eastAsia="zh-CN"/>
              </w:rPr>
              <w:t>2,351,280.00元</w:t>
            </w:r>
          </w:p>
          <w:p>
            <w:pPr>
              <w:rPr>
                <w:rFonts w:hint="eastAsia" w:ascii="仿宋_GB2312" w:hAnsi="仿宋_GB2312" w:eastAsia="仿宋_GB2312" w:cs="仿宋_GB2312"/>
                <w:bCs/>
                <w:kern w:val="0"/>
                <w:szCs w:val="21"/>
                <w:u w:val="single"/>
                <w:lang w:val="en-US"/>
              </w:rPr>
            </w:pPr>
            <w:r>
              <w:rPr>
                <w:rFonts w:hint="eastAsia" w:ascii="仿宋_GB2312" w:hAnsi="仿宋_GB2312" w:eastAsia="仿宋_GB2312" w:cs="仿宋_GB2312"/>
                <w:bCs/>
                <w:kern w:val="0"/>
                <w:szCs w:val="21"/>
              </w:rPr>
              <w:t>最高限价</w:t>
            </w:r>
            <w:r>
              <w:rPr>
                <w:rFonts w:hint="eastAsia" w:ascii="仿宋_GB2312" w:hAnsi="仿宋_GB2312" w:eastAsia="仿宋_GB2312" w:cs="仿宋_GB2312"/>
                <w:bCs/>
                <w:kern w:val="0"/>
                <w:szCs w:val="21"/>
                <w:lang w:val="en-US" w:eastAsia="zh-CN"/>
              </w:rPr>
              <w:t>:</w:t>
            </w: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szCs w:val="21"/>
                <w:u w:val="single"/>
                <w:lang w:val="en-US" w:eastAsia="zh-CN"/>
              </w:rPr>
              <w:t>2,351,280.00元</w:t>
            </w:r>
          </w:p>
        </w:tc>
      </w:tr>
      <w:tr>
        <w:tblPrEx>
          <w:tblCellMar>
            <w:top w:w="0" w:type="dxa"/>
            <w:left w:w="108" w:type="dxa"/>
            <w:bottom w:w="0" w:type="dxa"/>
            <w:right w:w="108" w:type="dxa"/>
          </w:tblCellMar>
        </w:tblPrEx>
        <w:trPr>
          <w:trHeight w:val="632"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计量单位</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bCs/>
                <w:kern w:val="0"/>
                <w:szCs w:val="21"/>
              </w:rPr>
              <w:t>中华人民共和国法定计量单位</w:t>
            </w:r>
          </w:p>
          <w:p>
            <w:pPr>
              <w:rPr>
                <w:rFonts w:hint="eastAsia" w:ascii="仿宋_GB2312" w:hAnsi="仿宋_GB2312" w:eastAsia="仿宋_GB2312" w:cs="仿宋_GB2312"/>
                <w:bCs/>
                <w:kern w:val="0"/>
                <w:szCs w:val="21"/>
              </w:rPr>
            </w:pPr>
            <w:r>
              <w:rPr>
                <w:rFonts w:hint="eastAsia" w:ascii="仿宋_GB2312" w:hAnsi="仿宋_GB2312" w:eastAsia="仿宋_GB2312" w:cs="仿宋_GB2312"/>
                <w:bCs/>
                <w:kern w:val="0"/>
                <w:szCs w:val="21"/>
              </w:rPr>
              <w:sym w:font="Wingdings 2" w:char="00A3"/>
            </w:r>
            <w:r>
              <w:rPr>
                <w:rFonts w:hint="eastAsia" w:ascii="仿宋_GB2312" w:hAnsi="仿宋_GB2312" w:eastAsia="仿宋_GB2312" w:cs="仿宋_GB2312"/>
                <w:bCs/>
                <w:kern w:val="0"/>
                <w:szCs w:val="21"/>
              </w:rPr>
              <w:t>其他：</w:t>
            </w:r>
            <w:r>
              <w:rPr>
                <w:rFonts w:hint="eastAsia" w:ascii="仿宋_GB2312" w:hAnsi="仿宋_GB2312" w:eastAsia="仿宋_GB2312" w:cs="仿宋_GB2312"/>
                <w:bCs/>
                <w:kern w:val="0"/>
                <w:szCs w:val="21"/>
                <w:u w:val="single"/>
              </w:rPr>
              <w:t xml:space="preserve">             </w:t>
            </w:r>
          </w:p>
        </w:tc>
      </w:tr>
      <w:tr>
        <w:tblPrEx>
          <w:tblCellMar>
            <w:top w:w="0" w:type="dxa"/>
            <w:left w:w="108" w:type="dxa"/>
            <w:bottom w:w="0" w:type="dxa"/>
            <w:right w:w="108" w:type="dxa"/>
          </w:tblCellMar>
        </w:tblPrEx>
        <w:trPr>
          <w:trHeight w:val="954"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6.1</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现场考察、开标前答疑会</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不组织</w:t>
            </w:r>
          </w:p>
          <w:p>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w:t>
            </w:r>
          </w:p>
        </w:tc>
      </w:tr>
      <w:tr>
        <w:tblPrEx>
          <w:tblCellMar>
            <w:top w:w="0" w:type="dxa"/>
            <w:left w:w="108" w:type="dxa"/>
            <w:bottom w:w="0" w:type="dxa"/>
            <w:right w:w="108" w:type="dxa"/>
          </w:tblCellMar>
        </w:tblPrEx>
        <w:trPr>
          <w:trHeight w:val="604"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10.3</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核心产品</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lang w:val="en-US" w:eastAsia="zh-CN"/>
              </w:rPr>
            </w:pPr>
            <w:r>
              <w:rPr>
                <w:rFonts w:hint="eastAsia" w:ascii="仿宋_GB2312" w:hAnsi="仿宋_GB2312" w:eastAsia="仿宋_GB2312" w:cs="仿宋_GB2312"/>
                <w:b/>
                <w:bCs/>
                <w:lang w:val="en-US" w:eastAsia="zh-CN"/>
              </w:rPr>
              <w:t>环保车辆人脸抓拍单元</w:t>
            </w:r>
          </w:p>
        </w:tc>
      </w:tr>
      <w:tr>
        <w:tblPrEx>
          <w:tblCellMar>
            <w:top w:w="0" w:type="dxa"/>
            <w:left w:w="108" w:type="dxa"/>
            <w:bottom w:w="0" w:type="dxa"/>
            <w:right w:w="108" w:type="dxa"/>
          </w:tblCellMar>
        </w:tblPrEx>
        <w:trPr>
          <w:trHeight w:val="1665"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11.3</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样品或演示</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不需要</w:t>
            </w:r>
            <w:r>
              <w:rPr>
                <w:rFonts w:hint="eastAsia" w:ascii="仿宋_GB2312" w:hAnsi="仿宋_GB2312" w:eastAsia="仿宋_GB2312" w:cs="仿宋_GB2312"/>
                <w:bCs/>
                <w:kern w:val="0"/>
                <w:szCs w:val="21"/>
              </w:rPr>
              <w:t>提供样品</w:t>
            </w:r>
          </w:p>
          <w:p>
            <w:pPr>
              <w:rPr>
                <w:rFonts w:hint="eastAsia"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提供样品</w:t>
            </w:r>
          </w:p>
          <w:p>
            <w:pPr>
              <w:rPr>
                <w:rFonts w:hint="eastAsia"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不</w:t>
            </w:r>
            <w:r>
              <w:rPr>
                <w:rFonts w:hint="eastAsia" w:ascii="仿宋_GB2312" w:hAnsi="仿宋_GB2312" w:eastAsia="仿宋_GB2312" w:cs="仿宋_GB2312"/>
                <w:bCs/>
                <w:kern w:val="0"/>
                <w:szCs w:val="21"/>
              </w:rPr>
              <w:t>需要提供演示</w:t>
            </w:r>
          </w:p>
          <w:p>
            <w:pPr>
              <w:rPr>
                <w:rFonts w:hint="eastAsia" w:ascii="仿宋_GB2312" w:hAnsi="仿宋_GB2312" w:eastAsia="仿宋_GB2312" w:cs="仿宋_GB2312"/>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提供演示</w:t>
            </w:r>
          </w:p>
          <w:p>
            <w:pPr>
              <w:rPr>
                <w:rFonts w:hint="eastAsia" w:ascii="仿宋_GB2312" w:hAnsi="仿宋_GB2312" w:eastAsia="仿宋_GB2312" w:cs="仿宋_GB2312"/>
                <w:kern w:val="0"/>
                <w:szCs w:val="21"/>
              </w:rPr>
            </w:pPr>
          </w:p>
        </w:tc>
      </w:tr>
      <w:tr>
        <w:tblPrEx>
          <w:tblCellMar>
            <w:top w:w="0" w:type="dxa"/>
            <w:left w:w="108" w:type="dxa"/>
            <w:bottom w:w="0" w:type="dxa"/>
            <w:right w:w="108" w:type="dxa"/>
          </w:tblCellMar>
        </w:tblPrEx>
        <w:trPr>
          <w:trHeight w:val="597"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12.1</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投标报价货币</w:t>
            </w:r>
          </w:p>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要求</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所有投标均按</w:t>
            </w:r>
            <w:r>
              <w:rPr>
                <w:rFonts w:hint="eastAsia" w:ascii="仿宋_GB2312" w:hAnsi="仿宋_GB2312" w:eastAsia="仿宋_GB2312" w:cs="仿宋_GB2312"/>
                <w:kern w:val="0"/>
                <w:szCs w:val="21"/>
                <w:u w:val="single"/>
                <w:lang w:val="en-US" w:eastAsia="zh-CN"/>
              </w:rPr>
              <w:t>人民币</w:t>
            </w:r>
            <w:r>
              <w:rPr>
                <w:rFonts w:hint="eastAsia" w:ascii="仿宋_GB2312" w:hAnsi="仿宋_GB2312" w:eastAsia="仿宋_GB2312" w:cs="仿宋_GB2312"/>
                <w:kern w:val="0"/>
                <w:szCs w:val="21"/>
              </w:rPr>
              <w:t>货币进行报价。</w:t>
            </w:r>
          </w:p>
          <w:p>
            <w:pPr>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其它：</w:t>
            </w:r>
            <w:r>
              <w:rPr>
                <w:rFonts w:hint="eastAsia" w:ascii="仿宋_GB2312" w:hAnsi="仿宋_GB2312" w:eastAsia="仿宋_GB2312" w:cs="仿宋_GB2312"/>
                <w:kern w:val="0"/>
                <w:szCs w:val="21"/>
                <w:u w:val="single"/>
              </w:rPr>
              <w:t xml:space="preserve">               </w:t>
            </w:r>
          </w:p>
        </w:tc>
      </w:tr>
      <w:tr>
        <w:tblPrEx>
          <w:tblCellMar>
            <w:top w:w="0" w:type="dxa"/>
            <w:left w:w="108" w:type="dxa"/>
            <w:bottom w:w="0" w:type="dxa"/>
            <w:right w:w="108" w:type="dxa"/>
          </w:tblCellMar>
        </w:tblPrEx>
        <w:trPr>
          <w:trHeight w:val="721" w:hRule="atLeast"/>
        </w:trPr>
        <w:tc>
          <w:tcPr>
            <w:tcW w:w="750" w:type="dxa"/>
            <w:tcBorders>
              <w:top w:val="single" w:color="auto" w:sz="4" w:space="0"/>
              <w:left w:val="single" w:color="auto" w:sz="8" w:space="0"/>
              <w:bottom w:val="single" w:color="auto" w:sz="8"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13.1</w:t>
            </w:r>
          </w:p>
        </w:tc>
        <w:tc>
          <w:tcPr>
            <w:tcW w:w="1959" w:type="dxa"/>
            <w:tcBorders>
              <w:top w:val="single" w:color="auto" w:sz="4" w:space="0"/>
              <w:left w:val="single" w:color="auto" w:sz="4" w:space="0"/>
              <w:bottom w:val="single" w:color="auto" w:sz="8" w:space="0"/>
              <w:right w:val="single" w:color="auto" w:sz="8" w:space="0"/>
            </w:tcBorders>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投标保证金</w:t>
            </w:r>
          </w:p>
        </w:tc>
        <w:tc>
          <w:tcPr>
            <w:tcW w:w="6344" w:type="dxa"/>
            <w:tcBorders>
              <w:top w:val="single" w:color="auto" w:sz="4" w:space="0"/>
              <w:left w:val="nil"/>
              <w:bottom w:val="single" w:color="auto" w:sz="8" w:space="0"/>
              <w:right w:val="single" w:color="auto" w:sz="8" w:space="0"/>
            </w:tcBorders>
            <w:noWrap w:val="0"/>
            <w:vAlign w:val="center"/>
          </w:tcPr>
          <w:p>
            <w:pPr>
              <w:rPr>
                <w:rFonts w:hint="eastAsia" w:ascii="仿宋_GB2312" w:hAnsi="仿宋_GB2312" w:eastAsia="仿宋_GB2312" w:cs="仿宋_GB2312"/>
                <w:lang w:val="en-US" w:eastAsia="zh-CN"/>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lang w:val="en-US" w:eastAsia="zh-CN"/>
              </w:rPr>
              <w:t>本项目不收取投标保证金</w:t>
            </w:r>
          </w:p>
          <w:p>
            <w:pPr>
              <w:pStyle w:val="27"/>
              <w:ind w:left="0" w:leftChars="0" w:firstLine="0" w:firstLineChars="0"/>
              <w:rPr>
                <w:rFonts w:hint="eastAsia" w:ascii="仿宋_GB2312" w:hAnsi="仿宋_GB2312" w:eastAsia="仿宋_GB2312" w:cs="仿宋_GB2312"/>
                <w:lang w:val="en-US" w:eastAsia="zh-CN"/>
              </w:rPr>
            </w:pPr>
            <w:r>
              <w:rPr>
                <w:rFonts w:hint="eastAsia" w:ascii="仿宋_GB2312" w:hAnsi="仿宋_GB2312" w:eastAsia="仿宋_GB2312" w:cs="仿宋_GB2312"/>
              </w:rPr>
              <w:sym w:font="Wingdings 2" w:char="00A3"/>
            </w:r>
            <w:r>
              <w:rPr>
                <w:rFonts w:hint="eastAsia" w:ascii="仿宋_GB2312" w:hAnsi="仿宋_GB2312" w:eastAsia="仿宋_GB2312" w:cs="仿宋_GB2312"/>
                <w:lang w:val="en-US" w:eastAsia="zh-CN"/>
              </w:rPr>
              <w:t>本项目收取投标保证金</w:t>
            </w:r>
          </w:p>
        </w:tc>
      </w:tr>
      <w:tr>
        <w:tblPrEx>
          <w:tblCellMar>
            <w:top w:w="0" w:type="dxa"/>
            <w:left w:w="108" w:type="dxa"/>
            <w:bottom w:w="0" w:type="dxa"/>
            <w:right w:w="108" w:type="dxa"/>
          </w:tblCellMar>
        </w:tblPrEx>
        <w:trPr>
          <w:trHeight w:val="632" w:hRule="atLeast"/>
        </w:trPr>
        <w:tc>
          <w:tcPr>
            <w:tcW w:w="750" w:type="dxa"/>
            <w:tcBorders>
              <w:top w:val="single" w:color="auto" w:sz="4" w:space="0"/>
              <w:left w:val="single" w:color="auto" w:sz="8" w:space="0"/>
              <w:bottom w:val="single" w:color="auto" w:sz="8"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15.1</w:t>
            </w:r>
          </w:p>
        </w:tc>
        <w:tc>
          <w:tcPr>
            <w:tcW w:w="1959" w:type="dxa"/>
            <w:tcBorders>
              <w:top w:val="single" w:color="auto" w:sz="4" w:space="0"/>
              <w:left w:val="single" w:color="auto" w:sz="4" w:space="0"/>
              <w:bottom w:val="single" w:color="auto" w:sz="8" w:space="0"/>
              <w:right w:val="single" w:color="auto" w:sz="8" w:space="0"/>
            </w:tcBorders>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投标有效期</w:t>
            </w:r>
          </w:p>
        </w:tc>
        <w:tc>
          <w:tcPr>
            <w:tcW w:w="6344" w:type="dxa"/>
            <w:tcBorders>
              <w:top w:val="single" w:color="auto" w:sz="4" w:space="0"/>
              <w:left w:val="nil"/>
              <w:bottom w:val="single" w:color="auto" w:sz="8" w:space="0"/>
              <w:right w:val="single" w:color="auto" w:sz="8" w:space="0"/>
            </w:tcBorders>
            <w:noWrap w:val="0"/>
            <w:vAlign w:val="center"/>
          </w:tcPr>
          <w:p>
            <w:pPr>
              <w:pStyle w:val="7"/>
              <w:rPr>
                <w:rFonts w:hint="eastAsia"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90  </w:t>
            </w:r>
            <w:r>
              <w:rPr>
                <w:rFonts w:hint="eastAsia" w:ascii="仿宋_GB2312" w:hAnsi="仿宋_GB2312" w:eastAsia="仿宋_GB2312" w:cs="仿宋_GB2312"/>
                <w:kern w:val="0"/>
                <w:szCs w:val="21"/>
              </w:rPr>
              <w:t>日历日</w:t>
            </w:r>
          </w:p>
        </w:tc>
      </w:tr>
      <w:tr>
        <w:tblPrEx>
          <w:tblCellMar>
            <w:top w:w="0" w:type="dxa"/>
            <w:left w:w="108" w:type="dxa"/>
            <w:bottom w:w="0" w:type="dxa"/>
            <w:right w:w="108" w:type="dxa"/>
          </w:tblCellMar>
        </w:tblPrEx>
        <w:trPr>
          <w:trHeight w:val="642" w:hRule="atLeast"/>
        </w:trPr>
        <w:tc>
          <w:tcPr>
            <w:tcW w:w="750" w:type="dxa"/>
            <w:tcBorders>
              <w:top w:val="nil"/>
              <w:left w:val="single" w:color="auto" w:sz="8"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16.1</w:t>
            </w:r>
          </w:p>
        </w:tc>
        <w:tc>
          <w:tcPr>
            <w:tcW w:w="1959" w:type="dxa"/>
            <w:tcBorders>
              <w:top w:val="nil"/>
              <w:left w:val="single" w:color="auto" w:sz="4" w:space="0"/>
              <w:bottom w:val="single" w:color="auto" w:sz="4" w:space="0"/>
              <w:right w:val="single" w:color="auto" w:sz="8"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投标文件份数</w:t>
            </w:r>
          </w:p>
        </w:tc>
        <w:tc>
          <w:tcPr>
            <w:tcW w:w="6344" w:type="dxa"/>
            <w:tcBorders>
              <w:top w:val="nil"/>
              <w:left w:val="nil"/>
              <w:bottom w:val="single" w:color="auto" w:sz="4" w:space="0"/>
              <w:right w:val="single" w:color="auto" w:sz="8" w:space="0"/>
            </w:tcBorders>
            <w:noWrap w:val="0"/>
            <w:vAlign w:val="center"/>
          </w:tcPr>
          <w:p>
            <w:pPr>
              <w:widowControl/>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b/>
                <w:bCs/>
                <w:szCs w:val="21"/>
                <w:lang w:eastAsia="zh-CN"/>
              </w:rPr>
              <w:t>电子投标文件</w:t>
            </w:r>
            <w:r>
              <w:rPr>
                <w:rFonts w:hint="eastAsia" w:ascii="仿宋_GB2312" w:hAnsi="仿宋_GB2312" w:eastAsia="仿宋_GB2312" w:cs="仿宋_GB2312"/>
                <w:b/>
                <w:bCs/>
                <w:szCs w:val="21"/>
                <w:u w:val="single"/>
                <w:lang w:val="en-US" w:eastAsia="zh-CN"/>
              </w:rPr>
              <w:t>1</w:t>
            </w:r>
            <w:r>
              <w:rPr>
                <w:rFonts w:hint="eastAsia" w:ascii="仿宋_GB2312" w:hAnsi="仿宋_GB2312" w:eastAsia="仿宋_GB2312" w:cs="仿宋_GB2312"/>
                <w:b/>
                <w:bCs/>
                <w:szCs w:val="21"/>
                <w:u w:val="none"/>
                <w:lang w:val="en-US" w:eastAsia="zh-CN"/>
              </w:rPr>
              <w:t>份（上传至辽宁政府采购网），备份投标文件</w:t>
            </w:r>
            <w:r>
              <w:rPr>
                <w:rFonts w:hint="eastAsia" w:ascii="仿宋_GB2312" w:hAnsi="仿宋_GB2312" w:eastAsia="仿宋_GB2312" w:cs="仿宋_GB2312"/>
                <w:b/>
                <w:bCs/>
                <w:szCs w:val="21"/>
                <w:u w:val="single"/>
                <w:lang w:val="en-US" w:eastAsia="zh-CN"/>
              </w:rPr>
              <w:t>1</w:t>
            </w:r>
            <w:r>
              <w:rPr>
                <w:rFonts w:hint="eastAsia" w:ascii="仿宋_GB2312" w:hAnsi="仿宋_GB2312" w:eastAsia="仿宋_GB2312" w:cs="仿宋_GB2312"/>
                <w:b/>
                <w:bCs/>
                <w:szCs w:val="21"/>
                <w:u w:val="none"/>
                <w:lang w:val="en-US" w:eastAsia="zh-CN"/>
              </w:rPr>
              <w:t>份。</w:t>
            </w:r>
          </w:p>
        </w:tc>
      </w:tr>
      <w:tr>
        <w:tblPrEx>
          <w:tblCellMar>
            <w:top w:w="0" w:type="dxa"/>
            <w:left w:w="108" w:type="dxa"/>
            <w:bottom w:w="0" w:type="dxa"/>
            <w:right w:w="108" w:type="dxa"/>
          </w:tblCellMar>
        </w:tblPrEx>
        <w:trPr>
          <w:trHeight w:val="632" w:hRule="atLeast"/>
        </w:trPr>
        <w:tc>
          <w:tcPr>
            <w:tcW w:w="750" w:type="dxa"/>
            <w:tcBorders>
              <w:top w:val="nil"/>
              <w:left w:val="single" w:color="auto" w:sz="8"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18.1</w:t>
            </w:r>
          </w:p>
        </w:tc>
        <w:tc>
          <w:tcPr>
            <w:tcW w:w="1959" w:type="dxa"/>
            <w:tcBorders>
              <w:top w:val="nil"/>
              <w:left w:val="single" w:color="auto" w:sz="4" w:space="0"/>
              <w:bottom w:val="single" w:color="auto" w:sz="4" w:space="0"/>
              <w:right w:val="single" w:color="auto" w:sz="8" w:space="0"/>
            </w:tcBorders>
            <w:noWrap w:val="0"/>
            <w:vAlign w:val="center"/>
          </w:tcPr>
          <w:p>
            <w:pPr>
              <w:widowControl/>
              <w:jc w:val="center"/>
              <w:rPr>
                <w:rFonts w:hint="eastAsia" w:ascii="仿宋_GB2312" w:hAnsi="仿宋_GB2312" w:eastAsia="仿宋_GB2312" w:cs="仿宋_GB2312"/>
                <w:szCs w:val="21"/>
              </w:rPr>
            </w:pPr>
            <w:r>
              <w:rPr>
                <w:rFonts w:hint="eastAsia" w:ascii="仿宋_GB2312" w:hAnsi="仿宋_GB2312" w:eastAsia="仿宋_GB2312" w:cs="仿宋_GB2312"/>
                <w:szCs w:val="21"/>
              </w:rPr>
              <w:t>递交投标文件截止时间、地点</w:t>
            </w:r>
          </w:p>
        </w:tc>
        <w:tc>
          <w:tcPr>
            <w:tcW w:w="6344" w:type="dxa"/>
            <w:tcBorders>
              <w:top w:val="nil"/>
              <w:left w:val="nil"/>
              <w:bottom w:val="single" w:color="auto" w:sz="4" w:space="0"/>
              <w:right w:val="single" w:color="auto" w:sz="8" w:space="0"/>
            </w:tcBorders>
            <w:noWrap w:val="0"/>
            <w:vAlign w:val="center"/>
          </w:tcPr>
          <w:p>
            <w:pPr>
              <w:widowControl/>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详见招标公告，以招标公告规定时间、地点为准。</w:t>
            </w:r>
          </w:p>
        </w:tc>
      </w:tr>
      <w:tr>
        <w:tblPrEx>
          <w:tblCellMar>
            <w:top w:w="0" w:type="dxa"/>
            <w:left w:w="108" w:type="dxa"/>
            <w:bottom w:w="0" w:type="dxa"/>
            <w:right w:w="108" w:type="dxa"/>
          </w:tblCellMar>
        </w:tblPrEx>
        <w:trPr>
          <w:trHeight w:val="614" w:hRule="atLeast"/>
        </w:trPr>
        <w:tc>
          <w:tcPr>
            <w:tcW w:w="750" w:type="dxa"/>
            <w:tcBorders>
              <w:top w:val="nil"/>
              <w:left w:val="single" w:color="auto" w:sz="8"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20.1</w:t>
            </w:r>
          </w:p>
        </w:tc>
        <w:tc>
          <w:tcPr>
            <w:tcW w:w="1959" w:type="dxa"/>
            <w:tcBorders>
              <w:top w:val="nil"/>
              <w:left w:val="single" w:color="auto" w:sz="4" w:space="0"/>
              <w:bottom w:val="single" w:color="auto" w:sz="4" w:space="0"/>
              <w:right w:val="single" w:color="auto" w:sz="8" w:space="0"/>
            </w:tcBorders>
            <w:noWrap w:val="0"/>
            <w:vAlign w:val="center"/>
          </w:tcPr>
          <w:p>
            <w:pPr>
              <w:widowControl/>
              <w:jc w:val="center"/>
              <w:rPr>
                <w:rFonts w:hint="eastAsia" w:ascii="仿宋_GB2312" w:hAnsi="仿宋_GB2312" w:eastAsia="仿宋_GB2312" w:cs="仿宋_GB2312"/>
                <w:szCs w:val="21"/>
              </w:rPr>
            </w:pPr>
            <w:r>
              <w:rPr>
                <w:rFonts w:hint="eastAsia" w:ascii="仿宋_GB2312" w:hAnsi="仿宋_GB2312" w:eastAsia="仿宋_GB2312" w:cs="仿宋_GB2312"/>
                <w:szCs w:val="21"/>
              </w:rPr>
              <w:t>开标时间、地点</w:t>
            </w:r>
          </w:p>
        </w:tc>
        <w:tc>
          <w:tcPr>
            <w:tcW w:w="6344" w:type="dxa"/>
            <w:tcBorders>
              <w:top w:val="nil"/>
              <w:left w:val="nil"/>
              <w:bottom w:val="single" w:color="auto" w:sz="4" w:space="0"/>
              <w:right w:val="single" w:color="auto" w:sz="8" w:space="0"/>
            </w:tcBorders>
            <w:noWrap w:val="0"/>
            <w:vAlign w:val="center"/>
          </w:tcPr>
          <w:p>
            <w:pPr>
              <w:widowControl/>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详见招标公告，以招标公告规定时间、地点为准。</w:t>
            </w:r>
          </w:p>
        </w:tc>
      </w:tr>
      <w:tr>
        <w:tblPrEx>
          <w:tblCellMar>
            <w:top w:w="0" w:type="dxa"/>
            <w:left w:w="108" w:type="dxa"/>
            <w:bottom w:w="0" w:type="dxa"/>
            <w:right w:w="108" w:type="dxa"/>
          </w:tblCellMar>
        </w:tblPrEx>
        <w:trPr>
          <w:trHeight w:val="614" w:hRule="atLeast"/>
        </w:trPr>
        <w:tc>
          <w:tcPr>
            <w:tcW w:w="750" w:type="dxa"/>
            <w:tcBorders>
              <w:top w:val="nil"/>
              <w:left w:val="single" w:color="auto" w:sz="8"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21</w:t>
            </w:r>
          </w:p>
        </w:tc>
        <w:tc>
          <w:tcPr>
            <w:tcW w:w="1959" w:type="dxa"/>
            <w:tcBorders>
              <w:top w:val="nil"/>
              <w:left w:val="single" w:color="auto" w:sz="4" w:space="0"/>
              <w:bottom w:val="single" w:color="auto" w:sz="4" w:space="0"/>
              <w:right w:val="single" w:color="auto" w:sz="8" w:space="0"/>
            </w:tcBorders>
            <w:noWrap w:val="0"/>
            <w:vAlign w:val="center"/>
          </w:tcPr>
          <w:p>
            <w:pPr>
              <w:widowControl/>
              <w:jc w:val="center"/>
              <w:rPr>
                <w:rFonts w:hint="eastAsia" w:ascii="仿宋_GB2312" w:hAnsi="仿宋_GB2312" w:eastAsia="仿宋_GB2312" w:cs="仿宋_GB2312"/>
                <w:szCs w:val="21"/>
              </w:rPr>
            </w:pPr>
            <w:r>
              <w:rPr>
                <w:rFonts w:hint="eastAsia" w:ascii="仿宋_GB2312" w:hAnsi="仿宋_GB2312" w:eastAsia="仿宋_GB2312" w:cs="仿宋_GB2312"/>
                <w:szCs w:val="21"/>
              </w:rPr>
              <w:t>评标委员会组成</w:t>
            </w:r>
          </w:p>
        </w:tc>
        <w:tc>
          <w:tcPr>
            <w:tcW w:w="6344" w:type="dxa"/>
            <w:tcBorders>
              <w:top w:val="nil"/>
              <w:left w:val="nil"/>
              <w:bottom w:val="single" w:color="auto" w:sz="4" w:space="0"/>
              <w:right w:val="single" w:color="auto" w:sz="8" w:space="0"/>
            </w:tcBorders>
            <w:noWrap w:val="0"/>
            <w:vAlign w:val="center"/>
          </w:tcPr>
          <w:p>
            <w:pPr>
              <w:widowControl/>
              <w:rPr>
                <w:rFonts w:hint="eastAsia" w:ascii="仿宋_GB2312" w:hAnsi="仿宋_GB2312" w:eastAsia="仿宋_GB2312" w:cs="仿宋_GB2312"/>
                <w:kern w:val="0"/>
                <w:szCs w:val="21"/>
              </w:rPr>
            </w:pPr>
            <w:r>
              <w:rPr>
                <w:rFonts w:hint="eastAsia" w:ascii="仿宋_GB2312" w:hAnsi="仿宋_GB2312" w:eastAsia="仿宋_GB2312" w:cs="仿宋_GB2312"/>
                <w:szCs w:val="21"/>
              </w:rPr>
              <w:t>评标委员会由采购人代表</w:t>
            </w: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rPr>
              <w:t>人，评审专家</w:t>
            </w:r>
            <w:r>
              <w:rPr>
                <w:rFonts w:hint="eastAsia" w:ascii="仿宋_GB2312" w:hAnsi="仿宋_GB2312" w:eastAsia="仿宋_GB2312" w:cs="仿宋_GB2312"/>
                <w:szCs w:val="21"/>
                <w:lang w:val="en-US" w:eastAsia="zh-CN"/>
              </w:rPr>
              <w:t>4</w:t>
            </w:r>
            <w:r>
              <w:rPr>
                <w:rFonts w:hint="eastAsia" w:ascii="仿宋_GB2312" w:hAnsi="仿宋_GB2312" w:eastAsia="仿宋_GB2312" w:cs="仿宋_GB2312"/>
                <w:szCs w:val="21"/>
              </w:rPr>
              <w:t>人组成，共</w:t>
            </w:r>
            <w:r>
              <w:rPr>
                <w:rFonts w:hint="eastAsia" w:ascii="仿宋_GB2312" w:hAnsi="仿宋_GB2312" w:eastAsia="仿宋_GB2312" w:cs="仿宋_GB2312"/>
                <w:szCs w:val="21"/>
                <w:lang w:val="en-US" w:eastAsia="zh-CN"/>
              </w:rPr>
              <w:t>5</w:t>
            </w:r>
            <w:r>
              <w:rPr>
                <w:rFonts w:hint="eastAsia" w:ascii="仿宋_GB2312" w:hAnsi="仿宋_GB2312" w:eastAsia="仿宋_GB2312" w:cs="仿宋_GB2312"/>
                <w:szCs w:val="21"/>
              </w:rPr>
              <w:t xml:space="preserve">人。 </w:t>
            </w:r>
          </w:p>
        </w:tc>
      </w:tr>
      <w:tr>
        <w:tblPrEx>
          <w:tblCellMar>
            <w:top w:w="0" w:type="dxa"/>
            <w:left w:w="108" w:type="dxa"/>
            <w:bottom w:w="0" w:type="dxa"/>
            <w:right w:w="108" w:type="dxa"/>
          </w:tblCellMar>
        </w:tblPrEx>
        <w:trPr>
          <w:trHeight w:val="614" w:hRule="atLeast"/>
        </w:trPr>
        <w:tc>
          <w:tcPr>
            <w:tcW w:w="750" w:type="dxa"/>
            <w:tcBorders>
              <w:top w:val="nil"/>
              <w:left w:val="single" w:color="auto" w:sz="8"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25.1</w:t>
            </w:r>
          </w:p>
        </w:tc>
        <w:tc>
          <w:tcPr>
            <w:tcW w:w="1959" w:type="dxa"/>
            <w:tcBorders>
              <w:top w:val="nil"/>
              <w:left w:val="single" w:color="auto" w:sz="4" w:space="0"/>
              <w:bottom w:val="single" w:color="auto" w:sz="4" w:space="0"/>
              <w:right w:val="single" w:color="auto" w:sz="8" w:space="0"/>
            </w:tcBorders>
            <w:noWrap w:val="0"/>
            <w:vAlign w:val="center"/>
          </w:tcPr>
          <w:p>
            <w:pPr>
              <w:widowControl/>
              <w:jc w:val="center"/>
              <w:rPr>
                <w:rFonts w:hint="eastAsia" w:ascii="仿宋_GB2312" w:hAnsi="仿宋_GB2312" w:eastAsia="仿宋_GB2312" w:cs="仿宋_GB2312"/>
                <w:szCs w:val="21"/>
              </w:rPr>
            </w:pPr>
            <w:r>
              <w:rPr>
                <w:rFonts w:hint="eastAsia" w:ascii="仿宋_GB2312" w:hAnsi="仿宋_GB2312" w:eastAsia="仿宋_GB2312" w:cs="仿宋_GB2312"/>
                <w:szCs w:val="21"/>
              </w:rPr>
              <w:t>样品的评审办法以及评审标准</w:t>
            </w:r>
          </w:p>
          <w:p>
            <w:pPr>
              <w:widowControl/>
              <w:jc w:val="center"/>
              <w:rPr>
                <w:rFonts w:hint="eastAsia" w:ascii="仿宋_GB2312" w:hAnsi="仿宋_GB2312" w:eastAsia="仿宋_GB2312" w:cs="仿宋_GB2312"/>
                <w:szCs w:val="21"/>
              </w:rPr>
            </w:pPr>
            <w:r>
              <w:rPr>
                <w:rFonts w:hint="eastAsia" w:ascii="仿宋_GB2312" w:hAnsi="仿宋_GB2312" w:eastAsia="仿宋_GB2312" w:cs="仿宋_GB2312"/>
                <w:szCs w:val="21"/>
              </w:rPr>
              <w:t>演示的评审办法及评审标准</w:t>
            </w:r>
          </w:p>
        </w:tc>
        <w:tc>
          <w:tcPr>
            <w:tcW w:w="6344" w:type="dxa"/>
            <w:tcBorders>
              <w:top w:val="nil"/>
              <w:left w:val="nil"/>
              <w:bottom w:val="single" w:color="auto" w:sz="4" w:space="0"/>
              <w:right w:val="single" w:color="auto" w:sz="8" w:space="0"/>
            </w:tcBorders>
            <w:noWrap w:val="0"/>
            <w:vAlign w:val="center"/>
          </w:tcPr>
          <w:p>
            <w:pPr>
              <w:widowControl/>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无</w:t>
            </w:r>
          </w:p>
        </w:tc>
      </w:tr>
      <w:tr>
        <w:tblPrEx>
          <w:tblCellMar>
            <w:top w:w="0" w:type="dxa"/>
            <w:left w:w="108" w:type="dxa"/>
            <w:bottom w:w="0" w:type="dxa"/>
            <w:right w:w="108" w:type="dxa"/>
          </w:tblCellMar>
        </w:tblPrEx>
        <w:trPr>
          <w:trHeight w:val="632"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27.2</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szCs w:val="21"/>
              </w:rPr>
            </w:pPr>
            <w:r>
              <w:rPr>
                <w:rFonts w:hint="eastAsia" w:ascii="仿宋_GB2312" w:hAnsi="仿宋_GB2312" w:eastAsia="仿宋_GB2312" w:cs="仿宋_GB2312"/>
                <w:szCs w:val="21"/>
              </w:rPr>
              <w:t>评标办法</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_GB2312" w:hAnsi="仿宋_GB2312" w:eastAsia="仿宋_GB2312" w:cs="仿宋_GB2312"/>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szCs w:val="21"/>
              </w:rPr>
              <w:t>综合评分法</w:t>
            </w:r>
          </w:p>
          <w:p>
            <w:pPr>
              <w:widowControl/>
              <w:rPr>
                <w:rFonts w:hint="eastAsia"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 xml:space="preserve">最低评标价法 </w:t>
            </w:r>
          </w:p>
        </w:tc>
      </w:tr>
      <w:tr>
        <w:tblPrEx>
          <w:tblCellMar>
            <w:top w:w="0" w:type="dxa"/>
            <w:left w:w="108" w:type="dxa"/>
            <w:bottom w:w="0" w:type="dxa"/>
            <w:right w:w="108" w:type="dxa"/>
          </w:tblCellMar>
        </w:tblPrEx>
        <w:trPr>
          <w:trHeight w:val="632"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29.2</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推荐中标候选人的数量</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widowControl/>
              <w:rPr>
                <w:rFonts w:hint="default" w:ascii="仿宋_GB2312" w:hAnsi="仿宋_GB2312" w:eastAsia="仿宋_GB2312" w:cs="仿宋_GB2312"/>
                <w:kern w:val="0"/>
                <w:szCs w:val="21"/>
                <w:u w:val="single"/>
                <w:lang w:val="en-US" w:eastAsia="zh-CN"/>
              </w:rPr>
            </w:pP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3</w:t>
            </w:r>
            <w:r>
              <w:rPr>
                <w:rFonts w:hint="eastAsia" w:ascii="仿宋_GB2312" w:hAnsi="仿宋_GB2312" w:eastAsia="仿宋_GB2312" w:cs="仿宋_GB2312"/>
                <w:kern w:val="0"/>
                <w:szCs w:val="21"/>
                <w:u w:val="single"/>
              </w:rPr>
              <w:t xml:space="preserve">   </w:t>
            </w:r>
          </w:p>
        </w:tc>
      </w:tr>
      <w:tr>
        <w:tblPrEx>
          <w:tblCellMar>
            <w:top w:w="0" w:type="dxa"/>
            <w:left w:w="108" w:type="dxa"/>
            <w:bottom w:w="0" w:type="dxa"/>
            <w:right w:w="108" w:type="dxa"/>
          </w:tblCellMar>
        </w:tblPrEx>
        <w:trPr>
          <w:trHeight w:val="943"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31</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确定中标人</w:t>
            </w:r>
          </w:p>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方式</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widowControl/>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中标人数量：</w:t>
            </w:r>
            <w:r>
              <w:rPr>
                <w:rFonts w:hint="eastAsia" w:ascii="仿宋_GB2312" w:hAnsi="仿宋_GB2312" w:eastAsia="仿宋_GB2312" w:cs="仿宋_GB2312"/>
                <w:kern w:val="0"/>
                <w:szCs w:val="21"/>
                <w:u w:val="single"/>
                <w:lang w:val="en-US" w:eastAsia="zh-CN"/>
              </w:rPr>
              <w:t xml:space="preserve"> 1 </w:t>
            </w:r>
          </w:p>
          <w:p>
            <w:pPr>
              <w:widowControl/>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采购人委托评标委员会直接确定中标人</w:t>
            </w:r>
          </w:p>
          <w:p>
            <w:pPr>
              <w:widowControl/>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采购人确定中标人</w:t>
            </w:r>
          </w:p>
        </w:tc>
      </w:tr>
      <w:tr>
        <w:tblPrEx>
          <w:tblCellMar>
            <w:top w:w="0" w:type="dxa"/>
            <w:left w:w="108" w:type="dxa"/>
            <w:bottom w:w="0" w:type="dxa"/>
            <w:right w:w="108" w:type="dxa"/>
          </w:tblCellMar>
        </w:tblPrEx>
        <w:trPr>
          <w:trHeight w:val="795" w:hRule="atLeast"/>
        </w:trPr>
        <w:tc>
          <w:tcPr>
            <w:tcW w:w="7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35.1</w:t>
            </w:r>
          </w:p>
        </w:tc>
        <w:tc>
          <w:tcPr>
            <w:tcW w:w="1959"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履约保证金</w:t>
            </w:r>
          </w:p>
        </w:tc>
        <w:tc>
          <w:tcPr>
            <w:tcW w:w="6344"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仿宋_GB2312" w:hAnsi="仿宋_GB2312" w:eastAsia="仿宋_GB2312" w:cs="仿宋_GB2312"/>
              </w:rPr>
            </w:pPr>
            <w:r>
              <w:rPr>
                <w:rFonts w:hint="eastAsia" w:ascii="仿宋_GB2312" w:hAnsi="仿宋_GB2312" w:eastAsia="仿宋_GB2312" w:cs="仿宋_GB2312"/>
              </w:rPr>
              <w:sym w:font="Wingdings 2" w:char="0052"/>
            </w:r>
            <w:r>
              <w:rPr>
                <w:rFonts w:hint="eastAsia" w:ascii="仿宋_GB2312" w:hAnsi="仿宋_GB2312" w:eastAsia="仿宋_GB2312" w:cs="仿宋_GB2312"/>
              </w:rPr>
              <w:t>本项目不收取履约保证金</w:t>
            </w:r>
          </w:p>
          <w:p>
            <w:pPr>
              <w:widowControl/>
              <w:rPr>
                <w:rFonts w:hint="eastAsia" w:ascii="仿宋_GB2312" w:hAnsi="仿宋_GB2312" w:eastAsia="仿宋_GB2312" w:cs="仿宋_GB2312"/>
              </w:rPr>
            </w:pPr>
            <w:r>
              <w:rPr>
                <w:rFonts w:hint="eastAsia" w:ascii="仿宋_GB2312" w:hAnsi="仿宋_GB2312" w:eastAsia="仿宋_GB2312" w:cs="仿宋_GB2312"/>
              </w:rPr>
              <w:sym w:font="Wingdings 2" w:char="00A3"/>
            </w:r>
            <w:r>
              <w:rPr>
                <w:rFonts w:hint="eastAsia" w:ascii="仿宋_GB2312" w:hAnsi="仿宋_GB2312" w:eastAsia="仿宋_GB2312" w:cs="仿宋_GB2312"/>
              </w:rPr>
              <w:t>本项目收取履约保证金</w:t>
            </w:r>
          </w:p>
        </w:tc>
      </w:tr>
      <w:tr>
        <w:tblPrEx>
          <w:tblCellMar>
            <w:top w:w="0" w:type="dxa"/>
            <w:left w:w="108" w:type="dxa"/>
            <w:bottom w:w="0" w:type="dxa"/>
            <w:right w:w="108" w:type="dxa"/>
          </w:tblCellMar>
        </w:tblPrEx>
        <w:trPr>
          <w:trHeight w:val="708" w:hRule="atLeast"/>
        </w:trPr>
        <w:tc>
          <w:tcPr>
            <w:tcW w:w="750" w:type="dxa"/>
            <w:tcBorders>
              <w:top w:val="nil"/>
              <w:left w:val="single" w:color="auto" w:sz="8" w:space="0"/>
              <w:bottom w:val="single" w:color="auto" w:sz="8"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36</w:t>
            </w:r>
          </w:p>
        </w:tc>
        <w:tc>
          <w:tcPr>
            <w:tcW w:w="1959" w:type="dxa"/>
            <w:tcBorders>
              <w:top w:val="nil"/>
              <w:left w:val="single" w:color="auto" w:sz="4" w:space="0"/>
              <w:bottom w:val="single" w:color="auto" w:sz="8" w:space="0"/>
              <w:right w:val="single" w:color="auto" w:sz="8"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采购代理服务费</w:t>
            </w:r>
          </w:p>
        </w:tc>
        <w:tc>
          <w:tcPr>
            <w:tcW w:w="6344" w:type="dxa"/>
            <w:tcBorders>
              <w:top w:val="nil"/>
              <w:left w:val="nil"/>
              <w:bottom w:val="single" w:color="auto" w:sz="8" w:space="0"/>
              <w:right w:val="single" w:color="auto" w:sz="8" w:space="0"/>
            </w:tcBorders>
            <w:noWrap w:val="0"/>
            <w:vAlign w:val="center"/>
          </w:tcPr>
          <w:p>
            <w:pPr>
              <w:widowControl/>
              <w:rPr>
                <w:rFonts w:hint="eastAsia" w:ascii="仿宋_GB2312" w:hAnsi="仿宋_GB2312" w:eastAsia="仿宋_GB2312" w:cs="仿宋_GB2312"/>
              </w:rPr>
            </w:pPr>
            <w:r>
              <w:rPr>
                <w:rFonts w:hint="eastAsia" w:ascii="仿宋_GB2312" w:hAnsi="仿宋_GB2312" w:eastAsia="仿宋_GB2312" w:cs="仿宋_GB2312"/>
              </w:rPr>
              <w:sym w:font="Wingdings 2" w:char="0052"/>
            </w:r>
            <w:r>
              <w:rPr>
                <w:rFonts w:hint="eastAsia" w:ascii="仿宋_GB2312" w:hAnsi="仿宋_GB2312" w:eastAsia="仿宋_GB2312" w:cs="仿宋_GB2312"/>
              </w:rPr>
              <w:t>本项目不收取采购代理服务费</w:t>
            </w:r>
          </w:p>
          <w:p>
            <w:pPr>
              <w:widowControl/>
              <w:rPr>
                <w:rFonts w:hint="eastAsia" w:ascii="仿宋_GB2312" w:hAnsi="仿宋_GB2312" w:eastAsia="仿宋_GB2312" w:cs="仿宋_GB2312"/>
              </w:rPr>
            </w:pPr>
            <w:r>
              <w:rPr>
                <w:rFonts w:hint="eastAsia" w:ascii="仿宋_GB2312" w:hAnsi="仿宋_GB2312" w:eastAsia="仿宋_GB2312" w:cs="仿宋_GB2312"/>
              </w:rPr>
              <w:sym w:font="Wingdings 2" w:char="00A3"/>
            </w:r>
            <w:r>
              <w:rPr>
                <w:rFonts w:hint="eastAsia" w:ascii="仿宋_GB2312" w:hAnsi="仿宋_GB2312" w:eastAsia="仿宋_GB2312" w:cs="仿宋_GB2312"/>
              </w:rPr>
              <w:t>本项目收取采购代理服务费</w:t>
            </w:r>
          </w:p>
        </w:tc>
      </w:tr>
      <w:tr>
        <w:tblPrEx>
          <w:tblCellMar>
            <w:top w:w="0" w:type="dxa"/>
            <w:left w:w="108" w:type="dxa"/>
            <w:bottom w:w="0" w:type="dxa"/>
            <w:right w:w="108" w:type="dxa"/>
          </w:tblCellMar>
        </w:tblPrEx>
        <w:trPr>
          <w:trHeight w:val="90" w:hRule="atLeast"/>
        </w:trPr>
        <w:tc>
          <w:tcPr>
            <w:tcW w:w="750" w:type="dxa"/>
            <w:tcBorders>
              <w:top w:val="single" w:color="auto" w:sz="4" w:space="0"/>
              <w:left w:val="single" w:color="auto" w:sz="8" w:space="0"/>
              <w:bottom w:val="single" w:color="auto" w:sz="8" w:space="0"/>
              <w:right w:val="single" w:color="auto" w:sz="4"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39.3</w:t>
            </w:r>
          </w:p>
        </w:tc>
        <w:tc>
          <w:tcPr>
            <w:tcW w:w="1959" w:type="dxa"/>
            <w:tcBorders>
              <w:top w:val="single" w:color="auto" w:sz="4" w:space="0"/>
              <w:left w:val="single" w:color="auto" w:sz="4" w:space="0"/>
              <w:bottom w:val="single" w:color="auto" w:sz="8" w:space="0"/>
              <w:right w:val="single" w:color="auto" w:sz="8" w:space="0"/>
            </w:tcBorders>
            <w:noWrap w:val="0"/>
            <w:vAlign w:val="center"/>
          </w:tcPr>
          <w:p>
            <w:pPr>
              <w:widowControl/>
              <w:jc w:val="cente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质疑</w:t>
            </w:r>
          </w:p>
        </w:tc>
        <w:tc>
          <w:tcPr>
            <w:tcW w:w="6344" w:type="dxa"/>
            <w:tcBorders>
              <w:top w:val="single" w:color="auto" w:sz="4" w:space="0"/>
              <w:left w:val="nil"/>
              <w:bottom w:val="single" w:color="auto" w:sz="8" w:space="0"/>
              <w:right w:val="single" w:color="auto" w:sz="8" w:space="0"/>
            </w:tcBorders>
            <w:noWrap w:val="0"/>
            <w:vAlign w:val="center"/>
          </w:tcPr>
          <w:p>
            <w:pPr>
              <w:widowControl/>
              <w:rPr>
                <w:rFonts w:hint="eastAsia" w:ascii="仿宋_GB2312" w:hAnsi="仿宋_GB2312" w:eastAsia="仿宋_GB2312" w:cs="仿宋_GB2312"/>
              </w:rPr>
            </w:pPr>
            <w:r>
              <w:rPr>
                <w:rFonts w:hint="eastAsia" w:ascii="仿宋_GB2312" w:hAnsi="仿宋_GB2312" w:eastAsia="仿宋_GB2312" w:cs="仿宋_GB2312"/>
                <w:lang w:val="en-US" w:eastAsia="zh-CN"/>
              </w:rPr>
              <w:t>一.</w:t>
            </w:r>
            <w:r>
              <w:rPr>
                <w:rFonts w:hint="eastAsia" w:ascii="仿宋_GB2312" w:hAnsi="仿宋_GB2312" w:eastAsia="仿宋_GB2312" w:cs="仿宋_GB2312"/>
              </w:rPr>
              <w:t>供应商认为自己的权益受到损害的，可以在知道或者应知其权益受到损害之日起七个工作日内，向采购</w:t>
            </w:r>
            <w:r>
              <w:rPr>
                <w:rFonts w:hint="eastAsia" w:ascii="仿宋_GB2312" w:hAnsi="仿宋_GB2312" w:eastAsia="仿宋_GB2312" w:cs="仿宋_GB2312"/>
                <w:lang w:eastAsia="zh-CN"/>
              </w:rPr>
              <w:t>人</w:t>
            </w:r>
            <w:r>
              <w:rPr>
                <w:rFonts w:hint="eastAsia" w:ascii="仿宋_GB2312" w:hAnsi="仿宋_GB2312" w:eastAsia="仿宋_GB2312" w:cs="仿宋_GB2312"/>
              </w:rPr>
              <w:t>提出质疑。</w:t>
            </w:r>
          </w:p>
          <w:p>
            <w:pPr>
              <w:widowControl/>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接收质疑函的方式：根据《辽宁省政府采购电子化质疑投诉管理办法》，质疑统一在辽宁政府采购网电子化质疑投诉系统中提出。质疑供应商无法在系统中提出质疑的，可采取现场递交书面纸质质疑函方式进行，详见辽宁政府采购网。</w:t>
            </w:r>
          </w:p>
          <w:p>
            <w:pPr>
              <w:widowControl/>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联系单位：</w:t>
            </w:r>
            <w:r>
              <w:rPr>
                <w:rFonts w:hint="eastAsia" w:ascii="仿宋_GB2312" w:hAnsi="仿宋_GB2312" w:eastAsia="仿宋_GB2312" w:cs="仿宋_GB2312"/>
                <w:color w:val="auto"/>
                <w:szCs w:val="21"/>
                <w:u w:val="single"/>
                <w:lang w:val="en-US" w:eastAsia="zh-CN"/>
              </w:rPr>
              <w:t>朝阳市公安局交通管理支队</w:t>
            </w:r>
          </w:p>
          <w:p>
            <w:pPr>
              <w:widowControl/>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联 系 人：</w:t>
            </w:r>
            <w:r>
              <w:rPr>
                <w:rFonts w:hint="eastAsia" w:ascii="仿宋_GB2312" w:hAnsi="仿宋_GB2312" w:eastAsia="仿宋_GB2312" w:cs="仿宋_GB2312"/>
                <w:kern w:val="0"/>
                <w:szCs w:val="21"/>
                <w:u w:val="single"/>
                <w:lang w:val="en-US" w:eastAsia="zh-CN"/>
              </w:rPr>
              <w:t>吕鹏程</w:t>
            </w:r>
          </w:p>
          <w:p>
            <w:pPr>
              <w:widowControl/>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联系电话：</w:t>
            </w:r>
            <w:r>
              <w:rPr>
                <w:rFonts w:hint="eastAsia" w:ascii="仿宋_GB2312" w:hAnsi="仿宋_GB2312" w:eastAsia="仿宋_GB2312" w:cs="仿宋_GB2312"/>
                <w:kern w:val="0"/>
                <w:szCs w:val="21"/>
                <w:u w:val="single"/>
                <w:lang w:val="en-US" w:eastAsia="zh-CN"/>
              </w:rPr>
              <w:t>0421-2801719</w:t>
            </w:r>
          </w:p>
          <w:p>
            <w:pPr>
              <w:widowControl/>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通讯地址：</w:t>
            </w:r>
            <w:r>
              <w:rPr>
                <w:rFonts w:hint="eastAsia" w:ascii="仿宋_GB2312" w:hAnsi="仿宋_GB2312" w:eastAsia="仿宋_GB2312" w:cs="仿宋_GB2312"/>
                <w:color w:val="auto"/>
                <w:szCs w:val="21"/>
                <w:u w:val="single"/>
                <w:lang w:val="en-US" w:eastAsia="zh-CN"/>
              </w:rPr>
              <w:t>朝阳大街一段2号</w:t>
            </w:r>
          </w:p>
          <w:p>
            <w:pPr>
              <w:widowControl/>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2.质疑函内容、格式：应符合《政府采购质疑和投诉办法》相关规定和财政部制定的《政府采购质疑函范本》格式，详见辽宁政府采购网。</w:t>
            </w:r>
          </w:p>
          <w:p>
            <w:pPr>
              <w:widowControl/>
              <w:rPr>
                <w:rFonts w:hint="eastAsia" w:ascii="仿宋_GB2312" w:hAnsi="仿宋_GB2312" w:eastAsia="仿宋_GB2312" w:cs="仿宋_GB2312"/>
              </w:rPr>
            </w:pPr>
            <w:r>
              <w:rPr>
                <w:rFonts w:hint="eastAsia" w:ascii="仿宋_GB2312" w:hAnsi="仿宋_GB2312" w:eastAsia="仿宋_GB2312" w:cs="仿宋_GB2312"/>
                <w:lang w:val="en-US" w:eastAsia="zh-CN"/>
              </w:rPr>
              <w:t>二、供应商应在法定质疑期内一次性针对同一采购程序环节提出质疑，否则针对再次提出质疑将不予接收。（采购程序环节分为：采购公告、采购文件、采购过程、成交结果）</w:t>
            </w:r>
          </w:p>
        </w:tc>
      </w:tr>
    </w:tbl>
    <w:p>
      <w:pPr>
        <w:rPr>
          <w:rFonts w:ascii="仿宋_GB2312" w:hAnsi="仿宋_GB2312" w:eastAsia="仿宋_GB2312" w:cs="仿宋_GB2312"/>
        </w:rPr>
      </w:pPr>
      <w:r>
        <w:rPr>
          <w:rFonts w:hint="eastAsia" w:ascii="仿宋_GB2312" w:hAnsi="仿宋_GB2312" w:eastAsia="仿宋_GB2312" w:cs="仿宋_GB2312"/>
        </w:rPr>
        <w:t>注：表格中“</w:t>
      </w:r>
      <w:r>
        <w:rPr>
          <w:rFonts w:hint="eastAsia" w:ascii="仿宋_GB2312" w:hAnsi="仿宋_GB2312" w:eastAsia="仿宋_GB2312" w:cs="仿宋_GB2312"/>
        </w:rPr>
        <w:sym w:font="Wingdings 2" w:char="0052"/>
      </w:r>
      <w:r>
        <w:rPr>
          <w:rFonts w:hint="eastAsia" w:ascii="仿宋_GB2312" w:hAnsi="仿宋_GB2312" w:eastAsia="仿宋_GB2312" w:cs="仿宋_GB2312"/>
        </w:rPr>
        <w:t>”项或“■”项为被选中项。</w:t>
      </w:r>
    </w:p>
    <w:p>
      <w:pPr>
        <w:pStyle w:val="5"/>
        <w:pageBreakBefore w:val="0"/>
        <w:widowControl w:val="0"/>
        <w:kinsoku/>
        <w:wordWrap/>
        <w:overflowPunct/>
        <w:topLinePunct w:val="0"/>
        <w:autoSpaceDE/>
        <w:autoSpaceDN/>
        <w:bidi w:val="0"/>
        <w:adjustRightInd w:val="0"/>
        <w:snapToGrid w:val="0"/>
        <w:spacing w:before="0" w:after="0" w:line="440" w:lineRule="exact"/>
        <w:textAlignment w:val="auto"/>
        <w:rPr>
          <w:rFonts w:ascii="仿宋_GB2312" w:hAnsi="仿宋_GB2312" w:eastAsia="仿宋_GB2312" w:cs="仿宋_GB2312"/>
          <w:sz w:val="32"/>
          <w:szCs w:val="36"/>
        </w:rPr>
      </w:pPr>
      <w:r>
        <w:rPr>
          <w:rFonts w:hint="eastAsia" w:ascii="仿宋_GB2312" w:hAnsi="仿宋_GB2312" w:eastAsia="仿宋_GB2312" w:cs="仿宋_GB2312"/>
          <w:sz w:val="21"/>
          <w:szCs w:val="21"/>
        </w:rPr>
        <w:br w:type="page"/>
      </w:r>
      <w:bookmarkStart w:id="39" w:name="_Toc30384_WPSOffice_Level2"/>
      <w:r>
        <w:rPr>
          <w:rFonts w:hint="eastAsia" w:ascii="仿宋_GB2312" w:hAnsi="仿宋_GB2312" w:eastAsia="仿宋_GB2312" w:cs="仿宋_GB2312"/>
          <w:sz w:val="32"/>
          <w:szCs w:val="36"/>
        </w:rPr>
        <w:t>二 总则</w:t>
      </w:r>
      <w:bookmarkEnd w:id="39"/>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1.采购人、采购代理机构及投标人</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1.1采购人：是指依法进行政府采购的国家机关、事业单位、团体组织。本项目采购人见投标人须知表1.1款。</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1.2采购代理机构：是指集中采购机构或从事采购代理业务的社会中介机构，本项目的采购代理机构见投标人须知表1.2款。</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★1.3投标人：是指向采购人提供货物、工程或者服务的法人、非法人组织或者自然人。本项目的投标人及其投标货物须满足以下条件：</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1.3.1在中华人民共和国境内注册，能够独立承担民事责任，有生产或供应能力的本国供应商。</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1.3.2符合《中华人民共和国政府采购法》第二十二条关于供应商条件的规定，遵守本项目采购人本级和上级财政部门关于政府采购的有关规定。</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1.3.3以采购代理机构认可的方式获得了本项目的招标文件。</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1.3.4符合投标人须知表1.3.4款中规定的资格条件。</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若投标人须知表1.3.5款中未写明允许采购进口产品，如投标人所投产品为进口产品，其投标将被认定为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★1.4如投标人须知表1.4款中允许联合体投标，对联合体规定如下：</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1.4.1两个以上供应商可以组成一个投标联合体，以一个投标人的身份投标。</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1.4.2联合体各方均应符合《中华人民共和国政府采购法》第二十二条规定的条件。</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1.4.3采购人根据采购项目对投标人的特殊要求，联合体中至少应当有一方符合相关规定。</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1.4.4联合体各方应签订共同投标协议，明确约定联合体各方承担的工作和相应的责任。</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1.4.5大中型企业、其他自然人、法人或者非法人组织与小型、微型企业组成联合体共同参加投标，共同投标协议中应写明小型、微型企业的协议合同金额占到共同投标协议投标总金额的比例。</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1.4.6联合体中有同类资质的供应商按照联合体分工承担相同工作的，按照较低的资质等级确定联合体的资质等级。</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（1）两个以上的自然人、法人或者其他组织可以组成一个联合体，以一个投标人的身份共同参加政府采购活动。</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（2）联合体中标的，联合体各方应共同与采购人签订采购合同，就采购合同约定的事项对采购人承担连带责任。</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1.4.8对联合体投标的其他资格要求见投标人须知表1.4.8款。</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★1.5单位负责人为同一人或者存在直接控股、管理关系的不同供应商，其相关投标将被认定为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2.资金来源</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2.1本项目的采购人已获得足以支付本次招标后所签订的合同项下的资金（包括财政性资金和本项目采购中无法与财政性资金分割的非财政性资金）。</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2.2项目预算金额和分项或分包最高限价见投标人须知表2.2款。</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2.3投标人报价超过招标文件规定的预算金额或者分包最高限价的，其投标将被认定为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bookmarkStart w:id="40" w:name="_Toc266951048"/>
      <w:r>
        <w:rPr>
          <w:rFonts w:hint="eastAsia" w:ascii="仿宋_GB2312" w:hAnsi="仿宋_GB2312" w:eastAsia="仿宋_GB2312" w:cs="仿宋_GB2312"/>
          <w:b/>
          <w:bCs/>
          <w:szCs w:val="21"/>
        </w:rPr>
        <w:t>3.语言文字</w:t>
      </w:r>
      <w:bookmarkEnd w:id="40"/>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除专用术语外，与投标有关的语言均使用中文。必要时专用术语应附有中文注释。对不同文字文本投标文件的解释发生异议的，以中文文本为准。</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bookmarkStart w:id="41" w:name="_1.8_计量单位"/>
      <w:bookmarkEnd w:id="41"/>
      <w:bookmarkStart w:id="42" w:name="_Toc266951049"/>
      <w:r>
        <w:rPr>
          <w:rFonts w:hint="eastAsia" w:ascii="仿宋_GB2312" w:hAnsi="仿宋_GB2312" w:eastAsia="仿宋_GB2312" w:cs="仿宋_GB2312"/>
          <w:szCs w:val="21"/>
        </w:rPr>
        <w:t>★</w:t>
      </w:r>
      <w:r>
        <w:rPr>
          <w:rFonts w:hint="eastAsia" w:ascii="仿宋_GB2312" w:hAnsi="仿宋_GB2312" w:eastAsia="仿宋_GB2312" w:cs="仿宋_GB2312"/>
          <w:b/>
          <w:bCs/>
          <w:szCs w:val="21"/>
        </w:rPr>
        <w:t>4.计量单位</w:t>
      </w:r>
      <w:bookmarkEnd w:id="42"/>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除投标人须知表4款中有特殊要求外，投标文件中所使用的计量单位，应采用中华人民共和国法定计量单位。</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5.投标费用</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不论投标的结果如何，投标人应承担所有与投标有关的费用。</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6.现场考察、开标前答疑会</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6.1</w:t>
      </w:r>
      <w:r>
        <w:fldChar w:fldCharType="begin"/>
      </w:r>
      <w:r>
        <w:instrText xml:space="preserve"> HYPERLINK \l "_踏勘现场" </w:instrText>
      </w:r>
      <w:r>
        <w:fldChar w:fldCharType="separate"/>
      </w:r>
      <w:r>
        <w:rPr>
          <w:rFonts w:hint="eastAsia" w:ascii="仿宋_GB2312" w:hAnsi="仿宋_GB2312" w:eastAsia="仿宋_GB2312" w:cs="仿宋_GB2312"/>
          <w:szCs w:val="21"/>
        </w:rPr>
        <w:t>投标人须知表</w:t>
      </w:r>
      <w:r>
        <w:rPr>
          <w:rFonts w:ascii="仿宋_GB2312" w:hAnsi="仿宋_GB2312" w:eastAsia="仿宋_GB2312" w:cs="仿宋_GB2312"/>
          <w:szCs w:val="21"/>
        </w:rPr>
        <w:fldChar w:fldCharType="end"/>
      </w:r>
      <w:r>
        <w:rPr>
          <w:rFonts w:hint="eastAsia" w:ascii="仿宋_GB2312" w:hAnsi="仿宋_GB2312" w:eastAsia="仿宋_GB2312" w:cs="仿宋_GB2312"/>
          <w:szCs w:val="21"/>
        </w:rPr>
        <w:t>6.1款规定组织现场考察或开标前答疑会的，采购人按规定的时间、地点组织投标人现场考察或开标前答疑会，或者在领取招标文件期限截止后以书面形式通知所有获取招标文件的潜在投标人。</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bookmarkStart w:id="43" w:name="_1.10_投标预备会"/>
      <w:bookmarkEnd w:id="43"/>
      <w:r>
        <w:rPr>
          <w:rFonts w:hint="eastAsia" w:ascii="仿宋_GB2312" w:hAnsi="仿宋_GB2312" w:eastAsia="仿宋_GB2312" w:cs="仿宋_GB2312"/>
          <w:szCs w:val="21"/>
        </w:rPr>
        <w:t>6.2</w:t>
      </w:r>
      <w:r>
        <w:rPr>
          <w:rFonts w:hint="eastAsia" w:ascii="仿宋_GB2312" w:hAnsi="仿宋_GB2312" w:eastAsia="仿宋_GB2312" w:cs="仿宋_GB2312"/>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_GB2312" w:hAnsi="仿宋_GB2312" w:eastAsia="仿宋_GB2312" w:cs="仿宋_GB2312"/>
          <w:kern w:val="0"/>
          <w:szCs w:val="21"/>
        </w:rPr>
        <w:t>投标报价</w:t>
      </w:r>
      <w:r>
        <w:rPr>
          <w:rFonts w:ascii="仿宋_GB2312" w:hAnsi="仿宋_GB2312" w:eastAsia="仿宋_GB2312" w:cs="仿宋_GB2312"/>
          <w:kern w:val="0"/>
          <w:szCs w:val="21"/>
        </w:rPr>
        <w:fldChar w:fldCharType="end"/>
      </w:r>
      <w:r>
        <w:rPr>
          <w:rFonts w:hint="eastAsia" w:ascii="仿宋_GB2312" w:hAnsi="仿宋_GB2312" w:eastAsia="仿宋_GB2312" w:cs="仿宋_GB2312"/>
          <w:kern w:val="0"/>
          <w:szCs w:val="21"/>
        </w:rPr>
        <w:t>准确性、综合因素响应不全面等问题的，由投标人自行承担相应后果。</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6.3现场考察及参加标前答疑会所发生的费用及一切责任由投标人自行承担。</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7.适用法律</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pPr>
        <w:pStyle w:val="5"/>
        <w:pageBreakBefore w:val="0"/>
        <w:widowControl w:val="0"/>
        <w:kinsoku/>
        <w:wordWrap/>
        <w:overflowPunct/>
        <w:topLinePunct w:val="0"/>
        <w:autoSpaceDE/>
        <w:autoSpaceDN/>
        <w:bidi w:val="0"/>
        <w:spacing w:line="440" w:lineRule="exact"/>
        <w:textAlignment w:val="auto"/>
        <w:rPr>
          <w:rFonts w:ascii="仿宋_GB2312" w:hAnsi="仿宋_GB2312" w:eastAsia="仿宋_GB2312" w:cs="仿宋_GB2312"/>
          <w:sz w:val="32"/>
          <w:szCs w:val="28"/>
        </w:rPr>
      </w:pPr>
      <w:bookmarkStart w:id="44" w:name="_Toc10106_WPSOffice_Level2"/>
      <w:r>
        <w:rPr>
          <w:rFonts w:hint="eastAsia" w:ascii="仿宋_GB2312" w:hAnsi="仿宋_GB2312" w:eastAsia="仿宋_GB2312" w:cs="仿宋_GB2312"/>
          <w:sz w:val="32"/>
          <w:szCs w:val="28"/>
        </w:rPr>
        <w:t>三 招标文件</w:t>
      </w:r>
      <w:bookmarkEnd w:id="44"/>
    </w:p>
    <w:p>
      <w:pPr>
        <w:pageBreakBefore w:val="0"/>
        <w:widowControl w:val="0"/>
        <w:tabs>
          <w:tab w:val="left" w:pos="312"/>
        </w:tabs>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8.招标文件构成</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rPr>
      </w:pPr>
      <w:r>
        <w:rPr>
          <w:rFonts w:hint="eastAsia" w:ascii="仿宋_GB2312" w:hAnsi="仿宋_GB2312" w:eastAsia="仿宋_GB2312" w:cs="仿宋_GB2312"/>
          <w:szCs w:val="21"/>
        </w:rPr>
        <w:t>招标</w:t>
      </w:r>
      <w:r>
        <w:rPr>
          <w:rFonts w:hint="eastAsia" w:ascii="仿宋_GB2312" w:hAnsi="仿宋_GB2312" w:eastAsia="仿宋_GB2312" w:cs="仿宋_GB2312"/>
        </w:rPr>
        <w:t>文件内容如下:</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rPr>
      </w:pPr>
      <w:r>
        <w:rPr>
          <w:rFonts w:hint="eastAsia" w:ascii="仿宋_GB2312" w:hAnsi="仿宋_GB2312" w:eastAsia="仿宋_GB2312" w:cs="仿宋_GB2312"/>
          <w:kern w:val="0"/>
          <w:szCs w:val="21"/>
        </w:rPr>
        <w:t>招标</w:t>
      </w:r>
      <w:r>
        <w:rPr>
          <w:rFonts w:hint="eastAsia" w:ascii="仿宋_GB2312" w:hAnsi="仿宋_GB2312" w:eastAsia="仿宋_GB2312" w:cs="仿宋_GB2312"/>
        </w:rPr>
        <w:t>公告</w:t>
      </w:r>
    </w:p>
    <w:p>
      <w:pPr>
        <w:pageBreakBefore w:val="0"/>
        <w:widowControl w:val="0"/>
        <w:numPr>
          <w:ilvl w:val="0"/>
          <w:numId w:val="4"/>
        </w:numPr>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rPr>
      </w:pPr>
      <w:bookmarkStart w:id="45" w:name="_Toc25935_WPSOffice_Level2"/>
      <w:bookmarkStart w:id="46" w:name="_Toc4961_WPSOffice_Level2"/>
      <w:bookmarkStart w:id="47" w:name="_Toc24604_WPSOffice_Level2"/>
      <w:bookmarkStart w:id="48" w:name="_Toc188_WPSOffice_Level2"/>
      <w:r>
        <w:rPr>
          <w:rFonts w:hint="eastAsia" w:ascii="仿宋_GB2312" w:hAnsi="仿宋_GB2312" w:eastAsia="仿宋_GB2312" w:cs="仿宋_GB2312"/>
        </w:rPr>
        <w:t>投标人须知</w:t>
      </w:r>
      <w:bookmarkEnd w:id="45"/>
      <w:bookmarkEnd w:id="46"/>
      <w:bookmarkEnd w:id="47"/>
      <w:bookmarkEnd w:id="48"/>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rPr>
      </w:pPr>
      <w:bookmarkStart w:id="49" w:name="_Toc31424_WPSOffice_Level2"/>
      <w:bookmarkStart w:id="50" w:name="_Toc13276_WPSOffice_Level2"/>
      <w:bookmarkStart w:id="51" w:name="_Toc2443_WPSOffice_Level2"/>
      <w:bookmarkStart w:id="52" w:name="_Toc32235_WPSOffice_Level2"/>
      <w:r>
        <w:rPr>
          <w:rFonts w:hint="eastAsia" w:ascii="仿宋_GB2312" w:hAnsi="仿宋_GB2312" w:eastAsia="仿宋_GB2312" w:cs="仿宋_GB2312"/>
        </w:rPr>
        <w:t>第二章 投标文件内容及格式</w:t>
      </w:r>
      <w:bookmarkEnd w:id="49"/>
      <w:bookmarkEnd w:id="50"/>
      <w:bookmarkEnd w:id="51"/>
      <w:bookmarkEnd w:id="52"/>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rPr>
      </w:pPr>
      <w:bookmarkStart w:id="53" w:name="_Toc7005_WPSOffice_Level2"/>
      <w:bookmarkStart w:id="54" w:name="_Toc24836_WPSOffice_Level2"/>
      <w:bookmarkStart w:id="55" w:name="_Toc4416_WPSOffice_Level2"/>
      <w:bookmarkStart w:id="56" w:name="_Toc16269_WPSOffice_Level2"/>
      <w:r>
        <w:rPr>
          <w:rFonts w:hint="eastAsia" w:ascii="仿宋_GB2312" w:hAnsi="仿宋_GB2312" w:eastAsia="仿宋_GB2312" w:cs="仿宋_GB2312"/>
        </w:rPr>
        <w:t>第三章 货物需求</w:t>
      </w:r>
      <w:bookmarkEnd w:id="53"/>
      <w:bookmarkEnd w:id="54"/>
      <w:bookmarkEnd w:id="55"/>
      <w:bookmarkEnd w:id="56"/>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rPr>
      </w:pPr>
      <w:bookmarkStart w:id="57" w:name="_Toc16119_WPSOffice_Level2"/>
      <w:bookmarkStart w:id="58" w:name="_Toc16294_WPSOffice_Level2"/>
      <w:bookmarkStart w:id="59" w:name="_Toc25382_WPSOffice_Level2"/>
      <w:bookmarkStart w:id="60" w:name="_Toc23459_WPSOffice_Level2"/>
      <w:r>
        <w:rPr>
          <w:rFonts w:hint="eastAsia" w:ascii="仿宋_GB2312" w:hAnsi="仿宋_GB2312" w:eastAsia="仿宋_GB2312" w:cs="仿宋_GB2312"/>
        </w:rPr>
        <w:t>第四章 评标方法</w:t>
      </w:r>
      <w:bookmarkEnd w:id="57"/>
      <w:bookmarkEnd w:id="58"/>
      <w:bookmarkEnd w:id="59"/>
      <w:bookmarkEnd w:id="60"/>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rPr>
      </w:pPr>
      <w:bookmarkStart w:id="61" w:name="_Toc17794_WPSOffice_Level2"/>
      <w:bookmarkStart w:id="62" w:name="_Toc9629_WPSOffice_Level2"/>
      <w:bookmarkStart w:id="63" w:name="_Toc16368_WPSOffice_Level2"/>
      <w:bookmarkStart w:id="64" w:name="_Toc28106_WPSOffice_Level2"/>
      <w:r>
        <w:rPr>
          <w:rFonts w:hint="eastAsia" w:ascii="仿宋_GB2312" w:hAnsi="仿宋_GB2312" w:eastAsia="仿宋_GB2312" w:cs="仿宋_GB2312"/>
        </w:rPr>
        <w:t>第五章 政府采购合同</w:t>
      </w:r>
      <w:bookmarkEnd w:id="61"/>
      <w:bookmarkEnd w:id="62"/>
      <w:bookmarkEnd w:id="63"/>
      <w:bookmarkEnd w:id="64"/>
      <w:r>
        <w:rPr>
          <w:rFonts w:hint="eastAsia" w:ascii="仿宋_GB2312" w:hAnsi="仿宋_GB2312" w:eastAsia="仿宋_GB2312" w:cs="仿宋_GB2312"/>
        </w:rPr>
        <w:t>条款及格式</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9.招标文件的澄清与修改</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9.2澄清或者修改的内容为招标文件的组成部分，对所有招标文件的收受人具有约束力。投标人在收到上述通知后，应及时向采购代理机构回函确认。</w:t>
      </w:r>
    </w:p>
    <w:p>
      <w:pPr>
        <w:pStyle w:val="5"/>
        <w:pageBreakBefore w:val="0"/>
        <w:widowControl w:val="0"/>
        <w:kinsoku/>
        <w:wordWrap/>
        <w:overflowPunct/>
        <w:topLinePunct w:val="0"/>
        <w:autoSpaceDE/>
        <w:autoSpaceDN/>
        <w:bidi w:val="0"/>
        <w:spacing w:line="440" w:lineRule="exact"/>
        <w:textAlignment w:val="auto"/>
        <w:rPr>
          <w:rFonts w:ascii="仿宋_GB2312" w:hAnsi="仿宋_GB2312" w:eastAsia="仿宋_GB2312" w:cs="仿宋_GB2312"/>
          <w:sz w:val="32"/>
          <w:szCs w:val="32"/>
        </w:rPr>
      </w:pPr>
      <w:bookmarkStart w:id="65" w:name="_Toc7415_WPSOffice_Level2"/>
      <w:r>
        <w:rPr>
          <w:rFonts w:hint="eastAsia" w:ascii="仿宋_GB2312" w:hAnsi="仿宋_GB2312" w:eastAsia="仿宋_GB2312" w:cs="仿宋_GB2312"/>
          <w:sz w:val="32"/>
          <w:szCs w:val="32"/>
        </w:rPr>
        <w:t>四 投标文件的编制</w:t>
      </w:r>
      <w:bookmarkEnd w:id="65"/>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10.投标范围</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10.1项目有分包的，投标人可对招标文件其中某一个分包或几个分包进行投标。</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Style w:val="7"/>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10.4无论招标文件第三章货物需求中是否要求，投标人所投货物均应符合国家强制性标准。</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11.投标文件构成</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★11.1投标人应完整地按招标文件提供的投标文件格式及要求编写投标文件。</w:t>
      </w:r>
      <w:r>
        <w:rPr>
          <w:rFonts w:hint="eastAsia" w:ascii="仿宋_GB2312" w:hAnsi="仿宋_GB2312" w:eastAsia="仿宋_GB2312" w:cs="仿宋_GB2312"/>
          <w:b/>
          <w:bCs/>
          <w:szCs w:val="21"/>
        </w:rPr>
        <w:t>投标文件应包括资格证明文件、符合性证明文件、其它材料三部分</w:t>
      </w:r>
      <w:r>
        <w:rPr>
          <w:rFonts w:hint="eastAsia" w:ascii="仿宋_GB2312" w:hAnsi="仿宋_GB2312" w:eastAsia="仿宋_GB2312" w:cs="仿宋_GB2312"/>
          <w:szCs w:val="21"/>
        </w:rPr>
        <w:t>。具体见第二章 投标文件内容及格式。</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★11.2投标人应按招标文件提供的格式编写投标文件。招标文件提供标准格式的按标准格式填列，未提供标准格式的可自行拟定。</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11.3 样品或演示要求详见投标人须知表11.3款。</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12.投标报价</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12.3投标人应按招标文件要求在相关表格中标明投标货物及伴随服务的单价和总价，并由法定代表人（非法人组织的负责人）或其委托代理人签署。</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szCs w:val="21"/>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rPr>
        <w:t>投标无效。</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12.5每种货物只能有一个投标报价。采购人不接受具有附加条件的报价。</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bookmarkStart w:id="66" w:name="_Toc31973_WPSOffice_Level2"/>
      <w:bookmarkStart w:id="67" w:name="_Toc22507_WPSOffice_Level2"/>
      <w:r>
        <w:rPr>
          <w:rFonts w:hint="eastAsia" w:ascii="仿宋_GB2312" w:hAnsi="仿宋_GB2312" w:eastAsia="仿宋_GB2312" w:cs="仿宋_GB2312"/>
          <w:szCs w:val="21"/>
        </w:rPr>
        <w:t>12.6除非招标文件另有规定，报价原则上精确到小数点后两位。</w:t>
      </w:r>
      <w:bookmarkEnd w:id="66"/>
      <w:bookmarkEnd w:id="67"/>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★13.投标保证金</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13.1投标人应提交投标人须知表13.1款中规定的投标保证金，并作为其投标的一部分。</w:t>
      </w:r>
    </w:p>
    <w:p>
      <w:pPr>
        <w:pageBreakBefore w:val="0"/>
        <w:widowControl w:val="0"/>
        <w:kinsoku/>
        <w:wordWrap/>
        <w:overflowPunct/>
        <w:topLinePunct w:val="0"/>
        <w:autoSpaceDE/>
        <w:autoSpaceDN/>
        <w:bidi w:val="0"/>
        <w:adjustRightInd w:val="0"/>
        <w:snapToGrid w:val="0"/>
        <w:spacing w:line="440" w:lineRule="exact"/>
        <w:jc w:val="left"/>
        <w:textAlignment w:val="auto"/>
        <w:rPr>
          <w:rFonts w:ascii="仿宋_GB2312" w:hAnsi="仿宋_GB2312" w:eastAsia="仿宋_GB2312" w:cs="仿宋_GB2312"/>
          <w:szCs w:val="21"/>
        </w:rPr>
      </w:pPr>
      <w:r>
        <w:rPr>
          <w:rFonts w:hint="eastAsia" w:ascii="仿宋_GB2312" w:hAnsi="仿宋_GB2312" w:eastAsia="仿宋_GB2312" w:cs="仿宋_GB2312"/>
          <w:szCs w:val="21"/>
        </w:rPr>
        <w:t>13.2投标保证金缴纳人、招标文件领取人、投标登记人和投标人必须为同一组织机构或联合体内不同成员单位，否则将视同未按招标文件规定交纳投标保证金。</w:t>
      </w:r>
    </w:p>
    <w:p>
      <w:pPr>
        <w:pageBreakBefore w:val="0"/>
        <w:widowControl w:val="0"/>
        <w:kinsoku/>
        <w:wordWrap/>
        <w:overflowPunct/>
        <w:topLinePunct w:val="0"/>
        <w:autoSpaceDE/>
        <w:autoSpaceDN/>
        <w:bidi w:val="0"/>
        <w:adjustRightInd w:val="0"/>
        <w:snapToGrid w:val="0"/>
        <w:spacing w:line="440" w:lineRule="exact"/>
        <w:jc w:val="left"/>
        <w:textAlignment w:val="auto"/>
        <w:rPr>
          <w:rFonts w:ascii="仿宋_GB2312" w:hAnsi="仿宋_GB2312" w:eastAsia="仿宋_GB2312" w:cs="仿宋_GB2312"/>
          <w:szCs w:val="21"/>
        </w:rPr>
      </w:pPr>
      <w:r>
        <w:rPr>
          <w:rFonts w:hint="eastAsia" w:ascii="仿宋_GB2312" w:hAnsi="仿宋_GB2312" w:eastAsia="仿宋_GB2312" w:cs="仿宋_GB2312"/>
          <w:szCs w:val="21"/>
        </w:rPr>
        <w:t>13.3投标人存在下列情形的，保证金不予退还：</w:t>
      </w:r>
    </w:p>
    <w:p>
      <w:pPr>
        <w:pageBreakBefore w:val="0"/>
        <w:widowControl w:val="0"/>
        <w:kinsoku/>
        <w:wordWrap/>
        <w:overflowPunct/>
        <w:topLinePunct w:val="0"/>
        <w:autoSpaceDE/>
        <w:autoSpaceDN/>
        <w:bidi w:val="0"/>
        <w:adjustRightInd w:val="0"/>
        <w:snapToGrid w:val="0"/>
        <w:spacing w:line="440" w:lineRule="exact"/>
        <w:jc w:val="left"/>
        <w:textAlignment w:val="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（1）在投标有效期内，投标人撤销投标的；</w:t>
      </w:r>
    </w:p>
    <w:p>
      <w:pPr>
        <w:pageBreakBefore w:val="0"/>
        <w:widowControl w:val="0"/>
        <w:kinsoku/>
        <w:wordWrap/>
        <w:overflowPunct/>
        <w:topLinePunct w:val="0"/>
        <w:autoSpaceDE/>
        <w:autoSpaceDN/>
        <w:bidi w:val="0"/>
        <w:adjustRightInd w:val="0"/>
        <w:snapToGrid w:val="0"/>
        <w:spacing w:line="440" w:lineRule="exact"/>
        <w:jc w:val="left"/>
        <w:textAlignment w:val="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（2）中标后不按本须知第34款的规定与采购人签订合同的；</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（3）中标后不按本须知第35款的规定提交履约保证金的；</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（4）存在其他违法违规行为的。</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13.4联合体投标的，可以由联合体中的一方或者共同提交投标保证金。以一方名义提交投标保证金的，对联合体各方均具有约束力。</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13.5投标保证金的退还</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13.5.1中标人应在与采购人签订合同之日起5个工作日内，及时联系保证金收受机构办理投标保证金退还手续。</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13.5.2未中标投标人的投标保证金将在中标通知书发出之日暨中标结果公告公布之日起5个工作日内退还。投标人应及时联系保证金收受机构办理退还投标保证金手续。</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13.5.3投标人在投标截止时间前撤回已提交的投标文件的，投标人应自采购人或者采购代理机构收到投标人书面撤回通知之日起５个工作日内，及时联系保证金收受机构办理投标保证金退还手续。</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13.5.4 政府采购投标担保函不予退回。</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color w:val="auto"/>
          <w:szCs w:val="21"/>
        </w:rPr>
      </w:pPr>
      <w:r>
        <w:rPr>
          <w:rFonts w:hint="eastAsia" w:ascii="仿宋_GB2312" w:hAnsi="仿宋_GB2312" w:eastAsia="仿宋_GB2312" w:cs="仿宋_GB2312"/>
          <w:color w:val="auto"/>
          <w:szCs w:val="21"/>
        </w:rPr>
        <w:t>13.6 因投标人自身原因导致无法及时退还的，采购人或采购代理机构将不承担相应责任。</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14.证明投标标的的合格性和符合招标文件规定的技术文件</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14.1投标人应提交证明文件，证明其投标内容符合招标文件规定。该证明文件是投标文件的一部分。</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14.2上款所述的证明文件，可以是文字资料、图纸和数据，它包括：</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（1）货物主要技术指标和性能的详细说明；</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（2）货物从采购人开始使用至招标文件规定的保质期内正常、连续地使用所必须的备件和专用工具清单，包括备件和专用工具的货源及现行价格;</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（3）对照招标文件技术规格，逐条说明所提供货物及伴随的工程和服务已对招标文件的技术规格做出了实质性的响应，或申明与技术规格条文的偏差和例外。</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15.投标有效期</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15.1投标应在投标人须知表15.1款中规定的投标有效期内保持有效。投标有效期不满足要求的投标，其投标将被认定为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★16.投标文件的签署及规定</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val="0"/>
          <w:bCs w:val="0"/>
          <w:szCs w:val="21"/>
        </w:rPr>
      </w:pPr>
      <w:bookmarkStart w:id="68" w:name="_Toc27725_WPSOffice_Level2"/>
      <w:r>
        <w:rPr>
          <w:rFonts w:hint="eastAsia" w:ascii="仿宋_GB2312" w:hAnsi="仿宋_GB2312" w:eastAsia="仿宋_GB2312" w:cs="仿宋_GB2312"/>
          <w:szCs w:val="21"/>
        </w:rPr>
        <w:t>16.1供应商应按供应商须知表16.1款中的规定，准备和递交</w:t>
      </w:r>
      <w:r>
        <w:rPr>
          <w:rFonts w:hint="eastAsia" w:ascii="仿宋_GB2312" w:hAnsi="仿宋_GB2312" w:eastAsia="仿宋_GB2312" w:cs="仿宋_GB2312"/>
          <w:b w:val="0"/>
          <w:bCs w:val="0"/>
          <w:color w:val="auto"/>
          <w:szCs w:val="21"/>
        </w:rPr>
        <w:t>电子</w:t>
      </w:r>
      <w:r>
        <w:rPr>
          <w:rFonts w:hint="eastAsia" w:ascii="仿宋_GB2312" w:hAnsi="仿宋_GB2312" w:eastAsia="仿宋_GB2312" w:cs="仿宋_GB2312"/>
          <w:b w:val="0"/>
          <w:bCs w:val="0"/>
          <w:color w:val="auto"/>
          <w:szCs w:val="21"/>
          <w:lang w:eastAsia="zh-CN"/>
        </w:rPr>
        <w:t>投标</w:t>
      </w:r>
      <w:r>
        <w:rPr>
          <w:rFonts w:hint="eastAsia" w:ascii="仿宋_GB2312" w:hAnsi="仿宋_GB2312" w:eastAsia="仿宋_GB2312" w:cs="仿宋_GB2312"/>
          <w:b w:val="0"/>
          <w:bCs w:val="0"/>
          <w:color w:val="auto"/>
          <w:szCs w:val="21"/>
        </w:rPr>
        <w:t>文件</w:t>
      </w:r>
      <w:r>
        <w:rPr>
          <w:rFonts w:hint="eastAsia" w:ascii="仿宋_GB2312" w:hAnsi="仿宋_GB2312" w:eastAsia="仿宋_GB2312" w:cs="仿宋_GB2312"/>
          <w:b w:val="0"/>
          <w:bCs w:val="0"/>
          <w:color w:val="auto"/>
          <w:szCs w:val="21"/>
          <w:lang w:eastAsia="zh-CN"/>
        </w:rPr>
        <w:t>和备份投标文件</w:t>
      </w:r>
      <w:r>
        <w:rPr>
          <w:rFonts w:hint="eastAsia" w:ascii="仿宋_GB2312" w:hAnsi="仿宋_GB2312" w:eastAsia="仿宋_GB2312" w:cs="仿宋_GB2312"/>
          <w:b w:val="0"/>
          <w:bCs w:val="0"/>
          <w:color w:val="auto"/>
          <w:szCs w:val="21"/>
          <w:lang w:val="en-US" w:eastAsia="zh-CN"/>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trike/>
          <w:szCs w:val="21"/>
        </w:rPr>
      </w:pPr>
      <w:r>
        <w:rPr>
          <w:rFonts w:hint="eastAsia" w:ascii="仿宋_GB2312" w:hAnsi="仿宋_GB2312" w:eastAsia="仿宋_GB2312" w:cs="仿宋_GB2312"/>
          <w:szCs w:val="21"/>
          <w:lang w:val="en-US" w:eastAsia="zh-CN"/>
        </w:rPr>
        <w:t>16.2</w:t>
      </w:r>
      <w:r>
        <w:rPr>
          <w:rFonts w:hint="eastAsia" w:ascii="仿宋_GB2312" w:hAnsi="仿宋_GB2312" w:eastAsia="仿宋_GB2312" w:cs="仿宋_GB2312"/>
          <w:szCs w:val="21"/>
        </w:rPr>
        <w:t>投标文件应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w:t>
      </w:r>
    </w:p>
    <w:p>
      <w:pPr>
        <w:pStyle w:val="5"/>
        <w:pageBreakBefore w:val="0"/>
        <w:widowControl w:val="0"/>
        <w:kinsoku/>
        <w:wordWrap/>
        <w:overflowPunct/>
        <w:topLinePunct w:val="0"/>
        <w:autoSpaceDE/>
        <w:autoSpaceDN/>
        <w:bidi w:val="0"/>
        <w:spacing w:line="440" w:lineRule="exact"/>
        <w:textAlignment w:val="auto"/>
        <w:rPr>
          <w:rFonts w:ascii="仿宋_GB2312" w:hAnsi="仿宋_GB2312" w:eastAsia="仿宋_GB2312" w:cs="仿宋_GB2312"/>
          <w:sz w:val="32"/>
          <w:szCs w:val="28"/>
        </w:rPr>
      </w:pPr>
      <w:r>
        <w:rPr>
          <w:rFonts w:hint="eastAsia" w:ascii="仿宋_GB2312" w:hAnsi="仿宋_GB2312" w:eastAsia="仿宋_GB2312" w:cs="仿宋_GB2312"/>
          <w:sz w:val="32"/>
          <w:szCs w:val="28"/>
          <w:lang w:val="en-US" w:eastAsia="zh-CN"/>
        </w:rPr>
        <w:t xml:space="preserve"> </w:t>
      </w:r>
      <w:r>
        <w:rPr>
          <w:rFonts w:hint="eastAsia" w:ascii="仿宋_GB2312" w:hAnsi="仿宋_GB2312" w:eastAsia="仿宋_GB2312" w:cs="仿宋_GB2312"/>
          <w:sz w:val="32"/>
          <w:szCs w:val="28"/>
        </w:rPr>
        <w:t>五 投标文件的递交</w:t>
      </w:r>
      <w:bookmarkEnd w:id="68"/>
    </w:p>
    <w:p>
      <w:pPr>
        <w:pageBreakBefore w:val="0"/>
        <w:widowControl w:val="0"/>
        <w:kinsoku/>
        <w:wordWrap/>
        <w:overflowPunct/>
        <w:topLinePunct w:val="0"/>
        <w:autoSpaceDE/>
        <w:autoSpaceDN/>
        <w:bidi w:val="0"/>
        <w:adjustRightInd w:val="0"/>
        <w:snapToGrid w:val="0"/>
        <w:spacing w:line="440" w:lineRule="exact"/>
        <w:textAlignment w:val="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★17.</w:t>
      </w:r>
      <w:r>
        <w:rPr>
          <w:rFonts w:hint="eastAsia" w:ascii="仿宋_GB2312" w:hAnsi="仿宋_GB2312" w:eastAsia="仿宋_GB2312" w:cs="仿宋_GB2312"/>
          <w:b/>
          <w:bCs/>
          <w:szCs w:val="21"/>
          <w:lang w:eastAsia="zh-CN"/>
        </w:rPr>
        <w:t>备份</w:t>
      </w:r>
      <w:r>
        <w:rPr>
          <w:rFonts w:hint="eastAsia" w:ascii="仿宋_GB2312" w:hAnsi="仿宋_GB2312" w:eastAsia="仿宋_GB2312" w:cs="仿宋_GB2312"/>
          <w:b/>
          <w:bCs/>
          <w:szCs w:val="21"/>
        </w:rPr>
        <w:t>投标文件的密封和标记</w:t>
      </w:r>
    </w:p>
    <w:p>
      <w:pPr>
        <w:pageBreakBefore w:val="0"/>
        <w:widowControl w:val="0"/>
        <w:kinsoku/>
        <w:wordWrap/>
        <w:overflowPunct/>
        <w:topLinePunct w:val="0"/>
        <w:autoSpaceDE/>
        <w:autoSpaceDN/>
        <w:bidi w:val="0"/>
        <w:adjustRightInd w:val="0"/>
        <w:snapToGrid w:val="0"/>
        <w:spacing w:line="440" w:lineRule="exact"/>
        <w:textAlignment w:val="auto"/>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17.1 投标人应将备份加密投标文件（U盘、移动硬盘）进行包封。</w:t>
      </w:r>
    </w:p>
    <w:p>
      <w:pPr>
        <w:pageBreakBefore w:val="0"/>
        <w:widowControl w:val="0"/>
        <w:kinsoku/>
        <w:wordWrap/>
        <w:overflowPunct/>
        <w:topLinePunct w:val="0"/>
        <w:autoSpaceDE/>
        <w:autoSpaceDN/>
        <w:bidi w:val="0"/>
        <w:adjustRightInd w:val="0"/>
        <w:snapToGrid w:val="0"/>
        <w:spacing w:line="440" w:lineRule="exact"/>
        <w:textAlignment w:val="auto"/>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17.2 所有包装封皮上均应：</w:t>
      </w:r>
    </w:p>
    <w:p>
      <w:pPr>
        <w:pageBreakBefore w:val="0"/>
        <w:widowControl w:val="0"/>
        <w:kinsoku/>
        <w:wordWrap/>
        <w:overflowPunct/>
        <w:topLinePunct w:val="0"/>
        <w:autoSpaceDE/>
        <w:autoSpaceDN/>
        <w:bidi w:val="0"/>
        <w:adjustRightInd w:val="0"/>
        <w:snapToGrid w:val="0"/>
        <w:spacing w:line="440" w:lineRule="exact"/>
        <w:textAlignment w:val="auto"/>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（1）注明项目名称、项目编号、包号、投标人名称。</w:t>
      </w:r>
    </w:p>
    <w:p>
      <w:pPr>
        <w:pageBreakBefore w:val="0"/>
        <w:widowControl w:val="0"/>
        <w:kinsoku/>
        <w:wordWrap/>
        <w:overflowPunct/>
        <w:topLinePunct w:val="0"/>
        <w:autoSpaceDE/>
        <w:autoSpaceDN/>
        <w:bidi w:val="0"/>
        <w:adjustRightInd w:val="0"/>
        <w:snapToGrid w:val="0"/>
        <w:spacing w:line="440" w:lineRule="exact"/>
        <w:textAlignment w:val="auto"/>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（2）加盖投标人单位公章。</w:t>
      </w:r>
    </w:p>
    <w:p>
      <w:pPr>
        <w:pageBreakBefore w:val="0"/>
        <w:widowControl w:val="0"/>
        <w:kinsoku/>
        <w:wordWrap/>
        <w:overflowPunct/>
        <w:topLinePunct w:val="0"/>
        <w:autoSpaceDE/>
        <w:autoSpaceDN/>
        <w:bidi w:val="0"/>
        <w:adjustRightInd w:val="0"/>
        <w:snapToGrid w:val="0"/>
        <w:spacing w:line="440" w:lineRule="exact"/>
        <w:textAlignment w:val="auto"/>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17.3 如果投标人未按上述要求密封，其备份投标文件将被</w:t>
      </w:r>
      <w:r>
        <w:rPr>
          <w:rFonts w:hint="eastAsia" w:ascii="仿宋_GB2312" w:hAnsi="仿宋_GB2312" w:eastAsia="仿宋_GB2312" w:cs="仿宋_GB2312"/>
          <w:b/>
          <w:bCs/>
          <w:szCs w:val="21"/>
          <w:lang w:val="en-US" w:eastAsia="zh-CN"/>
        </w:rPr>
        <w:t>拒绝接收。</w:t>
      </w:r>
    </w:p>
    <w:p>
      <w:pPr>
        <w:pageBreakBefore w:val="0"/>
        <w:widowControl w:val="0"/>
        <w:kinsoku/>
        <w:wordWrap/>
        <w:overflowPunct/>
        <w:topLinePunct w:val="0"/>
        <w:autoSpaceDE/>
        <w:autoSpaceDN/>
        <w:bidi w:val="0"/>
        <w:adjustRightInd w:val="0"/>
        <w:snapToGrid w:val="0"/>
        <w:spacing w:line="440" w:lineRule="exact"/>
        <w:textAlignment w:val="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★18.投标截止</w:t>
      </w:r>
    </w:p>
    <w:p>
      <w:pPr>
        <w:pageBreakBefore w:val="0"/>
        <w:widowControl w:val="0"/>
        <w:kinsoku/>
        <w:wordWrap/>
        <w:overflowPunct/>
        <w:topLinePunct w:val="0"/>
        <w:autoSpaceDE/>
        <w:autoSpaceDN/>
        <w:bidi w:val="0"/>
        <w:adjustRightInd w:val="0"/>
        <w:snapToGrid w:val="0"/>
        <w:spacing w:line="440" w:lineRule="exact"/>
        <w:textAlignment w:val="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18.1投标人应在投标人须知表18.1中规定的递交投标文件截止时间前，除在辽宁政府采购网上传电子投标文件外，还须提交备份投标文件到投标人须知表18.1款中规定的地点，并在电子投标文件和备份投标文件中均提供电子投标文件与备份投标文件内容、格式一致性承诺函。投标人未按招标文件要求提供一致性承诺函的，其投标将被认定为投标无效。投标人仅提交电子投标文件或备份投标文件的，投标无效。</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18.2采购人和采购代理机构有权按本须知的规定，延迟投标截止时间。在此情况下，采购人、采购代理机构和投标人受投标截止时间制约的所有权利和义务均应延长至新的截止时间。</w:t>
      </w:r>
    </w:p>
    <w:p>
      <w:pPr>
        <w:pageBreakBefore w:val="0"/>
        <w:widowControl w:val="0"/>
        <w:kinsoku/>
        <w:wordWrap/>
        <w:overflowPunct/>
        <w:topLinePunct w:val="0"/>
        <w:autoSpaceDE/>
        <w:autoSpaceDN/>
        <w:bidi w:val="0"/>
        <w:adjustRightInd w:val="0"/>
        <w:snapToGrid w:val="0"/>
        <w:spacing w:line="440" w:lineRule="exact"/>
        <w:textAlignment w:val="auto"/>
        <w:rPr>
          <w:rFonts w:hint="eastAsia"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19.投标文件的接收、修改与撤回</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19.1在投标截止时间后送达的备份投标文件，采购人和采购代理机构将</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19.2采购人或者采购代理机构收到备份投标文件后，应当如实记载备份投标文件的送达时间和密封情况。</w:t>
      </w:r>
    </w:p>
    <w:p>
      <w:pPr>
        <w:pageBreakBefore w:val="0"/>
        <w:widowControl w:val="0"/>
        <w:kinsoku/>
        <w:wordWrap/>
        <w:overflowPunct/>
        <w:topLinePunct w:val="0"/>
        <w:autoSpaceDE/>
        <w:autoSpaceDN/>
        <w:bidi w:val="0"/>
        <w:adjustRightInd w:val="0"/>
        <w:snapToGrid w:val="0"/>
        <w:spacing w:line="440" w:lineRule="exact"/>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19.3递交投标文件以后，如果投标人要进行修改或撤回投标，须在投标截止时间前修改或撤回。</w:t>
      </w:r>
    </w:p>
    <w:p>
      <w:pPr>
        <w:pageBreakBefore w:val="0"/>
        <w:widowControl w:val="0"/>
        <w:kinsoku/>
        <w:wordWrap/>
        <w:overflowPunct/>
        <w:topLinePunct w:val="0"/>
        <w:autoSpaceDE/>
        <w:autoSpaceDN/>
        <w:bidi w:val="0"/>
        <w:adjustRightInd w:val="0"/>
        <w:snapToGrid w:val="0"/>
        <w:spacing w:line="440" w:lineRule="exact"/>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19.4在投标截止时间之后，投标人不得对其投标文件做任何修改。</w:t>
      </w:r>
    </w:p>
    <w:p>
      <w:pPr>
        <w:pageBreakBefore w:val="0"/>
        <w:widowControl w:val="0"/>
        <w:kinsoku/>
        <w:wordWrap/>
        <w:overflowPunct/>
        <w:topLinePunct w:val="0"/>
        <w:autoSpaceDE/>
        <w:autoSpaceDN/>
        <w:bidi w:val="0"/>
        <w:adjustRightInd w:val="0"/>
        <w:snapToGrid w:val="0"/>
        <w:spacing w:line="440" w:lineRule="exact"/>
        <w:textAlignment w:val="auto"/>
        <w:rPr>
          <w:rFonts w:hint="eastAsia" w:ascii="仿宋_GB2312" w:hAnsi="仿宋_GB2312" w:eastAsia="仿宋_GB2312" w:cs="仿宋_GB2312"/>
          <w:szCs w:val="21"/>
        </w:rPr>
      </w:pPr>
      <w:r>
        <w:rPr>
          <w:rFonts w:hint="eastAsia" w:ascii="仿宋_GB2312" w:hAnsi="仿宋_GB2312" w:eastAsia="仿宋_GB2312" w:cs="仿宋_GB2312"/>
          <w:b/>
          <w:color w:val="auto"/>
          <w:szCs w:val="21"/>
        </w:rPr>
        <w:t>19.</w:t>
      </w:r>
      <w:r>
        <w:rPr>
          <w:rFonts w:hint="eastAsia" w:ascii="仿宋_GB2312" w:hAnsi="仿宋_GB2312" w:eastAsia="仿宋_GB2312" w:cs="仿宋_GB2312"/>
          <w:b/>
          <w:color w:val="auto"/>
          <w:szCs w:val="21"/>
          <w:lang w:val="en-US" w:eastAsia="zh-CN"/>
        </w:rPr>
        <w:t>5</w:t>
      </w:r>
      <w:r>
        <w:rPr>
          <w:rFonts w:hint="eastAsia" w:ascii="仿宋_GB2312" w:hAnsi="仿宋_GB2312" w:eastAsia="仿宋_GB2312" w:cs="仿宋_GB2312"/>
          <w:b/>
          <w:color w:val="auto"/>
          <w:szCs w:val="21"/>
        </w:rPr>
        <w:t>备份文件的退还：供应商上传的响应文件正常解密的且采购活动正常进行的，采购代理机构将在项目评审结束后将未使用的密封备份文件退还供应商，并做好记录存档。</w:t>
      </w:r>
    </w:p>
    <w:p>
      <w:pPr>
        <w:pStyle w:val="9"/>
        <w:pageBreakBefore w:val="0"/>
        <w:widowControl w:val="0"/>
        <w:kinsoku/>
        <w:wordWrap/>
        <w:overflowPunct/>
        <w:topLinePunct w:val="0"/>
        <w:autoSpaceDE/>
        <w:autoSpaceDN/>
        <w:bidi w:val="0"/>
        <w:spacing w:line="440" w:lineRule="exact"/>
        <w:ind w:left="0" w:leftChars="0" w:firstLine="0" w:firstLineChars="0"/>
        <w:textAlignment w:val="auto"/>
      </w:pPr>
    </w:p>
    <w:p>
      <w:pPr>
        <w:pStyle w:val="5"/>
        <w:pageBreakBefore w:val="0"/>
        <w:widowControl w:val="0"/>
        <w:kinsoku/>
        <w:wordWrap/>
        <w:overflowPunct/>
        <w:topLinePunct w:val="0"/>
        <w:autoSpaceDE/>
        <w:autoSpaceDN/>
        <w:bidi w:val="0"/>
        <w:spacing w:line="440" w:lineRule="exact"/>
        <w:textAlignment w:val="auto"/>
        <w:rPr>
          <w:rFonts w:ascii="仿宋_GB2312" w:hAnsi="仿宋_GB2312" w:eastAsia="仿宋_GB2312" w:cs="仿宋_GB2312"/>
          <w:sz w:val="32"/>
          <w:szCs w:val="28"/>
        </w:rPr>
      </w:pPr>
      <w:bookmarkStart w:id="69" w:name="_Toc988_WPSOffice_Level2"/>
      <w:r>
        <w:rPr>
          <w:rFonts w:hint="eastAsia" w:ascii="仿宋_GB2312" w:hAnsi="仿宋_GB2312" w:eastAsia="仿宋_GB2312" w:cs="仿宋_GB2312"/>
          <w:sz w:val="32"/>
          <w:szCs w:val="28"/>
        </w:rPr>
        <w:t>六 开标及评标</w:t>
      </w:r>
      <w:bookmarkEnd w:id="69"/>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20.开标</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20.1采购人和采购代理机构将按投标人须知表20.1款中规定的开标时间和地点组织公开开标并邀请所有投标人代表参加。</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投标人不足3家的，不得开标。评标委员会成员不得参加开标活动。</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20.2开标时，由投标人或其推选的代表检查</w:t>
      </w:r>
      <w:r>
        <w:rPr>
          <w:rFonts w:hint="eastAsia" w:ascii="仿宋_GB2312" w:hAnsi="仿宋_GB2312" w:eastAsia="仿宋_GB2312" w:cs="仿宋_GB2312"/>
          <w:szCs w:val="21"/>
          <w:lang w:eastAsia="zh-CN"/>
        </w:rPr>
        <w:t>备份</w:t>
      </w:r>
      <w:r>
        <w:rPr>
          <w:rFonts w:hint="eastAsia" w:ascii="仿宋_GB2312" w:hAnsi="仿宋_GB2312" w:eastAsia="仿宋_GB2312" w:cs="仿宋_GB2312"/>
          <w:szCs w:val="21"/>
        </w:rPr>
        <w:t>投标文件的密封情况</w:t>
      </w:r>
      <w:r>
        <w:rPr>
          <w:rFonts w:hint="eastAsia" w:ascii="仿宋_GB2312" w:hAnsi="仿宋_GB2312" w:eastAsia="仿宋_GB2312" w:cs="仿宋_GB2312"/>
          <w:szCs w:val="21"/>
          <w:lang w:eastAsia="zh-CN"/>
        </w:rPr>
        <w:t>并记录。</w:t>
      </w:r>
      <w:r>
        <w:rPr>
          <w:rFonts w:hint="eastAsia" w:ascii="仿宋_GB2312" w:hAnsi="仿宋_GB2312" w:eastAsia="仿宋_GB2312" w:cs="仿宋_GB2312"/>
          <w:szCs w:val="21"/>
        </w:rPr>
        <w:t>采购人或采购代理机构当众宣读投标人名称、投标价格及招标文件规定的内容。对于投标人在投标截止时间前递交的投标声明，在开标时当众宣读，评标时有效。</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未宣读投标价格、价格折扣等实质内容，评标时不予承认。</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20.3采购人或采购代理机构将对开标过程进行记录，由参加开标的各投标人代表和相关工作人员签字确认，并存档备查。投标人未参加开标或未签字确认的，视同认可开标结果。</w:t>
      </w:r>
    </w:p>
    <w:p>
      <w:pPr>
        <w:pageBreakBefore w:val="0"/>
        <w:widowControl w:val="0"/>
        <w:kinsoku/>
        <w:wordWrap/>
        <w:overflowPunct/>
        <w:topLinePunct w:val="0"/>
        <w:autoSpaceDE/>
        <w:autoSpaceDN/>
        <w:bidi w:val="0"/>
        <w:adjustRightInd w:val="0"/>
        <w:snapToGrid w:val="0"/>
        <w:spacing w:line="440" w:lineRule="exact"/>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20.4投标人代表对开标过程和开标记录有疑义，以及认为采购人、采购代理机构相关工作人员有需要回避的情形的，应当场提出询问或者回避申请。</w:t>
      </w:r>
    </w:p>
    <w:p>
      <w:pPr>
        <w:pageBreakBefore w:val="0"/>
        <w:widowControl w:val="0"/>
        <w:kinsoku/>
        <w:wordWrap/>
        <w:overflowPunct/>
        <w:topLinePunct w:val="0"/>
        <w:autoSpaceDE/>
        <w:autoSpaceDN/>
        <w:bidi w:val="0"/>
        <w:adjustRightInd w:val="0"/>
        <w:snapToGrid w:val="0"/>
        <w:spacing w:line="440" w:lineRule="exact"/>
        <w:textAlignment w:val="auto"/>
      </w:pPr>
      <w:r>
        <w:rPr>
          <w:rFonts w:hint="eastAsia" w:ascii="仿宋_GB2312" w:hAnsi="仿宋_GB2312" w:eastAsia="仿宋_GB2312" w:cs="仿宋_GB2312"/>
          <w:szCs w:val="21"/>
        </w:rPr>
        <w:t>20.</w:t>
      </w:r>
      <w:r>
        <w:rPr>
          <w:rFonts w:hint="eastAsia" w:ascii="仿宋_GB2312" w:hAnsi="仿宋_GB2312" w:eastAsia="仿宋_GB2312" w:cs="仿宋_GB2312"/>
          <w:szCs w:val="21"/>
          <w:lang w:val="en-US" w:eastAsia="zh-CN"/>
        </w:rPr>
        <w:t>5</w:t>
      </w:r>
      <w:r>
        <w:rPr>
          <w:rFonts w:hint="eastAsia" w:ascii="仿宋_GB2312" w:hAnsi="仿宋_GB2312" w:eastAsia="仿宋_GB2312" w:cs="仿宋_GB2312"/>
          <w:color w:val="auto"/>
          <w:szCs w:val="21"/>
          <w:lang w:val="en-US" w:eastAsia="zh-CN"/>
        </w:rPr>
        <w:t>采购人和采购代理机构对于启用的备份投标文件，由采购人、采购代理机构和投标人共同签字确认，</w:t>
      </w:r>
      <w:r>
        <w:rPr>
          <w:rFonts w:hint="eastAsia" w:ascii="仿宋_GB2312" w:hAnsi="仿宋_GB2312" w:eastAsia="仿宋_GB2312" w:cs="仿宋_GB2312"/>
          <w:szCs w:val="21"/>
        </w:rPr>
        <w:t>投标人未到场的，通过视频方式进行确认，并将备份投标文件与采购档案一并存档</w:t>
      </w:r>
      <w:r>
        <w:rPr>
          <w:rFonts w:hint="eastAsia" w:ascii="仿宋_GB2312" w:hAnsi="仿宋_GB2312" w:eastAsia="仿宋_GB2312" w:cs="仿宋_GB2312"/>
          <w:color w:val="auto"/>
          <w:szCs w:val="21"/>
          <w:lang w:val="en-US" w:eastAsia="zh-CN"/>
        </w:rPr>
        <w:t>；对于未启用的备份投标文件，自动失效，投标人如需取回备份文件的，应在评审结束后取回。</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21.组建评标委员会</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按照《中华人民共和国政府采购法》、《中华人民共和国政府采购法实施条例》有关规定依法组建评标委员会，负责本项目评标工作。本项目评标委员会组成详见投标人须知表21款。</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22.资格审查</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；通过资格审查的投标人不足3家的，不得评标。</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22.2采购人或采购代理机构将在递交投标文件截止时间前一个工作日至资格审查结束前查询投标人的信用记录。投标人存在不良信用记录的，其投标将被认定为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以联合体形式参加投标的，联合体任何成员存在以上不良信用记录的，联合体投标将被认定为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22.2.2查询及记录方式：采购人或采购代理机构经办人将查询网页打印并存档备查。投标人不良信用记录以采购人或采购代理机构查询结果为准。</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在本招标文件规定的查询时间之后，网站信息发生的任何变更均不再作为评标依据。</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投标人自行提供的与网站信息不一致的其他证明材料亦不作为资格审查依据。</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23.符合性审查</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；通过符合性审查的投标人数量不足3家的，不得作进一步的比较和评价。</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24.投标文件的澄清</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24.2投标人的澄清、说明或补正将作为投标文件的一部分。</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24.3投标文件报价出现前后不一致的，按照下列规定修正：</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（1）投标文件中开标一览表内容与投标文件中相应内容不一致的，以开标一览表为准；</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（2）大写金额和小写金额不一致的，以大写金额为准；</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（3）单价金额小数点或者百分比有明显错位的，以开标一览表的总价为准，并修改单价；</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（4）总价金额与按单价汇总金额不一致的，以单价金额计算结果为准。</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rPr>
      </w:pPr>
      <w:r>
        <w:rPr>
          <w:rFonts w:hint="eastAsia" w:ascii="仿宋_GB2312" w:hAnsi="仿宋_GB2312" w:eastAsia="仿宋_GB2312" w:cs="仿宋_GB2312"/>
          <w:szCs w:val="21"/>
        </w:rPr>
        <w:t>24.4</w:t>
      </w:r>
      <w:r>
        <w:rPr>
          <w:rFonts w:hint="eastAsia" w:ascii="仿宋_GB2312" w:hAnsi="仿宋_GB2312" w:eastAsia="仿宋_GB2312" w:cs="仿宋_GB2312"/>
          <w:b/>
          <w:bCs/>
          <w:szCs w:val="21"/>
        </w:rPr>
        <w:t>评标委员会认为</w:t>
      </w:r>
      <w:r>
        <w:rPr>
          <w:rFonts w:hint="eastAsia" w:ascii="仿宋_GB2312" w:hAnsi="仿宋_GB2312" w:eastAsia="仿宋_GB2312" w:cs="仿宋_GB2312"/>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处理。提交证明材料的合理时间按第四章 评标方法规定执行。</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25样品及演示</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25.1投标人须知表11.3款中要求投标人提供样品的，按照投标人须知表25.1款中样品的评审方法以及评审标准进行评审。</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25.3演示的评审方法以及评审标准具体内容见投标人须知表25.1款。</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26.投标无效</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26.1在比较与评价之前，根据本须知的规定，评标委员会将审查每份投标文件是否实质上响应了招标文件的要求。</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kern w:val="0"/>
          <w:szCs w:val="21"/>
        </w:rPr>
      </w:pPr>
      <w:r>
        <w:rPr>
          <w:rFonts w:hint="eastAsia" w:ascii="仿宋_GB2312" w:hAnsi="仿宋_GB2312" w:eastAsia="仿宋_GB2312" w:cs="仿宋_GB2312"/>
          <w:kern w:val="0"/>
          <w:szCs w:val="21"/>
        </w:rPr>
        <w:t>实质性要求是指招标文件中带有★号标识内容（包括本级及其下级编号中所有内容）等文字说明的要求。</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kern w:val="0"/>
          <w:szCs w:val="21"/>
        </w:rPr>
        <w:t>对招标文件的实质性要求进行响应是指与招标文件中带有★号标识内容的文字说明、条款、条件和规格等要求相符。</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如果投标文件没有对招标文件的实质性要求进行响应，将作为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处理，投标人不得再对投标文件进行任何修正从而使其投标成为实质上响应的投标。</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评标委员会决定投标的响应性只根据招标文件要求、投标文件内容及财政主管部门指定媒体发布的相关信息。</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26.2如发现下列情况之一的，其投标将被认定为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（1）未按招标文件的规定提交投标保证金的；</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（2）未按照招标文件规定要求签署、盖章的；</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（3）投标人的报价超过了招标文件中规定的预算金额或者最高限价的；</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（4）不具备招标文件中规定的资格要求的；</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（5）不符合法律、法规和招标文件中规定的其他实质性要求的。</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（6）与其他投标人串通投标，或者与采购人串通投标；</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（7）评标委员会认为投标人的报价明显低于其他通过符合性审查投标人的报价，有可能影响履约的，且投标人未按照规定证明其报价合理性的；</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（8）投标文件含有采购人不能接受的附加条件的；</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（9）属于法律、法规和招标文件规定的其他投标无效情形；</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27.比较与评价</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27.1经符合性审查合格的投标文件，评标委员会将根据招标文件确定的评标方法和标准，对其技术部分和商务部分作进一步的比较和评价。</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27.2评标严格按照招标文件的要求和条件进行。根据实际情况，在投标人须知表27.2款中规定采用下列一种评标方法，详细评标标准见第四章 评标方法。</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（1）最低评标价法，是指投标文件满足招标文件全部实质性要求，且投标报价最低的投标人为中标候选人的评标方法。</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（2）综合评分法，是指投标文件满足招标文件全部实质性要求，且按照评审因素的量化指标评审得分最高的投标人为中标候选人的评标方法。</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27.3根据《政府采购促进中小企业发展</w:t>
      </w:r>
      <w:r>
        <w:rPr>
          <w:rFonts w:hint="eastAsia" w:ascii="仿宋_GB2312" w:hAnsi="仿宋_GB2312" w:eastAsia="仿宋_GB2312" w:cs="仿宋_GB2312"/>
          <w:szCs w:val="21"/>
          <w:lang w:eastAsia="zh-CN"/>
        </w:rPr>
        <w:t>管理</w:t>
      </w:r>
      <w:r>
        <w:rPr>
          <w:rFonts w:hint="eastAsia" w:ascii="仿宋_GB2312" w:hAnsi="仿宋_GB2312" w:eastAsia="仿宋_GB2312" w:cs="仿宋_GB2312"/>
          <w:szCs w:val="21"/>
        </w:rPr>
        <w:t>办法》（财库〔20</w:t>
      </w:r>
      <w:r>
        <w:rPr>
          <w:rFonts w:hint="eastAsia" w:ascii="仿宋_GB2312" w:hAnsi="仿宋_GB2312" w:eastAsia="仿宋_GB2312" w:cs="仿宋_GB2312"/>
          <w:szCs w:val="21"/>
          <w:lang w:val="en-US" w:eastAsia="zh-CN"/>
        </w:rPr>
        <w:t>20</w:t>
      </w: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46</w:t>
      </w:r>
      <w:r>
        <w:rPr>
          <w:rFonts w:hint="eastAsia" w:ascii="仿宋_GB2312" w:hAnsi="仿宋_GB2312" w:eastAsia="仿宋_GB2312" w:cs="仿宋_GB2312"/>
          <w:szCs w:val="21"/>
        </w:rPr>
        <w:t>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 6-10%后参与评审。具体详见第四章 评标方法。</w:t>
      </w:r>
    </w:p>
    <w:p>
      <w:pPr>
        <w:pageBreakBefore w:val="0"/>
        <w:widowControl w:val="0"/>
        <w:kinsoku/>
        <w:wordWrap/>
        <w:overflowPunct/>
        <w:topLinePunct w:val="0"/>
        <w:autoSpaceDE/>
        <w:autoSpaceDN/>
        <w:bidi w:val="0"/>
        <w:adjustRightInd w:val="0"/>
        <w:snapToGrid w:val="0"/>
        <w:spacing w:line="440" w:lineRule="exact"/>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pPr>
        <w:pageBreakBefore w:val="0"/>
        <w:widowControl w:val="0"/>
        <w:kinsoku/>
        <w:wordWrap/>
        <w:overflowPunct/>
        <w:topLinePunct w:val="0"/>
        <w:autoSpaceDE/>
        <w:autoSpaceDN/>
        <w:bidi w:val="0"/>
        <w:adjustRightInd w:val="0"/>
        <w:snapToGrid w:val="0"/>
        <w:spacing w:line="440" w:lineRule="exact"/>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27.5根据财政部、辽宁省财政厅相关规定，对于列入《辽宁省创新产品和服务目录》内的产品、服务实施政府优先采购。具体优先采购办法详见第四章 评标方法。</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28.废标</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出现下列情形之一，将导致项目</w:t>
      </w:r>
      <w:r>
        <w:rPr>
          <w:rFonts w:hint="eastAsia" w:ascii="仿宋_GB2312" w:hAnsi="仿宋_GB2312" w:eastAsia="仿宋_GB2312" w:cs="仿宋_GB2312"/>
          <w:b/>
          <w:bCs/>
          <w:szCs w:val="21"/>
        </w:rPr>
        <w:t>废标</w:t>
      </w:r>
      <w:r>
        <w:rPr>
          <w:rFonts w:hint="eastAsia" w:ascii="仿宋_GB2312" w:hAnsi="仿宋_GB2312" w:eastAsia="仿宋_GB2312" w:cs="仿宋_GB2312"/>
          <w:szCs w:val="21"/>
        </w:rPr>
        <w:t>：</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（1）符合专业条件的投标人或者对招标文件做实质性响应的投标人不足3家；</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（2）出现影响采购公正的违法、违规行为的；</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（3）投标人的报价均超过了采购预算或最高限价，采购人不能支付的；</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（4）因重大变故，采购任务取消的。</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29.中标候选人的推荐原则及标准</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29.1除第32条规定外，评标委员会将根据评标标准，对实质上响应招标文件的投标人按下列方法进行排序，推荐中标候选人：</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（2）采用综合评分法的，评标结果按评审后得分由高到低顺序排序。得分相同的，按第四章评标办法规定执行。</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29.2评标委员会将根据评标标准，按投标人须知表29.2款中规定的数量推荐中标候选人。</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29.3因推荐中标候选人名单产生其他问题，由评标委员会集体研究处理。</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30.保密原则</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30.1评标将在严格保密的情况下进行。</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30.2有关人员应当遵守评标工作纪律，不得泄露评审文件、评标情况和评标过程中获悉的国家秘密、商业秘密。</w:t>
      </w:r>
    </w:p>
    <w:p>
      <w:pPr>
        <w:pStyle w:val="5"/>
        <w:pageBreakBefore w:val="0"/>
        <w:widowControl w:val="0"/>
        <w:kinsoku/>
        <w:wordWrap/>
        <w:overflowPunct/>
        <w:topLinePunct w:val="0"/>
        <w:autoSpaceDE/>
        <w:autoSpaceDN/>
        <w:bidi w:val="0"/>
        <w:spacing w:line="440" w:lineRule="exact"/>
        <w:textAlignment w:val="auto"/>
        <w:rPr>
          <w:rFonts w:ascii="仿宋_GB2312" w:hAnsi="仿宋_GB2312" w:eastAsia="仿宋_GB2312" w:cs="仿宋_GB2312"/>
          <w:sz w:val="32"/>
          <w:szCs w:val="28"/>
        </w:rPr>
      </w:pPr>
      <w:bookmarkStart w:id="70" w:name="_Toc4544_WPSOffice_Level2"/>
      <w:r>
        <w:rPr>
          <w:rFonts w:hint="eastAsia" w:ascii="仿宋_GB2312" w:hAnsi="仿宋_GB2312" w:eastAsia="仿宋_GB2312" w:cs="仿宋_GB2312"/>
          <w:sz w:val="32"/>
          <w:szCs w:val="28"/>
        </w:rPr>
        <w:t>七 确定中标</w:t>
      </w:r>
      <w:bookmarkEnd w:id="70"/>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31.确定中标人</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由采购人或者采购人委托评标委员会按照投标人须知表31中规定的方式确定中标人。</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采购人在收到评标报告5个工作日内未按评标报告推荐的中标候选人顺序确定中标人，又不能说明合法理由的，视同按评标报告推荐的顺序确定排名第一的中标候选人为中标人。</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★32.采购任务取消</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因重大变故采购任务取消时，采购人有权拒绝任何供应商中标，且对受影响的投标人不承担任何责任。</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33.中标通知书</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33.1采购人或者采购代理机构应当自中标人确定之日起2个工作日内，在辽宁政府采购网及其地方分网媒体上公告中标结果。同时向中标人发出中标通知书。</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33.2中标通知书是合同的组成部分。</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34.签订合同</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34.1中标人应当自发出中标通知书之日起 30 日内，与采购人签订书面合同。</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34.3 中标人拒绝与采购人签订合同的，采购人可以按照评标报告推荐的中标候选人名单排序，确定下一中标候选人为中标人，也可以重新开展政府采购活动。</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35.履约保证金</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35.1中标人应按照投标人须知表35.1款规定向采购人缴纳履约保证金。</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36.采购代理服务费</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中标人须按照投标须知表36款规定，向采购代理机构支付采购代理服务费。</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37.廉洁自律规定</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37.1采购代理机构工作人员不得以不正当手段获取政府采购代理业务，不得与采购人、投标人恶意串通操纵政府采购活动。</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37.2采购代理机构工作人员不得接受采购人或者投标人组织的宴请、旅游、娱乐，不得收受礼品、现金、有价证券等，不得向采购人或者投标人报销应当由个人承担的费用。</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38.人员回避</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投标人认为采购人及其相关人员有法律法规所列与其他投标人有利害关系的，可以向采购人或采购代理机构书面提出回避申请，并说明理由。</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39.质疑与接收</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pPr>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ascii="仿宋_GB2312" w:hAnsi="仿宋_GB2312" w:eastAsia="仿宋_GB2312" w:cs="仿宋_GB2312"/>
          <w:szCs w:val="21"/>
        </w:rPr>
      </w:pPr>
      <w:r>
        <w:rPr>
          <w:rFonts w:hint="eastAsia" w:ascii="仿宋_GB2312" w:hAnsi="仿宋_GB2312" w:eastAsia="仿宋_GB2312" w:cs="仿宋_GB2312"/>
          <w:szCs w:val="21"/>
        </w:rPr>
        <w:t>超出法定质疑期的、重复提出的、分次提出的或内容、形式不符合《政府采购质疑和投诉办法》的，质疑投标人将依法承担不利后果。</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39.3采购代理机构质疑函接收部门、联系电话和通讯地址, 见投标人须知表39.3款。</w:t>
      </w:r>
    </w:p>
    <w:p>
      <w:pPr>
        <w:pageBreakBefore w:val="0"/>
        <w:widowControl w:val="0"/>
        <w:kinsoku/>
        <w:wordWrap/>
        <w:overflowPunct/>
        <w:topLinePunct w:val="0"/>
        <w:autoSpaceDE/>
        <w:autoSpaceDN/>
        <w:bidi w:val="0"/>
        <w:adjustRightInd w:val="0"/>
        <w:snapToGrid w:val="0"/>
        <w:spacing w:line="440" w:lineRule="exact"/>
        <w:textAlignment w:val="auto"/>
        <w:rPr>
          <w:rFonts w:ascii="仿宋_GB2312" w:hAnsi="仿宋_GB2312" w:eastAsia="仿宋_GB2312" w:cs="仿宋_GB2312"/>
          <w:b/>
          <w:bCs/>
          <w:szCs w:val="21"/>
        </w:rPr>
      </w:pPr>
      <w:r>
        <w:rPr>
          <w:rFonts w:hint="eastAsia" w:ascii="仿宋_GB2312" w:hAnsi="仿宋_GB2312" w:eastAsia="仿宋_GB2312" w:cs="仿宋_GB2312"/>
          <w:b/>
          <w:bCs/>
          <w:szCs w:val="21"/>
        </w:rPr>
        <w:t>40.履约验收</w:t>
      </w:r>
    </w:p>
    <w:p>
      <w:pPr>
        <w:pageBreakBefore w:val="0"/>
        <w:widowControl w:val="0"/>
        <w:kinsoku/>
        <w:wordWrap/>
        <w:overflowPunct/>
        <w:topLinePunct w:val="0"/>
        <w:autoSpaceDE/>
        <w:autoSpaceDN/>
        <w:bidi w:val="0"/>
        <w:adjustRightInd w:val="0"/>
        <w:snapToGrid w:val="0"/>
        <w:spacing w:line="440" w:lineRule="exact"/>
        <w:ind w:firstLine="420"/>
        <w:jc w:val="center"/>
        <w:textAlignment w:val="auto"/>
        <w:rPr>
          <w:rFonts w:ascii="仿宋_GB2312" w:hAnsi="仿宋_GB2312" w:eastAsia="仿宋_GB2312" w:cs="仿宋_GB2312"/>
          <w:b/>
        </w:rPr>
        <w:sectPr>
          <w:footerReference r:id="rId5" w:type="default"/>
          <w:pgSz w:w="11906" w:h="16838"/>
          <w:pgMar w:top="1440" w:right="1803" w:bottom="1440" w:left="1803" w:header="851" w:footer="992" w:gutter="0"/>
          <w:pgNumType w:start="1"/>
          <w:cols w:space="720" w:num="1"/>
          <w:docGrid w:type="linesAndChars" w:linePitch="312" w:charSpace="0"/>
        </w:sectPr>
      </w:pPr>
      <w:r>
        <w:rPr>
          <w:rFonts w:hint="eastAsia" w:ascii="仿宋_GB2312" w:hAnsi="仿宋_GB2312" w:eastAsia="仿宋_GB2312" w:cs="仿宋_GB2312"/>
          <w:szCs w:val="21"/>
        </w:rPr>
        <w:t>本项目采购人及其委托的采购代理机构将严格按照政府采购相关法律法规以及《辽宁省政府采购履约验收管理办法》（辽财采〔2017〕603号）的要求进行验收。</w:t>
      </w:r>
    </w:p>
    <w:p>
      <w:pPr>
        <w:pStyle w:val="4"/>
        <w:snapToGrid w:val="0"/>
        <w:spacing w:before="0" w:after="0"/>
        <w:jc w:val="center"/>
        <w:rPr>
          <w:rFonts w:ascii="仿宋_GB2312" w:hAnsi="仿宋_GB2312" w:eastAsia="仿宋_GB2312" w:cs="仿宋_GB2312"/>
        </w:rPr>
      </w:pPr>
      <w:bookmarkStart w:id="71" w:name="_Toc17725_WPSOffice_Level1"/>
      <w:bookmarkStart w:id="72" w:name="_Toc20672"/>
      <w:bookmarkStart w:id="73" w:name="_Toc1191293835"/>
      <w:bookmarkStart w:id="74" w:name="_Toc13351"/>
      <w:r>
        <w:rPr>
          <w:rFonts w:hint="eastAsia" w:ascii="仿宋_GB2312" w:hAnsi="仿宋_GB2312" w:eastAsia="仿宋_GB2312" w:cs="仿宋_GB2312"/>
        </w:rPr>
        <w:t>第二章 投标文件内容及格式</w:t>
      </w:r>
      <w:bookmarkEnd w:id="71"/>
      <w:bookmarkEnd w:id="72"/>
      <w:bookmarkEnd w:id="73"/>
      <w:bookmarkEnd w:id="74"/>
    </w:p>
    <w:p>
      <w:pPr>
        <w:rPr>
          <w:rFonts w:ascii="仿宋_GB2312" w:hAnsi="仿宋_GB2312" w:eastAsia="仿宋_GB2312" w:cs="仿宋_GB2312"/>
          <w:b/>
          <w:sz w:val="24"/>
        </w:rPr>
      </w:pPr>
      <w:bookmarkStart w:id="75" w:name="sys_投标文件内容及格式：Block"/>
      <w:bookmarkEnd w:id="75"/>
      <w:bookmarkStart w:id="76" w:name="投标文件内容及格式：Block"/>
      <w:bookmarkEnd w:id="76"/>
      <w:bookmarkStart w:id="77" w:name="_Toc2481_WPSOffice_Level2"/>
      <w:bookmarkStart w:id="78" w:name="_Toc1538_WPSOffice_Level2"/>
      <w:r>
        <w:rPr>
          <w:rFonts w:hint="eastAsia" w:ascii="仿宋_GB2312" w:hAnsi="仿宋_GB2312" w:eastAsia="仿宋_GB2312" w:cs="仿宋_GB2312"/>
          <w:b/>
          <w:sz w:val="24"/>
        </w:rPr>
        <w:t>一、投标文件的外封面、封口、封皮及目录</w:t>
      </w:r>
      <w:bookmarkEnd w:id="77"/>
      <w:bookmarkEnd w:id="78"/>
    </w:p>
    <w:tbl>
      <w:tblPr>
        <w:tblStyle w:val="20"/>
        <w:tblW w:w="8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53"/>
        <w:gridCol w:w="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blHeader/>
        </w:trPr>
        <w:tc>
          <w:tcPr>
            <w:tcW w:w="677"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53"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内容</w:t>
            </w:r>
          </w:p>
        </w:tc>
        <w:tc>
          <w:tcPr>
            <w:tcW w:w="789"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53" w:type="dxa"/>
            <w:noWrap w:val="0"/>
            <w:vAlign w:val="center"/>
          </w:tcPr>
          <w:p>
            <w:pPr>
              <w:widowControl/>
              <w:adjustRightInd w:val="0"/>
              <w:snapToGrid w:val="0"/>
              <w:jc w:val="left"/>
              <w:rPr>
                <w:rFonts w:ascii="仿宋_GB2312" w:hAnsi="仿宋_GB2312" w:eastAsia="仿宋_GB2312" w:cs="仿宋_GB2312"/>
                <w:b/>
                <w:kern w:val="0"/>
                <w:szCs w:val="21"/>
              </w:rPr>
            </w:pPr>
            <w:r>
              <w:rPr>
                <w:rFonts w:hint="eastAsia" w:ascii="仿宋_GB2312" w:hAnsi="仿宋_GB2312" w:eastAsia="仿宋_GB2312" w:cs="仿宋_GB2312"/>
                <w:kern w:val="0"/>
                <w:szCs w:val="21"/>
                <w:lang w:eastAsia="zh-CN"/>
              </w:rPr>
              <w:t>备份</w:t>
            </w:r>
            <w:r>
              <w:rPr>
                <w:rFonts w:hint="eastAsia" w:ascii="仿宋_GB2312" w:hAnsi="仿宋_GB2312" w:eastAsia="仿宋_GB2312" w:cs="仿宋_GB2312"/>
                <w:kern w:val="0"/>
                <w:szCs w:val="21"/>
              </w:rPr>
              <w:t>投标文件的外封面及封口</w:t>
            </w:r>
          </w:p>
        </w:tc>
        <w:tc>
          <w:tcPr>
            <w:tcW w:w="789"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53" w:type="dxa"/>
            <w:noWrap w:val="0"/>
            <w:vAlign w:val="center"/>
          </w:tcPr>
          <w:p>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投标文件的封皮</w:t>
            </w:r>
          </w:p>
        </w:tc>
        <w:tc>
          <w:tcPr>
            <w:tcW w:w="789"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77"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53" w:type="dxa"/>
            <w:noWrap w:val="0"/>
            <w:vAlign w:val="center"/>
          </w:tcPr>
          <w:p>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投标文件的目录</w:t>
            </w:r>
          </w:p>
        </w:tc>
        <w:tc>
          <w:tcPr>
            <w:tcW w:w="789" w:type="dxa"/>
            <w:noWrap w:val="0"/>
            <w:vAlign w:val="center"/>
          </w:tcPr>
          <w:p>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r>
    </w:tbl>
    <w:p>
      <w:pPr>
        <w:snapToGrid w:val="0"/>
        <w:spacing w:before="159" w:beforeLines="50"/>
        <w:rPr>
          <w:rFonts w:ascii="仿宋_GB2312" w:hAnsi="仿宋_GB2312" w:eastAsia="仿宋_GB2312" w:cs="仿宋_GB2312"/>
          <w:b/>
          <w:sz w:val="24"/>
        </w:rPr>
      </w:pPr>
      <w:bookmarkStart w:id="79" w:name="_Toc1266_WPSOffice_Level2"/>
      <w:bookmarkStart w:id="80" w:name="_Toc31052_WPSOffice_Level2"/>
      <w:r>
        <w:rPr>
          <w:rFonts w:hint="eastAsia" w:ascii="仿宋_GB2312" w:hAnsi="仿宋_GB2312" w:eastAsia="仿宋_GB2312" w:cs="仿宋_GB2312"/>
          <w:b/>
          <w:sz w:val="24"/>
        </w:rPr>
        <w:t>二、资格证明材料</w:t>
      </w:r>
      <w:bookmarkEnd w:id="79"/>
      <w:bookmarkEnd w:id="80"/>
      <w:r>
        <w:rPr>
          <w:rFonts w:hint="eastAsia" w:ascii="仿宋_GB2312" w:hAnsi="仿宋_GB2312" w:eastAsia="仿宋_GB2312" w:cs="仿宋_GB2312"/>
          <w:b/>
          <w:sz w:val="24"/>
        </w:rPr>
        <w:t>（有一项不符合要求，不能进入下一阶段评审）</w:t>
      </w:r>
    </w:p>
    <w:tbl>
      <w:tblPr>
        <w:tblStyle w:val="20"/>
        <w:tblW w:w="8339" w:type="dxa"/>
        <w:tblInd w:w="0" w:type="dxa"/>
        <w:tblLayout w:type="fixed"/>
        <w:tblCellMar>
          <w:top w:w="0" w:type="dxa"/>
          <w:left w:w="0" w:type="dxa"/>
          <w:bottom w:w="0" w:type="dxa"/>
          <w:right w:w="0" w:type="dxa"/>
        </w:tblCellMar>
      </w:tblPr>
      <w:tblGrid>
        <w:gridCol w:w="666"/>
        <w:gridCol w:w="6924"/>
        <w:gridCol w:w="749"/>
      </w:tblGrid>
      <w:tr>
        <w:tblPrEx>
          <w:tblCellMar>
            <w:top w:w="0" w:type="dxa"/>
            <w:left w:w="0" w:type="dxa"/>
            <w:bottom w:w="0" w:type="dxa"/>
            <w:right w:w="0" w:type="dxa"/>
          </w:tblCellMar>
        </w:tblPrEx>
        <w:trPr>
          <w:trHeight w:val="312" w:hRule="atLeast"/>
          <w:tblHeader/>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bookmarkStart w:id="81" w:name="资格性证明材料：Document"/>
            <w:bookmarkStart w:id="82" w:name="sys_资格性证明材料：Document"/>
            <w:r>
              <w:rPr>
                <w:rFonts w:hint="eastAsia" w:ascii="仿宋_GB2312" w:hAnsi="仿宋_GB2312" w:eastAsia="仿宋_GB2312" w:cs="仿宋_GB2312"/>
                <w:szCs w:val="21"/>
              </w:rPr>
              <w:t>序号</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资格性证明材料</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格式</w:t>
            </w:r>
          </w:p>
        </w:tc>
      </w:tr>
      <w:tr>
        <w:tblPrEx>
          <w:tblCellMar>
            <w:top w:w="0" w:type="dxa"/>
            <w:left w:w="0" w:type="dxa"/>
            <w:bottom w:w="0" w:type="dxa"/>
            <w:right w:w="0" w:type="dxa"/>
          </w:tblCellMar>
        </w:tblPrEx>
        <w:trPr>
          <w:trHeight w:val="916"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营业执照或事业单位法人证书或执业许可证等证明文件复印件或自然人的身份证明复印件（自然人身份证明仅在自然人作为投标主体时适用）</w:t>
            </w:r>
          </w:p>
          <w:p>
            <w:pPr>
              <w:adjustRightInd w:val="0"/>
              <w:snapToGrid w:val="0"/>
              <w:jc w:val="left"/>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联合体各方均需提供上述证明（如适用）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p>
        </w:tc>
      </w:tr>
      <w:tr>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组织机构代码证复印件（三证合一的不需提供）</w:t>
            </w:r>
          </w:p>
          <w:p>
            <w:pPr>
              <w:widowControl/>
              <w:adjustRightInd w:val="0"/>
              <w:snapToGrid w:val="0"/>
              <w:jc w:val="left"/>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联合体各方均需提供上述证明（如适用）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p>
        </w:tc>
      </w:tr>
      <w:tr>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adjustRightInd w:val="0"/>
              <w:snapToGrid w:val="0"/>
              <w:jc w:val="left"/>
              <w:rPr>
                <w:rFonts w:ascii="仿宋_GB2312" w:hAnsi="仿宋_GB2312" w:eastAsia="仿宋_GB2312" w:cs="仿宋_GB2312"/>
                <w:color w:val="auto"/>
                <w:szCs w:val="21"/>
              </w:rPr>
            </w:pPr>
            <w:r>
              <w:rPr>
                <w:rFonts w:hint="eastAsia" w:ascii="仿宋_GB2312" w:hAnsi="仿宋_GB2312" w:eastAsia="仿宋_GB2312" w:cs="仿宋_GB2312"/>
                <w:color w:val="auto"/>
                <w:szCs w:val="21"/>
              </w:rPr>
              <w:t>税务登记证复印件（三证合一的不需提供）</w:t>
            </w:r>
          </w:p>
          <w:p>
            <w:pPr>
              <w:widowControl/>
              <w:adjustRightInd w:val="0"/>
              <w:snapToGrid w:val="0"/>
              <w:jc w:val="left"/>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联合体各方均需提供上述证明（如适用）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p>
        </w:tc>
      </w:tr>
      <w:tr>
        <w:tblPrEx>
          <w:tblCellMar>
            <w:top w:w="0" w:type="dxa"/>
            <w:left w:w="0" w:type="dxa"/>
            <w:bottom w:w="0" w:type="dxa"/>
            <w:right w:w="0" w:type="dxa"/>
          </w:tblCellMar>
        </w:tblPrEx>
        <w:trPr>
          <w:trHeight w:val="312"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snapToGrid w:val="0"/>
              <w:jc w:val="left"/>
              <w:rPr>
                <w:rFonts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法定代表人（或非法人组织负责人）身份证明书（自然人参加的无需提供）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r>
      <w:tr>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napToGrid w:val="0"/>
              <w:jc w:val="left"/>
              <w:rPr>
                <w:rFonts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法定代表人（或非法人组织负责人）授权委托书（授权委托人参加的须提供）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r>
      <w:tr>
        <w:tblPrEx>
          <w:tblCellMar>
            <w:top w:w="0" w:type="dxa"/>
            <w:left w:w="0" w:type="dxa"/>
            <w:bottom w:w="0" w:type="dxa"/>
            <w:right w:w="0" w:type="dxa"/>
          </w:tblCellMar>
        </w:tblPrEx>
        <w:trPr>
          <w:trHeight w:val="518"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adjustRightInd w:val="0"/>
              <w:snapToGrid w:val="0"/>
              <w:jc w:val="left"/>
              <w:rPr>
                <w:rFonts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lang w:eastAsia="zh-CN"/>
              </w:rPr>
              <w:t>资格证明材料承诺函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r>
      <w:tr>
        <w:tblPrEx>
          <w:tblCellMar>
            <w:top w:w="0" w:type="dxa"/>
            <w:left w:w="0" w:type="dxa"/>
            <w:bottom w:w="0" w:type="dxa"/>
            <w:right w:w="0" w:type="dxa"/>
          </w:tblCellMar>
        </w:tblPrEx>
        <w:trPr>
          <w:trHeight w:val="560"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adjustRightInd w:val="0"/>
              <w:snapToGrid w:val="0"/>
              <w:jc w:val="left"/>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szCs w:val="21"/>
              </w:rPr>
              <w:t>其它资格证明文件（如适用，按供应商须知表1.3.4要求描述）</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p>
        </w:tc>
      </w:tr>
      <w:tr>
        <w:tblPrEx>
          <w:tblCellMar>
            <w:top w:w="0" w:type="dxa"/>
            <w:left w:w="0" w:type="dxa"/>
            <w:bottom w:w="0" w:type="dxa"/>
            <w:right w:w="0" w:type="dxa"/>
          </w:tblCellMar>
        </w:tblPrEx>
        <w:trPr>
          <w:trHeight w:val="585"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napToGrid w:val="0"/>
              <w:jc w:val="left"/>
              <w:rPr>
                <w:rFonts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信用记录（采购人或采购代理机构将按照采购文件规定的审查期间内进行查询）</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adjustRightInd w:val="0"/>
              <w:snapToGrid w:val="0"/>
              <w:jc w:val="center"/>
              <w:rPr>
                <w:rFonts w:ascii="仿宋_GB2312" w:hAnsi="仿宋_GB2312" w:eastAsia="仿宋_GB2312" w:cs="仿宋_GB2312"/>
                <w:szCs w:val="21"/>
              </w:rPr>
            </w:pPr>
          </w:p>
        </w:tc>
      </w:tr>
    </w:tbl>
    <w:p>
      <w:pPr>
        <w:snapToGrid w:val="0"/>
        <w:spacing w:before="159" w:beforeLines="50"/>
        <w:rPr>
          <w:rFonts w:ascii="仿宋_GB2312" w:hAnsi="仿宋_GB2312" w:eastAsia="仿宋_GB2312" w:cs="仿宋_GB2312"/>
          <w:b/>
          <w:sz w:val="24"/>
        </w:rPr>
      </w:pPr>
      <w:bookmarkStart w:id="83" w:name="_Toc22359_WPSOffice_Level2"/>
      <w:bookmarkStart w:id="84" w:name="_Toc25206_WPSOffice_Level2"/>
      <w:r>
        <w:rPr>
          <w:rFonts w:hint="eastAsia" w:ascii="仿宋_GB2312" w:hAnsi="仿宋_GB2312" w:eastAsia="仿宋_GB2312" w:cs="仿宋_GB2312"/>
          <w:b/>
          <w:sz w:val="24"/>
        </w:rPr>
        <w:t>三、符合性证明材料</w:t>
      </w:r>
      <w:bookmarkEnd w:id="83"/>
      <w:bookmarkEnd w:id="84"/>
      <w:r>
        <w:rPr>
          <w:rFonts w:hint="eastAsia" w:ascii="仿宋_GB2312" w:hAnsi="仿宋_GB2312" w:eastAsia="仿宋_GB2312" w:cs="仿宋_GB2312"/>
          <w:b/>
          <w:sz w:val="24"/>
        </w:rPr>
        <w:t>（有一项不符合要求，不能进入下一阶段评审）</w:t>
      </w:r>
    </w:p>
    <w:bookmarkEnd w:id="81"/>
    <w:bookmarkEnd w:id="82"/>
    <w:tbl>
      <w:tblPr>
        <w:tblStyle w:val="20"/>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blHeader/>
        </w:trPr>
        <w:tc>
          <w:tcPr>
            <w:tcW w:w="682"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57"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符合性证明材料</w:t>
            </w:r>
          </w:p>
        </w:tc>
        <w:tc>
          <w:tcPr>
            <w:tcW w:w="770"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57" w:type="dxa"/>
            <w:noWrap w:val="0"/>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投标函</w:t>
            </w:r>
          </w:p>
        </w:tc>
        <w:tc>
          <w:tcPr>
            <w:tcW w:w="770" w:type="dxa"/>
            <w:noWrap w:val="0"/>
            <w:vAlign w:val="center"/>
          </w:tcPr>
          <w:p>
            <w:pPr>
              <w:adjustRightInd w:val="0"/>
              <w:snapToGrid w:val="0"/>
              <w:jc w:val="center"/>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2</w:t>
            </w:r>
          </w:p>
        </w:tc>
        <w:tc>
          <w:tcPr>
            <w:tcW w:w="6957" w:type="dxa"/>
            <w:noWrap w:val="0"/>
            <w:vAlign w:val="center"/>
          </w:tcPr>
          <w:p>
            <w:pPr>
              <w:adjustRightInd w:val="0"/>
              <w:snapToGrid w:val="0"/>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lang w:eastAsia="zh-CN"/>
              </w:rPr>
              <w:t>开标一览表</w:t>
            </w:r>
          </w:p>
        </w:tc>
        <w:tc>
          <w:tcPr>
            <w:tcW w:w="770" w:type="dxa"/>
            <w:noWrap w:val="0"/>
            <w:vAlign w:val="center"/>
          </w:tcPr>
          <w:p>
            <w:pPr>
              <w:adjustRightInd w:val="0"/>
              <w:snapToGrid w:val="0"/>
              <w:jc w:val="center"/>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3</w:t>
            </w:r>
          </w:p>
        </w:tc>
        <w:tc>
          <w:tcPr>
            <w:tcW w:w="6957" w:type="dxa"/>
            <w:noWrap w:val="0"/>
            <w:vAlign w:val="center"/>
          </w:tcPr>
          <w:p>
            <w:pPr>
              <w:adjustRightInd w:val="0"/>
              <w:snapToGrid w:val="0"/>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分项报价表</w:t>
            </w:r>
          </w:p>
        </w:tc>
        <w:tc>
          <w:tcPr>
            <w:tcW w:w="770"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4</w:t>
            </w:r>
          </w:p>
        </w:tc>
        <w:tc>
          <w:tcPr>
            <w:tcW w:w="6957" w:type="dxa"/>
            <w:noWrap w:val="0"/>
            <w:vAlign w:val="center"/>
          </w:tcPr>
          <w:p>
            <w:pPr>
              <w:adjustRightInd w:val="0"/>
              <w:snapToGrid w:val="0"/>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技术规格偏离表</w:t>
            </w:r>
          </w:p>
        </w:tc>
        <w:tc>
          <w:tcPr>
            <w:tcW w:w="770"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5</w:t>
            </w:r>
          </w:p>
        </w:tc>
        <w:tc>
          <w:tcPr>
            <w:tcW w:w="6957" w:type="dxa"/>
            <w:noWrap w:val="0"/>
            <w:vAlign w:val="center"/>
          </w:tcPr>
          <w:p>
            <w:pPr>
              <w:adjustRightInd w:val="0"/>
              <w:snapToGrid w:val="0"/>
              <w:rPr>
                <w:rFonts w:hint="eastAsia"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商务条款偏离表</w:t>
            </w:r>
          </w:p>
        </w:tc>
        <w:tc>
          <w:tcPr>
            <w:tcW w:w="770"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6</w:t>
            </w:r>
          </w:p>
        </w:tc>
        <w:tc>
          <w:tcPr>
            <w:tcW w:w="6957" w:type="dxa"/>
            <w:noWrap w:val="0"/>
            <w:vAlign w:val="center"/>
          </w:tcPr>
          <w:p>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投标人关联单位说明</w:t>
            </w:r>
          </w:p>
        </w:tc>
        <w:tc>
          <w:tcPr>
            <w:tcW w:w="770"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7</w:t>
            </w:r>
          </w:p>
        </w:tc>
        <w:tc>
          <w:tcPr>
            <w:tcW w:w="6957" w:type="dxa"/>
            <w:noWrap w:val="0"/>
            <w:vAlign w:val="center"/>
          </w:tcPr>
          <w:p>
            <w:pPr>
              <w:adjustRightInd w:val="0"/>
              <w:snapToGrid w:val="0"/>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eastAsia="zh-CN"/>
              </w:rPr>
              <w:t>电子投标文件与备份投标文件内容格式一致性承诺函</w:t>
            </w:r>
          </w:p>
        </w:tc>
        <w:tc>
          <w:tcPr>
            <w:tcW w:w="770"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hint="default" w:ascii="仿宋_GB2312" w:hAnsi="仿宋_GB2312" w:eastAsia="仿宋_GB2312" w:cs="仿宋_GB2312"/>
                <w:color w:val="auto"/>
                <w:kern w:val="0"/>
                <w:sz w:val="21"/>
                <w:szCs w:val="21"/>
                <w:lang w:val="en-US" w:eastAsia="zh-CN" w:bidi="ar-SA"/>
              </w:rPr>
            </w:pPr>
            <w:r>
              <w:rPr>
                <w:rFonts w:hint="eastAsia" w:ascii="仿宋_GB2312" w:hAnsi="仿宋_GB2312" w:eastAsia="仿宋_GB2312" w:cs="仿宋_GB2312"/>
                <w:color w:val="auto"/>
                <w:kern w:val="0"/>
                <w:sz w:val="21"/>
                <w:szCs w:val="21"/>
                <w:lang w:val="en-US" w:eastAsia="zh-CN" w:bidi="ar-SA"/>
              </w:rPr>
              <w:t>8</w:t>
            </w:r>
          </w:p>
        </w:tc>
        <w:tc>
          <w:tcPr>
            <w:tcW w:w="6957" w:type="dxa"/>
            <w:noWrap w:val="0"/>
            <w:vAlign w:val="center"/>
          </w:tcPr>
          <w:p>
            <w:pPr>
              <w:adjustRightInd w:val="0"/>
              <w:snapToGrid w:val="0"/>
              <w:rPr>
                <w:rFonts w:hint="eastAsia" w:ascii="仿宋_GB2312" w:hAnsi="仿宋_GB2312" w:eastAsia="仿宋_GB2312" w:cs="仿宋_GB2312"/>
                <w:color w:val="auto"/>
                <w:kern w:val="0"/>
                <w:sz w:val="21"/>
                <w:szCs w:val="21"/>
                <w:lang w:val="en-US" w:eastAsia="zh-CN" w:bidi="ar-SA"/>
              </w:rPr>
            </w:pPr>
            <w:r>
              <w:rPr>
                <w:rFonts w:hint="eastAsia" w:ascii="仿宋_GB2312" w:hAnsi="仿宋_GB2312" w:eastAsia="仿宋_GB2312" w:cs="仿宋_GB2312"/>
                <w:color w:val="auto"/>
                <w:kern w:val="0"/>
                <w:szCs w:val="21"/>
              </w:rPr>
              <w:t>《品目清单》</w:t>
            </w:r>
            <w:r>
              <w:rPr>
                <w:rFonts w:hint="eastAsia" w:ascii="仿宋_GB2312" w:hAnsi="仿宋_GB2312" w:eastAsia="仿宋_GB2312" w:cs="仿宋_GB2312"/>
                <w:strike w:val="0"/>
                <w:dstrike w:val="0"/>
                <w:color w:val="auto"/>
                <w:kern w:val="0"/>
                <w:szCs w:val="21"/>
              </w:rPr>
              <w:t>、国家确定的认证机构出具的、处于有效期之内的《节能产品认证证书》（政府强制采购的节能产品须提供）</w:t>
            </w:r>
            <w:r>
              <w:rPr>
                <w:rFonts w:hint="eastAsia" w:ascii="仿宋_GB2312" w:hAnsi="仿宋_GB2312" w:eastAsia="仿宋_GB2312" w:cs="仿宋_GB2312"/>
                <w:color w:val="auto"/>
                <w:kern w:val="0"/>
                <w:szCs w:val="21"/>
              </w:rPr>
              <w:t>（如适用）</w:t>
            </w:r>
            <w:r>
              <w:rPr>
                <w:rFonts w:hint="eastAsia" w:ascii="仿宋_GB2312" w:hAnsi="仿宋_GB2312" w:eastAsia="仿宋_GB2312" w:cs="仿宋_GB2312"/>
                <w:color w:val="auto"/>
                <w:kern w:val="0"/>
                <w:szCs w:val="21"/>
                <w:lang w:eastAsia="zh-CN"/>
              </w:rPr>
              <w:t>。</w:t>
            </w:r>
          </w:p>
        </w:tc>
        <w:tc>
          <w:tcPr>
            <w:tcW w:w="770" w:type="dxa"/>
            <w:noWrap w:val="0"/>
            <w:vAlign w:val="center"/>
          </w:tcPr>
          <w:p>
            <w:pPr>
              <w:adjustRightInd w:val="0"/>
              <w:snapToGrid w:val="0"/>
              <w:jc w:val="center"/>
              <w:rPr>
                <w:rFonts w:hint="default" w:ascii="仿宋_GB2312" w:hAnsi="仿宋_GB2312" w:eastAsia="仿宋_GB2312" w:cs="仿宋_GB2312"/>
                <w:color w:val="auto"/>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pPr>
              <w:adjustRightInd w:val="0"/>
              <w:snapToGrid w:val="0"/>
              <w:jc w:val="center"/>
              <w:rPr>
                <w:rFonts w:hint="default" w:ascii="仿宋_GB2312" w:hAnsi="仿宋_GB2312" w:eastAsia="仿宋_GB2312" w:cs="仿宋_GB2312"/>
                <w:color w:val="auto"/>
                <w:kern w:val="0"/>
                <w:sz w:val="21"/>
                <w:szCs w:val="21"/>
                <w:lang w:val="en-US" w:eastAsia="zh-CN" w:bidi="ar-SA"/>
              </w:rPr>
            </w:pPr>
            <w:r>
              <w:rPr>
                <w:rFonts w:hint="eastAsia" w:ascii="仿宋_GB2312" w:hAnsi="仿宋_GB2312" w:eastAsia="仿宋_GB2312" w:cs="仿宋_GB2312"/>
                <w:color w:val="auto"/>
                <w:kern w:val="0"/>
                <w:sz w:val="21"/>
                <w:szCs w:val="21"/>
                <w:lang w:val="en-US" w:eastAsia="zh-CN" w:bidi="ar-SA"/>
              </w:rPr>
              <w:t>9</w:t>
            </w:r>
          </w:p>
        </w:tc>
        <w:tc>
          <w:tcPr>
            <w:tcW w:w="6957" w:type="dxa"/>
            <w:noWrap w:val="0"/>
            <w:vAlign w:val="center"/>
          </w:tcPr>
          <w:p>
            <w:pPr>
              <w:adjustRightInd w:val="0"/>
              <w:snapToGrid w:val="0"/>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其他符合性证明材料：</w:t>
            </w:r>
          </w:p>
          <w:p>
            <w:pPr>
              <w:adjustRightInd w:val="0"/>
              <w:snapToGrid w:val="0"/>
              <w:rPr>
                <w:rFonts w:hint="eastAsia" w:ascii="仿宋_GB2312" w:hAnsi="仿宋_GB2312" w:eastAsia="仿宋_GB2312" w:cs="仿宋_GB2312"/>
                <w:color w:val="auto"/>
                <w:kern w:val="0"/>
                <w:sz w:val="21"/>
                <w:szCs w:val="21"/>
                <w:lang w:val="en-US" w:eastAsia="zh-CN" w:bidi="ar-SA"/>
              </w:rPr>
            </w:pPr>
            <w:r>
              <w:rPr>
                <w:rFonts w:hint="eastAsia" w:ascii="仿宋_GB2312" w:hAnsi="仿宋_GB2312" w:eastAsia="仿宋_GB2312" w:cs="仿宋_GB2312"/>
                <w:color w:val="auto"/>
                <w:kern w:val="0"/>
                <w:szCs w:val="21"/>
              </w:rPr>
              <w:t>货物主要技术指标和性能的详细说明（产品技术说明书、技术白皮书、产品彩页等文字资料、图纸和数据均可），备件和专用工具清单、检测报告等（如适用）。</w:t>
            </w:r>
          </w:p>
        </w:tc>
        <w:tc>
          <w:tcPr>
            <w:tcW w:w="770" w:type="dxa"/>
            <w:noWrap w:val="0"/>
            <w:vAlign w:val="center"/>
          </w:tcPr>
          <w:p>
            <w:pPr>
              <w:adjustRightInd w:val="0"/>
              <w:snapToGrid w:val="0"/>
              <w:jc w:val="center"/>
              <w:rPr>
                <w:rFonts w:hint="default" w:ascii="仿宋_GB2312" w:hAnsi="仿宋_GB2312" w:eastAsia="仿宋_GB2312" w:cs="仿宋_GB2312"/>
                <w:color w:val="auto"/>
                <w:kern w:val="0"/>
                <w:sz w:val="21"/>
                <w:szCs w:val="21"/>
                <w:lang w:val="en-US" w:eastAsia="zh-CN" w:bidi="ar-SA"/>
              </w:rPr>
            </w:pPr>
          </w:p>
        </w:tc>
      </w:tr>
    </w:tbl>
    <w:p>
      <w:pPr>
        <w:snapToGrid w:val="0"/>
        <w:spacing w:before="159" w:beforeLines="50"/>
        <w:rPr>
          <w:rFonts w:ascii="仿宋_GB2312" w:hAnsi="仿宋_GB2312" w:eastAsia="仿宋_GB2312" w:cs="仿宋_GB2312"/>
          <w:b/>
          <w:sz w:val="24"/>
        </w:rPr>
      </w:pPr>
      <w:bookmarkStart w:id="85" w:name="_Toc27769_WPSOffice_Level2"/>
      <w:bookmarkStart w:id="86" w:name="_Toc24432_WPSOffice_Level2"/>
      <w:r>
        <w:rPr>
          <w:rFonts w:hint="eastAsia" w:ascii="仿宋_GB2312" w:hAnsi="仿宋_GB2312" w:eastAsia="仿宋_GB2312" w:cs="仿宋_GB2312"/>
          <w:b/>
          <w:sz w:val="24"/>
        </w:rPr>
        <w:t>四、其他材料</w:t>
      </w:r>
      <w:bookmarkEnd w:id="85"/>
      <w:bookmarkEnd w:id="86"/>
      <w:r>
        <w:rPr>
          <w:rFonts w:hint="eastAsia" w:ascii="仿宋_GB2312" w:hAnsi="仿宋_GB2312" w:eastAsia="仿宋_GB2312" w:cs="仿宋_GB2312"/>
          <w:b/>
          <w:sz w:val="24"/>
        </w:rPr>
        <w:t>（如有，请提供；如未提供，投标文件不作无效处理）</w:t>
      </w:r>
    </w:p>
    <w:tbl>
      <w:tblPr>
        <w:tblStyle w:val="20"/>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57"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770" w:type="dxa"/>
            <w:noWrap w:val="0"/>
            <w:vAlign w:val="center"/>
          </w:tcPr>
          <w:p>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noWrap w:val="0"/>
            <w:vAlign w:val="center"/>
          </w:tcPr>
          <w:p>
            <w:pPr>
              <w:adjustRightInd w:val="0"/>
              <w:snapToGrid w:val="0"/>
              <w:jc w:val="center"/>
              <w:rPr>
                <w:rFonts w:hint="eastAsia"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1</w:t>
            </w:r>
          </w:p>
        </w:tc>
        <w:tc>
          <w:tcPr>
            <w:tcW w:w="6957" w:type="dxa"/>
            <w:noWrap w:val="0"/>
            <w:vAlign w:val="center"/>
          </w:tcPr>
          <w:p>
            <w:pPr>
              <w:adjustRightInd w:val="0"/>
              <w:snapToGrid w:val="0"/>
              <w:ind w:left="25" w:leftChars="12"/>
              <w:rPr>
                <w:rFonts w:hint="eastAsia" w:ascii="仿宋_GB2312" w:hAnsi="仿宋_GB2312" w:eastAsia="仿宋_GB2312" w:cs="仿宋_GB2312"/>
                <w:color w:val="auto"/>
                <w:kern w:val="0"/>
                <w:sz w:val="21"/>
                <w:szCs w:val="21"/>
                <w:lang w:val="en-US" w:eastAsia="zh-CN" w:bidi="ar-SA"/>
              </w:rPr>
            </w:pPr>
            <w:r>
              <w:rPr>
                <w:rFonts w:hint="eastAsia" w:ascii="仿宋_GB2312" w:hAnsi="仿宋_GB2312" w:eastAsia="仿宋_GB2312" w:cs="仿宋_GB2312"/>
                <w:color w:val="auto"/>
                <w:kern w:val="0"/>
                <w:szCs w:val="21"/>
              </w:rPr>
              <w:t>中小企业声明函</w:t>
            </w:r>
          </w:p>
        </w:tc>
        <w:tc>
          <w:tcPr>
            <w:tcW w:w="770" w:type="dxa"/>
            <w:noWrap w:val="0"/>
            <w:vAlign w:val="center"/>
          </w:tcPr>
          <w:p>
            <w:pPr>
              <w:adjustRightInd w:val="0"/>
              <w:snapToGrid w:val="0"/>
              <w:jc w:val="center"/>
              <w:rPr>
                <w:rFonts w:hint="eastAsia" w:ascii="仿宋_GB2312" w:hAnsi="仿宋_GB2312" w:eastAsia="仿宋_GB2312" w:cs="仿宋_GB2312"/>
                <w:color w:val="auto"/>
                <w:kern w:val="0"/>
                <w:sz w:val="21"/>
                <w:szCs w:val="21"/>
                <w:lang w:val="en-US" w:eastAsia="zh-CN" w:bidi="ar-SA"/>
              </w:rPr>
            </w:pPr>
            <w:r>
              <w:rPr>
                <w:rFonts w:hint="eastAsia" w:ascii="仿宋_GB2312" w:hAnsi="仿宋_GB2312" w:eastAsia="仿宋_GB2312" w:cs="仿宋_GB2312"/>
                <w:color w:val="auto"/>
                <w:kern w:val="0"/>
                <w:szCs w:val="21"/>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noWrap w:val="0"/>
            <w:vAlign w:val="center"/>
          </w:tcPr>
          <w:p>
            <w:pPr>
              <w:adjustRightInd w:val="0"/>
              <w:snapToGrid w:val="0"/>
              <w:jc w:val="center"/>
              <w:rPr>
                <w:rFonts w:hint="eastAsia" w:ascii="仿宋_GB2312" w:hAnsi="仿宋_GB2312" w:eastAsia="仿宋_GB2312" w:cs="仿宋_GB2312"/>
                <w:color w:val="auto"/>
                <w:kern w:val="0"/>
                <w:sz w:val="21"/>
                <w:szCs w:val="21"/>
                <w:lang w:val="en-US" w:eastAsia="zh-CN" w:bidi="ar-SA"/>
              </w:rPr>
            </w:pPr>
            <w:r>
              <w:rPr>
                <w:rFonts w:hint="eastAsia" w:ascii="仿宋_GB2312" w:hAnsi="仿宋_GB2312" w:eastAsia="仿宋_GB2312" w:cs="仿宋_GB2312"/>
                <w:color w:val="auto"/>
                <w:kern w:val="0"/>
                <w:szCs w:val="21"/>
              </w:rPr>
              <w:t>2</w:t>
            </w:r>
          </w:p>
        </w:tc>
        <w:tc>
          <w:tcPr>
            <w:tcW w:w="6957" w:type="dxa"/>
            <w:noWrap w:val="0"/>
            <w:vAlign w:val="center"/>
          </w:tcPr>
          <w:p>
            <w:pPr>
              <w:adjustRightInd w:val="0"/>
              <w:snapToGrid w:val="0"/>
              <w:ind w:left="25" w:leftChars="12"/>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残疾人福利性单位声明函</w:t>
            </w:r>
          </w:p>
        </w:tc>
        <w:tc>
          <w:tcPr>
            <w:tcW w:w="770" w:type="dxa"/>
            <w:noWrap w:val="0"/>
            <w:vAlign w:val="center"/>
          </w:tcPr>
          <w:p>
            <w:pPr>
              <w:adjustRightInd w:val="0"/>
              <w:snapToGrid w:val="0"/>
              <w:jc w:val="center"/>
              <w:rPr>
                <w:rFonts w:hint="eastAsia"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pPr>
              <w:adjustRightInd w:val="0"/>
              <w:snapToGrid w:val="0"/>
              <w:jc w:val="center"/>
              <w:rPr>
                <w:rFonts w:hint="eastAsia"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3</w:t>
            </w:r>
          </w:p>
        </w:tc>
        <w:tc>
          <w:tcPr>
            <w:tcW w:w="6957" w:type="dxa"/>
            <w:noWrap w:val="0"/>
            <w:vAlign w:val="center"/>
          </w:tcPr>
          <w:p>
            <w:pPr>
              <w:adjustRightInd w:val="0"/>
              <w:snapToGrid w:val="0"/>
              <w:ind w:left="25" w:leftChars="12"/>
              <w:rPr>
                <w:rFonts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监狱企业证明文件</w:t>
            </w:r>
          </w:p>
        </w:tc>
        <w:tc>
          <w:tcPr>
            <w:tcW w:w="770"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pPr>
              <w:adjustRightInd w:val="0"/>
              <w:snapToGrid w:val="0"/>
              <w:jc w:val="center"/>
              <w:rPr>
                <w:rFonts w:hint="eastAsia"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4</w:t>
            </w:r>
          </w:p>
        </w:tc>
        <w:tc>
          <w:tcPr>
            <w:tcW w:w="6957" w:type="dxa"/>
            <w:noWrap w:val="0"/>
            <w:vAlign w:val="center"/>
          </w:tcPr>
          <w:p>
            <w:pPr>
              <w:adjustRightInd w:val="0"/>
              <w:snapToGrid w:val="0"/>
              <w:ind w:left="25" w:leftChars="12"/>
              <w:rPr>
                <w:rFonts w:hint="eastAsia" w:ascii="仿宋_GB2312" w:hAnsi="仿宋_GB2312" w:eastAsia="仿宋_GB2312" w:cs="仿宋_GB2312"/>
                <w:color w:val="auto"/>
                <w:kern w:val="0"/>
                <w:sz w:val="21"/>
                <w:szCs w:val="21"/>
                <w:lang w:val="en-US" w:eastAsia="zh-CN" w:bidi="ar-SA"/>
              </w:rPr>
            </w:pPr>
            <w:r>
              <w:rPr>
                <w:rFonts w:hint="eastAsia" w:ascii="仿宋_GB2312" w:hAnsi="仿宋_GB2312" w:eastAsia="仿宋_GB2312" w:cs="仿宋_GB2312"/>
                <w:color w:val="auto"/>
                <w:szCs w:val="21"/>
              </w:rPr>
              <w:t>进口产品的制造厂家的授权书（如适用）</w:t>
            </w:r>
          </w:p>
        </w:tc>
        <w:tc>
          <w:tcPr>
            <w:tcW w:w="770" w:type="dxa"/>
            <w:noWrap w:val="0"/>
            <w:vAlign w:val="center"/>
          </w:tcPr>
          <w:p>
            <w:pPr>
              <w:adjustRightInd w:val="0"/>
              <w:snapToGrid w:val="0"/>
              <w:jc w:val="center"/>
              <w:rPr>
                <w:rFonts w:hint="default"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Cs w:val="21"/>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5</w:t>
            </w:r>
          </w:p>
        </w:tc>
        <w:tc>
          <w:tcPr>
            <w:tcW w:w="6957" w:type="dxa"/>
            <w:noWrap w:val="0"/>
            <w:vAlign w:val="center"/>
          </w:tcPr>
          <w:p>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列入《辽宁省创新产品和服务目录》内的产品、服务的证明材料（如适用）</w:t>
            </w:r>
          </w:p>
        </w:tc>
        <w:tc>
          <w:tcPr>
            <w:tcW w:w="770"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pPr>
              <w:adjustRightInd w:val="0"/>
              <w:snapToGrid w:val="0"/>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6</w:t>
            </w:r>
          </w:p>
        </w:tc>
        <w:tc>
          <w:tcPr>
            <w:tcW w:w="6957" w:type="dxa"/>
            <w:noWrap w:val="0"/>
            <w:vAlign w:val="center"/>
          </w:tcPr>
          <w:p>
            <w:pPr>
              <w:adjustRightInd w:val="0"/>
              <w:snapToGrid w:val="0"/>
              <w:ind w:left="25" w:leftChars="12"/>
              <w:rPr>
                <w:rFonts w:hint="eastAsia" w:ascii="仿宋_GB2312" w:hAnsi="仿宋_GB2312" w:eastAsia="仿宋_GB2312" w:cs="仿宋_GB2312"/>
                <w:szCs w:val="21"/>
              </w:rPr>
            </w:pPr>
            <w:r>
              <w:rPr>
                <w:rFonts w:hint="eastAsia" w:ascii="仿宋_GB2312" w:hAnsi="仿宋_GB2312" w:eastAsia="仿宋_GB2312" w:cs="仿宋_GB2312"/>
                <w:color w:val="auto"/>
                <w:kern w:val="0"/>
                <w:szCs w:val="21"/>
              </w:rPr>
              <w:t>《品目清单》、国家确定的认证机构出具的、处于有效期之内的《节能产品认证证书》（非政府强制采购的节能产品可以提供） 、《环境标志产品认证证书》</w:t>
            </w:r>
          </w:p>
        </w:tc>
        <w:tc>
          <w:tcPr>
            <w:tcW w:w="770" w:type="dxa"/>
            <w:noWrap w:val="0"/>
            <w:vAlign w:val="center"/>
          </w:tcPr>
          <w:p>
            <w:pPr>
              <w:adjustRightInd w:val="0"/>
              <w:snapToGrid w:val="0"/>
              <w:jc w:val="center"/>
              <w:rPr>
                <w:rFonts w:hint="eastAsia" w:ascii="仿宋_GB2312" w:hAnsi="仿宋_GB2312" w:eastAsia="仿宋_GB2312" w:cs="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82" w:type="dxa"/>
            <w:noWrap w:val="0"/>
            <w:vAlign w:val="center"/>
          </w:tcPr>
          <w:p>
            <w:pPr>
              <w:adjustRightInd w:val="0"/>
              <w:snapToGrid w:val="0"/>
              <w:jc w:val="center"/>
              <w:rPr>
                <w:rFonts w:ascii="仿宋_GB2312" w:hAnsi="仿宋_GB2312" w:eastAsia="仿宋_GB2312" w:cs="仿宋_GB2312"/>
                <w:kern w:val="0"/>
                <w:szCs w:val="21"/>
              </w:rPr>
            </w:pPr>
          </w:p>
        </w:tc>
        <w:tc>
          <w:tcPr>
            <w:tcW w:w="6957" w:type="dxa"/>
            <w:noWrap w:val="0"/>
            <w:vAlign w:val="center"/>
          </w:tcPr>
          <w:p>
            <w:pPr>
              <w:pStyle w:val="42"/>
              <w:adjustRightInd w:val="0"/>
              <w:snapToGrid w:val="0"/>
              <w:ind w:left="25" w:leftChars="12" w:firstLine="0" w:firstLineChars="0"/>
              <w:rPr>
                <w:rFonts w:ascii="仿宋_GB2312" w:hAnsi="仿宋_GB2312" w:eastAsia="仿宋_GB2312" w:cs="仿宋_GB2312"/>
                <w:kern w:val="0"/>
                <w:szCs w:val="21"/>
              </w:rPr>
            </w:pPr>
            <w:r>
              <w:rPr>
                <w:rFonts w:hint="eastAsia" w:ascii="仿宋_GB2312" w:hAnsi="仿宋_GB2312" w:eastAsia="仿宋_GB2312" w:cs="仿宋_GB2312"/>
                <w:kern w:val="0"/>
                <w:szCs w:val="21"/>
              </w:rPr>
              <w:t>......</w:t>
            </w:r>
          </w:p>
        </w:tc>
        <w:tc>
          <w:tcPr>
            <w:tcW w:w="770" w:type="dxa"/>
            <w:noWrap w:val="0"/>
            <w:vAlign w:val="center"/>
          </w:tcPr>
          <w:p>
            <w:pPr>
              <w:adjustRightInd w:val="0"/>
              <w:snapToGrid w:val="0"/>
              <w:jc w:val="center"/>
              <w:rPr>
                <w:rFonts w:ascii="仿宋_GB2312" w:hAnsi="仿宋_GB2312" w:eastAsia="仿宋_GB2312" w:cs="仿宋_GB2312"/>
                <w:kern w:val="0"/>
                <w:szCs w:val="21"/>
              </w:rPr>
            </w:pPr>
          </w:p>
        </w:tc>
      </w:tr>
    </w:tbl>
    <w:p>
      <w:pPr>
        <w:adjustRightInd w:val="0"/>
        <w:snapToGrid w:val="0"/>
        <w:spacing w:line="300" w:lineRule="exact"/>
        <w:ind w:firstLine="480" w:firstLineChars="200"/>
        <w:rPr>
          <w:rFonts w:ascii="仿宋_GB2312" w:hAnsi="仿宋_GB2312" w:eastAsia="仿宋_GB2312" w:cs="仿宋_GB2312"/>
          <w:b/>
          <w:sz w:val="24"/>
        </w:rPr>
      </w:pPr>
      <w:r>
        <w:rPr>
          <w:rFonts w:hint="eastAsia" w:ascii="仿宋_GB2312" w:hAnsi="仿宋_GB2312" w:eastAsia="仿宋_GB2312" w:cs="仿宋_GB2312"/>
          <w:b/>
          <w:sz w:val="24"/>
        </w:rPr>
        <w:t xml:space="preserve"> </w:t>
      </w:r>
      <w:bookmarkStart w:id="87" w:name="_Toc23127_WPSOffice_Level2"/>
      <w:bookmarkStart w:id="88" w:name="_Toc24011_WPSOffice_Level2"/>
      <w:r>
        <w:rPr>
          <w:rFonts w:hint="eastAsia" w:ascii="仿宋_GB2312" w:hAnsi="仿宋_GB2312" w:eastAsia="仿宋_GB2312" w:cs="仿宋_GB2312"/>
          <w:b/>
          <w:sz w:val="24"/>
        </w:rPr>
        <w:t>重要提示：</w:t>
      </w:r>
      <w:bookmarkEnd w:id="87"/>
      <w:bookmarkEnd w:id="88"/>
    </w:p>
    <w:p>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1、投标人提供的证明材料，除需要投标人填报或有特殊说明外，均须按要求提供。</w:t>
      </w:r>
      <w:r>
        <w:rPr>
          <w:rFonts w:hint="eastAsia" w:ascii="仿宋_GB2312" w:hAnsi="仿宋_GB2312" w:eastAsia="仿宋_GB2312" w:cs="仿宋_GB2312"/>
          <w:b/>
          <w:bCs/>
          <w:szCs w:val="21"/>
        </w:rPr>
        <w:t xml:space="preserve"> </w:t>
      </w:r>
    </w:p>
    <w:p>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2、投标人在编制投标文件时，对于给定格式的文件内容，必须按照给定的标准格式进行填报；对于没有给定标准格式的文件内容，可以由投标人自行设计。</w:t>
      </w:r>
    </w:p>
    <w:p>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3、投标文件应用中文书写。投标文件中所附或所引用的材料不是中文时，应附中文译本，并加盖公章（自然人投标的，无需加盖单位公章，需要签字）。</w:t>
      </w:r>
    </w:p>
    <w:p>
      <w:pPr>
        <w:adjustRightInd w:val="0"/>
        <w:snapToGrid w:val="0"/>
        <w:spacing w:line="300" w:lineRule="exact"/>
        <w:ind w:firstLine="420" w:firstLineChars="200"/>
        <w:rPr>
          <w:rFonts w:ascii="仿宋_GB2312" w:hAnsi="仿宋_GB2312" w:eastAsia="仿宋_GB2312" w:cs="仿宋_GB2312"/>
        </w:rPr>
      </w:pPr>
      <w:r>
        <w:rPr>
          <w:rFonts w:hint="eastAsia" w:ascii="仿宋_GB2312" w:hAnsi="仿宋_GB2312" w:eastAsia="仿宋_GB2312" w:cs="仿宋_GB2312"/>
          <w:szCs w:val="21"/>
        </w:rPr>
        <w:t>4、</w:t>
      </w:r>
      <w:r>
        <w:rPr>
          <w:rFonts w:hint="eastAsia" w:ascii="仿宋_GB2312" w:hAnsi="仿宋_GB2312" w:eastAsia="仿宋_GB2312" w:cs="仿宋_GB2312"/>
          <w:b/>
          <w:bCs/>
          <w:szCs w:val="21"/>
        </w:rPr>
        <w:t>“资格证明材料”</w:t>
      </w:r>
      <w:r>
        <w:rPr>
          <w:rFonts w:hint="eastAsia" w:ascii="仿宋_GB2312" w:hAnsi="仿宋_GB2312" w:eastAsia="仿宋_GB2312" w:cs="仿宋_GB2312"/>
        </w:rPr>
        <w:t>所列内容即为采购项目的资格审查条件，有一项不符合要求，不能进入下一阶段评审。</w:t>
      </w:r>
    </w:p>
    <w:p>
      <w:pPr>
        <w:adjustRightInd w:val="0"/>
        <w:snapToGrid w:val="0"/>
        <w:spacing w:line="300" w:lineRule="exact"/>
        <w:ind w:firstLine="420" w:firstLineChars="200"/>
        <w:rPr>
          <w:rFonts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b/>
          <w:bCs/>
          <w:szCs w:val="21"/>
        </w:rPr>
        <w:t>“符合性证明材料”</w:t>
      </w:r>
      <w:r>
        <w:rPr>
          <w:rFonts w:hint="eastAsia" w:ascii="仿宋_GB2312" w:hAnsi="仿宋_GB2312" w:eastAsia="仿宋_GB2312" w:cs="仿宋_GB2312"/>
        </w:rPr>
        <w:t>所列内容即为采购项目的符合性审查条件，有一项不符合要求，不能进入下一阶段评审。</w:t>
      </w:r>
    </w:p>
    <w:p>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rPr>
        <w:t>6、</w:t>
      </w:r>
      <w:r>
        <w:rPr>
          <w:rFonts w:hint="eastAsia" w:ascii="仿宋_GB2312" w:hAnsi="仿宋_GB2312" w:eastAsia="仿宋_GB2312" w:cs="仿宋_GB2312"/>
          <w:szCs w:val="21"/>
        </w:rPr>
        <w:t>“其他材料”</w:t>
      </w:r>
    </w:p>
    <w:p>
      <w:pPr>
        <w:adjustRightInd w:val="0"/>
        <w:snapToGrid w:val="0"/>
        <w:spacing w:line="300" w:lineRule="exact"/>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（1）</w:t>
      </w:r>
      <w:r>
        <w:rPr>
          <w:rFonts w:hint="eastAsia" w:ascii="仿宋_GB2312" w:hAnsi="仿宋_GB2312" w:eastAsia="仿宋_GB2312" w:cs="仿宋_GB2312"/>
          <w:kern w:val="0"/>
          <w:szCs w:val="21"/>
        </w:rPr>
        <w:t>综合评分法：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招标文件要求以及评分细则中各项要求提供相应材料。</w:t>
      </w:r>
    </w:p>
    <w:p>
      <w:pPr>
        <w:adjustRightInd w:val="0"/>
        <w:snapToGrid w:val="0"/>
        <w:spacing w:line="3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w:t>
      </w:r>
      <w:r>
        <w:rPr>
          <w:rFonts w:hint="eastAsia" w:ascii="仿宋_GB2312" w:hAnsi="仿宋_GB2312" w:eastAsia="仿宋_GB2312" w:cs="仿宋_GB2312"/>
          <w:kern w:val="0"/>
          <w:szCs w:val="21"/>
        </w:rPr>
        <w:t>最低评标价法：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招标文件要求提供相应材料。</w:t>
      </w:r>
    </w:p>
    <w:p>
      <w:pPr>
        <w:rPr>
          <w:rFonts w:ascii="仿宋_GB2312" w:hAnsi="仿宋_GB2312" w:eastAsia="仿宋_GB2312" w:cs="仿宋_GB2312"/>
        </w:rPr>
      </w:pPr>
    </w:p>
    <w:p>
      <w:pPr>
        <w:pStyle w:val="5"/>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w:t>
      </w:r>
    </w:p>
    <w:p>
      <w:pPr>
        <w:jc w:val="center"/>
        <w:rPr>
          <w:rFonts w:ascii="仿宋_GB2312" w:hAnsi="仿宋_GB2312" w:eastAsia="仿宋_GB2312" w:cs="仿宋_GB2312"/>
          <w:b/>
          <w:bCs/>
          <w:sz w:val="32"/>
          <w:szCs w:val="32"/>
        </w:rPr>
      </w:pPr>
      <w:bookmarkStart w:id="89" w:name="_Toc21090_WPSOffice_Level2"/>
      <w:bookmarkStart w:id="90" w:name="_Toc26322_WPSOffice_Level2"/>
      <w:r>
        <w:rPr>
          <w:rFonts w:hint="eastAsia" w:ascii="仿宋_GB2312" w:hAnsi="仿宋_GB2312" w:eastAsia="仿宋_GB2312" w:cs="仿宋_GB2312"/>
          <w:b/>
          <w:bCs/>
          <w:sz w:val="32"/>
          <w:szCs w:val="32"/>
          <w:lang w:eastAsia="zh-CN"/>
        </w:rPr>
        <w:t>备份</w:t>
      </w:r>
      <w:r>
        <w:rPr>
          <w:rFonts w:hint="eastAsia" w:ascii="仿宋_GB2312" w:hAnsi="仿宋_GB2312" w:eastAsia="仿宋_GB2312" w:cs="仿宋_GB2312"/>
          <w:b/>
          <w:bCs/>
          <w:sz w:val="32"/>
          <w:szCs w:val="32"/>
        </w:rPr>
        <w:t>投标文件</w:t>
      </w:r>
      <w:r>
        <w:rPr>
          <w:rFonts w:hint="eastAsia" w:ascii="仿宋_GB2312" w:hAnsi="仿宋_GB2312" w:eastAsia="仿宋_GB2312" w:cs="仿宋_GB2312"/>
          <w:b/>
          <w:bCs/>
          <w:sz w:val="32"/>
          <w:szCs w:val="32"/>
          <w:lang w:eastAsia="zh-CN"/>
        </w:rPr>
        <w:t>的外</w:t>
      </w:r>
      <w:r>
        <w:rPr>
          <w:rFonts w:hint="eastAsia" w:ascii="仿宋_GB2312" w:hAnsi="仿宋_GB2312" w:eastAsia="仿宋_GB2312" w:cs="仿宋_GB2312"/>
          <w:b/>
          <w:bCs/>
          <w:sz w:val="32"/>
          <w:szCs w:val="32"/>
        </w:rPr>
        <w:t>封面、封口格式</w:t>
      </w:r>
      <w:bookmarkEnd w:id="89"/>
      <w:bookmarkEnd w:id="90"/>
    </w:p>
    <w:p>
      <w:pPr>
        <w:rPr>
          <w:rFonts w:ascii="仿宋_GB2312" w:hAnsi="仿宋_GB2312" w:eastAsia="仿宋_GB2312" w:cs="仿宋_GB2312"/>
        </w:rPr>
      </w:pPr>
      <w:r>
        <w:rPr>
          <w:rFonts w:hint="eastAsia" w:ascii="仿宋_GB2312" w:hAnsi="仿宋_GB2312" w:eastAsia="仿宋_GB2312" w:cs="仿宋_GB2312"/>
          <w:sz w:val="28"/>
          <w:szCs w:val="28"/>
        </w:rPr>
        <w:t>封面格式：</w:t>
      </w:r>
    </w:p>
    <w:tbl>
      <w:tblPr>
        <w:tblStyle w:val="20"/>
        <w:tblW w:w="596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596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090" w:hRule="atLeast"/>
          <w:jc w:val="center"/>
        </w:trPr>
        <w:tc>
          <w:tcPr>
            <w:tcW w:w="5960" w:type="dxa"/>
            <w:noWrap w:val="0"/>
            <w:vAlign w:val="top"/>
          </w:tcPr>
          <w:p>
            <w:pPr>
              <w:jc w:val="center"/>
              <w:rPr>
                <w:rFonts w:ascii="仿宋_GB2312" w:hAnsi="仿宋_GB2312" w:eastAsia="仿宋_GB2312" w:cs="仿宋_GB2312"/>
                <w:b/>
                <w:bCs/>
              </w:rPr>
            </w:pPr>
          </w:p>
          <w:p>
            <w:pPr>
              <w:jc w:val="center"/>
              <w:rPr>
                <w:rFonts w:ascii="仿宋_GB2312" w:hAnsi="仿宋_GB2312" w:eastAsia="仿宋_GB2312" w:cs="仿宋_GB2312"/>
                <w:b/>
                <w:bCs/>
              </w:rPr>
            </w:pPr>
          </w:p>
          <w:p>
            <w:pPr>
              <w:jc w:val="center"/>
              <w:rPr>
                <w:rFonts w:ascii="仿宋_GB2312" w:hAnsi="仿宋_GB2312" w:eastAsia="仿宋_GB2312" w:cs="仿宋_GB2312"/>
                <w:b/>
                <w:bCs/>
              </w:rPr>
            </w:pPr>
          </w:p>
          <w:p>
            <w:pPr>
              <w:jc w:val="center"/>
              <w:rPr>
                <w:rFonts w:ascii="仿宋_GB2312" w:hAnsi="仿宋_GB2312" w:eastAsia="仿宋_GB2312" w:cs="仿宋_GB2312"/>
                <w:b/>
                <w:bCs/>
              </w:rPr>
            </w:pPr>
          </w:p>
          <w:p>
            <w:pPr>
              <w:jc w:val="center"/>
              <w:rPr>
                <w:rFonts w:ascii="仿宋_GB2312" w:hAnsi="仿宋_GB2312" w:eastAsia="仿宋_GB2312" w:cs="仿宋_GB2312"/>
                <w:b/>
                <w:bCs/>
              </w:rPr>
            </w:pPr>
          </w:p>
          <w:p>
            <w:pPr>
              <w:jc w:val="center"/>
              <w:rPr>
                <w:rFonts w:ascii="仿宋_GB2312" w:hAnsi="仿宋_GB2312" w:eastAsia="仿宋_GB2312" w:cs="仿宋_GB2312"/>
                <w:b/>
                <w:bCs/>
              </w:rPr>
            </w:pPr>
            <w:r>
              <w:rPr>
                <w:rFonts w:hint="eastAsia" w:ascii="仿宋_GB2312" w:hAnsi="仿宋_GB2312" w:eastAsia="仿宋_GB2312" w:cs="仿宋_GB2312"/>
                <w:b/>
                <w:bCs/>
                <w:sz w:val="44"/>
                <w:szCs w:val="52"/>
                <w:lang w:eastAsia="zh-CN"/>
              </w:rPr>
              <w:t>备份</w:t>
            </w:r>
            <w:r>
              <w:rPr>
                <w:rFonts w:hint="eastAsia" w:ascii="仿宋_GB2312" w:hAnsi="仿宋_GB2312" w:eastAsia="仿宋_GB2312" w:cs="仿宋_GB2312"/>
                <w:b/>
                <w:bCs/>
                <w:sz w:val="44"/>
                <w:szCs w:val="52"/>
              </w:rPr>
              <w:t>投标文件</w:t>
            </w: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p>
          <w:p>
            <w:pPr>
              <w:jc w:val="left"/>
              <w:rPr>
                <w:rFonts w:ascii="仿宋_GB2312" w:hAnsi="仿宋_GB2312" w:eastAsia="仿宋_GB2312" w:cs="仿宋_GB2312"/>
              </w:rPr>
            </w:pPr>
            <w:r>
              <w:rPr>
                <w:rFonts w:hint="eastAsia" w:ascii="仿宋_GB2312" w:hAnsi="仿宋_GB2312" w:eastAsia="仿宋_GB2312" w:cs="仿宋_GB2312"/>
              </w:rPr>
              <w:t>所投包号：第  包</w:t>
            </w:r>
          </w:p>
          <w:p>
            <w:pPr>
              <w:jc w:val="left"/>
              <w:rPr>
                <w:rFonts w:ascii="仿宋_GB2312" w:hAnsi="仿宋_GB2312" w:eastAsia="仿宋_GB2312" w:cs="仿宋_GB2312"/>
              </w:rPr>
            </w:pPr>
          </w:p>
          <w:p>
            <w:pPr>
              <w:jc w:val="left"/>
              <w:rPr>
                <w:rFonts w:ascii="仿宋_GB2312" w:hAnsi="仿宋_GB2312" w:eastAsia="仿宋_GB2312" w:cs="仿宋_GB2312"/>
              </w:rPr>
            </w:pPr>
            <w:r>
              <w:rPr>
                <w:rFonts w:hint="eastAsia" w:ascii="仿宋_GB2312" w:hAnsi="仿宋_GB2312" w:eastAsia="仿宋_GB2312" w:cs="仿宋_GB2312"/>
              </w:rPr>
              <w:t>项目名称：</w:t>
            </w:r>
          </w:p>
          <w:p>
            <w:pPr>
              <w:jc w:val="left"/>
              <w:rPr>
                <w:rFonts w:ascii="仿宋_GB2312" w:hAnsi="仿宋_GB2312" w:eastAsia="仿宋_GB2312" w:cs="仿宋_GB2312"/>
              </w:rPr>
            </w:pPr>
          </w:p>
          <w:p>
            <w:pPr>
              <w:jc w:val="left"/>
              <w:rPr>
                <w:rFonts w:ascii="仿宋_GB2312" w:hAnsi="仿宋_GB2312" w:eastAsia="仿宋_GB2312" w:cs="仿宋_GB2312"/>
              </w:rPr>
            </w:pPr>
            <w:r>
              <w:rPr>
                <w:rFonts w:hint="eastAsia" w:ascii="仿宋_GB2312" w:hAnsi="仿宋_GB2312" w:eastAsia="仿宋_GB2312" w:cs="仿宋_GB2312"/>
              </w:rPr>
              <w:t>项目编号：</w:t>
            </w:r>
          </w:p>
          <w:p>
            <w:pPr>
              <w:jc w:val="center"/>
              <w:rPr>
                <w:rFonts w:ascii="仿宋_GB2312" w:hAnsi="仿宋_GB2312" w:eastAsia="仿宋_GB2312" w:cs="仿宋_GB2312"/>
              </w:rPr>
            </w:pPr>
          </w:p>
          <w:p>
            <w:pPr>
              <w:jc w:val="center"/>
              <w:rPr>
                <w:rFonts w:ascii="仿宋_GB2312" w:hAnsi="仿宋_GB2312" w:eastAsia="仿宋_GB2312" w:cs="仿宋_GB2312"/>
              </w:rPr>
            </w:pPr>
          </w:p>
          <w:p>
            <w:pPr>
              <w:jc w:val="center"/>
              <w:rPr>
                <w:rFonts w:ascii="仿宋_GB2312" w:hAnsi="仿宋_GB2312" w:eastAsia="仿宋_GB2312" w:cs="仿宋_GB2312"/>
              </w:rPr>
            </w:pPr>
          </w:p>
          <w:p>
            <w:pPr>
              <w:jc w:val="left"/>
              <w:rPr>
                <w:rFonts w:ascii="仿宋_GB2312" w:hAnsi="仿宋_GB2312" w:eastAsia="仿宋_GB2312" w:cs="仿宋_GB2312"/>
              </w:rPr>
            </w:pPr>
            <w:r>
              <w:rPr>
                <w:rFonts w:hint="eastAsia" w:ascii="仿宋_GB2312" w:hAnsi="仿宋_GB2312" w:eastAsia="仿宋_GB2312" w:cs="仿宋_GB2312"/>
              </w:rPr>
              <w:t>投标人名称（加盖单位公章）</w:t>
            </w:r>
          </w:p>
        </w:tc>
      </w:tr>
    </w:tbl>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r>
        <w:rPr>
          <w:rFonts w:hint="eastAsia" w:ascii="仿宋_GB2312" w:hAnsi="仿宋_GB2312" w:eastAsia="仿宋_GB2312" w:cs="仿宋_GB2312"/>
          <w:sz w:val="24"/>
          <w:szCs w:val="32"/>
        </w:rPr>
        <w:t>封口格式：</w:t>
      </w:r>
    </w:p>
    <w:tbl>
      <w:tblPr>
        <w:tblStyle w:val="20"/>
        <w:tblW w:w="8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8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hAnsi="仿宋_GB2312" w:eastAsia="仿宋_GB2312" w:cs="仿宋_GB2312"/>
              </w:rPr>
            </w:pPr>
            <w:r>
              <w:rPr>
                <w:rFonts w:hint="eastAsia" w:ascii="仿宋_GB2312" w:hAnsi="仿宋_GB2312" w:eastAsia="仿宋_GB2312" w:cs="仿宋_GB2312"/>
              </w:rPr>
              <w:t>——于   年  月  日   时之前不准启封（公章）——</w:t>
            </w:r>
          </w:p>
        </w:tc>
      </w:tr>
    </w:tbl>
    <w:p>
      <w:pPr>
        <w:rPr>
          <w:rFonts w:ascii="仿宋_GB2312" w:hAnsi="仿宋_GB2312" w:eastAsia="仿宋_GB2312" w:cs="仿宋_GB2312"/>
        </w:rPr>
      </w:pPr>
    </w:p>
    <w:p>
      <w:pPr>
        <w:rPr>
          <w:rFonts w:ascii="仿宋_GB2312" w:hAnsi="仿宋_GB2312" w:eastAsia="仿宋_GB2312" w:cs="仿宋_GB2312"/>
        </w:rPr>
      </w:pPr>
    </w:p>
    <w:p>
      <w:pPr>
        <w:pStyle w:val="5"/>
        <w:bidi w:val="0"/>
        <w:jc w:val="left"/>
        <w:rPr>
          <w:rFonts w:ascii="仿宋_GB2312" w:hAnsi="仿宋_GB2312" w:eastAsia="仿宋_GB2312" w:cs="仿宋_GB2312"/>
          <w:szCs w:val="28"/>
        </w:rPr>
      </w:pPr>
      <w:r>
        <w:rPr>
          <w:rFonts w:hint="eastAsia" w:ascii="仿宋_GB2312" w:hAnsi="仿宋_GB2312" w:eastAsia="仿宋_GB2312" w:cs="仿宋_GB2312"/>
          <w:b w:val="0"/>
          <w:sz w:val="28"/>
          <w:szCs w:val="28"/>
        </w:rPr>
        <w:br w:type="page"/>
      </w:r>
      <w:r>
        <w:rPr>
          <w:rFonts w:hint="eastAsia" w:ascii="仿宋_GB2312" w:hAnsi="仿宋_GB2312" w:eastAsia="仿宋_GB2312" w:cs="仿宋_GB2312"/>
          <w:szCs w:val="28"/>
        </w:rPr>
        <w:t>格式2</w:t>
      </w:r>
    </w:p>
    <w:p>
      <w:pPr>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rPr>
        <w:t>投标文件的</w:t>
      </w:r>
      <w:r>
        <w:rPr>
          <w:rFonts w:hint="eastAsia" w:ascii="仿宋_GB2312" w:hAnsi="仿宋_GB2312" w:eastAsia="仿宋_GB2312" w:cs="仿宋_GB2312"/>
          <w:b/>
          <w:bCs/>
          <w:sz w:val="32"/>
          <w:szCs w:val="32"/>
          <w:lang w:val="en-US" w:eastAsia="zh-CN"/>
        </w:rPr>
        <w:t>封面</w:t>
      </w: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jc w:val="center"/>
        <w:rPr>
          <w:rFonts w:ascii="仿宋_GB2312" w:hAnsi="仿宋_GB2312" w:eastAsia="仿宋_GB2312" w:cs="仿宋_GB2312"/>
          <w:b/>
          <w:bCs/>
          <w:sz w:val="52"/>
          <w:szCs w:val="52"/>
        </w:rPr>
      </w:pPr>
      <w:r>
        <w:rPr>
          <w:rFonts w:hint="eastAsia" w:ascii="仿宋_GB2312" w:hAnsi="仿宋_GB2312" w:eastAsia="仿宋_GB2312" w:cs="仿宋_GB2312"/>
          <w:b/>
          <w:bCs/>
          <w:sz w:val="52"/>
          <w:szCs w:val="52"/>
        </w:rPr>
        <w:t>投  标  文  件</w:t>
      </w: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所投包号：第  包</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投标人名称 ：</w:t>
      </w:r>
    </w:p>
    <w:p>
      <w:pPr>
        <w:pStyle w:val="5"/>
        <w:bidi w:val="0"/>
        <w:jc w:val="left"/>
        <w:rPr>
          <w:rFonts w:ascii="仿宋_GB2312" w:hAnsi="仿宋_GB2312" w:eastAsia="仿宋_GB2312" w:cs="仿宋_GB2312"/>
          <w:szCs w:val="28"/>
        </w:rPr>
      </w:pPr>
      <w:r>
        <w:rPr>
          <w:rFonts w:hint="eastAsia" w:ascii="仿宋_GB2312" w:hAnsi="仿宋_GB2312" w:eastAsia="仿宋_GB2312" w:cs="仿宋_GB2312"/>
          <w:sz w:val="28"/>
          <w:szCs w:val="28"/>
        </w:rPr>
        <w:br w:type="page"/>
      </w:r>
      <w:r>
        <w:rPr>
          <w:rFonts w:hint="eastAsia" w:ascii="仿宋_GB2312" w:hAnsi="仿宋_GB2312" w:eastAsia="仿宋_GB2312" w:cs="仿宋_GB2312"/>
          <w:szCs w:val="28"/>
        </w:rPr>
        <w:t>格式3</w:t>
      </w:r>
    </w:p>
    <w:p>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91" w:name="_Toc2304_WPSOffice_Level2"/>
      <w:bookmarkStart w:id="92" w:name="_Toc21414_WPSOffice_Level2"/>
      <w:r>
        <w:rPr>
          <w:rFonts w:hint="eastAsia" w:ascii="仿宋_GB2312" w:hAnsi="仿宋_GB2312" w:eastAsia="仿宋_GB2312" w:cs="仿宋_GB2312"/>
          <w:b/>
          <w:sz w:val="32"/>
          <w:szCs w:val="32"/>
        </w:rPr>
        <w:t>目  录</w:t>
      </w:r>
      <w:bookmarkEnd w:id="91"/>
      <w:bookmarkEnd w:id="92"/>
    </w:p>
    <w:p>
      <w:pPr>
        <w:rPr>
          <w:rFonts w:ascii="仿宋_GB2312" w:hAnsi="仿宋_GB2312" w:eastAsia="仿宋_GB2312" w:cs="仿宋_GB2312"/>
        </w:rPr>
      </w:pPr>
      <w:bookmarkStart w:id="93" w:name="_Toc7636_WPSOffice_Level2"/>
      <w:bookmarkStart w:id="94" w:name="_Toc30940_WPSOffice_Level2"/>
      <w:r>
        <w:rPr>
          <w:rFonts w:hint="eastAsia" w:ascii="仿宋_GB2312" w:hAnsi="仿宋_GB2312" w:eastAsia="仿宋_GB2312" w:cs="仿宋_GB2312"/>
        </w:rPr>
        <w:t>一、资格证明材料</w:t>
      </w:r>
      <w:bookmarkEnd w:id="93"/>
      <w:bookmarkEnd w:id="94"/>
    </w:p>
    <w:p>
      <w:pPr>
        <w:rPr>
          <w:rFonts w:ascii="仿宋_GB2312" w:hAnsi="仿宋_GB2312" w:eastAsia="仿宋_GB2312" w:cs="仿宋_GB2312"/>
        </w:rPr>
      </w:pPr>
      <w:r>
        <w:rPr>
          <w:rFonts w:hint="eastAsia" w:ascii="仿宋_GB2312" w:hAnsi="仿宋_GB2312" w:eastAsia="仿宋_GB2312" w:cs="仿宋_GB2312"/>
        </w:rPr>
        <w:t>……</w:t>
      </w:r>
    </w:p>
    <w:p>
      <w:pPr>
        <w:rPr>
          <w:rFonts w:ascii="仿宋_GB2312" w:hAnsi="仿宋_GB2312" w:eastAsia="仿宋_GB2312" w:cs="仿宋_GB2312"/>
        </w:rPr>
      </w:pPr>
      <w:bookmarkStart w:id="95" w:name="_Toc13950_WPSOffice_Level2"/>
      <w:bookmarkStart w:id="96" w:name="_Toc31702_WPSOffice_Level2"/>
      <w:r>
        <w:rPr>
          <w:rFonts w:hint="eastAsia" w:ascii="仿宋_GB2312" w:hAnsi="仿宋_GB2312" w:eastAsia="仿宋_GB2312" w:cs="仿宋_GB2312"/>
        </w:rPr>
        <w:t>二、符合性证明材料</w:t>
      </w:r>
      <w:bookmarkEnd w:id="95"/>
      <w:bookmarkEnd w:id="96"/>
    </w:p>
    <w:p>
      <w:pPr>
        <w:rPr>
          <w:rFonts w:ascii="仿宋_GB2312" w:hAnsi="仿宋_GB2312" w:eastAsia="仿宋_GB2312" w:cs="仿宋_GB2312"/>
        </w:rPr>
      </w:pPr>
      <w:r>
        <w:rPr>
          <w:rFonts w:hint="eastAsia" w:ascii="仿宋_GB2312" w:hAnsi="仿宋_GB2312" w:eastAsia="仿宋_GB2312" w:cs="仿宋_GB2312"/>
        </w:rPr>
        <w:t>……</w:t>
      </w:r>
    </w:p>
    <w:p>
      <w:pPr>
        <w:rPr>
          <w:rFonts w:ascii="仿宋_GB2312" w:hAnsi="仿宋_GB2312" w:eastAsia="仿宋_GB2312" w:cs="仿宋_GB2312"/>
        </w:rPr>
      </w:pPr>
      <w:bookmarkStart w:id="97" w:name="_Toc14854_WPSOffice_Level2"/>
      <w:bookmarkStart w:id="98" w:name="_Toc9090_WPSOffice_Level2"/>
      <w:r>
        <w:rPr>
          <w:rFonts w:hint="eastAsia" w:ascii="仿宋_GB2312" w:hAnsi="仿宋_GB2312" w:eastAsia="仿宋_GB2312" w:cs="仿宋_GB2312"/>
        </w:rPr>
        <w:t>三、其它材料</w:t>
      </w:r>
      <w:bookmarkEnd w:id="97"/>
      <w:bookmarkEnd w:id="98"/>
    </w:p>
    <w:p>
      <w:pPr>
        <w:rPr>
          <w:rFonts w:ascii="仿宋_GB2312" w:hAnsi="仿宋_GB2312" w:eastAsia="仿宋_GB2312" w:cs="仿宋_GB2312"/>
          <w:szCs w:val="21"/>
        </w:rPr>
      </w:pPr>
      <w:r>
        <w:rPr>
          <w:rFonts w:hint="eastAsia" w:ascii="仿宋_GB2312" w:hAnsi="仿宋_GB2312" w:eastAsia="仿宋_GB2312" w:cs="仿宋_GB2312"/>
          <w:szCs w:val="21"/>
        </w:rPr>
        <w:t>……</w:t>
      </w: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我单位的投标文件由资格证明材料、符合性证明材料和其它材料三部分组成，在此加盖单位公章并由法定代表人（或非法人组织负责人）或其授权委托人签字，保证投标文件中所有材料真实、有效。</w:t>
      </w: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rPr>
          <w:rFonts w:ascii="仿宋_GB2312" w:hAnsi="仿宋_GB2312" w:eastAsia="仿宋_GB2312" w:cs="仿宋_GB2312"/>
        </w:rPr>
      </w:pPr>
    </w:p>
    <w:p>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pStyle w:val="5"/>
        <w:adjustRightInd w:val="0"/>
        <w:snapToGrid w:val="0"/>
        <w:spacing w:before="0" w:after="0" w:line="240" w:lineRule="auto"/>
        <w:jc w:val="left"/>
        <w:rPr>
          <w:rFonts w:ascii="仿宋_GB2312" w:hAnsi="仿宋_GB2312" w:eastAsia="仿宋_GB2312" w:cs="仿宋_GB2312"/>
          <w:b w:val="0"/>
          <w:bCs/>
          <w:sz w:val="32"/>
          <w:szCs w:val="32"/>
        </w:rPr>
      </w:pPr>
      <w:r>
        <w:rPr>
          <w:rFonts w:hint="eastAsia" w:ascii="仿宋_GB2312" w:hAnsi="仿宋_GB2312" w:eastAsia="仿宋_GB2312" w:cs="仿宋_GB2312"/>
        </w:rPr>
        <w:br w:type="page"/>
      </w:r>
      <w:r>
        <w:rPr>
          <w:rFonts w:hint="eastAsia" w:ascii="仿宋_GB2312" w:hAnsi="仿宋_GB2312" w:eastAsia="仿宋_GB2312" w:cs="仿宋_GB2312"/>
          <w:szCs w:val="28"/>
        </w:rPr>
        <w:t>格式4</w:t>
      </w:r>
      <w:bookmarkStart w:id="99" w:name="_Toc16924_WPSOffice_Level2"/>
      <w:bookmarkStart w:id="100" w:name="_Toc3401_WPSOffice_Level2"/>
    </w:p>
    <w:p>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法定代表人（或非法人组织负责人）身份证明书</w:t>
      </w:r>
      <w:bookmarkEnd w:id="99"/>
      <w:bookmarkEnd w:id="100"/>
    </w:p>
    <w:p>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，性别：</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，出生日期：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，现任职务：</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，系</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（投标人名称）的法定代表人（或非法人组织负责人）。</w:t>
      </w:r>
    </w:p>
    <w:p>
      <w:pPr>
        <w:rPr>
          <w:rFonts w:ascii="仿宋_GB2312" w:hAnsi="仿宋_GB2312" w:eastAsia="仿宋_GB2312" w:cs="仿宋_GB2312"/>
          <w:szCs w:val="21"/>
        </w:rPr>
      </w:pPr>
      <w:r>
        <w:rPr>
          <w:rFonts w:hint="eastAsia" w:ascii="仿宋_GB2312" w:hAnsi="仿宋_GB2312" w:eastAsia="仿宋_GB2312" w:cs="仿宋_GB2312"/>
          <w:szCs w:val="21"/>
        </w:rPr>
        <w:t xml:space="preserve">            </w:t>
      </w:r>
    </w:p>
    <w:p>
      <w:pPr>
        <w:rPr>
          <w:rFonts w:ascii="仿宋_GB2312" w:hAnsi="仿宋_GB2312" w:eastAsia="仿宋_GB2312" w:cs="仿宋_GB2312"/>
          <w:szCs w:val="21"/>
        </w:rPr>
      </w:pPr>
      <w:r>
        <w:rPr>
          <w:rFonts w:hint="eastAsia" w:ascii="仿宋_GB2312" w:hAnsi="仿宋_GB2312" w:eastAsia="仿宋_GB2312" w:cs="仿宋_GB2312"/>
          <w:szCs w:val="21"/>
        </w:rPr>
        <w:t>特此证明。</w:t>
      </w: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tbl>
      <w:tblPr>
        <w:tblStyle w:val="2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jc w:val="center"/>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（※法定代表人（或非法人组织负责人）身份证正、反面复印件※）</w:t>
            </w:r>
          </w:p>
        </w:tc>
      </w:tr>
    </w:tbl>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rPr>
          <w:rFonts w:ascii="仿宋_GB2312" w:hAnsi="仿宋_GB2312" w:eastAsia="仿宋_GB2312" w:cs="仿宋_GB2312"/>
          <w:szCs w:val="21"/>
        </w:rPr>
      </w:pPr>
    </w:p>
    <w:p>
      <w:pPr>
        <w:spacing w:line="480" w:lineRule="auto"/>
        <w:rPr>
          <w:rFonts w:ascii="仿宋_GB2312" w:hAnsi="仿宋_GB2312" w:eastAsia="仿宋_GB2312" w:cs="仿宋_GB2312"/>
          <w:u w:val="single"/>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pStyle w:val="5"/>
        <w:bidi w:val="0"/>
        <w:jc w:val="left"/>
        <w:rPr>
          <w:rFonts w:ascii="仿宋_GB2312" w:hAnsi="仿宋_GB2312" w:eastAsia="仿宋_GB2312" w:cs="仿宋_GB2312"/>
          <w:b w:val="0"/>
          <w:bCs/>
          <w:sz w:val="32"/>
          <w:szCs w:val="32"/>
        </w:rPr>
      </w:pPr>
      <w:r>
        <w:rPr>
          <w:rFonts w:hint="eastAsia" w:ascii="仿宋_GB2312" w:hAnsi="仿宋_GB2312" w:eastAsia="仿宋_GB2312" w:cs="仿宋_GB2312"/>
          <w:szCs w:val="21"/>
        </w:rPr>
        <w:br w:type="page"/>
      </w:r>
      <w:r>
        <w:rPr>
          <w:rFonts w:hint="eastAsia" w:ascii="仿宋_GB2312" w:hAnsi="仿宋_GB2312" w:eastAsia="仿宋_GB2312" w:cs="仿宋_GB2312"/>
          <w:szCs w:val="28"/>
        </w:rPr>
        <w:t>格式5</w:t>
      </w:r>
      <w:bookmarkStart w:id="101" w:name="_Toc122_WPSOffice_Level2"/>
      <w:bookmarkStart w:id="102" w:name="_Toc21833_WPSOffice_Level2"/>
    </w:p>
    <w:p>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法定代表人（或非法人组织负责人）授权委托书</w:t>
      </w:r>
      <w:bookmarkEnd w:id="101"/>
      <w:bookmarkEnd w:id="102"/>
    </w:p>
    <w:p>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单位名称：</w:t>
      </w:r>
      <w:r>
        <w:rPr>
          <w:rFonts w:hint="eastAsia" w:ascii="仿宋_GB2312" w:hAnsi="仿宋_GB2312" w:eastAsia="仿宋_GB2312" w:cs="仿宋_GB2312"/>
          <w:szCs w:val="21"/>
          <w:u w:val="single"/>
        </w:rPr>
        <w:t xml:space="preserve">                </w:t>
      </w:r>
    </w:p>
    <w:p>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法定代表人（或非法人组织负责人）姓名：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pPr>
        <w:tabs>
          <w:tab w:val="left" w:pos="5205"/>
        </w:tabs>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住所地：</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rPr>
        <w:tab/>
      </w:r>
    </w:p>
    <w:p>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授权委托人姓名：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工作单位：</w:t>
      </w:r>
      <w:r>
        <w:rPr>
          <w:rFonts w:hint="eastAsia" w:ascii="仿宋_GB2312" w:hAnsi="仿宋_GB2312" w:eastAsia="仿宋_GB2312" w:cs="仿宋_GB2312"/>
          <w:szCs w:val="21"/>
          <w:u w:val="single"/>
        </w:rPr>
        <w:t xml:space="preserve">                  </w:t>
      </w:r>
    </w:p>
    <w:p>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现委托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就</w:t>
      </w:r>
      <w:r>
        <w:rPr>
          <w:rFonts w:hint="eastAsia" w:ascii="仿宋_GB2312" w:hAnsi="仿宋_GB2312" w:eastAsia="仿宋_GB2312" w:cs="仿宋_GB2312"/>
          <w:szCs w:val="21"/>
          <w:u w:val="single"/>
        </w:rPr>
        <w:t>（项目编号、项目名称、包号）</w:t>
      </w:r>
      <w:r>
        <w:rPr>
          <w:rFonts w:hint="eastAsia" w:ascii="仿宋_GB2312" w:hAnsi="仿宋_GB2312" w:eastAsia="仿宋_GB2312" w:cs="仿宋_GB2312"/>
          <w:szCs w:val="21"/>
        </w:rPr>
        <w:t>投标中，以我单位名义处理一切与之有关的事务。</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本授权书于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日签字或盖章生效，无转委托，特此声明。</w:t>
      </w:r>
    </w:p>
    <w:p>
      <w:pPr>
        <w:spacing w:line="360" w:lineRule="auto"/>
        <w:rPr>
          <w:rFonts w:ascii="仿宋_GB2312" w:hAnsi="仿宋_GB2312" w:eastAsia="仿宋_GB2312" w:cs="仿宋_GB2312"/>
          <w:szCs w:val="21"/>
        </w:rPr>
      </w:pPr>
    </w:p>
    <w:tbl>
      <w:tblPr>
        <w:tblStyle w:val="20"/>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pPr>
              <w:jc w:val="center"/>
              <w:rPr>
                <w:rFonts w:ascii="仿宋_GB2312" w:hAnsi="仿宋_GB2312" w:eastAsia="仿宋_GB2312" w:cs="仿宋_GB2312"/>
                <w:szCs w:val="21"/>
              </w:rPr>
            </w:pPr>
            <w:r>
              <w:rPr>
                <w:rFonts w:hint="eastAsia" w:ascii="仿宋_GB2312" w:hAnsi="仿宋_GB2312" w:eastAsia="仿宋_GB2312" w:cs="仿宋_GB2312"/>
                <w:szCs w:val="21"/>
              </w:rPr>
              <w:t>（※授权委托人身份证正、反面复印件※）</w:t>
            </w:r>
          </w:p>
        </w:tc>
      </w:tr>
    </w:tbl>
    <w:p>
      <w:pPr>
        <w:spacing w:line="360" w:lineRule="auto"/>
        <w:rPr>
          <w:rFonts w:ascii="仿宋_GB2312" w:hAnsi="仿宋_GB2312" w:eastAsia="仿宋_GB2312" w:cs="仿宋_GB2312"/>
          <w:szCs w:val="21"/>
        </w:rPr>
      </w:pP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委托人（加盖单位公章）：</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法定代表人（或非法人组织负责人）（签字或盖章）：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授权委托人（签字或盖章）：</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详细通讯地址：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邮政编码 ：</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传        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     话：</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pPr>
        <w:pStyle w:val="5"/>
        <w:adjustRightInd w:val="0"/>
        <w:snapToGrid w:val="0"/>
        <w:spacing w:before="0" w:after="0" w:line="240" w:lineRule="auto"/>
        <w:jc w:val="left"/>
        <w:rPr>
          <w:rFonts w:hint="eastAsia" w:ascii="仿宋_GB2312" w:hAnsi="仿宋_GB2312" w:eastAsia="仿宋_GB2312" w:cs="仿宋_GB2312"/>
          <w:szCs w:val="28"/>
          <w:lang w:eastAsia="zh-CN"/>
        </w:rPr>
      </w:pPr>
      <w:r>
        <w:rPr>
          <w:rFonts w:hint="eastAsia" w:ascii="仿宋_GB2312" w:hAnsi="仿宋_GB2312" w:eastAsia="仿宋_GB2312" w:cs="仿宋_GB2312"/>
          <w:szCs w:val="28"/>
        </w:rPr>
        <w:t>格式</w:t>
      </w:r>
      <w:r>
        <w:rPr>
          <w:rFonts w:hint="eastAsia" w:ascii="仿宋_GB2312" w:hAnsi="仿宋_GB2312" w:eastAsia="仿宋_GB2312" w:cs="仿宋_GB2312"/>
          <w:szCs w:val="28"/>
          <w:lang w:val="en-US" w:eastAsia="zh-CN"/>
        </w:rPr>
        <w:t>6</w:t>
      </w:r>
    </w:p>
    <w:p>
      <w:pPr>
        <w:spacing w:before="319" w:beforeLines="100" w:after="319" w:afterLines="100" w:line="360" w:lineRule="auto"/>
        <w:ind w:right="-21" w:rightChars="-10"/>
        <w:jc w:val="center"/>
        <w:rPr>
          <w:rFonts w:hint="eastAsia" w:ascii="仿宋_GB2312" w:hAnsi="仿宋_GB2312" w:eastAsia="仿宋_GB2312" w:cs="仿宋_GB2312"/>
          <w:b/>
          <w:color w:val="auto"/>
          <w:sz w:val="32"/>
          <w:szCs w:val="32"/>
          <w:highlight w:val="none"/>
          <w:lang w:eastAsia="zh-CN"/>
        </w:rPr>
      </w:pPr>
      <w:r>
        <w:rPr>
          <w:rFonts w:hint="eastAsia" w:ascii="仿宋_GB2312" w:hAnsi="仿宋_GB2312" w:eastAsia="仿宋_GB2312" w:cs="仿宋_GB2312"/>
          <w:b/>
          <w:color w:val="auto"/>
          <w:sz w:val="32"/>
          <w:szCs w:val="32"/>
          <w:highlight w:val="none"/>
          <w:lang w:eastAsia="zh-CN"/>
        </w:rPr>
        <w:t>资格证明材料承诺函</w:t>
      </w:r>
    </w:p>
    <w:p>
      <w:pPr>
        <w:bidi w:val="0"/>
        <w:rPr>
          <w:rFonts w:hint="eastAsia"/>
          <w:color w:val="auto"/>
        </w:rPr>
      </w:pPr>
    </w:p>
    <w:p>
      <w:pPr>
        <w:adjustRightInd w:val="0"/>
        <w:snapToGrid w:val="0"/>
        <w:spacing w:line="360" w:lineRule="auto"/>
        <w:ind w:right="630" w:rightChars="300"/>
        <w:rPr>
          <w:rFonts w:hint="eastAsia" w:ascii="仿宋_GB2312" w:hAnsi="仿宋_GB2312" w:eastAsia="仿宋_GB2312" w:cs="仿宋_GB2312"/>
          <w:color w:val="auto"/>
          <w:szCs w:val="21"/>
          <w:highlight w:val="none"/>
          <w:u w:val="none"/>
        </w:rPr>
      </w:pPr>
      <w:r>
        <w:rPr>
          <w:rFonts w:hint="eastAsia" w:ascii="仿宋_GB2312" w:hAnsi="仿宋_GB2312" w:eastAsia="仿宋_GB2312" w:cs="仿宋_GB2312"/>
          <w:b/>
          <w:color w:val="auto"/>
          <w:highlight w:val="none"/>
          <w:u w:val="none"/>
          <w:lang w:val="en-US" w:eastAsia="zh-CN"/>
        </w:rPr>
        <w:t>朝阳</w:t>
      </w:r>
      <w:r>
        <w:rPr>
          <w:rFonts w:hint="eastAsia" w:ascii="仿宋_GB2312" w:hAnsi="仿宋_GB2312" w:eastAsia="仿宋_GB2312" w:cs="仿宋_GB2312"/>
          <w:b/>
          <w:color w:val="auto"/>
          <w:highlight w:val="none"/>
          <w:u w:val="none"/>
        </w:rPr>
        <w:t>市政府采购中心</w:t>
      </w:r>
      <w:r>
        <w:rPr>
          <w:rFonts w:hint="eastAsia" w:ascii="仿宋_GB2312" w:hAnsi="仿宋_GB2312" w:eastAsia="仿宋_GB2312" w:cs="仿宋_GB2312"/>
          <w:color w:val="auto"/>
          <w:szCs w:val="21"/>
          <w:highlight w:val="none"/>
          <w:u w:val="none"/>
        </w:rPr>
        <w:t>：</w:t>
      </w:r>
    </w:p>
    <w:p>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20" w:firstLineChars="200"/>
        <w:textAlignment w:val="auto"/>
        <w:rPr>
          <w:rFonts w:hint="eastAsia" w:ascii="CESI仿宋-GB2312" w:hAnsi="CESI仿宋-GB2312" w:eastAsia="CESI仿宋-GB2312" w:cs="CESI仿宋-GB2312"/>
          <w:color w:val="auto"/>
          <w:szCs w:val="21"/>
          <w:highlight w:val="none"/>
        </w:rPr>
      </w:pPr>
      <w:r>
        <w:rPr>
          <w:rFonts w:hint="eastAsia" w:ascii="CESI仿宋-GB2312" w:hAnsi="CESI仿宋-GB2312" w:eastAsia="CESI仿宋-GB2312" w:cs="CESI仿宋-GB2312"/>
          <w:color w:val="auto"/>
          <w:szCs w:val="21"/>
          <w:highlight w:val="none"/>
        </w:rPr>
        <w:t>我</w:t>
      </w:r>
      <w:r>
        <w:rPr>
          <w:rFonts w:hint="eastAsia" w:ascii="CESI仿宋-GB2312" w:hAnsi="CESI仿宋-GB2312" w:eastAsia="CESI仿宋-GB2312" w:cs="CESI仿宋-GB2312"/>
          <w:color w:val="auto"/>
          <w:szCs w:val="21"/>
          <w:highlight w:val="none"/>
          <w:lang w:eastAsia="zh-CN"/>
        </w:rPr>
        <w:t>方</w:t>
      </w:r>
      <w:r>
        <w:rPr>
          <w:rFonts w:hint="eastAsia" w:ascii="CESI仿宋-GB2312" w:hAnsi="CESI仿宋-GB2312" w:eastAsia="CESI仿宋-GB2312" w:cs="CESI仿宋-GB2312"/>
          <w:color w:val="auto"/>
          <w:szCs w:val="21"/>
          <w:highlight w:val="none"/>
        </w:rPr>
        <w:t>承诺：</w:t>
      </w:r>
    </w:p>
    <w:p>
      <w:pPr>
        <w:keepNext w:val="0"/>
        <w:keepLines w:val="0"/>
        <w:pageBreakBefore w:val="0"/>
        <w:widowControl w:val="0"/>
        <w:numPr>
          <w:ilvl w:val="0"/>
          <w:numId w:val="5"/>
        </w:numPr>
        <w:kinsoku/>
        <w:wordWrap/>
        <w:overflowPunct/>
        <w:topLinePunct w:val="0"/>
        <w:autoSpaceDE/>
        <w:autoSpaceDN/>
        <w:bidi w:val="0"/>
        <w:adjustRightInd w:val="0"/>
        <w:snapToGrid w:val="0"/>
        <w:spacing w:line="440" w:lineRule="exact"/>
        <w:ind w:right="-21" w:rightChars="-10" w:firstLine="420" w:firstLineChars="200"/>
        <w:textAlignment w:val="auto"/>
        <w:rPr>
          <w:rFonts w:hint="eastAsia" w:ascii="CESI仿宋-GB2312" w:hAnsi="CESI仿宋-GB2312" w:eastAsia="CESI仿宋-GB2312" w:cs="CESI仿宋-GB2312"/>
          <w:color w:val="auto"/>
          <w:szCs w:val="21"/>
          <w:highlight w:val="none"/>
          <w:lang w:eastAsia="zh-CN"/>
        </w:rPr>
      </w:pPr>
      <w:r>
        <w:rPr>
          <w:rFonts w:hint="eastAsia" w:ascii="CESI仿宋-GB2312" w:hAnsi="CESI仿宋-GB2312" w:eastAsia="CESI仿宋-GB2312" w:cs="CESI仿宋-GB2312"/>
          <w:color w:val="auto"/>
          <w:szCs w:val="21"/>
          <w:highlight w:val="none"/>
          <w:lang w:eastAsia="zh-CN"/>
        </w:rPr>
        <w:t>我方具有独立承担民事责任的能力；</w:t>
      </w:r>
    </w:p>
    <w:p>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20" w:firstLineChars="200"/>
        <w:textAlignment w:val="auto"/>
        <w:rPr>
          <w:rFonts w:hint="eastAsia" w:ascii="CESI仿宋-GB2312" w:hAnsi="CESI仿宋-GB2312" w:eastAsia="CESI仿宋-GB2312" w:cs="CESI仿宋-GB2312"/>
          <w:color w:val="auto"/>
          <w:szCs w:val="21"/>
          <w:highlight w:val="none"/>
          <w:lang w:eastAsia="zh-CN"/>
        </w:rPr>
      </w:pPr>
      <w:r>
        <w:rPr>
          <w:rFonts w:hint="eastAsia" w:ascii="CESI仿宋-GB2312" w:hAnsi="CESI仿宋-GB2312" w:eastAsia="CESI仿宋-GB2312" w:cs="CESI仿宋-GB2312"/>
          <w:color w:val="auto"/>
          <w:szCs w:val="21"/>
          <w:highlight w:val="none"/>
          <w:lang w:val="en-US" w:eastAsia="zh-CN"/>
        </w:rPr>
        <w:t>（2）</w:t>
      </w:r>
      <w:r>
        <w:rPr>
          <w:rFonts w:hint="eastAsia" w:ascii="CESI仿宋-GB2312" w:hAnsi="CESI仿宋-GB2312" w:eastAsia="CESI仿宋-GB2312" w:cs="CESI仿宋-GB2312"/>
          <w:color w:val="auto"/>
          <w:szCs w:val="21"/>
          <w:highlight w:val="none"/>
          <w:lang w:eastAsia="zh-CN"/>
        </w:rPr>
        <w:t>我方具有良好的商业信誉和健全的财务会计制度；</w:t>
      </w:r>
    </w:p>
    <w:p>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CESI仿宋-GB2312" w:hAnsi="CESI仿宋-GB2312" w:eastAsia="CESI仿宋-GB2312" w:cs="CESI仿宋-GB2312"/>
          <w:color w:val="auto"/>
          <w:szCs w:val="21"/>
          <w:highlight w:val="none"/>
          <w:lang w:eastAsia="zh-CN"/>
        </w:rPr>
      </w:pPr>
      <w:r>
        <w:rPr>
          <w:rFonts w:hint="eastAsia" w:ascii="CESI仿宋-GB2312" w:hAnsi="CESI仿宋-GB2312" w:eastAsia="CESI仿宋-GB2312" w:cs="CESI仿宋-GB2312"/>
          <w:color w:val="auto"/>
          <w:szCs w:val="21"/>
          <w:highlight w:val="none"/>
          <w:lang w:val="en-US" w:eastAsia="zh-CN"/>
        </w:rPr>
        <w:t>（3）</w:t>
      </w:r>
      <w:r>
        <w:rPr>
          <w:rFonts w:hint="eastAsia" w:ascii="CESI仿宋-GB2312" w:hAnsi="CESI仿宋-GB2312" w:eastAsia="CESI仿宋-GB2312" w:cs="CESI仿宋-GB2312"/>
          <w:color w:val="auto"/>
          <w:szCs w:val="21"/>
          <w:highlight w:val="none"/>
          <w:lang w:eastAsia="zh-CN"/>
        </w:rPr>
        <w:t>我方具有履行合同所必需的设备和专业技术能力；</w:t>
      </w:r>
    </w:p>
    <w:p>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CESI仿宋-GB2312" w:hAnsi="CESI仿宋-GB2312" w:eastAsia="CESI仿宋-GB2312" w:cs="CESI仿宋-GB2312"/>
          <w:color w:val="auto"/>
          <w:szCs w:val="21"/>
          <w:highlight w:val="none"/>
          <w:lang w:eastAsia="zh-CN"/>
        </w:rPr>
      </w:pPr>
      <w:r>
        <w:rPr>
          <w:rFonts w:hint="eastAsia" w:ascii="CESI仿宋-GB2312" w:hAnsi="CESI仿宋-GB2312" w:eastAsia="CESI仿宋-GB2312" w:cs="CESI仿宋-GB2312"/>
          <w:color w:val="auto"/>
          <w:szCs w:val="21"/>
          <w:highlight w:val="none"/>
          <w:lang w:val="en-US" w:eastAsia="zh-CN"/>
        </w:rPr>
        <w:t>（4）</w:t>
      </w:r>
      <w:r>
        <w:rPr>
          <w:rFonts w:hint="eastAsia" w:ascii="CESI仿宋-GB2312" w:hAnsi="CESI仿宋-GB2312" w:eastAsia="CESI仿宋-GB2312" w:cs="CESI仿宋-GB2312"/>
          <w:color w:val="auto"/>
          <w:szCs w:val="21"/>
          <w:highlight w:val="none"/>
          <w:lang w:eastAsia="zh-CN"/>
        </w:rPr>
        <w:t>我方有依法缴纳税收和社会保障资金的良好记录；</w:t>
      </w:r>
    </w:p>
    <w:p>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CESI仿宋-GB2312" w:hAnsi="CESI仿宋-GB2312" w:eastAsia="CESI仿宋-GB2312" w:cs="CESI仿宋-GB2312"/>
          <w:color w:val="auto"/>
          <w:szCs w:val="21"/>
          <w:highlight w:val="none"/>
          <w:lang w:eastAsia="zh-CN"/>
        </w:rPr>
      </w:pPr>
      <w:r>
        <w:rPr>
          <w:rFonts w:hint="eastAsia" w:ascii="CESI仿宋-GB2312" w:hAnsi="CESI仿宋-GB2312" w:eastAsia="CESI仿宋-GB2312" w:cs="CESI仿宋-GB2312"/>
          <w:color w:val="auto"/>
          <w:szCs w:val="21"/>
          <w:highlight w:val="none"/>
          <w:lang w:val="en-US" w:eastAsia="zh-CN"/>
        </w:rPr>
        <w:t>（5）</w:t>
      </w:r>
      <w:r>
        <w:rPr>
          <w:rFonts w:hint="eastAsia" w:ascii="CESI仿宋-GB2312" w:hAnsi="CESI仿宋-GB2312" w:eastAsia="CESI仿宋-GB2312" w:cs="CESI仿宋-GB2312"/>
          <w:color w:val="auto"/>
          <w:szCs w:val="21"/>
          <w:highlight w:val="none"/>
          <w:lang w:eastAsia="zh-CN"/>
        </w:rPr>
        <w:t>我方参加政府采购活动前三年内，在经营活动中没有重大违法记录。</w:t>
      </w:r>
    </w:p>
    <w:p>
      <w:pPr>
        <w:keepNext w:val="0"/>
        <w:keepLines w:val="0"/>
        <w:pageBreakBefore w:val="0"/>
        <w:widowControl w:val="0"/>
        <w:kinsoku/>
        <w:wordWrap/>
        <w:overflowPunct/>
        <w:topLinePunct w:val="0"/>
        <w:autoSpaceDE/>
        <w:autoSpaceDN/>
        <w:bidi w:val="0"/>
        <w:spacing w:line="440" w:lineRule="exact"/>
        <w:ind w:firstLine="420" w:firstLineChars="200"/>
        <w:textAlignment w:val="auto"/>
        <w:rPr>
          <w:rFonts w:hint="eastAsia" w:ascii="CESI仿宋-GB2312" w:hAnsi="CESI仿宋-GB2312" w:eastAsia="CESI仿宋-GB2312" w:cs="CESI仿宋-GB2312"/>
          <w:color w:val="auto"/>
          <w:szCs w:val="21"/>
          <w:highlight w:val="none"/>
          <w:lang w:eastAsia="zh-CN"/>
        </w:rPr>
      </w:pPr>
      <w:r>
        <w:rPr>
          <w:rFonts w:hint="eastAsia" w:ascii="CESI仿宋-GB2312" w:hAnsi="CESI仿宋-GB2312" w:eastAsia="CESI仿宋-GB2312" w:cs="CESI仿宋-GB2312"/>
          <w:color w:val="auto"/>
          <w:szCs w:val="21"/>
          <w:highlight w:val="none"/>
          <w:lang w:eastAsia="zh-CN"/>
        </w:rPr>
        <w:t>（</w:t>
      </w:r>
      <w:r>
        <w:rPr>
          <w:rFonts w:hint="eastAsia" w:ascii="CESI仿宋-GB2312" w:hAnsi="CESI仿宋-GB2312" w:eastAsia="CESI仿宋-GB2312" w:cs="CESI仿宋-GB2312"/>
          <w:color w:val="auto"/>
          <w:szCs w:val="21"/>
          <w:highlight w:val="none"/>
          <w:lang w:val="en-US" w:eastAsia="zh-CN"/>
        </w:rPr>
        <w:t>6</w:t>
      </w:r>
      <w:r>
        <w:rPr>
          <w:rFonts w:hint="eastAsia" w:ascii="CESI仿宋-GB2312" w:hAnsi="CESI仿宋-GB2312" w:eastAsia="CESI仿宋-GB2312" w:cs="CESI仿宋-GB2312"/>
          <w:color w:val="auto"/>
          <w:szCs w:val="21"/>
          <w:highlight w:val="none"/>
          <w:lang w:eastAsia="zh-CN"/>
        </w:rPr>
        <w:t>）</w:t>
      </w:r>
      <w:r>
        <w:rPr>
          <w:rFonts w:hint="eastAsia" w:ascii="CESI仿宋-GB2312" w:hAnsi="CESI仿宋-GB2312" w:eastAsia="CESI仿宋-GB2312" w:cs="CESI仿宋-GB2312"/>
          <w:color w:val="auto"/>
          <w:szCs w:val="21"/>
          <w:highlight w:val="none"/>
          <w:lang w:val="en-US" w:eastAsia="zh-CN"/>
        </w:rPr>
        <w:t>我方</w:t>
      </w:r>
      <w:r>
        <w:rPr>
          <w:rFonts w:hint="eastAsia" w:ascii="CESI仿宋-GB2312" w:hAnsi="CESI仿宋-GB2312" w:eastAsia="CESI仿宋-GB2312" w:cs="CESI仿宋-GB2312"/>
          <w:color w:val="auto"/>
          <w:szCs w:val="21"/>
          <w:highlight w:val="none"/>
          <w:lang w:eastAsia="zh-CN"/>
        </w:rPr>
        <w:t>在参与本项目</w:t>
      </w:r>
      <w:r>
        <w:rPr>
          <w:rFonts w:hint="eastAsia" w:ascii="CESI仿宋-GB2312" w:hAnsi="CESI仿宋-GB2312" w:eastAsia="CESI仿宋-GB2312" w:cs="CESI仿宋-GB2312"/>
          <w:color w:val="auto"/>
          <w:szCs w:val="21"/>
          <w:highlight w:val="none"/>
          <w:lang w:val="en-US" w:eastAsia="zh-CN"/>
        </w:rPr>
        <w:t>采购活动</w:t>
      </w:r>
      <w:r>
        <w:rPr>
          <w:rFonts w:hint="eastAsia" w:ascii="CESI仿宋-GB2312" w:hAnsi="CESI仿宋-GB2312" w:eastAsia="CESI仿宋-GB2312" w:cs="CESI仿宋-GB2312"/>
          <w:color w:val="auto"/>
          <w:szCs w:val="21"/>
          <w:highlight w:val="none"/>
          <w:lang w:eastAsia="zh-CN"/>
        </w:rPr>
        <w:t>时，我单位未被财政部门列入不良行为记录名单。</w:t>
      </w:r>
    </w:p>
    <w:p>
      <w:pPr>
        <w:spacing w:line="360" w:lineRule="auto"/>
        <w:ind w:firstLine="420" w:firstLineChars="200"/>
        <w:rPr>
          <w:rFonts w:hint="eastAsia" w:ascii="CESI仿宋-GB2312" w:hAnsi="CESI仿宋-GB2312" w:eastAsia="CESI仿宋-GB2312" w:cs="CESI仿宋-GB2312"/>
          <w:color w:val="auto"/>
          <w:szCs w:val="21"/>
          <w:highlight w:val="none"/>
          <w:lang w:eastAsia="zh-CN"/>
        </w:rPr>
      </w:pPr>
    </w:p>
    <w:p>
      <w:pPr>
        <w:adjustRightInd w:val="0"/>
        <w:snapToGrid w:val="0"/>
        <w:spacing w:line="360" w:lineRule="auto"/>
        <w:ind w:right="-21" w:rightChars="-10" w:firstLine="420" w:firstLineChars="200"/>
        <w:rPr>
          <w:rFonts w:hint="eastAsia" w:ascii="CESI仿宋-GB2312" w:hAnsi="CESI仿宋-GB2312" w:eastAsia="CESI仿宋-GB2312" w:cs="CESI仿宋-GB2312"/>
          <w:color w:val="auto"/>
          <w:szCs w:val="21"/>
          <w:highlight w:val="none"/>
        </w:rPr>
      </w:pPr>
      <w:r>
        <w:rPr>
          <w:rFonts w:hint="eastAsia" w:ascii="CESI仿宋-GB2312" w:hAnsi="CESI仿宋-GB2312" w:eastAsia="CESI仿宋-GB2312" w:cs="CESI仿宋-GB2312"/>
          <w:color w:val="auto"/>
          <w:szCs w:val="21"/>
          <w:highlight w:val="none"/>
        </w:rPr>
        <w:t>以上承诺，如有违反，愿依照国家相关法律法规处理，并承担由此给采购人带来的损失。</w:t>
      </w:r>
    </w:p>
    <w:p>
      <w:pPr>
        <w:spacing w:line="360" w:lineRule="auto"/>
        <w:ind w:firstLine="420" w:firstLineChars="200"/>
        <w:rPr>
          <w:rFonts w:hint="eastAsia" w:ascii="CESI仿宋-GB2312" w:hAnsi="CESI仿宋-GB2312" w:eastAsia="CESI仿宋-GB2312" w:cs="CESI仿宋-GB2312"/>
          <w:color w:val="auto"/>
          <w:szCs w:val="21"/>
          <w:highlight w:val="yellow"/>
          <w:lang w:eastAsia="zh-CN"/>
        </w:rPr>
      </w:pPr>
    </w:p>
    <w:p>
      <w:pPr>
        <w:rPr>
          <w:color w:val="auto"/>
        </w:rPr>
      </w:pPr>
    </w:p>
    <w:p>
      <w:pPr>
        <w:pStyle w:val="27"/>
        <w:rPr>
          <w:color w:val="auto"/>
        </w:rPr>
      </w:pPr>
    </w:p>
    <w:p>
      <w:pPr>
        <w:pStyle w:val="27"/>
        <w:rPr>
          <w:color w:val="auto"/>
        </w:rPr>
      </w:pPr>
    </w:p>
    <w:p>
      <w:pPr>
        <w:pStyle w:val="27"/>
        <w:ind w:left="0" w:leftChars="0" w:firstLine="0" w:firstLineChars="0"/>
        <w:rPr>
          <w:color w:val="auto"/>
        </w:rPr>
      </w:pPr>
    </w:p>
    <w:p>
      <w:pPr>
        <w:pStyle w:val="27"/>
        <w:rPr>
          <w:color w:val="auto"/>
        </w:rPr>
      </w:pPr>
    </w:p>
    <w:p>
      <w:pPr>
        <w:pStyle w:val="27"/>
        <w:rPr>
          <w:color w:val="auto"/>
        </w:rPr>
      </w:pPr>
    </w:p>
    <w:p>
      <w:pPr>
        <w:pStyle w:val="27"/>
        <w:rPr>
          <w:color w:val="auto"/>
        </w:rPr>
      </w:pPr>
    </w:p>
    <w:p>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投标人名称（加盖单位公章）：</w:t>
      </w:r>
      <w:r>
        <w:rPr>
          <w:rFonts w:hint="eastAsia" w:ascii="仿宋_GB2312" w:hAnsi="仿宋_GB2312" w:eastAsia="仿宋_GB2312" w:cs="仿宋_GB2312"/>
          <w:color w:val="auto"/>
          <w:u w:val="single"/>
        </w:rPr>
        <w:t xml:space="preserve">           </w:t>
      </w:r>
    </w:p>
    <w:p>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法定代表人（或</w:t>
      </w:r>
      <w:r>
        <w:rPr>
          <w:rFonts w:hint="eastAsia" w:ascii="仿宋_GB2312" w:hAnsi="仿宋_GB2312" w:eastAsia="仿宋_GB2312" w:cs="仿宋_GB2312"/>
          <w:color w:val="auto"/>
          <w:szCs w:val="21"/>
        </w:rPr>
        <w:t>非法人组织负责人）或</w:t>
      </w:r>
      <w:r>
        <w:rPr>
          <w:rFonts w:hint="eastAsia" w:ascii="仿宋_GB2312" w:hAnsi="仿宋_GB2312" w:eastAsia="仿宋_GB2312" w:cs="仿宋_GB2312"/>
          <w:color w:val="auto"/>
        </w:rPr>
        <w:t>其</w:t>
      </w:r>
      <w:r>
        <w:rPr>
          <w:rFonts w:hint="eastAsia" w:ascii="仿宋_GB2312" w:hAnsi="仿宋_GB2312" w:eastAsia="仿宋_GB2312" w:cs="仿宋_GB2312"/>
          <w:color w:val="auto"/>
          <w:szCs w:val="21"/>
        </w:rPr>
        <w:t>委托代理人</w:t>
      </w:r>
      <w:r>
        <w:rPr>
          <w:rFonts w:hint="eastAsia" w:ascii="仿宋_GB2312" w:hAnsi="仿宋_GB2312" w:eastAsia="仿宋_GB2312" w:cs="仿宋_GB2312"/>
          <w:color w:val="auto"/>
        </w:rPr>
        <w:t>(签字或盖章)：</w:t>
      </w:r>
      <w:r>
        <w:rPr>
          <w:rFonts w:hint="eastAsia" w:ascii="仿宋_GB2312" w:hAnsi="仿宋_GB2312" w:eastAsia="仿宋_GB2312" w:cs="仿宋_GB2312"/>
          <w:color w:val="auto"/>
          <w:u w:val="single"/>
        </w:rPr>
        <w:t xml:space="preserve">           </w:t>
      </w:r>
    </w:p>
    <w:p>
      <w:pPr>
        <w:spacing w:line="480" w:lineRule="auto"/>
        <w:rPr>
          <w:rFonts w:ascii="仿宋_GB2312" w:hAnsi="仿宋_GB2312" w:eastAsia="仿宋_GB2312" w:cs="仿宋_GB2312"/>
          <w:color w:val="auto"/>
        </w:rPr>
      </w:pPr>
      <w:r>
        <w:rPr>
          <w:rFonts w:hint="eastAsia" w:ascii="仿宋_GB2312" w:hAnsi="仿宋_GB2312" w:eastAsia="仿宋_GB2312" w:cs="仿宋_GB2312"/>
          <w:color w:val="auto"/>
        </w:rPr>
        <w:t>日期：</w:t>
      </w:r>
      <w:r>
        <w:rPr>
          <w:rFonts w:hint="eastAsia" w:ascii="仿宋_GB2312" w:hAnsi="仿宋_GB2312" w:eastAsia="仿宋_GB2312" w:cs="仿宋_GB2312"/>
          <w:color w:val="auto"/>
          <w:u w:val="single"/>
        </w:rPr>
        <w:t xml:space="preserve">                </w:t>
      </w:r>
    </w:p>
    <w:p>
      <w:pPr>
        <w:pStyle w:val="5"/>
        <w:bidi w:val="0"/>
        <w:jc w:val="left"/>
        <w:rPr>
          <w:rFonts w:hint="eastAsia" w:ascii="仿宋_GB2312" w:hAnsi="仿宋_GB2312" w:eastAsia="仿宋_GB2312" w:cs="仿宋_GB2312"/>
          <w:szCs w:val="28"/>
          <w:lang w:eastAsia="zh-CN"/>
        </w:rPr>
      </w:pPr>
      <w:r>
        <w:rPr>
          <w:rFonts w:hint="eastAsia" w:ascii="仿宋_GB2312" w:hAnsi="仿宋_GB2312" w:eastAsia="仿宋_GB2312" w:cs="仿宋_GB2312"/>
          <w:b w:val="0"/>
          <w:sz w:val="28"/>
          <w:szCs w:val="28"/>
        </w:rPr>
        <w:br w:type="page"/>
      </w:r>
      <w:r>
        <w:rPr>
          <w:rFonts w:hint="eastAsia" w:ascii="仿宋_GB2312" w:hAnsi="仿宋_GB2312" w:eastAsia="仿宋_GB2312" w:cs="仿宋_GB2312"/>
          <w:szCs w:val="28"/>
        </w:rPr>
        <w:t>格式</w:t>
      </w:r>
      <w:r>
        <w:rPr>
          <w:rFonts w:hint="eastAsia" w:ascii="仿宋_GB2312" w:hAnsi="仿宋_GB2312" w:eastAsia="仿宋_GB2312" w:cs="仿宋_GB2312"/>
          <w:szCs w:val="28"/>
          <w:lang w:val="en-US" w:eastAsia="zh-CN"/>
        </w:rPr>
        <w:t>7</w:t>
      </w:r>
    </w:p>
    <w:p>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103" w:name="_Toc24841_WPSOffice_Level2"/>
      <w:bookmarkStart w:id="104" w:name="_Toc14782_WPSOffice_Level2"/>
      <w:r>
        <w:rPr>
          <w:rFonts w:hint="eastAsia" w:ascii="仿宋_GB2312" w:hAnsi="仿宋_GB2312" w:eastAsia="仿宋_GB2312" w:cs="仿宋_GB2312"/>
          <w:b/>
          <w:sz w:val="32"/>
          <w:szCs w:val="32"/>
        </w:rPr>
        <w:t>投标函</w:t>
      </w:r>
      <w:bookmarkEnd w:id="103"/>
      <w:bookmarkEnd w:id="104"/>
    </w:p>
    <w:p>
      <w:pPr>
        <w:adjustRightInd w:val="0"/>
        <w:snapToGrid w:val="0"/>
        <w:spacing w:line="360" w:lineRule="auto"/>
        <w:ind w:right="630" w:rightChars="300"/>
        <w:rPr>
          <w:rFonts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w:t>
      </w:r>
    </w:p>
    <w:p>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 xml:space="preserve">    根据贵方</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项目的招标公告</w:t>
      </w:r>
      <w:r>
        <w:rPr>
          <w:rFonts w:hint="eastAsia" w:ascii="仿宋_GB2312" w:hAnsi="仿宋_GB2312" w:eastAsia="仿宋_GB2312" w:cs="仿宋_GB2312"/>
          <w:szCs w:val="21"/>
          <w:u w:val="single"/>
        </w:rPr>
        <w:t>(招标编号)</w:t>
      </w:r>
      <w:r>
        <w:rPr>
          <w:rFonts w:hint="eastAsia" w:ascii="仿宋_GB2312" w:hAnsi="仿宋_GB2312" w:eastAsia="仿宋_GB2312" w:cs="仿宋_GB2312"/>
          <w:szCs w:val="21"/>
        </w:rPr>
        <w:t>,签字代表</w:t>
      </w:r>
      <w:r>
        <w:rPr>
          <w:rFonts w:hint="eastAsia" w:ascii="仿宋_GB2312" w:hAnsi="仿宋_GB2312" w:eastAsia="仿宋_GB2312" w:cs="仿宋_GB2312"/>
          <w:szCs w:val="21"/>
          <w:u w:val="single"/>
        </w:rPr>
        <w:t>(姓名、职务)</w:t>
      </w:r>
      <w:r>
        <w:rPr>
          <w:rFonts w:hint="eastAsia" w:ascii="仿宋_GB2312" w:hAnsi="仿宋_GB2312" w:eastAsia="仿宋_GB2312" w:cs="仿宋_GB2312"/>
          <w:szCs w:val="21"/>
        </w:rPr>
        <w:t>经正式授权并代表投标人</w:t>
      </w:r>
      <w:r>
        <w:rPr>
          <w:rFonts w:hint="eastAsia" w:ascii="仿宋_GB2312" w:hAnsi="仿宋_GB2312" w:eastAsia="仿宋_GB2312" w:cs="仿宋_GB2312"/>
          <w:szCs w:val="21"/>
          <w:u w:val="single"/>
        </w:rPr>
        <w:t>（名称、地址）</w:t>
      </w:r>
      <w:r>
        <w:rPr>
          <w:rFonts w:hint="eastAsia" w:ascii="仿宋_GB2312" w:hAnsi="仿宋_GB2312" w:eastAsia="仿宋_GB2312" w:cs="仿宋_GB2312"/>
          <w:szCs w:val="21"/>
        </w:rPr>
        <w:t>提交</w:t>
      </w:r>
      <w:r>
        <w:rPr>
          <w:rFonts w:hint="eastAsia" w:ascii="仿宋_GB2312" w:hAnsi="仿宋_GB2312" w:eastAsia="仿宋_GB2312" w:cs="仿宋_GB2312"/>
          <w:szCs w:val="21"/>
          <w:lang w:eastAsia="zh-CN"/>
        </w:rPr>
        <w:t>电子投标文件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w:t>
      </w:r>
      <w:r>
        <w:rPr>
          <w:rFonts w:hint="eastAsia" w:ascii="仿宋_GB2312" w:hAnsi="仿宋_GB2312" w:eastAsia="仿宋_GB2312" w:cs="仿宋_GB2312"/>
          <w:szCs w:val="21"/>
          <w:lang w:eastAsia="zh-CN"/>
        </w:rPr>
        <w:t>，备份投标文件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none"/>
          <w:lang w:eastAsia="zh-CN"/>
        </w:rPr>
        <w:t>份</w:t>
      </w:r>
      <w:r>
        <w:rPr>
          <w:rFonts w:hint="eastAsia" w:ascii="仿宋_GB2312" w:hAnsi="仿宋_GB2312" w:eastAsia="仿宋_GB2312" w:cs="仿宋_GB2312"/>
          <w:szCs w:val="21"/>
        </w:rPr>
        <w:t>。</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据此，签字代表宣布同意如下：</w:t>
      </w:r>
    </w:p>
    <w:p>
      <w:pPr>
        <w:numPr>
          <w:ilvl w:val="0"/>
          <w:numId w:val="6"/>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本项目投标总价详见开标一览表。</w:t>
      </w:r>
    </w:p>
    <w:p>
      <w:pPr>
        <w:numPr>
          <w:ilvl w:val="0"/>
          <w:numId w:val="6"/>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本投标有效期为自递交投标文件截止之日起</w:t>
      </w:r>
      <w:r>
        <w:rPr>
          <w:rFonts w:hint="eastAsia" w:ascii="仿宋_GB2312" w:hAnsi="仿宋_GB2312" w:eastAsia="仿宋_GB2312" w:cs="仿宋_GB2312"/>
          <w:szCs w:val="21"/>
          <w:u w:val="single"/>
        </w:rPr>
        <w:t>90</w:t>
      </w:r>
      <w:r>
        <w:rPr>
          <w:rFonts w:hint="eastAsia" w:ascii="仿宋_GB2312" w:hAnsi="仿宋_GB2312" w:eastAsia="仿宋_GB2312" w:cs="仿宋_GB2312"/>
          <w:szCs w:val="21"/>
        </w:rPr>
        <w:t>日历日。</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（3）已详细审查全部招标文件，包括所有补充通知（如果有的话）。</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（4）在规定的开标时间后，遵守招标文件中有关保证金的规定。</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（5）我方不是为本项目提供整体设计、规范编制或者项目管理、监理、检测等服务的供应商，我方不是采购代理机构的附属机构。</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（6）在领取中标通知书的同时按招标文件规定的形式，向采购代理机构一次性支付采购代理服务费（适用于中标人支付采购代理服务费情形）。</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（7）按照贵方可能要求，提供与其投标有关的一切数据或资料，完全理解贵方不一定接受最低价的投标或收到的任何投标。</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（8）按照招标文件的规定履行合同责任和义务。</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（9）我方承诺投标文件中的证明材料真实、合法、有效。</w:t>
      </w:r>
    </w:p>
    <w:p>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其他事项：</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rPr>
      </w:pPr>
    </w:p>
    <w:p>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rPr>
      </w:pPr>
    </w:p>
    <w:p>
      <w:pPr>
        <w:tabs>
          <w:tab w:val="left" w:pos="10467"/>
        </w:tabs>
        <w:adjustRightInd w:val="0"/>
        <w:snapToGrid w:val="0"/>
        <w:spacing w:line="360" w:lineRule="auto"/>
        <w:ind w:right="1050" w:rightChars="500" w:firstLine="476" w:firstLineChars="227"/>
        <w:rPr>
          <w:rFonts w:ascii="仿宋_GB2312" w:hAnsi="仿宋_GB2312" w:eastAsia="仿宋_GB2312" w:cs="仿宋_GB2312"/>
          <w:szCs w:val="21"/>
        </w:rPr>
      </w:pPr>
    </w:p>
    <w:p>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与本项目有关的一切往来通讯请寄</w:t>
      </w:r>
    </w:p>
    <w:p>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传真：</w:t>
      </w:r>
      <w:r>
        <w:rPr>
          <w:rFonts w:hint="eastAsia" w:ascii="仿宋_GB2312" w:hAnsi="仿宋_GB2312" w:eastAsia="仿宋_GB2312" w:cs="仿宋_GB2312"/>
          <w:szCs w:val="21"/>
          <w:u w:val="single"/>
        </w:rPr>
        <w:t xml:space="preserve">                         </w:t>
      </w:r>
    </w:p>
    <w:p>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电话：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电子邮件：</w:t>
      </w:r>
      <w:r>
        <w:rPr>
          <w:rFonts w:hint="eastAsia" w:ascii="仿宋_GB2312" w:hAnsi="仿宋_GB2312" w:eastAsia="仿宋_GB2312" w:cs="仿宋_GB2312"/>
          <w:szCs w:val="21"/>
          <w:u w:val="single"/>
        </w:rPr>
        <w:t xml:space="preserve">                     </w:t>
      </w:r>
    </w:p>
    <w:p>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法定代表人（非法人组织负责人）或其授权委托人（签字或盖章）：</w:t>
      </w:r>
      <w:r>
        <w:rPr>
          <w:rFonts w:hint="eastAsia" w:ascii="仿宋_GB2312" w:hAnsi="仿宋_GB2312" w:eastAsia="仿宋_GB2312" w:cs="仿宋_GB2312"/>
          <w:szCs w:val="21"/>
          <w:u w:val="single"/>
        </w:rPr>
        <w:t xml:space="preserve">       </w:t>
      </w:r>
    </w:p>
    <w:p>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投标人开户银行（全称）：</w:t>
      </w:r>
      <w:r>
        <w:rPr>
          <w:rFonts w:hint="eastAsia" w:ascii="仿宋_GB2312" w:hAnsi="仿宋_GB2312" w:eastAsia="仿宋_GB2312" w:cs="仿宋_GB2312"/>
          <w:szCs w:val="21"/>
          <w:u w:val="single"/>
        </w:rPr>
        <w:t xml:space="preserve">              </w:t>
      </w:r>
    </w:p>
    <w:p>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投标人银行账号：</w:t>
      </w:r>
      <w:r>
        <w:rPr>
          <w:rFonts w:hint="eastAsia" w:ascii="仿宋_GB2312" w:hAnsi="仿宋_GB2312" w:eastAsia="仿宋_GB2312" w:cs="仿宋_GB2312"/>
          <w:szCs w:val="21"/>
          <w:u w:val="single"/>
        </w:rPr>
        <w:t xml:space="preserve">                      </w:t>
      </w:r>
    </w:p>
    <w:p>
      <w:pPr>
        <w:adjustRightInd w:val="0"/>
        <w:snapToGrid w:val="0"/>
        <w:spacing w:line="360" w:lineRule="auto"/>
        <w:ind w:right="1050" w:rightChars="500"/>
        <w:rPr>
          <w:rFonts w:ascii="仿宋_GB2312" w:hAnsi="仿宋_GB2312" w:eastAsia="仿宋_GB2312" w:cs="仿宋_GB2312"/>
          <w:szCs w:val="21"/>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pPr>
        <w:adjustRightInd w:val="0"/>
        <w:snapToGrid w:val="0"/>
        <w:spacing w:line="360" w:lineRule="auto"/>
        <w:ind w:right="1050" w:rightChars="500" w:firstLine="476" w:firstLineChars="227"/>
        <w:rPr>
          <w:rFonts w:ascii="仿宋_GB2312" w:hAnsi="仿宋_GB2312" w:eastAsia="仿宋_GB2312" w:cs="仿宋_GB2312"/>
          <w:szCs w:val="21"/>
        </w:rPr>
      </w:pPr>
    </w:p>
    <w:p>
      <w:pPr>
        <w:pStyle w:val="5"/>
        <w:adjustRightInd w:val="0"/>
        <w:snapToGrid w:val="0"/>
        <w:spacing w:before="0" w:after="0" w:line="240" w:lineRule="auto"/>
        <w:jc w:val="left"/>
        <w:rPr>
          <w:rFonts w:hint="eastAsia" w:ascii="仿宋_GB2312" w:hAnsi="仿宋_GB2312" w:eastAsia="仿宋_GB2312" w:cs="仿宋_GB2312"/>
          <w:szCs w:val="28"/>
          <w:lang w:eastAsia="zh-CN"/>
        </w:rPr>
      </w:pPr>
      <w:r>
        <w:rPr>
          <w:rFonts w:hint="eastAsia" w:ascii="仿宋_GB2312" w:hAnsi="仿宋_GB2312" w:eastAsia="仿宋_GB2312" w:cs="仿宋_GB2312"/>
          <w:szCs w:val="28"/>
        </w:rPr>
        <w:t>格式</w:t>
      </w:r>
      <w:r>
        <w:rPr>
          <w:rFonts w:hint="eastAsia" w:ascii="仿宋_GB2312" w:hAnsi="仿宋_GB2312" w:eastAsia="仿宋_GB2312" w:cs="仿宋_GB2312"/>
          <w:szCs w:val="28"/>
          <w:lang w:val="en-US" w:eastAsia="zh-CN"/>
        </w:rPr>
        <w:t>8</w:t>
      </w:r>
    </w:p>
    <w:p>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05" w:name="_Toc2673_WPSOffice_Level2"/>
      <w:bookmarkStart w:id="106" w:name="_Toc11267_WPSOffice_Level2"/>
      <w:r>
        <w:rPr>
          <w:rFonts w:hint="eastAsia" w:ascii="仿宋_GB2312" w:hAnsi="仿宋_GB2312" w:eastAsia="仿宋_GB2312" w:cs="仿宋_GB2312"/>
          <w:b/>
          <w:bCs/>
          <w:sz w:val="32"/>
          <w:szCs w:val="32"/>
        </w:rPr>
        <w:t>开标一览表</w:t>
      </w:r>
      <w:bookmarkEnd w:id="105"/>
      <w:bookmarkEnd w:id="106"/>
    </w:p>
    <w:p>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w:t>
      </w:r>
      <w:r>
        <w:rPr>
          <w:rFonts w:hint="eastAsia" w:ascii="仿宋_GB2312" w:hAnsi="仿宋_GB2312" w:eastAsia="仿宋_GB2312" w:cs="仿宋_GB2312"/>
          <w:b/>
          <w:bCs/>
          <w:szCs w:val="21"/>
          <w:lang w:val="en-US" w:eastAsia="zh-CN"/>
        </w:rPr>
        <w:t>001</w:t>
      </w:r>
      <w:r>
        <w:rPr>
          <w:rFonts w:hint="eastAsia" w:ascii="仿宋_GB2312" w:hAnsi="仿宋_GB2312" w:eastAsia="仿宋_GB2312" w:cs="仿宋_GB2312"/>
          <w:b/>
          <w:bCs/>
          <w:szCs w:val="21"/>
        </w:rPr>
        <w:t xml:space="preserve">                                                      报价单位：</w:t>
      </w:r>
    </w:p>
    <w:tbl>
      <w:tblPr>
        <w:tblStyle w:val="20"/>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2418"/>
        <w:gridCol w:w="1252"/>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noWrap w:val="0"/>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服务名称</w:t>
            </w:r>
          </w:p>
        </w:tc>
        <w:tc>
          <w:tcPr>
            <w:tcW w:w="2373" w:type="dxa"/>
            <w:noWrap w:val="0"/>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投标总价</w:t>
            </w:r>
          </w:p>
        </w:tc>
        <w:tc>
          <w:tcPr>
            <w:tcW w:w="2418" w:type="dxa"/>
            <w:noWrap w:val="0"/>
            <w:vAlign w:val="center"/>
          </w:tcPr>
          <w:p>
            <w:pPr>
              <w:adjustRightInd w:val="0"/>
              <w:snapToGrid w:val="0"/>
              <w:ind w:right="-33" w:rightChars="-16"/>
              <w:jc w:val="center"/>
              <w:rPr>
                <w:rFonts w:ascii="仿宋_GB2312" w:hAnsi="仿宋_GB2312" w:eastAsia="仿宋_GB2312" w:cs="仿宋_GB2312"/>
                <w:szCs w:val="21"/>
              </w:rPr>
            </w:pPr>
            <w:r>
              <w:rPr>
                <w:rFonts w:hint="eastAsia" w:ascii="仿宋_GB2312" w:hAnsi="仿宋_GB2312" w:eastAsia="仿宋_GB2312" w:cs="仿宋_GB2312"/>
                <w:szCs w:val="21"/>
              </w:rPr>
              <w:t>履约期限</w:t>
            </w:r>
          </w:p>
        </w:tc>
        <w:tc>
          <w:tcPr>
            <w:tcW w:w="1252" w:type="dxa"/>
            <w:noWrap w:val="0"/>
            <w:vAlign w:val="center"/>
          </w:tcPr>
          <w:p>
            <w:pPr>
              <w:adjustRightInd w:val="0"/>
              <w:snapToGrid w:val="0"/>
              <w:ind w:right="-42" w:rightChars="-20"/>
              <w:jc w:val="center"/>
              <w:rPr>
                <w:rFonts w:ascii="仿宋_GB2312" w:hAnsi="仿宋_GB2312" w:eastAsia="仿宋_GB2312" w:cs="仿宋_GB2312"/>
                <w:szCs w:val="21"/>
              </w:rPr>
            </w:pPr>
            <w:r>
              <w:rPr>
                <w:rFonts w:hint="eastAsia" w:ascii="仿宋_GB2312" w:hAnsi="仿宋_GB2312" w:eastAsia="仿宋_GB2312" w:cs="仿宋_GB2312"/>
                <w:szCs w:val="21"/>
              </w:rPr>
              <w:t>履约地点</w:t>
            </w:r>
          </w:p>
        </w:tc>
        <w:tc>
          <w:tcPr>
            <w:tcW w:w="951" w:type="dxa"/>
            <w:noWrap w:val="0"/>
            <w:vAlign w:val="center"/>
          </w:tcPr>
          <w:p>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jc w:val="center"/>
        </w:trPr>
        <w:tc>
          <w:tcPr>
            <w:tcW w:w="1549" w:type="dxa"/>
            <w:noWrap w:val="0"/>
            <w:vAlign w:val="center"/>
          </w:tcPr>
          <w:p>
            <w:pPr>
              <w:adjustRightInd w:val="0"/>
              <w:snapToGrid w:val="0"/>
              <w:ind w:left="-54" w:leftChars="-26" w:right="-46" w:rightChars="-22"/>
              <w:jc w:val="center"/>
              <w:rPr>
                <w:rFonts w:ascii="仿宋_GB2312" w:hAnsi="仿宋_GB2312" w:eastAsia="仿宋_GB2312" w:cs="仿宋_GB2312"/>
                <w:szCs w:val="21"/>
              </w:rPr>
            </w:pPr>
          </w:p>
        </w:tc>
        <w:tc>
          <w:tcPr>
            <w:tcW w:w="2373" w:type="dxa"/>
            <w:noWrap w:val="0"/>
            <w:vAlign w:val="center"/>
          </w:tcPr>
          <w:p>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小写：</w:t>
            </w:r>
          </w:p>
          <w:p>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大写：</w:t>
            </w:r>
          </w:p>
        </w:tc>
        <w:tc>
          <w:tcPr>
            <w:tcW w:w="2418" w:type="dxa"/>
            <w:noWrap w:val="0"/>
            <w:vAlign w:val="center"/>
          </w:tcPr>
          <w:p>
            <w:pPr>
              <w:adjustRightInd w:val="0"/>
              <w:snapToGrid w:val="0"/>
              <w:ind w:left="-54" w:leftChars="-26" w:right="-46" w:rightChars="-22"/>
              <w:jc w:val="center"/>
              <w:rPr>
                <w:rFonts w:ascii="仿宋_GB2312" w:hAnsi="仿宋_GB2312" w:eastAsia="仿宋_GB2312" w:cs="仿宋_GB2312"/>
                <w:szCs w:val="21"/>
              </w:rPr>
            </w:pPr>
          </w:p>
        </w:tc>
        <w:tc>
          <w:tcPr>
            <w:tcW w:w="1252" w:type="dxa"/>
            <w:noWrap w:val="0"/>
            <w:vAlign w:val="center"/>
          </w:tcPr>
          <w:p>
            <w:pPr>
              <w:adjustRightInd w:val="0"/>
              <w:snapToGrid w:val="0"/>
              <w:ind w:left="-54" w:leftChars="-26" w:right="-46" w:rightChars="-22"/>
              <w:jc w:val="center"/>
              <w:rPr>
                <w:rFonts w:ascii="仿宋_GB2312" w:hAnsi="仿宋_GB2312" w:eastAsia="仿宋_GB2312" w:cs="仿宋_GB2312"/>
                <w:szCs w:val="21"/>
              </w:rPr>
            </w:pPr>
          </w:p>
        </w:tc>
        <w:tc>
          <w:tcPr>
            <w:tcW w:w="951" w:type="dxa"/>
            <w:noWrap w:val="0"/>
            <w:vAlign w:val="center"/>
          </w:tcPr>
          <w:p>
            <w:pPr>
              <w:adjustRightInd w:val="0"/>
              <w:snapToGrid w:val="0"/>
              <w:ind w:left="-54" w:leftChars="-26" w:right="-46" w:rightChars="-22"/>
              <w:jc w:val="center"/>
              <w:rPr>
                <w:rFonts w:ascii="仿宋_GB2312" w:hAnsi="仿宋_GB2312" w:eastAsia="仿宋_GB2312" w:cs="仿宋_GB2312"/>
                <w:szCs w:val="21"/>
              </w:rPr>
            </w:pPr>
          </w:p>
        </w:tc>
      </w:tr>
    </w:tbl>
    <w:p>
      <w:pPr>
        <w:adjustRightInd w:val="0"/>
        <w:snapToGrid w:val="0"/>
        <w:spacing w:line="360" w:lineRule="auto"/>
        <w:ind w:right="105" w:rightChars="50" w:firstLine="420" w:firstLineChars="200"/>
        <w:jc w:val="left"/>
        <w:rPr>
          <w:rFonts w:ascii="仿宋_GB2312" w:hAnsi="仿宋_GB2312" w:eastAsia="仿宋_GB2312" w:cs="仿宋_GB2312"/>
          <w:szCs w:val="21"/>
        </w:rPr>
      </w:pPr>
    </w:p>
    <w:p>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注：此表中，投标总价应和服务价格明细表的总价相一致。</w:t>
      </w: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授权委托人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pPr>
        <w:adjustRightInd w:val="0"/>
        <w:snapToGrid w:val="0"/>
        <w:spacing w:line="480" w:lineRule="auto"/>
        <w:ind w:right="1050" w:rightChars="500"/>
        <w:rPr>
          <w:rFonts w:ascii="仿宋_GB2312" w:hAnsi="仿宋_GB2312" w:eastAsia="仿宋_GB2312" w:cs="仿宋_GB2312"/>
          <w:szCs w:val="21"/>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pPr>
        <w:adjustRightInd w:val="0"/>
        <w:snapToGrid w:val="0"/>
        <w:spacing w:line="480" w:lineRule="auto"/>
        <w:ind w:right="1050" w:rightChars="500"/>
        <w:rPr>
          <w:rFonts w:ascii="仿宋_GB2312" w:hAnsi="仿宋_GB2312" w:eastAsia="仿宋_GB2312" w:cs="仿宋_GB2312"/>
          <w:szCs w:val="21"/>
        </w:rPr>
      </w:pPr>
    </w:p>
    <w:p>
      <w:pPr>
        <w:pStyle w:val="5"/>
        <w:bidi w:val="0"/>
        <w:jc w:val="left"/>
        <w:rPr>
          <w:rFonts w:hint="eastAsia" w:ascii="仿宋_GB2312" w:hAnsi="仿宋_GB2312" w:eastAsia="仿宋_GB2312" w:cs="仿宋_GB2312"/>
          <w:szCs w:val="28"/>
          <w:lang w:eastAsia="zh-CN"/>
        </w:rPr>
      </w:pPr>
      <w:r>
        <w:rPr>
          <w:rFonts w:hint="eastAsia" w:ascii="仿宋_GB2312" w:hAnsi="仿宋_GB2312" w:eastAsia="仿宋_GB2312" w:cs="仿宋_GB2312"/>
          <w:szCs w:val="21"/>
        </w:rPr>
        <w:br w:type="page"/>
      </w:r>
      <w:r>
        <w:rPr>
          <w:rFonts w:hint="eastAsia" w:ascii="仿宋_GB2312" w:hAnsi="仿宋_GB2312" w:eastAsia="仿宋_GB2312" w:cs="仿宋_GB2312"/>
          <w:szCs w:val="28"/>
        </w:rPr>
        <w:t>格式</w:t>
      </w:r>
      <w:r>
        <w:rPr>
          <w:rFonts w:hint="eastAsia" w:ascii="仿宋_GB2312" w:hAnsi="仿宋_GB2312" w:eastAsia="仿宋_GB2312" w:cs="仿宋_GB2312"/>
          <w:szCs w:val="28"/>
          <w:lang w:val="en-US" w:eastAsia="zh-CN"/>
        </w:rPr>
        <w:t>9</w:t>
      </w:r>
    </w:p>
    <w:p>
      <w:pPr>
        <w:adjustRightInd w:val="0"/>
        <w:snapToGrid w:val="0"/>
        <w:spacing w:before="319" w:beforeLines="100" w:after="319" w:afterLines="100" w:line="360" w:lineRule="auto"/>
        <w:ind w:right="105" w:rightChars="50"/>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分项报价表</w:t>
      </w:r>
    </w:p>
    <w:p>
      <w:pPr>
        <w:adjustRightInd w:val="0"/>
        <w:snapToGrid w:val="0"/>
        <w:spacing w:line="360" w:lineRule="auto"/>
        <w:ind w:right="105" w:rightChars="50"/>
        <w:jc w:val="left"/>
        <w:rPr>
          <w:rFonts w:hint="eastAsia" w:ascii="仿宋_GB2312" w:hAnsi="仿宋_GB2312" w:eastAsia="仿宋_GB2312" w:cs="仿宋_GB2312"/>
          <w:b/>
          <w:bCs/>
          <w:szCs w:val="21"/>
        </w:rPr>
      </w:pPr>
      <w:r>
        <w:rPr>
          <w:rFonts w:hint="eastAsia" w:ascii="仿宋_GB2312" w:hAnsi="仿宋_GB2312" w:eastAsia="仿宋_GB2312" w:cs="仿宋_GB2312"/>
          <w:b/>
          <w:bCs/>
          <w:szCs w:val="21"/>
        </w:rPr>
        <w:t xml:space="preserve">包号：                                             </w:t>
      </w:r>
      <w:r>
        <w:rPr>
          <w:rFonts w:hint="eastAsia" w:ascii="仿宋_GB2312" w:hAnsi="仿宋_GB2312" w:eastAsia="仿宋_GB2312" w:cs="仿宋_GB2312"/>
          <w:b/>
          <w:bCs/>
          <w:szCs w:val="21"/>
          <w:lang w:val="en-US" w:eastAsia="zh-CN"/>
        </w:rPr>
        <w:t xml:space="preserve">         </w:t>
      </w:r>
      <w:r>
        <w:rPr>
          <w:rFonts w:hint="eastAsia" w:ascii="仿宋_GB2312" w:hAnsi="仿宋_GB2312" w:eastAsia="仿宋_GB2312" w:cs="仿宋_GB2312"/>
          <w:b/>
          <w:bCs/>
          <w:szCs w:val="21"/>
        </w:rPr>
        <w:t>报价单位：</w:t>
      </w:r>
    </w:p>
    <w:tbl>
      <w:tblPr>
        <w:tblStyle w:val="20"/>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序号</w:t>
            </w:r>
          </w:p>
        </w:tc>
        <w:tc>
          <w:tcPr>
            <w:tcW w:w="1347"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产品名称</w:t>
            </w: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品牌</w:t>
            </w: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型号</w:t>
            </w:r>
          </w:p>
          <w:p>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规格</w:t>
            </w:r>
          </w:p>
        </w:tc>
        <w:tc>
          <w:tcPr>
            <w:tcW w:w="721"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数量</w:t>
            </w: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原产地</w:t>
            </w: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制造商名称</w:t>
            </w:r>
          </w:p>
        </w:tc>
        <w:tc>
          <w:tcPr>
            <w:tcW w:w="675"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单价</w:t>
            </w:r>
          </w:p>
        </w:tc>
        <w:tc>
          <w:tcPr>
            <w:tcW w:w="68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总价</w:t>
            </w: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347"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721"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675"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68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347"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721"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675"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68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347"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721"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675"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68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347"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721"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675"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68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347"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721"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675"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68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347"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721"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675"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68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r>
              <w:rPr>
                <w:rFonts w:hint="eastAsia" w:ascii="仿宋_GB2312" w:hAnsi="仿宋_GB2312" w:eastAsia="仿宋_GB2312" w:cs="仿宋_GB2312"/>
                <w:szCs w:val="21"/>
              </w:rPr>
              <w:t>总价</w:t>
            </w: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1033"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721"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675"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68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c>
          <w:tcPr>
            <w:tcW w:w="802" w:type="dxa"/>
            <w:noWrap w:val="0"/>
            <w:vAlign w:val="center"/>
          </w:tcPr>
          <w:p>
            <w:pPr>
              <w:adjustRightInd w:val="0"/>
              <w:snapToGrid w:val="0"/>
              <w:ind w:left="-96" w:leftChars="-46" w:right="-63" w:rightChars="-30"/>
              <w:jc w:val="center"/>
              <w:rPr>
                <w:rFonts w:hint="eastAsia" w:ascii="仿宋_GB2312" w:hAnsi="仿宋_GB2312" w:eastAsia="仿宋_GB2312" w:cs="仿宋_GB2312"/>
                <w:szCs w:val="21"/>
              </w:rPr>
            </w:pPr>
          </w:p>
        </w:tc>
      </w:tr>
    </w:tbl>
    <w:p>
      <w:pPr>
        <w:adjustRightInd w:val="0"/>
        <w:snapToGrid w:val="0"/>
        <w:spacing w:line="360" w:lineRule="auto"/>
        <w:ind w:right="105" w:rightChars="50"/>
        <w:jc w:val="left"/>
        <w:rPr>
          <w:rFonts w:hint="eastAsia" w:ascii="仿宋_GB2312" w:hAnsi="仿宋_GB2312" w:eastAsia="仿宋_GB2312" w:cs="仿宋_GB2312"/>
          <w:szCs w:val="21"/>
        </w:rPr>
      </w:pPr>
    </w:p>
    <w:p>
      <w:pPr>
        <w:adjustRightInd w:val="0"/>
        <w:snapToGrid w:val="0"/>
        <w:spacing w:line="360" w:lineRule="auto"/>
        <w:ind w:right="105" w:rightChars="50" w:firstLine="420" w:firstLineChars="200"/>
        <w:jc w:val="left"/>
        <w:rPr>
          <w:rFonts w:hint="eastAsia" w:ascii="仿宋_GB2312" w:hAnsi="仿宋_GB2312" w:eastAsia="仿宋_GB2312" w:cs="仿宋_GB2312"/>
          <w:szCs w:val="21"/>
        </w:rPr>
      </w:pPr>
      <w:r>
        <w:rPr>
          <w:rFonts w:hint="eastAsia" w:ascii="仿宋_GB2312" w:hAnsi="仿宋_GB2312" w:eastAsia="仿宋_GB2312" w:cs="仿宋_GB2312"/>
          <w:szCs w:val="21"/>
        </w:rPr>
        <w:t>注：</w:t>
      </w:r>
      <w:r>
        <w:rPr>
          <w:rFonts w:hint="eastAsia" w:ascii="仿宋_GB2312" w:hAnsi="仿宋_GB2312" w:eastAsia="仿宋_GB2312" w:cs="仿宋_GB2312"/>
          <w:szCs w:val="21"/>
          <w:lang w:val="en-US" w:eastAsia="zh-CN"/>
        </w:rPr>
        <w:t>1、</w:t>
      </w:r>
      <w:r>
        <w:rPr>
          <w:rFonts w:hint="eastAsia" w:ascii="仿宋_GB2312" w:hAnsi="仿宋_GB2312" w:eastAsia="仿宋_GB2312" w:cs="仿宋_GB2312"/>
          <w:szCs w:val="21"/>
        </w:rPr>
        <w:t>此表中，总价应和</w:t>
      </w:r>
      <w:r>
        <w:rPr>
          <w:rFonts w:hint="eastAsia" w:ascii="仿宋_GB2312" w:hAnsi="仿宋_GB2312" w:eastAsia="仿宋_GB2312" w:cs="仿宋_GB2312"/>
          <w:szCs w:val="21"/>
          <w:lang w:eastAsia="zh-CN"/>
        </w:rPr>
        <w:t>开标</w:t>
      </w:r>
      <w:r>
        <w:rPr>
          <w:rFonts w:hint="eastAsia" w:ascii="仿宋_GB2312" w:hAnsi="仿宋_GB2312" w:eastAsia="仿宋_GB2312" w:cs="仿宋_GB2312"/>
          <w:szCs w:val="21"/>
        </w:rPr>
        <w:t>一览表的</w:t>
      </w:r>
      <w:r>
        <w:rPr>
          <w:rFonts w:hint="eastAsia" w:ascii="仿宋_GB2312" w:hAnsi="仿宋_GB2312" w:eastAsia="仿宋_GB2312" w:cs="仿宋_GB2312"/>
          <w:szCs w:val="21"/>
          <w:lang w:eastAsia="zh-CN"/>
        </w:rPr>
        <w:t>投标</w:t>
      </w:r>
      <w:r>
        <w:rPr>
          <w:rFonts w:hint="eastAsia" w:ascii="仿宋_GB2312" w:hAnsi="仿宋_GB2312" w:eastAsia="仿宋_GB2312" w:cs="仿宋_GB2312"/>
          <w:szCs w:val="21"/>
        </w:rPr>
        <w:t>总价相一致。</w:t>
      </w:r>
    </w:p>
    <w:p>
      <w:pPr>
        <w:adjustRightInd w:val="0"/>
        <w:snapToGrid w:val="0"/>
        <w:spacing w:line="360" w:lineRule="auto"/>
        <w:ind w:right="105" w:rightChars="50"/>
        <w:jc w:val="left"/>
        <w:rPr>
          <w:rFonts w:hint="eastAsia" w:ascii="仿宋_GB2312" w:hAnsi="仿宋_GB2312" w:eastAsia="仿宋_GB2312" w:cs="仿宋_GB2312"/>
          <w:b/>
          <w:sz w:val="28"/>
          <w:szCs w:val="28"/>
        </w:rPr>
      </w:pPr>
    </w:p>
    <w:p>
      <w:pPr>
        <w:adjustRightInd w:val="0"/>
        <w:snapToGrid w:val="0"/>
        <w:spacing w:line="360" w:lineRule="auto"/>
        <w:ind w:right="105" w:rightChars="50"/>
        <w:jc w:val="left"/>
        <w:rPr>
          <w:rFonts w:hint="eastAsia" w:ascii="仿宋_GB2312" w:hAnsi="仿宋_GB2312" w:eastAsia="仿宋_GB2312" w:cs="仿宋_GB2312"/>
          <w:szCs w:val="21"/>
        </w:rPr>
      </w:pPr>
    </w:p>
    <w:p>
      <w:pPr>
        <w:adjustRightInd w:val="0"/>
        <w:snapToGrid w:val="0"/>
        <w:spacing w:line="360" w:lineRule="auto"/>
        <w:ind w:right="105" w:rightChars="50"/>
        <w:jc w:val="left"/>
        <w:rPr>
          <w:rFonts w:hint="eastAsia" w:ascii="仿宋_GB2312" w:hAnsi="仿宋_GB2312" w:eastAsia="仿宋_GB2312" w:cs="仿宋_GB2312"/>
          <w:szCs w:val="21"/>
        </w:rPr>
      </w:pPr>
    </w:p>
    <w:p>
      <w:pPr>
        <w:adjustRightInd w:val="0"/>
        <w:snapToGrid w:val="0"/>
        <w:spacing w:line="360" w:lineRule="auto"/>
        <w:ind w:right="105" w:rightChars="50"/>
        <w:jc w:val="left"/>
        <w:rPr>
          <w:rFonts w:hint="eastAsia" w:ascii="仿宋_GB2312" w:hAnsi="仿宋_GB2312" w:eastAsia="仿宋_GB2312" w:cs="仿宋_GB2312"/>
          <w:szCs w:val="21"/>
        </w:rPr>
      </w:pPr>
    </w:p>
    <w:p>
      <w:pPr>
        <w:spacing w:line="480" w:lineRule="auto"/>
        <w:rPr>
          <w:rFonts w:hint="eastAsia" w:ascii="仿宋_GB2312" w:hAnsi="仿宋_GB2312" w:eastAsia="仿宋_GB2312" w:cs="仿宋_GB2312"/>
        </w:rPr>
      </w:pPr>
      <w:r>
        <w:rPr>
          <w:rFonts w:hint="eastAsia" w:ascii="仿宋_GB2312" w:hAnsi="仿宋_GB2312" w:eastAsia="仿宋_GB2312" w:cs="仿宋_GB2312"/>
        </w:rPr>
        <w:t>供应商名称（加盖单位公章）：</w:t>
      </w:r>
      <w:r>
        <w:rPr>
          <w:rFonts w:hint="eastAsia" w:ascii="仿宋_GB2312" w:hAnsi="仿宋_GB2312" w:eastAsia="仿宋_GB2312" w:cs="仿宋_GB2312"/>
          <w:u w:val="single"/>
        </w:rPr>
        <w:t xml:space="preserve">           </w:t>
      </w:r>
    </w:p>
    <w:p>
      <w:pPr>
        <w:spacing w:line="480" w:lineRule="auto"/>
        <w:rPr>
          <w:rFonts w:hint="eastAsia"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pPr>
        <w:spacing w:line="480" w:lineRule="auto"/>
        <w:rPr>
          <w:rFonts w:hint="eastAsia"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pStyle w:val="5"/>
        <w:adjustRightInd w:val="0"/>
        <w:snapToGrid w:val="0"/>
        <w:spacing w:before="120" w:after="0" w:line="240" w:lineRule="auto"/>
        <w:jc w:val="left"/>
        <w:rPr>
          <w:rFonts w:hint="eastAsia" w:ascii="仿宋_GB2312" w:hAnsi="仿宋_GB2312" w:eastAsia="仿宋_GB2312" w:cs="仿宋_GB2312"/>
          <w:sz w:val="28"/>
          <w:szCs w:val="28"/>
          <w:lang w:eastAsia="zh-CN"/>
        </w:rPr>
      </w:pPr>
      <w:r>
        <w:rPr>
          <w:rFonts w:hint="eastAsia" w:ascii="仿宋_GB2312" w:hAnsi="仿宋_GB2312" w:eastAsia="仿宋_GB2312" w:cs="仿宋_GB2312"/>
          <w:b w:val="0"/>
          <w:sz w:val="28"/>
          <w:szCs w:val="28"/>
        </w:rPr>
        <w:br w:type="page"/>
      </w:r>
      <w:r>
        <w:rPr>
          <w:rFonts w:hint="eastAsia" w:ascii="仿宋_GB2312" w:hAnsi="仿宋_GB2312" w:eastAsia="仿宋_GB2312" w:cs="仿宋_GB2312"/>
          <w:sz w:val="28"/>
          <w:szCs w:val="28"/>
        </w:rPr>
        <w:t>格式1</w:t>
      </w:r>
      <w:r>
        <w:rPr>
          <w:rFonts w:hint="eastAsia" w:ascii="仿宋_GB2312" w:hAnsi="仿宋_GB2312" w:eastAsia="仿宋_GB2312" w:cs="仿宋_GB2312"/>
          <w:sz w:val="28"/>
          <w:szCs w:val="28"/>
          <w:lang w:val="en-US" w:eastAsia="zh-CN"/>
        </w:rPr>
        <w:t>0</w:t>
      </w:r>
    </w:p>
    <w:p>
      <w:pPr>
        <w:adjustRightInd w:val="0"/>
        <w:snapToGrid w:val="0"/>
        <w:spacing w:before="319" w:beforeLines="100" w:line="360" w:lineRule="auto"/>
        <w:ind w:right="105" w:rightChars="50"/>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技术规格偏离表</w:t>
      </w:r>
    </w:p>
    <w:tbl>
      <w:tblPr>
        <w:tblStyle w:val="20"/>
        <w:tblW w:w="9135" w:type="dxa"/>
        <w:tblInd w:w="-2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5"/>
        <w:gridCol w:w="1984"/>
        <w:gridCol w:w="1304"/>
        <w:gridCol w:w="1270"/>
        <w:gridCol w:w="2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9135" w:type="dxa"/>
            <w:gridSpan w:val="5"/>
            <w:tcBorders>
              <w:top w:val="single" w:color="auto" w:sz="4" w:space="0"/>
              <w:left w:val="single" w:color="auto" w:sz="4" w:space="0"/>
              <w:bottom w:val="single" w:color="auto" w:sz="4" w:space="0"/>
              <w:right w:val="single" w:color="auto" w:sz="4" w:space="0"/>
            </w:tcBorders>
            <w:noWrap w:val="0"/>
            <w:vAlign w:val="center"/>
          </w:tcPr>
          <w:p>
            <w:pPr>
              <w:adjustRightInd w:val="0"/>
              <w:snapToGrid w:val="0"/>
              <w:ind w:right="105" w:rightChars="50"/>
              <w:jc w:val="left"/>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rPr>
              <w:t>包号/序号：</w:t>
            </w:r>
          </w:p>
          <w:p>
            <w:pPr>
              <w:pStyle w:val="18"/>
              <w:widowControl w:val="0"/>
              <w:adjustRightInd w:val="0"/>
              <w:snapToGrid w:val="0"/>
              <w:spacing w:before="0" w:beforeAutospacing="0" w:after="0" w:afterAutospacing="0"/>
              <w:jc w:val="both"/>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产品名称：（按货物需求自行填写）</w:t>
            </w:r>
          </w:p>
          <w:p>
            <w:pPr>
              <w:pStyle w:val="18"/>
              <w:widowControl w:val="0"/>
              <w:adjustRightInd w:val="0"/>
              <w:snapToGrid w:val="0"/>
              <w:spacing w:before="0" w:beforeAutospacing="0" w:after="0" w:afterAutospacing="0"/>
              <w:jc w:val="both"/>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数量：（按货物需求自行填写）</w:t>
            </w:r>
          </w:p>
          <w:p>
            <w:pPr>
              <w:tabs>
                <w:tab w:val="left" w:pos="0"/>
              </w:tabs>
              <w:adjustRightInd w:val="0"/>
              <w:snapToGrid w:val="0"/>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rPr>
              <w:t>是否为核心产品（非单一产品采购项目时适用）：</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按货物需求自行填写）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trPr>
        <w:tc>
          <w:tcPr>
            <w:tcW w:w="195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szCs w:val="21"/>
              </w:rPr>
            </w:pPr>
          </w:p>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采购文件要求</w:t>
            </w:r>
          </w:p>
          <w:p>
            <w:pPr>
              <w:ind w:hanging="1"/>
              <w:rPr>
                <w:rFonts w:hint="eastAsia" w:ascii="仿宋_GB2312" w:hAnsi="仿宋_GB2312" w:eastAsia="仿宋_GB2312" w:cs="仿宋_GB2312"/>
                <w:b/>
                <w:szCs w:val="21"/>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lang w:eastAsia="zh-CN"/>
              </w:rPr>
              <w:t>投标</w:t>
            </w:r>
            <w:r>
              <w:rPr>
                <w:rFonts w:hint="eastAsia" w:ascii="仿宋_GB2312" w:hAnsi="仿宋_GB2312" w:eastAsia="仿宋_GB2312" w:cs="仿宋_GB2312"/>
                <w:szCs w:val="21"/>
              </w:rPr>
              <w:t>文件</w:t>
            </w:r>
          </w:p>
          <w:p>
            <w:pPr>
              <w:tabs>
                <w:tab w:val="left" w:pos="0"/>
              </w:tabs>
              <w:spacing w:line="240" w:lineRule="exact"/>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304" w:type="dxa"/>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40" w:lineRule="exact"/>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270" w:type="dxa"/>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40" w:lineRule="exact"/>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2622" w:type="dxa"/>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40" w:lineRule="exact"/>
              <w:jc w:val="center"/>
              <w:rPr>
                <w:rFonts w:hint="eastAsia" w:ascii="仿宋_GB2312" w:hAnsi="仿宋_GB2312" w:eastAsia="仿宋_GB2312" w:cs="仿宋_GB2312"/>
                <w:kern w:val="0"/>
                <w:szCs w:val="21"/>
              </w:rPr>
            </w:pPr>
            <w:r>
              <w:rPr>
                <w:rFonts w:hint="eastAsia" w:ascii="仿宋_GB2312" w:hAnsi="仿宋_GB2312" w:eastAsia="仿宋_GB2312" w:cs="仿宋_GB2312"/>
                <w:szCs w:val="21"/>
              </w:rPr>
              <w:t>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2" w:hRule="atLeast"/>
        </w:trPr>
        <w:tc>
          <w:tcPr>
            <w:tcW w:w="1955" w:type="dxa"/>
            <w:tcBorders>
              <w:top w:val="single" w:color="auto" w:sz="4" w:space="0"/>
              <w:left w:val="single" w:color="auto" w:sz="4" w:space="0"/>
              <w:right w:val="single" w:color="auto" w:sz="4" w:space="0"/>
            </w:tcBorders>
            <w:noWrap w:val="0"/>
            <w:vAlign w:val="center"/>
          </w:tcPr>
          <w:p>
            <w:pPr>
              <w:adjustRightInd w:val="0"/>
              <w:snapToGrid w:val="0"/>
              <w:ind w:hanging="1"/>
              <w:jc w:val="center"/>
              <w:rPr>
                <w:rFonts w:hint="eastAsia" w:ascii="仿宋_GB2312" w:hAnsi="仿宋_GB2312" w:eastAsia="仿宋_GB2312" w:cs="仿宋_GB2312"/>
                <w:szCs w:val="21"/>
              </w:rPr>
            </w:pPr>
            <w:r>
              <w:rPr>
                <w:rFonts w:hint="eastAsia" w:ascii="仿宋_GB2312" w:hAnsi="仿宋_GB2312" w:eastAsia="仿宋_GB2312" w:cs="仿宋_GB2312"/>
                <w:szCs w:val="21"/>
              </w:rPr>
              <w:t>按</w:t>
            </w:r>
            <w:r>
              <w:rPr>
                <w:rFonts w:hint="eastAsia" w:ascii="仿宋_GB2312" w:hAnsi="仿宋_GB2312" w:eastAsia="仿宋_GB2312" w:cs="仿宋_GB2312"/>
                <w:szCs w:val="21"/>
                <w:lang w:eastAsia="zh-CN"/>
              </w:rPr>
              <w:t>货物</w:t>
            </w:r>
            <w:r>
              <w:rPr>
                <w:rFonts w:hint="eastAsia" w:ascii="仿宋_GB2312" w:hAnsi="仿宋_GB2312" w:eastAsia="仿宋_GB2312" w:cs="仿宋_GB2312"/>
                <w:szCs w:val="21"/>
              </w:rPr>
              <w:t>需求填写</w:t>
            </w:r>
          </w:p>
          <w:p>
            <w:pPr>
              <w:adjustRightInd w:val="0"/>
              <w:snapToGrid w:val="0"/>
              <w:ind w:hanging="1"/>
              <w:jc w:val="center"/>
              <w:rPr>
                <w:rFonts w:hint="eastAsia"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供应商</w:t>
            </w:r>
            <w:r>
              <w:rPr>
                <w:rFonts w:hint="eastAsia" w:ascii="仿宋_GB2312" w:hAnsi="仿宋_GB2312" w:eastAsia="仿宋_GB2312" w:cs="仿宋_GB2312"/>
                <w:szCs w:val="21"/>
              </w:rPr>
              <w:t>根据表中设备序号自行填写全面)</w:t>
            </w:r>
          </w:p>
        </w:tc>
        <w:tc>
          <w:tcPr>
            <w:tcW w:w="1984" w:type="dxa"/>
            <w:tcBorders>
              <w:top w:val="single" w:color="auto" w:sz="4" w:space="0"/>
              <w:left w:val="single" w:color="auto" w:sz="4" w:space="0"/>
              <w:right w:val="single" w:color="auto" w:sz="4" w:space="0"/>
            </w:tcBorders>
            <w:noWrap w:val="0"/>
            <w:vAlign w:val="center"/>
          </w:tcPr>
          <w:p>
            <w:pPr>
              <w:tabs>
                <w:tab w:val="left" w:pos="0"/>
              </w:tabs>
              <w:adjustRightInd w:val="0"/>
              <w:snapToGrid w:val="0"/>
              <w:jc w:val="center"/>
              <w:rPr>
                <w:rFonts w:hint="eastAsia" w:ascii="仿宋_GB2312" w:hAnsi="仿宋_GB2312" w:eastAsia="仿宋_GB2312" w:cs="仿宋_GB2312"/>
                <w:kern w:val="0"/>
                <w:szCs w:val="21"/>
              </w:rPr>
            </w:pPr>
          </w:p>
        </w:tc>
        <w:tc>
          <w:tcPr>
            <w:tcW w:w="1304" w:type="dxa"/>
            <w:tcBorders>
              <w:top w:val="single" w:color="auto" w:sz="4" w:space="0"/>
              <w:left w:val="single" w:color="auto" w:sz="4" w:space="0"/>
              <w:right w:val="single" w:color="auto" w:sz="4" w:space="0"/>
            </w:tcBorders>
            <w:noWrap w:val="0"/>
            <w:vAlign w:val="center"/>
          </w:tcPr>
          <w:p>
            <w:pPr>
              <w:tabs>
                <w:tab w:val="left" w:pos="0"/>
              </w:tabs>
              <w:spacing w:line="240" w:lineRule="exact"/>
              <w:jc w:val="center"/>
              <w:rPr>
                <w:rFonts w:hint="eastAsia" w:ascii="仿宋_GB2312" w:hAnsi="仿宋_GB2312" w:eastAsia="仿宋_GB2312" w:cs="仿宋_GB2312"/>
                <w:kern w:val="0"/>
                <w:szCs w:val="21"/>
              </w:rPr>
            </w:pPr>
          </w:p>
        </w:tc>
        <w:tc>
          <w:tcPr>
            <w:tcW w:w="1270" w:type="dxa"/>
            <w:tcBorders>
              <w:top w:val="single" w:color="auto" w:sz="4" w:space="0"/>
              <w:left w:val="single" w:color="auto" w:sz="4" w:space="0"/>
              <w:right w:val="single" w:color="auto" w:sz="4" w:space="0"/>
            </w:tcBorders>
            <w:noWrap w:val="0"/>
            <w:vAlign w:val="center"/>
          </w:tcPr>
          <w:p>
            <w:pPr>
              <w:tabs>
                <w:tab w:val="left" w:pos="0"/>
              </w:tabs>
              <w:spacing w:line="240" w:lineRule="exact"/>
              <w:jc w:val="center"/>
              <w:rPr>
                <w:rFonts w:hint="eastAsia" w:ascii="仿宋_GB2312" w:hAnsi="仿宋_GB2312" w:eastAsia="仿宋_GB2312" w:cs="仿宋_GB2312"/>
                <w:kern w:val="0"/>
                <w:szCs w:val="21"/>
              </w:rPr>
            </w:pPr>
          </w:p>
        </w:tc>
        <w:tc>
          <w:tcPr>
            <w:tcW w:w="2622" w:type="dxa"/>
            <w:tcBorders>
              <w:top w:val="single" w:color="auto" w:sz="4" w:space="0"/>
              <w:left w:val="single" w:color="auto" w:sz="4" w:space="0"/>
              <w:bottom w:val="single" w:color="auto" w:sz="4" w:space="0"/>
              <w:right w:val="single" w:color="auto" w:sz="4" w:space="0"/>
            </w:tcBorders>
            <w:noWrap w:val="0"/>
            <w:vAlign w:val="top"/>
          </w:tcPr>
          <w:p>
            <w:pPr>
              <w:adjustRightInd w:val="0"/>
              <w:snapToGrid w:val="0"/>
              <w:ind w:hanging="1"/>
              <w:jc w:val="left"/>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trPr>
        <w:tc>
          <w:tcPr>
            <w:tcW w:w="195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ind w:hanging="1"/>
              <w:jc w:val="center"/>
              <w:rPr>
                <w:rFonts w:hint="eastAsia" w:ascii="仿宋_GB2312" w:hAnsi="仿宋_GB2312" w:eastAsia="仿宋_GB2312" w:cs="仿宋_GB2312"/>
                <w:szCs w:val="21"/>
              </w:rPr>
            </w:pPr>
            <w:r>
              <w:rPr>
                <w:rFonts w:hint="eastAsia" w:ascii="仿宋_GB2312" w:hAnsi="仿宋_GB2312" w:eastAsia="仿宋_GB2312" w:cs="仿宋_GB2312"/>
                <w:szCs w:val="21"/>
              </w:rPr>
              <w:t>其它</w:t>
            </w:r>
          </w:p>
        </w:tc>
        <w:tc>
          <w:tcPr>
            <w:tcW w:w="1984" w:type="dxa"/>
            <w:tcBorders>
              <w:top w:val="single" w:color="auto" w:sz="4" w:space="0"/>
              <w:left w:val="single" w:color="auto" w:sz="4" w:space="0"/>
              <w:bottom w:val="single" w:color="auto" w:sz="4" w:space="0"/>
              <w:right w:val="single" w:color="auto" w:sz="4" w:space="0"/>
            </w:tcBorders>
            <w:noWrap w:val="0"/>
            <w:vAlign w:val="center"/>
          </w:tcPr>
          <w:p>
            <w:pPr>
              <w:tabs>
                <w:tab w:val="left" w:pos="0"/>
              </w:tabs>
              <w:adjustRightInd w:val="0"/>
              <w:snapToGrid w:val="0"/>
              <w:jc w:val="left"/>
              <w:rPr>
                <w:rFonts w:hint="eastAsia" w:ascii="仿宋_GB2312" w:hAnsi="仿宋_GB2312" w:eastAsia="仿宋_GB2312" w:cs="仿宋_GB2312"/>
                <w:kern w:val="0"/>
                <w:szCs w:val="21"/>
              </w:rPr>
            </w:pPr>
            <w:r>
              <w:rPr>
                <w:rFonts w:hint="eastAsia" w:ascii="仿宋_GB2312" w:hAnsi="仿宋_GB2312" w:eastAsia="仿宋_GB2312" w:cs="仿宋_GB2312"/>
                <w:szCs w:val="21"/>
              </w:rPr>
              <w:t>采购单位未提供需求而供应商认为需说明及补充的内容在此填列</w:t>
            </w:r>
          </w:p>
        </w:tc>
        <w:tc>
          <w:tcPr>
            <w:tcW w:w="1304" w:type="dxa"/>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40" w:lineRule="exact"/>
              <w:jc w:val="center"/>
              <w:rPr>
                <w:rFonts w:hint="eastAsia" w:ascii="仿宋_GB2312" w:hAnsi="仿宋_GB2312" w:eastAsia="仿宋_GB2312" w:cs="仿宋_GB2312"/>
                <w:kern w:val="0"/>
                <w:szCs w:val="21"/>
              </w:rPr>
            </w:pPr>
          </w:p>
        </w:tc>
        <w:tc>
          <w:tcPr>
            <w:tcW w:w="1270" w:type="dxa"/>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40" w:lineRule="exact"/>
              <w:jc w:val="center"/>
              <w:rPr>
                <w:rFonts w:hint="eastAsia" w:ascii="仿宋_GB2312" w:hAnsi="仿宋_GB2312" w:eastAsia="仿宋_GB2312" w:cs="仿宋_GB2312"/>
                <w:kern w:val="0"/>
                <w:szCs w:val="21"/>
              </w:rPr>
            </w:pPr>
          </w:p>
        </w:tc>
        <w:tc>
          <w:tcPr>
            <w:tcW w:w="2622" w:type="dxa"/>
            <w:tcBorders>
              <w:top w:val="single" w:color="auto" w:sz="4" w:space="0"/>
              <w:left w:val="single" w:color="auto" w:sz="4" w:space="0"/>
              <w:bottom w:val="single" w:color="auto" w:sz="4" w:space="0"/>
              <w:right w:val="single" w:color="auto" w:sz="4" w:space="0"/>
            </w:tcBorders>
            <w:noWrap w:val="0"/>
            <w:vAlign w:val="center"/>
          </w:tcPr>
          <w:p>
            <w:pPr>
              <w:tabs>
                <w:tab w:val="left" w:pos="0"/>
              </w:tabs>
              <w:spacing w:line="240" w:lineRule="exact"/>
              <w:jc w:val="left"/>
              <w:rPr>
                <w:rFonts w:hint="default" w:ascii="仿宋_GB2312" w:hAnsi="仿宋_GB2312" w:eastAsia="仿宋_GB2312" w:cs="仿宋_GB2312"/>
                <w:kern w:val="0"/>
                <w:szCs w:val="21"/>
                <w:lang w:val="en-US" w:eastAsia="zh-CN"/>
              </w:rPr>
            </w:pPr>
          </w:p>
        </w:tc>
      </w:tr>
    </w:tbl>
    <w:p>
      <w:pPr>
        <w:adjustRightInd w:val="0"/>
        <w:snapToGrid w:val="0"/>
        <w:spacing w:line="360" w:lineRule="auto"/>
        <w:ind w:right="105" w:rightChars="50"/>
        <w:jc w:val="left"/>
        <w:rPr>
          <w:rFonts w:hint="eastAsia" w:ascii="仿宋_GB2312" w:hAnsi="仿宋_GB2312" w:eastAsia="仿宋_GB2312" w:cs="仿宋_GB2312"/>
          <w:b/>
          <w:szCs w:val="21"/>
        </w:rPr>
      </w:pPr>
    </w:p>
    <w:p>
      <w:pPr>
        <w:adjustRightInd w:val="0"/>
        <w:snapToGrid w:val="0"/>
        <w:spacing w:line="360" w:lineRule="auto"/>
        <w:ind w:right="105" w:rightChars="50"/>
        <w:jc w:val="left"/>
        <w:rPr>
          <w:rFonts w:hint="eastAsia" w:ascii="仿宋_GB2312" w:hAnsi="仿宋_GB2312" w:eastAsia="仿宋_GB2312" w:cs="仿宋_GB2312"/>
          <w:szCs w:val="21"/>
        </w:rPr>
      </w:pPr>
      <w:r>
        <w:rPr>
          <w:rFonts w:hint="eastAsia" w:ascii="仿宋_GB2312" w:hAnsi="仿宋_GB2312" w:eastAsia="仿宋_GB2312" w:cs="仿宋_GB2312"/>
          <w:b/>
          <w:szCs w:val="21"/>
        </w:rPr>
        <w:t>填表说明：</w:t>
      </w:r>
    </w:p>
    <w:p>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w:t>
      </w:r>
      <w:r>
        <w:rPr>
          <w:rFonts w:hint="eastAsia" w:ascii="仿宋_GB2312" w:hAnsi="仿宋_GB2312" w:eastAsia="仿宋_GB2312" w:cs="仿宋_GB2312"/>
          <w:szCs w:val="21"/>
          <w:lang w:eastAsia="zh-CN"/>
        </w:rPr>
        <w:t>投标</w:t>
      </w:r>
      <w:r>
        <w:rPr>
          <w:rFonts w:hint="eastAsia" w:ascii="仿宋_GB2312" w:hAnsi="仿宋_GB2312" w:eastAsia="仿宋_GB2312" w:cs="仿宋_GB2312"/>
          <w:szCs w:val="21"/>
        </w:rPr>
        <w:t>文件响应内容”一栏由供应商填写。</w:t>
      </w:r>
    </w:p>
    <w:p>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“偏离程度”一栏根据“</w:t>
      </w:r>
      <w:r>
        <w:rPr>
          <w:rFonts w:hint="eastAsia" w:ascii="仿宋_GB2312" w:hAnsi="仿宋_GB2312" w:eastAsia="仿宋_GB2312" w:cs="仿宋_GB2312"/>
          <w:szCs w:val="21"/>
          <w:lang w:eastAsia="zh-CN"/>
        </w:rPr>
        <w:t>投标</w:t>
      </w:r>
      <w:r>
        <w:rPr>
          <w:rFonts w:hint="eastAsia" w:ascii="仿宋_GB2312" w:hAnsi="仿宋_GB2312" w:eastAsia="仿宋_GB2312" w:cs="仿宋_GB2312"/>
          <w:szCs w:val="21"/>
        </w:rPr>
        <w:t>文件响应内容”与采购文件逐项对照的结果填写。偏离必须用 “正偏离、负偏离或无偏离”三个名称中的一种进行标注。</w:t>
      </w:r>
    </w:p>
    <w:p>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3</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“偏离说明”一栏由供应商对偏离的情况做详细说明。</w:t>
      </w: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pPr>
        <w:adjustRightInd w:val="0"/>
        <w:snapToGrid w:val="0"/>
        <w:spacing w:line="360" w:lineRule="auto"/>
        <w:ind w:right="105" w:rightChars="50" w:firstLine="476" w:firstLineChars="227"/>
        <w:jc w:val="left"/>
        <w:rPr>
          <w:rFonts w:hint="eastAsia" w:ascii="仿宋_GB2312" w:hAnsi="仿宋_GB2312" w:eastAsia="仿宋_GB2312" w:cs="仿宋_GB2312"/>
          <w:szCs w:val="21"/>
        </w:rPr>
      </w:pPr>
    </w:p>
    <w:p>
      <w:pPr>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供应商名称（加盖单位公章）：</w:t>
      </w:r>
      <w:r>
        <w:rPr>
          <w:rFonts w:hint="eastAsia" w:ascii="仿宋_GB2312" w:hAnsi="仿宋_GB2312" w:eastAsia="仿宋_GB2312" w:cs="仿宋_GB2312"/>
          <w:u w:val="single"/>
        </w:rPr>
        <w:t xml:space="preserve">           </w:t>
      </w:r>
    </w:p>
    <w:p>
      <w:pPr>
        <w:snapToGrid w:val="0"/>
        <w:spacing w:line="480" w:lineRule="auto"/>
        <w:rPr>
          <w:rFonts w:hint="eastAsia"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pPr>
        <w:adjustRightInd w:val="0"/>
        <w:snapToGrid w:val="0"/>
        <w:spacing w:line="360" w:lineRule="auto"/>
        <w:ind w:right="105" w:rightChars="50"/>
        <w:jc w:val="left"/>
        <w:rPr>
          <w:rFonts w:hint="eastAsia" w:ascii="仿宋_GB2312" w:hAnsi="仿宋_GB2312" w:eastAsia="仿宋_GB2312" w:cs="仿宋_GB2312"/>
          <w:szCs w:val="21"/>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pStyle w:val="5"/>
        <w:adjustRightInd w:val="0"/>
        <w:snapToGrid w:val="0"/>
        <w:spacing w:before="0" w:after="0" w:line="240" w:lineRule="auto"/>
        <w:jc w:val="left"/>
        <w:rPr>
          <w:rFonts w:hint="eastAsia" w:ascii="仿宋_GB2312" w:hAnsi="仿宋_GB2312" w:eastAsia="仿宋_GB2312" w:cs="仿宋_GB2312"/>
          <w:szCs w:val="28"/>
          <w:lang w:eastAsia="zh-CN"/>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w:t>
      </w:r>
      <w:r>
        <w:rPr>
          <w:rFonts w:hint="eastAsia" w:ascii="仿宋_GB2312" w:hAnsi="仿宋_GB2312" w:eastAsia="仿宋_GB2312" w:cs="仿宋_GB2312"/>
          <w:szCs w:val="28"/>
          <w:lang w:val="en-US" w:eastAsia="zh-CN"/>
        </w:rPr>
        <w:t>1</w:t>
      </w:r>
    </w:p>
    <w:p>
      <w:pPr>
        <w:adjustRightInd w:val="0"/>
        <w:snapToGrid w:val="0"/>
        <w:ind w:right="105" w:rightChars="50"/>
        <w:jc w:val="center"/>
        <w:rPr>
          <w:rFonts w:hint="eastAsia" w:ascii="仿宋_GB2312" w:hAnsi="仿宋_GB2312" w:eastAsia="仿宋_GB2312" w:cs="仿宋_GB2312"/>
          <w:b/>
          <w:bCs/>
          <w:sz w:val="32"/>
          <w:szCs w:val="32"/>
        </w:rPr>
      </w:pPr>
      <w:bookmarkStart w:id="107" w:name="_Toc4431_WPSOffice_Level2"/>
      <w:bookmarkStart w:id="108" w:name="_Toc8488_WPSOffice_Level2"/>
      <w:r>
        <w:rPr>
          <w:rFonts w:hint="eastAsia" w:ascii="仿宋_GB2312" w:hAnsi="仿宋_GB2312" w:eastAsia="仿宋_GB2312" w:cs="仿宋_GB2312"/>
          <w:b/>
          <w:bCs/>
          <w:sz w:val="32"/>
          <w:szCs w:val="32"/>
        </w:rPr>
        <w:t>商务条款偏离表</w:t>
      </w:r>
      <w:bookmarkEnd w:id="107"/>
      <w:bookmarkEnd w:id="108"/>
    </w:p>
    <w:p>
      <w:pPr>
        <w:pStyle w:val="17"/>
        <w:rPr>
          <w:rFonts w:hint="default" w:eastAsia="仿宋_GB2312"/>
          <w:lang w:val="en-US" w:eastAsia="zh-CN"/>
        </w:rPr>
      </w:pPr>
      <w:r>
        <w:rPr>
          <w:rFonts w:hint="eastAsia" w:eastAsia="仿宋_GB2312"/>
          <w:lang w:val="en-US" w:eastAsia="zh-CN"/>
        </w:rPr>
        <w:t>包号:</w:t>
      </w:r>
    </w:p>
    <w:tbl>
      <w:tblPr>
        <w:tblStyle w:val="20"/>
        <w:tblW w:w="9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3997"/>
        <w:gridCol w:w="2339"/>
        <w:gridCol w:w="1005"/>
        <w:gridCol w:w="1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728" w:type="dxa"/>
            <w:noWrap w:val="0"/>
            <w:vAlign w:val="center"/>
          </w:tcPr>
          <w:p>
            <w:pPr>
              <w:adjustRightInd w:val="0"/>
              <w:snapToGrid w:val="0"/>
              <w:ind w:right="-48" w:rightChars="-23"/>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3997" w:type="dxa"/>
            <w:noWrap w:val="0"/>
            <w:vAlign w:val="center"/>
          </w:tcPr>
          <w:p>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招标文件的商务条款</w:t>
            </w:r>
          </w:p>
          <w:p>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sz w:val="18"/>
                <w:szCs w:val="18"/>
              </w:rPr>
              <w:t>实质性要求及重要指标用★标注，★标注项不得负偏离，如果负偏离，则投标文件无效。</w:t>
            </w:r>
            <w:r>
              <w:rPr>
                <w:rFonts w:hint="eastAsia" w:ascii="仿宋_GB2312" w:hAnsi="仿宋_GB2312" w:eastAsia="仿宋_GB2312" w:cs="仿宋_GB2312"/>
                <w:szCs w:val="21"/>
              </w:rPr>
              <w:t>）</w:t>
            </w:r>
          </w:p>
        </w:tc>
        <w:tc>
          <w:tcPr>
            <w:tcW w:w="2339" w:type="dxa"/>
            <w:noWrap w:val="0"/>
            <w:vAlign w:val="center"/>
          </w:tcPr>
          <w:p>
            <w:pPr>
              <w:adjustRightInd w:val="0"/>
              <w:snapToGrid w:val="0"/>
              <w:ind w:right="-107" w:rightChars="-51"/>
              <w:jc w:val="center"/>
              <w:rPr>
                <w:rFonts w:ascii="仿宋_GB2312" w:hAnsi="仿宋_GB2312" w:eastAsia="仿宋_GB2312" w:cs="仿宋_GB2312"/>
                <w:szCs w:val="21"/>
              </w:rPr>
            </w:pPr>
            <w:r>
              <w:rPr>
                <w:rFonts w:hint="eastAsia" w:ascii="仿宋_GB2312" w:hAnsi="仿宋_GB2312" w:eastAsia="仿宋_GB2312" w:cs="仿宋_GB2312"/>
                <w:szCs w:val="21"/>
              </w:rPr>
              <w:t>投标文件响应内容</w:t>
            </w:r>
          </w:p>
        </w:tc>
        <w:tc>
          <w:tcPr>
            <w:tcW w:w="1005" w:type="dxa"/>
            <w:noWrap w:val="0"/>
            <w:vAlign w:val="center"/>
          </w:tcPr>
          <w:p>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偏离程度</w:t>
            </w:r>
          </w:p>
        </w:tc>
        <w:tc>
          <w:tcPr>
            <w:tcW w:w="1020" w:type="dxa"/>
            <w:noWrap w:val="0"/>
            <w:vAlign w:val="center"/>
          </w:tcPr>
          <w:p>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728" w:type="dxa"/>
            <w:noWrap w:val="0"/>
            <w:vAlign w:val="center"/>
          </w:tcPr>
          <w:p>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b/>
                <w:sz w:val="18"/>
                <w:szCs w:val="18"/>
              </w:rPr>
              <w:t>★</w:t>
            </w:r>
            <w:r>
              <w:rPr>
                <w:rFonts w:hint="eastAsia" w:ascii="仿宋_GB2312" w:hAnsi="仿宋_GB2312" w:eastAsia="仿宋_GB2312" w:cs="仿宋_GB2312"/>
                <w:szCs w:val="21"/>
                <w:lang w:val="en-US" w:eastAsia="zh-CN"/>
              </w:rPr>
              <w:t>1</w:t>
            </w:r>
          </w:p>
        </w:tc>
        <w:tc>
          <w:tcPr>
            <w:tcW w:w="3997" w:type="dxa"/>
            <w:noWrap w:val="0"/>
            <w:vAlign w:val="center"/>
          </w:tcPr>
          <w:p>
            <w:pPr>
              <w:adjustRightInd w:val="0"/>
              <w:snapToGrid w:val="0"/>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rPr>
              <w:t>履约期限：</w:t>
            </w:r>
            <w:r>
              <w:rPr>
                <w:rFonts w:hint="eastAsia" w:ascii="仿宋_GB2312" w:hAnsi="仿宋_GB2312" w:eastAsia="仿宋_GB2312" w:cs="仿宋_GB2312"/>
                <w:szCs w:val="21"/>
                <w:lang w:eastAsia="zh-CN"/>
              </w:rPr>
              <w:t>签订合同后</w:t>
            </w:r>
            <w:r>
              <w:rPr>
                <w:rFonts w:hint="eastAsia" w:ascii="仿宋_GB2312" w:hAnsi="仿宋_GB2312" w:eastAsia="仿宋_GB2312" w:cs="仿宋_GB2312"/>
                <w:szCs w:val="21"/>
                <w:lang w:val="en-US" w:eastAsia="zh-CN"/>
              </w:rPr>
              <w:t>45日内完成</w:t>
            </w:r>
          </w:p>
        </w:tc>
        <w:tc>
          <w:tcPr>
            <w:tcW w:w="2339"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005"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020"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728" w:type="dxa"/>
            <w:noWrap w:val="0"/>
            <w:vAlign w:val="center"/>
          </w:tcPr>
          <w:p>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b/>
                <w:sz w:val="18"/>
                <w:szCs w:val="18"/>
              </w:rPr>
              <w:t>★</w:t>
            </w:r>
            <w:r>
              <w:rPr>
                <w:rFonts w:hint="eastAsia" w:ascii="仿宋_GB2312" w:hAnsi="仿宋_GB2312" w:eastAsia="仿宋_GB2312" w:cs="仿宋_GB2312"/>
                <w:szCs w:val="21"/>
                <w:lang w:val="en-US" w:eastAsia="zh-CN"/>
              </w:rPr>
              <w:t>2</w:t>
            </w:r>
          </w:p>
        </w:tc>
        <w:tc>
          <w:tcPr>
            <w:tcW w:w="3997" w:type="dxa"/>
            <w:noWrap w:val="0"/>
            <w:vAlign w:val="center"/>
          </w:tcPr>
          <w:p>
            <w:pPr>
              <w:adjustRightInd w:val="0"/>
              <w:snapToGrid w:val="0"/>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rPr>
              <w:t>履约地点：</w:t>
            </w:r>
            <w:r>
              <w:rPr>
                <w:rFonts w:hint="eastAsia" w:ascii="仿宋_GB2312" w:hAnsi="仿宋_GB2312" w:eastAsia="仿宋_GB2312" w:cs="仿宋_GB2312"/>
                <w:szCs w:val="21"/>
                <w:lang w:val="en-US" w:eastAsia="zh-CN"/>
              </w:rPr>
              <w:t>采购人指定地点</w:t>
            </w:r>
          </w:p>
        </w:tc>
        <w:tc>
          <w:tcPr>
            <w:tcW w:w="2339"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005"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020"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4" w:hRule="atLeast"/>
          <w:jc w:val="center"/>
        </w:trPr>
        <w:tc>
          <w:tcPr>
            <w:tcW w:w="728" w:type="dxa"/>
            <w:noWrap w:val="0"/>
            <w:vAlign w:val="center"/>
          </w:tcPr>
          <w:p>
            <w:pPr>
              <w:adjustRightInd w:val="0"/>
              <w:snapToGrid w:val="0"/>
              <w:ind w:right="105" w:rightChars="50"/>
              <w:jc w:val="center"/>
              <w:rPr>
                <w:rFonts w:hint="eastAsia"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b/>
                <w:sz w:val="18"/>
                <w:szCs w:val="18"/>
              </w:rPr>
              <w:t>★</w:t>
            </w:r>
            <w:r>
              <w:rPr>
                <w:rFonts w:hint="eastAsia" w:ascii="仿宋_GB2312" w:hAnsi="仿宋_GB2312" w:eastAsia="仿宋_GB2312" w:cs="仿宋_GB2312"/>
                <w:szCs w:val="21"/>
                <w:lang w:val="en-US" w:eastAsia="zh-CN"/>
              </w:rPr>
              <w:t>3</w:t>
            </w:r>
          </w:p>
        </w:tc>
        <w:tc>
          <w:tcPr>
            <w:tcW w:w="3997" w:type="dxa"/>
            <w:noWrap w:val="0"/>
            <w:vAlign w:val="center"/>
          </w:tcPr>
          <w:p>
            <w:pPr>
              <w:pStyle w:val="52"/>
              <w:adjustRightInd w:val="0"/>
              <w:snapToGrid w:val="0"/>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rPr>
              <w:t>付款方式及条件：</w:t>
            </w:r>
            <w:r>
              <w:rPr>
                <w:rFonts w:hint="eastAsia" w:ascii="仿宋_GB2312" w:hAnsi="仿宋_GB2312" w:eastAsia="仿宋_GB2312" w:cs="仿宋_GB2312"/>
                <w:szCs w:val="21"/>
                <w:lang w:eastAsia="zh-CN"/>
              </w:rPr>
              <w:t>按照辽财采</w:t>
            </w:r>
            <w:r>
              <w:rPr>
                <w:rFonts w:hint="eastAsia" w:ascii="仿宋_GB2312" w:hAnsi="仿宋_GB2312" w:eastAsia="仿宋_GB2312" w:cs="仿宋_GB2312"/>
                <w:szCs w:val="21"/>
                <w:lang w:val="en-US" w:eastAsia="zh-CN"/>
              </w:rPr>
              <w:t>[2017]603号文件要求验收合格后，一次性支付合同金额的100%。</w:t>
            </w:r>
          </w:p>
        </w:tc>
        <w:tc>
          <w:tcPr>
            <w:tcW w:w="2339"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005"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020"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5" w:hRule="atLeast"/>
          <w:jc w:val="center"/>
        </w:trPr>
        <w:tc>
          <w:tcPr>
            <w:tcW w:w="728" w:type="dxa"/>
            <w:noWrap w:val="0"/>
            <w:vAlign w:val="center"/>
          </w:tcPr>
          <w:p>
            <w:pPr>
              <w:adjustRightInd w:val="0"/>
              <w:snapToGrid w:val="0"/>
              <w:ind w:firstLine="180" w:firstLineChars="100"/>
              <w:rPr>
                <w:rFonts w:hint="eastAsia" w:ascii="仿宋_GB2312" w:hAnsi="仿宋_GB2312" w:eastAsia="仿宋_GB2312" w:cs="仿宋_GB2312"/>
                <w:szCs w:val="21"/>
                <w:lang w:val="en-US" w:eastAsia="zh-CN"/>
              </w:rPr>
            </w:pPr>
            <w:r>
              <w:rPr>
                <w:rFonts w:hint="eastAsia" w:ascii="仿宋_GB2312" w:hAnsi="仿宋_GB2312" w:eastAsia="仿宋_GB2312" w:cs="仿宋_GB2312"/>
                <w:b/>
                <w:sz w:val="18"/>
                <w:szCs w:val="18"/>
              </w:rPr>
              <w:t>★</w:t>
            </w:r>
            <w:r>
              <w:rPr>
                <w:rFonts w:hint="eastAsia" w:ascii="仿宋_GB2312" w:hAnsi="仿宋_GB2312" w:eastAsia="仿宋_GB2312" w:cs="仿宋_GB2312"/>
                <w:szCs w:val="21"/>
                <w:lang w:val="en-US" w:eastAsia="zh-CN"/>
              </w:rPr>
              <w:t>4</w:t>
            </w:r>
          </w:p>
        </w:tc>
        <w:tc>
          <w:tcPr>
            <w:tcW w:w="3997" w:type="dxa"/>
            <w:noWrap w:val="0"/>
            <w:vAlign w:val="center"/>
          </w:tcPr>
          <w:p>
            <w:pPr>
              <w:keepNext w:val="0"/>
              <w:keepLines w:val="0"/>
              <w:pageBreakBefore w:val="0"/>
              <w:widowControl w:val="0"/>
              <w:kinsoku/>
              <w:wordWrap/>
              <w:overflowPunct/>
              <w:topLinePunct w:val="0"/>
              <w:bidi w:val="0"/>
              <w:adjustRightInd w:val="0"/>
              <w:snapToGrid w:val="0"/>
              <w:spacing w:line="300" w:lineRule="exact"/>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b/>
                <w:bCs/>
                <w:color w:val="auto"/>
                <w:szCs w:val="21"/>
                <w:lang w:val="en-US" w:eastAsia="zh-CN"/>
              </w:rPr>
              <w:t>1.质量保证期：</w:t>
            </w:r>
            <w:r>
              <w:rPr>
                <w:rFonts w:hint="eastAsia" w:ascii="仿宋_GB2312" w:hAnsi="仿宋_GB2312" w:eastAsia="仿宋_GB2312" w:cs="仿宋_GB2312"/>
                <w:color w:val="auto"/>
                <w:szCs w:val="21"/>
                <w:lang w:val="en-US" w:eastAsia="zh-CN"/>
              </w:rPr>
              <w:t>此项目所投产品提供原厂三年质保。质保期内，免费维修、维护、更换，免费提供所投产品软硬件升级。</w:t>
            </w:r>
          </w:p>
          <w:p>
            <w:pPr>
              <w:keepNext w:val="0"/>
              <w:keepLines w:val="0"/>
              <w:pageBreakBefore w:val="0"/>
              <w:widowControl w:val="0"/>
              <w:kinsoku/>
              <w:wordWrap/>
              <w:overflowPunct/>
              <w:topLinePunct w:val="0"/>
              <w:bidi w:val="0"/>
              <w:adjustRightInd w:val="0"/>
              <w:snapToGrid w:val="0"/>
              <w:spacing w:line="300" w:lineRule="exact"/>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b/>
                <w:bCs/>
                <w:color w:val="auto"/>
                <w:szCs w:val="21"/>
                <w:lang w:val="en-US" w:eastAsia="zh-CN"/>
              </w:rPr>
              <w:t>2.现场响应时间：</w:t>
            </w:r>
            <w:r>
              <w:rPr>
                <w:rFonts w:hint="eastAsia" w:ascii="仿宋_GB2312" w:hAnsi="仿宋_GB2312" w:eastAsia="仿宋_GB2312" w:cs="仿宋_GB2312"/>
                <w:color w:val="auto"/>
                <w:szCs w:val="21"/>
                <w:lang w:val="en-US" w:eastAsia="zh-CN"/>
              </w:rPr>
              <w:t>提供产品免费技术咨询，提供7×24小时现场服务，30分钟以内响应，2小时内到达现场。</w:t>
            </w:r>
          </w:p>
          <w:p>
            <w:pPr>
              <w:keepNext w:val="0"/>
              <w:keepLines w:val="0"/>
              <w:pageBreakBefore w:val="0"/>
              <w:widowControl w:val="0"/>
              <w:kinsoku/>
              <w:wordWrap/>
              <w:overflowPunct/>
              <w:topLinePunct w:val="0"/>
              <w:bidi w:val="0"/>
              <w:adjustRightInd w:val="0"/>
              <w:snapToGrid w:val="0"/>
              <w:spacing w:line="300" w:lineRule="exact"/>
              <w:textAlignment w:val="auto"/>
              <w:rPr>
                <w:rFonts w:hint="eastAsia" w:ascii="仿宋_GB2312" w:hAnsi="仿宋_GB2312" w:eastAsia="仿宋_GB2312" w:cs="仿宋_GB2312"/>
                <w:b/>
                <w:bCs/>
                <w:color w:val="auto"/>
                <w:szCs w:val="21"/>
                <w:lang w:val="en-US" w:eastAsia="zh-CN"/>
              </w:rPr>
            </w:pPr>
            <w:r>
              <w:rPr>
                <w:rFonts w:hint="eastAsia" w:ascii="仿宋_GB2312" w:hAnsi="仿宋_GB2312" w:eastAsia="仿宋_GB2312" w:cs="仿宋_GB2312"/>
                <w:b/>
                <w:bCs/>
                <w:color w:val="auto"/>
                <w:szCs w:val="21"/>
                <w:lang w:val="en-US" w:eastAsia="zh-CN"/>
              </w:rPr>
              <w:t>3.其他售后维护要求：</w:t>
            </w:r>
          </w:p>
          <w:p>
            <w:pPr>
              <w:keepNext w:val="0"/>
              <w:keepLines w:val="0"/>
              <w:pageBreakBefore w:val="0"/>
              <w:widowControl w:val="0"/>
              <w:kinsoku/>
              <w:wordWrap/>
              <w:overflowPunct/>
              <w:topLinePunct w:val="0"/>
              <w:bidi w:val="0"/>
              <w:adjustRightInd w:val="0"/>
              <w:snapToGrid w:val="0"/>
              <w:spacing w:line="300" w:lineRule="exact"/>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（1）本项目所投产品（环保车辆人脸抓拍单元、红外球机、物联网智能监控管理终端）需支持与当前支队管控中心大数据应用平台无缝对接。</w:t>
            </w:r>
          </w:p>
          <w:p>
            <w:pPr>
              <w:keepNext w:val="0"/>
              <w:keepLines w:val="0"/>
              <w:pageBreakBefore w:val="0"/>
              <w:widowControl w:val="0"/>
              <w:kinsoku/>
              <w:wordWrap/>
              <w:overflowPunct/>
              <w:topLinePunct w:val="0"/>
              <w:bidi w:val="0"/>
              <w:adjustRightInd w:val="0"/>
              <w:snapToGrid w:val="0"/>
              <w:spacing w:line="300" w:lineRule="exact"/>
              <w:textAlignment w:val="auto"/>
              <w:rPr>
                <w:rFonts w:hint="default"/>
                <w:lang w:val="en-US" w:eastAsia="zh-CN"/>
              </w:rPr>
            </w:pPr>
            <w:r>
              <w:rPr>
                <w:rFonts w:hint="eastAsia" w:ascii="仿宋_GB2312" w:hAnsi="仿宋_GB2312" w:eastAsia="仿宋_GB2312" w:cs="仿宋_GB2312"/>
                <w:color w:val="auto"/>
                <w:szCs w:val="21"/>
                <w:lang w:val="en-US" w:eastAsia="zh-CN"/>
              </w:rPr>
              <w:t>（2）本项目所投产品需支持与当前支队《公安交通集成指挥平台》无缝对接。</w:t>
            </w:r>
          </w:p>
        </w:tc>
        <w:tc>
          <w:tcPr>
            <w:tcW w:w="2339"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005" w:type="dxa"/>
            <w:noWrap w:val="0"/>
            <w:vAlign w:val="center"/>
          </w:tcPr>
          <w:p>
            <w:pPr>
              <w:adjustRightInd w:val="0"/>
              <w:snapToGrid w:val="0"/>
              <w:ind w:right="105" w:rightChars="50"/>
              <w:jc w:val="center"/>
              <w:rPr>
                <w:rFonts w:ascii="仿宋_GB2312" w:hAnsi="仿宋_GB2312" w:eastAsia="仿宋_GB2312" w:cs="仿宋_GB2312"/>
                <w:szCs w:val="21"/>
              </w:rPr>
            </w:pPr>
          </w:p>
        </w:tc>
        <w:tc>
          <w:tcPr>
            <w:tcW w:w="1020" w:type="dxa"/>
            <w:noWrap w:val="0"/>
            <w:vAlign w:val="center"/>
          </w:tcPr>
          <w:p>
            <w:pPr>
              <w:adjustRightInd w:val="0"/>
              <w:snapToGrid w:val="0"/>
              <w:ind w:right="105" w:rightChars="50"/>
              <w:jc w:val="center"/>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728" w:type="dxa"/>
            <w:noWrap w:val="0"/>
            <w:vAlign w:val="center"/>
          </w:tcPr>
          <w:p>
            <w:pPr>
              <w:adjustRightInd w:val="0"/>
              <w:snapToGrid w:val="0"/>
              <w:ind w:right="105" w:rightChars="50"/>
              <w:jc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lang w:val="en-US" w:eastAsia="zh-CN"/>
              </w:rPr>
              <w:t xml:space="preserve"> 5</w:t>
            </w:r>
          </w:p>
        </w:tc>
        <w:tc>
          <w:tcPr>
            <w:tcW w:w="3997" w:type="dxa"/>
            <w:noWrap w:val="0"/>
            <w:vAlign w:val="center"/>
          </w:tcPr>
          <w:p>
            <w:pPr>
              <w:keepNext w:val="0"/>
              <w:keepLines w:val="0"/>
              <w:pageBreakBefore w:val="0"/>
              <w:widowControl w:val="0"/>
              <w:kinsoku/>
              <w:wordWrap/>
              <w:overflowPunct/>
              <w:topLinePunct w:val="0"/>
              <w:bidi w:val="0"/>
              <w:adjustRightInd w:val="0"/>
              <w:snapToGrid w:val="0"/>
              <w:spacing w:line="300" w:lineRule="exact"/>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验收标准、验收程序、验收报告：按照《关于印发辽宁省政府采购履约验收管理办法的通知》（辽财采〔2017〕603号）</w:t>
            </w:r>
            <w:r>
              <w:rPr>
                <w:rFonts w:hint="eastAsia" w:ascii="仿宋_GB2312" w:hAnsi="仿宋_GB2312" w:eastAsia="仿宋_GB2312" w:cs="仿宋_GB2312"/>
                <w:color w:val="auto"/>
                <w:szCs w:val="21"/>
                <w:lang w:eastAsia="zh-CN"/>
              </w:rPr>
              <w:t>及相关规定</w:t>
            </w:r>
            <w:r>
              <w:rPr>
                <w:rFonts w:hint="eastAsia" w:ascii="仿宋_GB2312" w:hAnsi="仿宋_GB2312" w:eastAsia="仿宋_GB2312" w:cs="仿宋_GB2312"/>
                <w:color w:val="auto"/>
                <w:szCs w:val="21"/>
              </w:rPr>
              <w:t>执行。</w:t>
            </w:r>
          </w:p>
          <w:p>
            <w:pPr>
              <w:adjustRightInd w:val="0"/>
              <w:snapToGrid w:val="0"/>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color w:val="auto"/>
                <w:szCs w:val="21"/>
              </w:rPr>
              <w:t>组织验收主体：</w:t>
            </w:r>
            <w:r>
              <w:rPr>
                <w:rFonts w:hint="eastAsia" w:ascii="仿宋_GB2312" w:hAnsi="仿宋_GB2312" w:eastAsia="仿宋_GB2312" w:cs="仿宋_GB2312"/>
                <w:color w:val="auto"/>
                <w:szCs w:val="21"/>
                <w:lang w:val="en-US" w:eastAsia="zh-CN"/>
              </w:rPr>
              <w:t>采购人委托采购中心组织验收。</w:t>
            </w:r>
          </w:p>
        </w:tc>
        <w:tc>
          <w:tcPr>
            <w:tcW w:w="2339" w:type="dxa"/>
            <w:noWrap w:val="0"/>
            <w:vAlign w:val="center"/>
          </w:tcPr>
          <w:p>
            <w:pPr>
              <w:adjustRightInd w:val="0"/>
              <w:snapToGrid w:val="0"/>
              <w:ind w:right="105" w:rightChars="50"/>
              <w:jc w:val="center"/>
              <w:rPr>
                <w:rFonts w:hint="eastAsia" w:ascii="仿宋_GB2312" w:hAnsi="仿宋_GB2312" w:eastAsia="仿宋_GB2312" w:cs="仿宋_GB2312"/>
                <w:kern w:val="2"/>
                <w:sz w:val="21"/>
                <w:szCs w:val="21"/>
                <w:lang w:val="en-US" w:eastAsia="zh-CN" w:bidi="ar-SA"/>
              </w:rPr>
            </w:pPr>
          </w:p>
        </w:tc>
        <w:tc>
          <w:tcPr>
            <w:tcW w:w="1005" w:type="dxa"/>
            <w:noWrap w:val="0"/>
            <w:vAlign w:val="center"/>
          </w:tcPr>
          <w:p>
            <w:pPr>
              <w:adjustRightInd w:val="0"/>
              <w:snapToGrid w:val="0"/>
              <w:ind w:right="105" w:rightChars="50"/>
              <w:jc w:val="center"/>
              <w:rPr>
                <w:rFonts w:ascii="仿宋_GB2312" w:hAnsi="仿宋_GB2312" w:eastAsia="仿宋_GB2312" w:cs="仿宋_GB2312"/>
                <w:kern w:val="2"/>
                <w:sz w:val="21"/>
                <w:szCs w:val="21"/>
                <w:lang w:val="en-US" w:eastAsia="zh-CN" w:bidi="ar-SA"/>
              </w:rPr>
            </w:pPr>
          </w:p>
        </w:tc>
        <w:tc>
          <w:tcPr>
            <w:tcW w:w="1020" w:type="dxa"/>
            <w:noWrap w:val="0"/>
            <w:vAlign w:val="center"/>
          </w:tcPr>
          <w:p>
            <w:pPr>
              <w:adjustRightInd w:val="0"/>
              <w:snapToGrid w:val="0"/>
              <w:ind w:right="105" w:rightChars="50"/>
              <w:jc w:val="center"/>
              <w:rPr>
                <w:rFonts w:ascii="仿宋_GB2312" w:hAnsi="仿宋_GB2312" w:eastAsia="仿宋_GB2312" w:cs="仿宋_GB2312"/>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8" w:type="dxa"/>
            <w:noWrap w:val="0"/>
            <w:vAlign w:val="center"/>
          </w:tcPr>
          <w:p>
            <w:pPr>
              <w:adjustRightInd w:val="0"/>
              <w:snapToGrid w:val="0"/>
              <w:ind w:right="105" w:rightChars="50"/>
              <w:jc w:val="center"/>
              <w:rPr>
                <w:rFonts w:hint="default"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 xml:space="preserve"> 6</w:t>
            </w:r>
          </w:p>
        </w:tc>
        <w:tc>
          <w:tcPr>
            <w:tcW w:w="3997" w:type="dxa"/>
            <w:noWrap w:val="0"/>
            <w:vAlign w:val="center"/>
          </w:tcPr>
          <w:p>
            <w:pPr>
              <w:adjustRightInd w:val="0"/>
              <w:snapToGrid w:val="0"/>
              <w:ind w:hanging="1" w:firstLineChars="0"/>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kern w:val="2"/>
                <w:sz w:val="21"/>
                <w:szCs w:val="21"/>
                <w:lang w:val="en-US" w:eastAsia="zh-CN" w:bidi="ar-SA"/>
              </w:rPr>
              <w:t>其它：</w:t>
            </w:r>
          </w:p>
        </w:tc>
        <w:tc>
          <w:tcPr>
            <w:tcW w:w="2339" w:type="dxa"/>
            <w:noWrap w:val="0"/>
            <w:vAlign w:val="center"/>
          </w:tcPr>
          <w:p>
            <w:pPr>
              <w:adjustRightInd w:val="0"/>
              <w:snapToGrid w:val="0"/>
              <w:ind w:left="-37" w:leftChars="-18"/>
              <w:jc w:val="left"/>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采购单位未提供需求而投标人认为需说明及补充的内容在此填列</w:t>
            </w:r>
          </w:p>
        </w:tc>
        <w:tc>
          <w:tcPr>
            <w:tcW w:w="1005" w:type="dxa"/>
            <w:noWrap w:val="0"/>
            <w:vAlign w:val="center"/>
          </w:tcPr>
          <w:p>
            <w:pPr>
              <w:adjustRightInd w:val="0"/>
              <w:snapToGrid w:val="0"/>
              <w:ind w:right="105" w:rightChars="50"/>
              <w:jc w:val="center"/>
              <w:rPr>
                <w:rFonts w:ascii="仿宋_GB2312" w:hAnsi="仿宋_GB2312" w:eastAsia="仿宋_GB2312" w:cs="仿宋_GB2312"/>
                <w:kern w:val="2"/>
                <w:sz w:val="21"/>
                <w:szCs w:val="21"/>
                <w:lang w:val="en-US" w:eastAsia="zh-CN" w:bidi="ar-SA"/>
              </w:rPr>
            </w:pPr>
          </w:p>
        </w:tc>
        <w:tc>
          <w:tcPr>
            <w:tcW w:w="1020" w:type="dxa"/>
            <w:noWrap w:val="0"/>
            <w:vAlign w:val="center"/>
          </w:tcPr>
          <w:p>
            <w:pPr>
              <w:adjustRightInd w:val="0"/>
              <w:snapToGrid w:val="0"/>
              <w:ind w:right="105" w:rightChars="50"/>
              <w:jc w:val="center"/>
              <w:rPr>
                <w:rFonts w:ascii="仿宋_GB2312" w:hAnsi="仿宋_GB2312" w:eastAsia="仿宋_GB2312" w:cs="仿宋_GB2312"/>
                <w:kern w:val="2"/>
                <w:sz w:val="21"/>
                <w:szCs w:val="21"/>
                <w:lang w:val="en-US" w:eastAsia="zh-CN" w:bidi="ar-SA"/>
              </w:rPr>
            </w:pPr>
          </w:p>
        </w:tc>
      </w:tr>
    </w:tbl>
    <w:p>
      <w:pPr>
        <w:adjustRightInd w:val="0"/>
        <w:snapToGrid w:val="0"/>
        <w:spacing w:line="360" w:lineRule="auto"/>
        <w:ind w:right="105" w:rightChars="50"/>
        <w:jc w:val="left"/>
        <w:rPr>
          <w:rFonts w:hint="eastAsia" w:ascii="仿宋_GB2312" w:hAnsi="仿宋_GB2312" w:eastAsia="仿宋_GB2312" w:cs="仿宋_GB2312"/>
          <w:b/>
          <w:szCs w:val="21"/>
        </w:rPr>
      </w:pPr>
    </w:p>
    <w:p>
      <w:pPr>
        <w:keepNext w:val="0"/>
        <w:keepLines w:val="0"/>
        <w:pageBreakBefore w:val="0"/>
        <w:widowControl w:val="0"/>
        <w:kinsoku/>
        <w:wordWrap/>
        <w:overflowPunct/>
        <w:topLinePunct w:val="0"/>
        <w:autoSpaceDE/>
        <w:autoSpaceDN/>
        <w:bidi w:val="0"/>
        <w:adjustRightInd w:val="0"/>
        <w:snapToGrid w:val="0"/>
        <w:spacing w:line="360" w:lineRule="exact"/>
        <w:ind w:right="105" w:rightChars="50"/>
        <w:jc w:val="left"/>
        <w:textAlignment w:val="auto"/>
        <w:rPr>
          <w:rFonts w:ascii="仿宋_GB2312" w:hAnsi="仿宋_GB2312" w:eastAsia="仿宋_GB2312" w:cs="仿宋_GB2312"/>
          <w:szCs w:val="21"/>
        </w:rPr>
      </w:pPr>
      <w:r>
        <w:rPr>
          <w:rFonts w:hint="eastAsia" w:ascii="仿宋_GB2312" w:hAnsi="仿宋_GB2312" w:eastAsia="仿宋_GB2312" w:cs="仿宋_GB2312"/>
          <w:b/>
          <w:szCs w:val="21"/>
        </w:rPr>
        <w:t>填表要求：</w:t>
      </w:r>
    </w:p>
    <w:p>
      <w:pPr>
        <w:keepNext w:val="0"/>
        <w:keepLines w:val="0"/>
        <w:pageBreakBefore w:val="0"/>
        <w:widowControl w:val="0"/>
        <w:kinsoku/>
        <w:wordWrap/>
        <w:overflowPunct/>
        <w:topLinePunct w:val="0"/>
        <w:autoSpaceDE/>
        <w:autoSpaceDN/>
        <w:bidi w:val="0"/>
        <w:adjustRightInd w:val="0"/>
        <w:snapToGrid w:val="0"/>
        <w:spacing w:line="36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“投标文件响应内容”一栏由投标人按照招标文件要求填写，进行响应。</w:t>
      </w:r>
    </w:p>
    <w:p>
      <w:pPr>
        <w:keepNext w:val="0"/>
        <w:keepLines w:val="0"/>
        <w:pageBreakBefore w:val="0"/>
        <w:widowControl w:val="0"/>
        <w:kinsoku/>
        <w:wordWrap/>
        <w:overflowPunct/>
        <w:topLinePunct w:val="0"/>
        <w:autoSpaceDE/>
        <w:autoSpaceDN/>
        <w:bidi w:val="0"/>
        <w:adjustRightInd w:val="0"/>
        <w:snapToGrid w:val="0"/>
        <w:spacing w:line="360" w:lineRule="exact"/>
        <w:textAlignment w:val="auto"/>
        <w:rPr>
          <w:rFonts w:ascii="仿宋_GB2312" w:hAnsi="仿宋_GB2312" w:eastAsia="仿宋_GB2312" w:cs="仿宋_GB2312"/>
          <w:szCs w:val="21"/>
        </w:rPr>
      </w:pPr>
      <w:r>
        <w:rPr>
          <w:rFonts w:hint="eastAsia" w:ascii="仿宋_GB2312" w:hAnsi="仿宋_GB2312" w:eastAsia="仿宋_GB2312" w:cs="仿宋_GB2312"/>
          <w:szCs w:val="21"/>
        </w:rPr>
        <w:t>2</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“偏离程度”一栏根据“投标文件响应内容”与招标文件逐项对照的结果填写。偏离必须用 “正偏离、负偏离或无偏离”三个名称中的一种进行标注。</w:t>
      </w:r>
    </w:p>
    <w:p>
      <w:pPr>
        <w:keepNext w:val="0"/>
        <w:keepLines w:val="0"/>
        <w:pageBreakBefore w:val="0"/>
        <w:widowControl w:val="0"/>
        <w:kinsoku/>
        <w:wordWrap/>
        <w:overflowPunct/>
        <w:topLinePunct w:val="0"/>
        <w:autoSpaceDE/>
        <w:autoSpaceDN/>
        <w:bidi w:val="0"/>
        <w:adjustRightInd w:val="0"/>
        <w:snapToGrid w:val="0"/>
        <w:spacing w:line="360" w:lineRule="exact"/>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3</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“偏离说明”一栏由投标人对偏离的情况做详细说明。</w:t>
      </w:r>
    </w:p>
    <w:p>
      <w:pPr>
        <w:keepNext w:val="0"/>
        <w:keepLines w:val="0"/>
        <w:pageBreakBefore w:val="0"/>
        <w:widowControl w:val="0"/>
        <w:kinsoku/>
        <w:wordWrap/>
        <w:overflowPunct/>
        <w:topLinePunct w:val="0"/>
        <w:autoSpaceDE/>
        <w:autoSpaceDN/>
        <w:bidi w:val="0"/>
        <w:adjustRightInd w:val="0"/>
        <w:snapToGrid w:val="0"/>
        <w:spacing w:line="360" w:lineRule="exact"/>
        <w:textAlignment w:val="auto"/>
        <w:rPr>
          <w:rFonts w:ascii="仿宋_GB2312" w:hAnsi="仿宋_GB2312" w:eastAsia="仿宋_GB2312" w:cs="仿宋_GB2312"/>
          <w:szCs w:val="21"/>
        </w:rPr>
      </w:pPr>
    </w:p>
    <w:p>
      <w:pPr>
        <w:keepNext w:val="0"/>
        <w:keepLines w:val="0"/>
        <w:pageBreakBefore w:val="0"/>
        <w:widowControl w:val="0"/>
        <w:kinsoku/>
        <w:wordWrap/>
        <w:overflowPunct/>
        <w:topLinePunct w:val="0"/>
        <w:autoSpaceDE/>
        <w:autoSpaceDN/>
        <w:bidi w:val="0"/>
        <w:snapToGrid w:val="0"/>
        <w:spacing w:line="360" w:lineRule="exact"/>
        <w:textAlignment w:val="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keepNext w:val="0"/>
        <w:keepLines w:val="0"/>
        <w:pageBreakBefore w:val="0"/>
        <w:widowControl w:val="0"/>
        <w:kinsoku/>
        <w:wordWrap/>
        <w:overflowPunct/>
        <w:topLinePunct w:val="0"/>
        <w:autoSpaceDE/>
        <w:autoSpaceDN/>
        <w:bidi w:val="0"/>
        <w:snapToGrid w:val="0"/>
        <w:spacing w:line="360" w:lineRule="exact"/>
        <w:textAlignment w:val="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pPr>
        <w:keepNext w:val="0"/>
        <w:keepLines w:val="0"/>
        <w:pageBreakBefore w:val="0"/>
        <w:widowControl w:val="0"/>
        <w:kinsoku/>
        <w:wordWrap/>
        <w:overflowPunct/>
        <w:topLinePunct w:val="0"/>
        <w:autoSpaceDE/>
        <w:autoSpaceDN/>
        <w:bidi w:val="0"/>
        <w:snapToGrid w:val="0"/>
        <w:spacing w:line="360" w:lineRule="exact"/>
        <w:textAlignment w:val="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pStyle w:val="5"/>
        <w:adjustRightInd w:val="0"/>
        <w:snapToGrid w:val="0"/>
        <w:spacing w:before="0" w:after="0" w:line="240" w:lineRule="auto"/>
        <w:jc w:val="left"/>
        <w:rPr>
          <w:rFonts w:hint="default" w:ascii="仿宋_GB2312" w:hAnsi="仿宋_GB2312" w:eastAsia="仿宋_GB2312" w:cs="仿宋_GB2312"/>
          <w:szCs w:val="28"/>
          <w:lang w:val="en-US" w:eastAsia="zh-CN"/>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w:t>
      </w:r>
      <w:r>
        <w:rPr>
          <w:rFonts w:hint="eastAsia" w:ascii="仿宋_GB2312" w:hAnsi="仿宋_GB2312" w:eastAsia="仿宋_GB2312" w:cs="仿宋_GB2312"/>
          <w:szCs w:val="28"/>
          <w:lang w:val="en-US" w:eastAsia="zh-CN"/>
        </w:rPr>
        <w:t>12</w:t>
      </w:r>
    </w:p>
    <w:p>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09" w:name="_Toc20929_WPSOffice_Level2"/>
      <w:bookmarkStart w:id="110" w:name="_Toc9410_WPSOffice_Level2"/>
      <w:r>
        <w:rPr>
          <w:rFonts w:hint="eastAsia" w:ascii="仿宋_GB2312" w:hAnsi="仿宋_GB2312" w:eastAsia="仿宋_GB2312" w:cs="仿宋_GB2312"/>
          <w:b/>
          <w:bCs/>
          <w:sz w:val="32"/>
          <w:szCs w:val="32"/>
        </w:rPr>
        <w:t>投标人关联单位的说明</w:t>
      </w:r>
      <w:bookmarkEnd w:id="109"/>
      <w:bookmarkEnd w:id="110"/>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说明：投标人应当如实披露与本单位存在下列关联关系的单位名称：</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11" w:name="_Toc31070_WPSOffice_Level2"/>
      <w:bookmarkStart w:id="112" w:name="_Toc2074_WPSOffice_Level2"/>
      <w:r>
        <w:rPr>
          <w:rFonts w:hint="eastAsia" w:ascii="仿宋_GB2312" w:hAnsi="仿宋_GB2312" w:eastAsia="仿宋_GB2312" w:cs="仿宋_GB2312"/>
          <w:szCs w:val="21"/>
        </w:rPr>
        <w:t>（1）与投标人单位法定代表人（或非法人组织负责人）为同一人的其他单位；</w:t>
      </w:r>
      <w:bookmarkEnd w:id="111"/>
      <w:bookmarkEnd w:id="112"/>
    </w:p>
    <w:p>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13" w:name="_Toc889_WPSOffice_Level2"/>
      <w:bookmarkStart w:id="114" w:name="_Toc27053_WPSOffice_Level2"/>
      <w:r>
        <w:rPr>
          <w:rFonts w:hint="eastAsia" w:ascii="仿宋_GB2312" w:hAnsi="仿宋_GB2312" w:eastAsia="仿宋_GB2312" w:cs="仿宋_GB2312"/>
          <w:szCs w:val="21"/>
        </w:rPr>
        <w:t>（2）与投标人存在直接控股、管理关系的其他单位。</w:t>
      </w:r>
      <w:bookmarkEnd w:id="113"/>
      <w:bookmarkEnd w:id="114"/>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注：若无此情形，写“无”即可</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pPr>
        <w:adjustRightInd w:val="0"/>
        <w:snapToGrid w:val="0"/>
        <w:spacing w:line="48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pPr>
        <w:adjustRightInd w:val="0"/>
        <w:snapToGrid w:val="0"/>
        <w:spacing w:line="360" w:lineRule="auto"/>
        <w:ind w:right="105" w:rightChars="50"/>
        <w:jc w:val="left"/>
        <w:rPr>
          <w:rFonts w:ascii="仿宋_GB2312" w:hAnsi="仿宋_GB2312" w:eastAsia="仿宋_GB2312" w:cs="仿宋_GB2312"/>
          <w:u w:val="single"/>
        </w:rPr>
      </w:pPr>
    </w:p>
    <w:p>
      <w:pPr>
        <w:adjustRightInd w:val="0"/>
        <w:snapToGrid w:val="0"/>
        <w:spacing w:line="360" w:lineRule="auto"/>
        <w:ind w:right="105" w:rightChars="50"/>
        <w:jc w:val="left"/>
        <w:rPr>
          <w:rFonts w:ascii="仿宋_GB2312" w:hAnsi="仿宋_GB2312" w:eastAsia="仿宋_GB2312" w:cs="仿宋_GB2312"/>
          <w:u w:val="single"/>
        </w:rPr>
      </w:pPr>
    </w:p>
    <w:p>
      <w:pPr>
        <w:pStyle w:val="5"/>
        <w:bidi w:val="0"/>
        <w:jc w:val="left"/>
        <w:rPr>
          <w:rFonts w:hint="eastAsia" w:ascii="仿宋_GB2312" w:hAnsi="仿宋_GB2312" w:eastAsia="仿宋_GB2312" w:cs="仿宋_GB2312"/>
          <w:szCs w:val="28"/>
          <w:lang w:eastAsia="zh-CN"/>
        </w:rPr>
      </w:pPr>
      <w:r>
        <w:rPr>
          <w:rFonts w:hint="eastAsia" w:ascii="仿宋_GB2312" w:hAnsi="仿宋_GB2312" w:eastAsia="仿宋_GB2312" w:cs="仿宋_GB2312"/>
          <w:szCs w:val="21"/>
        </w:rPr>
        <w:br w:type="page"/>
      </w:r>
      <w:r>
        <w:rPr>
          <w:rFonts w:hint="eastAsia" w:ascii="仿宋_GB2312" w:hAnsi="仿宋_GB2312" w:eastAsia="仿宋_GB2312" w:cs="仿宋_GB2312"/>
          <w:szCs w:val="28"/>
        </w:rPr>
        <w:t>格式1</w:t>
      </w:r>
      <w:r>
        <w:rPr>
          <w:rFonts w:hint="eastAsia" w:ascii="仿宋_GB2312" w:hAnsi="仿宋_GB2312" w:eastAsia="仿宋_GB2312" w:cs="仿宋_GB2312"/>
          <w:szCs w:val="28"/>
          <w:lang w:val="en-US" w:eastAsia="zh-CN"/>
        </w:rPr>
        <w:t>3</w:t>
      </w:r>
    </w:p>
    <w:p>
      <w:pPr>
        <w:adjustRightInd w:val="0"/>
        <w:snapToGrid w:val="0"/>
        <w:spacing w:before="319" w:beforeLines="100" w:after="319" w:afterLines="100" w:line="360" w:lineRule="auto"/>
        <w:ind w:right="105" w:rightChars="50"/>
        <w:jc w:val="center"/>
        <w:rPr>
          <w:rFonts w:hint="eastAsia" w:ascii="仿宋_GB2312" w:hAnsi="仿宋_GB2312" w:eastAsia="仿宋_GB2312" w:cs="仿宋_GB2312"/>
          <w:b/>
          <w:bCs/>
          <w:color w:val="auto"/>
          <w:sz w:val="32"/>
          <w:szCs w:val="32"/>
        </w:rPr>
      </w:pPr>
      <w:r>
        <w:rPr>
          <w:rFonts w:hint="eastAsia" w:ascii="仿宋_GB2312" w:hAnsi="仿宋_GB2312" w:eastAsia="仿宋_GB2312" w:cs="仿宋_GB2312"/>
          <w:b/>
          <w:bCs/>
          <w:color w:val="auto"/>
          <w:sz w:val="32"/>
          <w:szCs w:val="32"/>
        </w:rPr>
        <w:t>中小企业声明函（货物）</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本公司（联合体）郑重声明，根据《政府采购促进中小企业发展管理办法》（财库〔20</w:t>
      </w:r>
      <w:r>
        <w:rPr>
          <w:rFonts w:hint="eastAsia" w:ascii="仿宋_GB2312" w:hAnsi="仿宋_GB2312" w:eastAsia="仿宋_GB2312" w:cs="仿宋_GB2312"/>
          <w:szCs w:val="21"/>
          <w:lang w:val="en-US" w:eastAsia="zh-CN"/>
        </w:rPr>
        <w:t>20</w:t>
      </w:r>
      <w:r>
        <w:rPr>
          <w:rFonts w:hint="eastAsia" w:ascii="仿宋_GB2312" w:hAnsi="仿宋_GB2312" w:eastAsia="仿宋_GB2312" w:cs="仿宋_GB2312"/>
          <w:szCs w:val="21"/>
        </w:rPr>
        <w:t>〕46号）的规定，本公司（联合体）参加</w:t>
      </w:r>
      <w:r>
        <w:rPr>
          <w:rFonts w:hint="eastAsia" w:ascii="仿宋_GB2312" w:hAnsi="仿宋_GB2312" w:eastAsia="仿宋_GB2312" w:cs="仿宋_GB2312"/>
          <w:szCs w:val="21"/>
          <w:u w:val="single"/>
        </w:rPr>
        <w:t>（单位名称）</w:t>
      </w:r>
      <w:r>
        <w:rPr>
          <w:rFonts w:hint="eastAsia" w:ascii="仿宋_GB2312" w:hAnsi="仿宋_GB2312" w:eastAsia="仿宋_GB2312" w:cs="仿宋_GB2312"/>
          <w:szCs w:val="21"/>
        </w:rPr>
        <w:t>的</w:t>
      </w:r>
      <w:r>
        <w:rPr>
          <w:rFonts w:hint="eastAsia" w:ascii="仿宋_GB2312" w:hAnsi="仿宋_GB2312" w:eastAsia="仿宋_GB2312" w:cs="仿宋_GB2312"/>
          <w:szCs w:val="21"/>
          <w:u w:val="single"/>
        </w:rPr>
        <w:t xml:space="preserve">（项目名称） </w:t>
      </w:r>
      <w:r>
        <w:rPr>
          <w:rFonts w:hint="eastAsia" w:ascii="仿宋_GB2312" w:hAnsi="仿宋_GB2312" w:eastAsia="仿宋_GB2312" w:cs="仿宋_GB2312"/>
          <w:szCs w:val="21"/>
        </w:rPr>
        <w:t>采购活动，提供的货物全部由符合政策要求的中小企业制造。相关企业（含联合体中的中小企业、签订分包意向协议的中小企业）的具体情况如下：</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szCs w:val="21"/>
          <w:u w:val="single"/>
        </w:rPr>
        <w:t>（标的名称）</w:t>
      </w:r>
      <w:r>
        <w:rPr>
          <w:rFonts w:hint="eastAsia" w:ascii="仿宋_GB2312" w:hAnsi="仿宋_GB2312" w:eastAsia="仿宋_GB2312" w:cs="仿宋_GB2312"/>
          <w:szCs w:val="21"/>
          <w:u w:val="none"/>
        </w:rPr>
        <w:t>，</w:t>
      </w:r>
      <w:r>
        <w:rPr>
          <w:rFonts w:hint="eastAsia" w:ascii="仿宋_GB2312" w:hAnsi="仿宋_GB2312" w:eastAsia="仿宋_GB2312" w:cs="仿宋_GB2312"/>
          <w:szCs w:val="21"/>
        </w:rPr>
        <w:t>属于</w:t>
      </w:r>
      <w:r>
        <w:rPr>
          <w:rFonts w:hint="eastAsia" w:ascii="仿宋_GB2312" w:hAnsi="仿宋_GB2312" w:eastAsia="仿宋_GB2312" w:cs="仿宋_GB2312"/>
          <w:szCs w:val="21"/>
          <w:u w:val="single"/>
        </w:rPr>
        <w:t>（采购文件中明确的所属行业）</w:t>
      </w:r>
      <w:r>
        <w:rPr>
          <w:rFonts w:hint="eastAsia" w:ascii="仿宋_GB2312" w:hAnsi="仿宋_GB2312" w:eastAsia="仿宋_GB2312" w:cs="仿宋_GB2312"/>
          <w:szCs w:val="21"/>
        </w:rPr>
        <w:t>行业；制造商为</w:t>
      </w:r>
      <w:r>
        <w:rPr>
          <w:rFonts w:hint="eastAsia" w:ascii="仿宋_GB2312" w:hAnsi="仿宋_GB2312" w:eastAsia="仿宋_GB2312" w:cs="仿宋_GB2312"/>
          <w:szCs w:val="21"/>
          <w:u w:val="single"/>
        </w:rPr>
        <w:t>（企业名称）</w:t>
      </w:r>
      <w:r>
        <w:rPr>
          <w:rFonts w:hint="eastAsia" w:ascii="仿宋_GB2312" w:hAnsi="仿宋_GB2312" w:eastAsia="仿宋_GB2312" w:cs="仿宋_GB2312"/>
          <w:szCs w:val="21"/>
        </w:rPr>
        <w:t>，从业人员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人，营业收入为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万元，资产总额为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w:t>
      </w:r>
      <w:r>
        <w:rPr>
          <w:rFonts w:hint="eastAsia" w:ascii="仿宋_GB2312" w:hAnsi="仿宋_GB2312" w:eastAsia="仿宋_GB2312" w:cs="仿宋_GB2312"/>
          <w:color w:val="auto"/>
          <w:kern w:val="0"/>
          <w:szCs w:val="21"/>
          <w:vertAlign w:val="superscript"/>
        </w:rPr>
        <w:t>1</w:t>
      </w:r>
      <w:r>
        <w:rPr>
          <w:rFonts w:hint="eastAsia" w:ascii="仿宋_GB2312" w:hAnsi="仿宋_GB2312" w:eastAsia="仿宋_GB2312" w:cs="仿宋_GB2312"/>
          <w:szCs w:val="21"/>
        </w:rPr>
        <w:t>，属于</w:t>
      </w:r>
      <w:r>
        <w:rPr>
          <w:rFonts w:hint="eastAsia" w:ascii="仿宋_GB2312" w:hAnsi="仿宋_GB2312" w:eastAsia="仿宋_GB2312" w:cs="仿宋_GB2312"/>
          <w:szCs w:val="21"/>
          <w:u w:val="single"/>
        </w:rPr>
        <w:t>（中型企业、小型企业、微型企业）</w:t>
      </w:r>
      <w:r>
        <w:rPr>
          <w:rFonts w:hint="eastAsia" w:ascii="仿宋_GB2312" w:hAnsi="仿宋_GB2312" w:eastAsia="仿宋_GB2312" w:cs="仿宋_GB2312"/>
          <w:szCs w:val="21"/>
          <w:u w:val="none"/>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2.</w:t>
      </w:r>
      <w:r>
        <w:rPr>
          <w:rFonts w:hint="eastAsia" w:ascii="仿宋_GB2312" w:hAnsi="仿宋_GB2312" w:eastAsia="仿宋_GB2312" w:cs="仿宋_GB2312"/>
          <w:szCs w:val="21"/>
          <w:u w:val="single"/>
        </w:rPr>
        <w:t>（标的名称）</w:t>
      </w:r>
      <w:r>
        <w:rPr>
          <w:rFonts w:hint="eastAsia" w:ascii="仿宋_GB2312" w:hAnsi="仿宋_GB2312" w:eastAsia="仿宋_GB2312" w:cs="仿宋_GB2312"/>
          <w:szCs w:val="21"/>
          <w:u w:val="none"/>
        </w:rPr>
        <w:t>，</w:t>
      </w:r>
      <w:r>
        <w:rPr>
          <w:rFonts w:hint="eastAsia" w:ascii="仿宋_GB2312" w:hAnsi="仿宋_GB2312" w:eastAsia="仿宋_GB2312" w:cs="仿宋_GB2312"/>
          <w:szCs w:val="21"/>
        </w:rPr>
        <w:t>属于</w:t>
      </w:r>
      <w:r>
        <w:rPr>
          <w:rFonts w:hint="eastAsia" w:ascii="仿宋_GB2312" w:hAnsi="仿宋_GB2312" w:eastAsia="仿宋_GB2312" w:cs="仿宋_GB2312"/>
          <w:szCs w:val="21"/>
          <w:u w:val="single"/>
        </w:rPr>
        <w:t>（采购文件中明确的所属行业）</w:t>
      </w:r>
      <w:r>
        <w:rPr>
          <w:rFonts w:hint="eastAsia" w:ascii="仿宋_GB2312" w:hAnsi="仿宋_GB2312" w:eastAsia="仿宋_GB2312" w:cs="仿宋_GB2312"/>
          <w:szCs w:val="21"/>
        </w:rPr>
        <w:t>行业；制造商为</w:t>
      </w:r>
      <w:r>
        <w:rPr>
          <w:rFonts w:hint="eastAsia" w:ascii="仿宋_GB2312" w:hAnsi="仿宋_GB2312" w:eastAsia="仿宋_GB2312" w:cs="仿宋_GB2312"/>
          <w:szCs w:val="21"/>
          <w:u w:val="single"/>
        </w:rPr>
        <w:t>（企业名称）</w:t>
      </w:r>
      <w:r>
        <w:rPr>
          <w:rFonts w:hint="eastAsia" w:ascii="仿宋_GB2312" w:hAnsi="仿宋_GB2312" w:eastAsia="仿宋_GB2312" w:cs="仿宋_GB2312"/>
          <w:szCs w:val="21"/>
        </w:rPr>
        <w:t>，从业人员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人，营业收入为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万元，资产总额为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万元，属于</w:t>
      </w:r>
      <w:r>
        <w:rPr>
          <w:rFonts w:hint="eastAsia" w:ascii="仿宋_GB2312" w:hAnsi="仿宋_GB2312" w:eastAsia="仿宋_GB2312" w:cs="仿宋_GB2312"/>
          <w:szCs w:val="21"/>
          <w:u w:val="single"/>
        </w:rPr>
        <w:t>（中型企业、小型企业、微型企业）</w:t>
      </w:r>
      <w:r>
        <w:rPr>
          <w:rFonts w:hint="eastAsia" w:ascii="仿宋_GB2312" w:hAnsi="仿宋_GB2312" w:eastAsia="仿宋_GB2312" w:cs="仿宋_GB2312"/>
          <w:szCs w:val="21"/>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_GB2312" w:hAnsi="仿宋_GB2312" w:eastAsia="仿宋_GB2312" w:cs="仿宋_GB2312"/>
          <w:szCs w:val="21"/>
        </w:rPr>
      </w:pPr>
      <w:r>
        <w:rPr>
          <w:rFonts w:hint="eastAsia" w:ascii="仿宋_GB2312" w:hAnsi="仿宋_GB2312" w:eastAsia="仿宋_GB2312" w:cs="仿宋_GB2312"/>
          <w:szCs w:val="21"/>
        </w:rPr>
        <w:t>本企业对上述声明内容的真实性负责。如有虚假，将依法承担相应责任。</w:t>
      </w:r>
    </w:p>
    <w:p>
      <w:pPr>
        <w:adjustRightInd w:val="0"/>
        <w:snapToGrid w:val="0"/>
        <w:spacing w:line="480" w:lineRule="auto"/>
        <w:ind w:right="105" w:rightChars="50" w:firstLine="420" w:firstLineChars="200"/>
        <w:jc w:val="left"/>
        <w:rPr>
          <w:rFonts w:hint="eastAsia" w:ascii="仿宋_GB2312" w:hAnsi="仿宋_GB2312" w:eastAsia="仿宋_GB2312" w:cs="仿宋_GB2312"/>
          <w:kern w:val="0"/>
          <w:szCs w:val="21"/>
        </w:rPr>
      </w:pPr>
    </w:p>
    <w:p>
      <w:pPr>
        <w:adjustRightInd w:val="0"/>
        <w:snapToGrid w:val="0"/>
        <w:spacing w:line="480" w:lineRule="auto"/>
        <w:ind w:right="105" w:rightChars="50" w:firstLine="4830" w:firstLineChars="230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企业名称（盖章）</w:t>
      </w:r>
    </w:p>
    <w:p>
      <w:pPr>
        <w:adjustRightInd w:val="0"/>
        <w:snapToGrid w:val="0"/>
        <w:spacing w:line="480" w:lineRule="auto"/>
        <w:ind w:right="105" w:rightChars="50" w:firstLine="4830" w:firstLineChars="23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日期</w:t>
      </w:r>
    </w:p>
    <w:p>
      <w:pPr>
        <w:adjustRightInd w:val="0"/>
        <w:snapToGrid w:val="0"/>
        <w:spacing w:line="480" w:lineRule="auto"/>
        <w:ind w:right="105" w:rightChars="50"/>
        <w:jc w:val="left"/>
        <w:rPr>
          <w:rFonts w:ascii="仿宋_GB2312" w:hAnsi="仿宋_GB2312" w:eastAsia="仿宋_GB2312" w:cs="仿宋_GB2312"/>
          <w:szCs w:val="21"/>
          <w:u w:val="single"/>
        </w:rPr>
      </w:pPr>
    </w:p>
    <w:p>
      <w:pPr>
        <w:pStyle w:val="9"/>
        <w:ind w:left="0" w:leftChars="0" w:firstLine="0" w:firstLineChars="0"/>
        <w:rPr>
          <w:rFonts w:hint="default" w:ascii="仿宋_GB2312" w:hAnsi="仿宋_GB2312" w:eastAsia="仿宋_GB2312" w:cs="仿宋_GB2312"/>
          <w:szCs w:val="21"/>
          <w:u w:val="single"/>
          <w:lang w:val="en-US" w:eastAsia="zh-CN"/>
        </w:rPr>
      </w:pPr>
    </w:p>
    <w:p>
      <w:pPr>
        <w:keepNext w:val="0"/>
        <w:keepLines w:val="0"/>
        <w:pageBreakBefore w:val="0"/>
        <w:widowControl w:val="0"/>
        <w:kinsoku/>
        <w:wordWrap/>
        <w:overflowPunct/>
        <w:topLinePunct w:val="0"/>
        <w:autoSpaceDE/>
        <w:autoSpaceDN/>
        <w:bidi w:val="0"/>
        <w:adjustRightInd w:val="0"/>
        <w:snapToGrid w:val="0"/>
        <w:spacing w:line="400" w:lineRule="exact"/>
        <w:ind w:right="105" w:rightChars="50"/>
        <w:jc w:val="left"/>
        <w:textAlignment w:val="auto"/>
        <w:rPr>
          <w:rFonts w:hint="eastAsia" w:ascii="仿宋_GB2312" w:hAnsi="仿宋_GB2312" w:eastAsia="仿宋_GB2312" w:cs="仿宋_GB2312"/>
          <w:b/>
          <w:bCs/>
          <w:color w:val="auto"/>
          <w:sz w:val="18"/>
          <w:szCs w:val="18"/>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400" w:lineRule="exact"/>
        <w:ind w:right="105" w:rightChars="50"/>
        <w:jc w:val="left"/>
        <w:textAlignment w:val="auto"/>
        <w:rPr>
          <w:rFonts w:hint="eastAsia" w:ascii="仿宋_GB2312" w:hAnsi="仿宋_GB2312" w:eastAsia="仿宋_GB2312" w:cs="仿宋_GB2312"/>
          <w:b/>
          <w:bCs/>
          <w:color w:val="auto"/>
          <w:sz w:val="18"/>
          <w:szCs w:val="18"/>
          <w:highlight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exact"/>
        <w:ind w:right="105" w:rightChars="50"/>
        <w:jc w:val="left"/>
        <w:textAlignment w:val="auto"/>
        <w:rPr>
          <w:rFonts w:ascii="仿宋_GB2312" w:hAnsi="仿宋_GB2312" w:eastAsia="仿宋_GB2312" w:cs="仿宋_GB2312"/>
          <w:color w:val="auto"/>
          <w:sz w:val="18"/>
          <w:szCs w:val="18"/>
          <w:highlight w:val="none"/>
          <w:u w:val="single"/>
        </w:rPr>
      </w:pPr>
      <w:r>
        <w:rPr>
          <w:rFonts w:hint="eastAsia" w:ascii="仿宋_GB2312" w:hAnsi="仿宋_GB2312" w:eastAsia="仿宋_GB2312" w:cs="仿宋_GB2312"/>
          <w:color w:val="auto"/>
          <w:kern w:val="0"/>
          <w:szCs w:val="21"/>
          <w:vertAlign w:val="superscript"/>
        </w:rPr>
        <w:t>1</w:t>
      </w:r>
      <w:r>
        <w:rPr>
          <w:rFonts w:hint="eastAsia" w:ascii="仿宋_GB2312" w:hAnsi="仿宋_GB2312" w:eastAsia="仿宋_GB2312" w:cs="仿宋_GB2312"/>
          <w:color w:val="auto"/>
          <w:sz w:val="18"/>
          <w:szCs w:val="18"/>
          <w:highlight w:val="none"/>
          <w:lang w:val="en-US" w:eastAsia="zh-CN"/>
        </w:rPr>
        <w:t>从业人员、营业收入、资产总额填报上一年度数据，无上一年度数据的新成立企业可不填报。</w:t>
      </w:r>
    </w:p>
    <w:p>
      <w:pPr>
        <w:keepNext w:val="0"/>
        <w:keepLines w:val="0"/>
        <w:pageBreakBefore w:val="0"/>
        <w:widowControl w:val="0"/>
        <w:kinsoku/>
        <w:wordWrap/>
        <w:overflowPunct/>
        <w:topLinePunct w:val="0"/>
        <w:autoSpaceDE/>
        <w:autoSpaceDN/>
        <w:bidi w:val="0"/>
        <w:adjustRightInd w:val="0"/>
        <w:snapToGrid w:val="0"/>
        <w:spacing w:line="360" w:lineRule="exact"/>
        <w:ind w:right="105" w:rightChars="50"/>
        <w:jc w:val="left"/>
        <w:textAlignment w:val="auto"/>
        <w:rPr>
          <w:rFonts w:hint="default"/>
          <w:color w:val="FF0000"/>
          <w:sz w:val="18"/>
          <w:szCs w:val="18"/>
          <w:u w:val="single"/>
          <w:lang w:val="en-US" w:eastAsia="zh-CN"/>
        </w:rPr>
      </w:pPr>
      <w:r>
        <w:rPr>
          <w:rFonts w:hint="eastAsia" w:ascii="仿宋_GB2312" w:hAnsi="仿宋_GB2312" w:eastAsia="仿宋_GB2312" w:cs="仿宋_GB2312"/>
          <w:b/>
          <w:bCs/>
          <w:color w:val="auto"/>
          <w:sz w:val="18"/>
          <w:szCs w:val="18"/>
          <w:highlight w:val="none"/>
          <w:lang w:val="en-US" w:eastAsia="zh-CN"/>
        </w:rPr>
        <w:t>注：</w:t>
      </w:r>
      <w:r>
        <w:rPr>
          <w:rFonts w:hint="eastAsia" w:ascii="仿宋_GB2312" w:hAnsi="仿宋_GB2312" w:eastAsia="仿宋_GB2312" w:cs="仿宋_GB2312"/>
          <w:b w:val="0"/>
          <w:bCs w:val="0"/>
          <w:color w:val="auto"/>
          <w:sz w:val="18"/>
          <w:szCs w:val="18"/>
          <w:highlight w:val="none"/>
          <w:lang w:val="en-US" w:eastAsia="zh-CN"/>
        </w:rPr>
        <w:t>1.</w:t>
      </w:r>
      <w:r>
        <w:rPr>
          <w:rFonts w:hint="eastAsia" w:ascii="仿宋_GB2312" w:hAnsi="仿宋_GB2312" w:eastAsia="仿宋_GB2312" w:cs="仿宋_GB2312"/>
          <w:color w:val="auto"/>
          <w:sz w:val="18"/>
          <w:szCs w:val="18"/>
          <w:highlight w:val="none"/>
          <w:lang w:val="en-US" w:eastAsia="zh-CN"/>
        </w:rPr>
        <w:t xml:space="preserve">采购标的对应的中小企业划分标准所属行业： </w:t>
      </w:r>
      <w:r>
        <w:rPr>
          <w:rFonts w:hint="eastAsia" w:ascii="仿宋_GB2312" w:hAnsi="仿宋_GB2312" w:eastAsia="仿宋_GB2312" w:cs="仿宋_GB2312"/>
          <w:color w:val="auto"/>
          <w:sz w:val="18"/>
          <w:szCs w:val="18"/>
          <w:highlight w:val="none"/>
          <w:u w:val="single"/>
          <w:lang w:val="en-US" w:eastAsia="zh-CN"/>
        </w:rPr>
        <w:t xml:space="preserve">   工业      </w:t>
      </w:r>
    </w:p>
    <w:p>
      <w:pPr>
        <w:keepNext w:val="0"/>
        <w:keepLines w:val="0"/>
        <w:pageBreakBefore w:val="0"/>
        <w:widowControl w:val="0"/>
        <w:kinsoku/>
        <w:wordWrap/>
        <w:overflowPunct/>
        <w:topLinePunct w:val="0"/>
        <w:autoSpaceDE/>
        <w:autoSpaceDN/>
        <w:bidi w:val="0"/>
        <w:adjustRightInd w:val="0"/>
        <w:snapToGrid w:val="0"/>
        <w:spacing w:line="360" w:lineRule="exact"/>
        <w:ind w:right="105" w:rightChars="50" w:firstLine="360" w:firstLineChars="200"/>
        <w:jc w:val="left"/>
        <w:textAlignment w:val="auto"/>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2.划型标准：《工业和信息化部、国家统计局、国家发展和改革委员会、财政部关于印发中小企业划型标准规定的通知》（工信部联企业[2011]300 号）</w:t>
      </w:r>
    </w:p>
    <w:p>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pPr>
        <w:pStyle w:val="5"/>
        <w:adjustRightInd w:val="0"/>
        <w:snapToGrid w:val="0"/>
        <w:spacing w:before="0" w:after="0" w:line="240" w:lineRule="auto"/>
        <w:jc w:val="left"/>
        <w:rPr>
          <w:rFonts w:hint="eastAsia" w:ascii="仿宋_GB2312" w:hAnsi="仿宋_GB2312" w:eastAsia="仿宋_GB2312" w:cs="仿宋_GB2312"/>
          <w:szCs w:val="28"/>
          <w:lang w:eastAsia="zh-CN"/>
        </w:rPr>
      </w:pPr>
      <w:r>
        <w:rPr>
          <w:rFonts w:hint="eastAsia" w:ascii="仿宋_GB2312" w:hAnsi="仿宋_GB2312" w:eastAsia="仿宋_GB2312" w:cs="仿宋_GB2312"/>
          <w:szCs w:val="28"/>
        </w:rPr>
        <w:t>格式1</w:t>
      </w:r>
      <w:r>
        <w:rPr>
          <w:rFonts w:hint="eastAsia" w:ascii="仿宋_GB2312" w:hAnsi="仿宋_GB2312" w:eastAsia="仿宋_GB2312" w:cs="仿宋_GB2312"/>
          <w:szCs w:val="28"/>
          <w:lang w:val="en-US" w:eastAsia="zh-CN"/>
        </w:rPr>
        <w:t>4</w:t>
      </w:r>
    </w:p>
    <w:p>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15" w:name="_Toc13566_WPSOffice_Level2"/>
      <w:bookmarkStart w:id="116" w:name="_Toc29880_WPSOffice_Level2"/>
      <w:r>
        <w:rPr>
          <w:rFonts w:hint="eastAsia" w:ascii="仿宋_GB2312" w:hAnsi="仿宋_GB2312" w:eastAsia="仿宋_GB2312" w:cs="仿宋_GB2312"/>
          <w:b/>
          <w:bCs/>
          <w:sz w:val="32"/>
          <w:szCs w:val="32"/>
        </w:rPr>
        <w:t>残疾人福利性单位声明函</w:t>
      </w:r>
      <w:bookmarkEnd w:id="115"/>
      <w:bookmarkEnd w:id="116"/>
    </w:p>
    <w:p>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单位的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tbl>
      <w:tblPr>
        <w:tblStyle w:val="20"/>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582" w:type="dxa"/>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品  名</w:t>
            </w:r>
          </w:p>
        </w:tc>
        <w:tc>
          <w:tcPr>
            <w:tcW w:w="1587" w:type="dxa"/>
            <w:noWrap w:val="0"/>
            <w:vAlign w:val="center"/>
          </w:tcPr>
          <w:p>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1427" w:type="dxa"/>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规格</w:t>
            </w:r>
          </w:p>
          <w:p>
            <w:pPr>
              <w:jc w:val="center"/>
              <w:rPr>
                <w:rFonts w:ascii="仿宋_GB2312" w:hAnsi="仿宋_GB2312" w:eastAsia="仿宋_GB2312" w:cs="仿宋_GB2312"/>
                <w:szCs w:val="21"/>
              </w:rPr>
            </w:pPr>
            <w:r>
              <w:rPr>
                <w:rFonts w:hint="eastAsia" w:ascii="仿宋_GB2312" w:hAnsi="仿宋_GB2312" w:eastAsia="仿宋_GB2312" w:cs="仿宋_GB2312"/>
                <w:szCs w:val="21"/>
              </w:rPr>
              <w:t>型号</w:t>
            </w:r>
          </w:p>
        </w:tc>
        <w:tc>
          <w:tcPr>
            <w:tcW w:w="1427" w:type="dxa"/>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生产</w:t>
            </w:r>
          </w:p>
          <w:p>
            <w:pPr>
              <w:jc w:val="center"/>
              <w:rPr>
                <w:rFonts w:ascii="仿宋_GB2312" w:hAnsi="仿宋_GB2312" w:eastAsia="仿宋_GB2312" w:cs="仿宋_GB2312"/>
                <w:szCs w:val="21"/>
              </w:rPr>
            </w:pPr>
            <w:r>
              <w:rPr>
                <w:rFonts w:hint="eastAsia" w:ascii="仿宋_GB2312" w:hAnsi="仿宋_GB2312" w:eastAsia="仿宋_GB2312" w:cs="仿宋_GB2312"/>
                <w:szCs w:val="21"/>
              </w:rPr>
              <w:t>厂家</w:t>
            </w:r>
          </w:p>
        </w:tc>
        <w:tc>
          <w:tcPr>
            <w:tcW w:w="1344" w:type="dxa"/>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1582" w:type="dxa"/>
            <w:noWrap w:val="0"/>
            <w:vAlign w:val="center"/>
          </w:tcPr>
          <w:p>
            <w:pPr>
              <w:jc w:val="center"/>
              <w:rPr>
                <w:rFonts w:ascii="仿宋_GB2312" w:hAnsi="仿宋_GB2312" w:eastAsia="仿宋_GB2312" w:cs="仿宋_GB2312"/>
                <w:szCs w:val="21"/>
              </w:rPr>
            </w:pPr>
          </w:p>
        </w:tc>
        <w:tc>
          <w:tcPr>
            <w:tcW w:w="1587" w:type="dxa"/>
            <w:noWrap w:val="0"/>
            <w:vAlign w:val="center"/>
          </w:tcPr>
          <w:p>
            <w:pPr>
              <w:jc w:val="center"/>
              <w:rPr>
                <w:rFonts w:ascii="仿宋_GB2312" w:hAnsi="仿宋_GB2312" w:eastAsia="仿宋_GB2312" w:cs="仿宋_GB2312"/>
                <w:szCs w:val="21"/>
              </w:rPr>
            </w:pPr>
          </w:p>
        </w:tc>
        <w:tc>
          <w:tcPr>
            <w:tcW w:w="1427" w:type="dxa"/>
            <w:noWrap w:val="0"/>
            <w:vAlign w:val="center"/>
          </w:tcPr>
          <w:p>
            <w:pPr>
              <w:jc w:val="center"/>
              <w:rPr>
                <w:rFonts w:ascii="仿宋_GB2312" w:hAnsi="仿宋_GB2312" w:eastAsia="仿宋_GB2312" w:cs="仿宋_GB2312"/>
                <w:szCs w:val="21"/>
              </w:rPr>
            </w:pPr>
          </w:p>
        </w:tc>
        <w:tc>
          <w:tcPr>
            <w:tcW w:w="1427" w:type="dxa"/>
            <w:noWrap w:val="0"/>
            <w:vAlign w:val="center"/>
          </w:tcPr>
          <w:p>
            <w:pPr>
              <w:jc w:val="center"/>
              <w:rPr>
                <w:rFonts w:ascii="仿宋_GB2312" w:hAnsi="仿宋_GB2312" w:eastAsia="仿宋_GB2312" w:cs="仿宋_GB2312"/>
                <w:szCs w:val="21"/>
              </w:rPr>
            </w:pPr>
          </w:p>
        </w:tc>
        <w:tc>
          <w:tcPr>
            <w:tcW w:w="1344" w:type="dxa"/>
            <w:noWrap w:val="0"/>
            <w:vAlign w:val="center"/>
          </w:tcPr>
          <w:p>
            <w:pPr>
              <w:spacing w:line="360" w:lineRule="auto"/>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1582" w:type="dxa"/>
            <w:noWrap w:val="0"/>
            <w:vAlign w:val="center"/>
          </w:tcPr>
          <w:p>
            <w:pPr>
              <w:jc w:val="center"/>
              <w:rPr>
                <w:rFonts w:ascii="仿宋_GB2312" w:hAnsi="仿宋_GB2312" w:eastAsia="仿宋_GB2312" w:cs="仿宋_GB2312"/>
                <w:szCs w:val="21"/>
              </w:rPr>
            </w:pPr>
          </w:p>
        </w:tc>
        <w:tc>
          <w:tcPr>
            <w:tcW w:w="1587" w:type="dxa"/>
            <w:noWrap w:val="0"/>
            <w:vAlign w:val="center"/>
          </w:tcPr>
          <w:p>
            <w:pPr>
              <w:jc w:val="center"/>
              <w:rPr>
                <w:rFonts w:ascii="仿宋_GB2312" w:hAnsi="仿宋_GB2312" w:eastAsia="仿宋_GB2312" w:cs="仿宋_GB2312"/>
                <w:szCs w:val="21"/>
              </w:rPr>
            </w:pPr>
          </w:p>
        </w:tc>
        <w:tc>
          <w:tcPr>
            <w:tcW w:w="1427" w:type="dxa"/>
            <w:noWrap w:val="0"/>
            <w:vAlign w:val="center"/>
          </w:tcPr>
          <w:p>
            <w:pPr>
              <w:jc w:val="center"/>
              <w:rPr>
                <w:rFonts w:ascii="仿宋_GB2312" w:hAnsi="仿宋_GB2312" w:eastAsia="仿宋_GB2312" w:cs="仿宋_GB2312"/>
                <w:szCs w:val="21"/>
              </w:rPr>
            </w:pPr>
          </w:p>
        </w:tc>
        <w:tc>
          <w:tcPr>
            <w:tcW w:w="1427" w:type="dxa"/>
            <w:noWrap w:val="0"/>
            <w:vAlign w:val="center"/>
          </w:tcPr>
          <w:p>
            <w:pPr>
              <w:jc w:val="center"/>
              <w:rPr>
                <w:rFonts w:ascii="仿宋_GB2312" w:hAnsi="仿宋_GB2312" w:eastAsia="仿宋_GB2312" w:cs="仿宋_GB2312"/>
                <w:szCs w:val="21"/>
              </w:rPr>
            </w:pPr>
          </w:p>
        </w:tc>
        <w:tc>
          <w:tcPr>
            <w:tcW w:w="1344" w:type="dxa"/>
            <w:noWrap w:val="0"/>
            <w:vAlign w:val="center"/>
          </w:tcPr>
          <w:p>
            <w:pPr>
              <w:spacing w:line="360" w:lineRule="auto"/>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1582" w:type="dxa"/>
            <w:noWrap w:val="0"/>
            <w:vAlign w:val="center"/>
          </w:tcPr>
          <w:p>
            <w:pPr>
              <w:jc w:val="center"/>
              <w:rPr>
                <w:rFonts w:ascii="仿宋_GB2312" w:hAnsi="仿宋_GB2312" w:eastAsia="仿宋_GB2312" w:cs="仿宋_GB2312"/>
                <w:szCs w:val="21"/>
              </w:rPr>
            </w:pPr>
          </w:p>
        </w:tc>
        <w:tc>
          <w:tcPr>
            <w:tcW w:w="1587" w:type="dxa"/>
            <w:noWrap w:val="0"/>
            <w:vAlign w:val="center"/>
          </w:tcPr>
          <w:p>
            <w:pPr>
              <w:jc w:val="center"/>
              <w:rPr>
                <w:rFonts w:ascii="仿宋_GB2312" w:hAnsi="仿宋_GB2312" w:eastAsia="仿宋_GB2312" w:cs="仿宋_GB2312"/>
                <w:szCs w:val="21"/>
              </w:rPr>
            </w:pPr>
          </w:p>
        </w:tc>
        <w:tc>
          <w:tcPr>
            <w:tcW w:w="1427" w:type="dxa"/>
            <w:noWrap w:val="0"/>
            <w:vAlign w:val="center"/>
          </w:tcPr>
          <w:p>
            <w:pPr>
              <w:jc w:val="center"/>
              <w:rPr>
                <w:rFonts w:ascii="仿宋_GB2312" w:hAnsi="仿宋_GB2312" w:eastAsia="仿宋_GB2312" w:cs="仿宋_GB2312"/>
                <w:szCs w:val="21"/>
              </w:rPr>
            </w:pPr>
          </w:p>
        </w:tc>
        <w:tc>
          <w:tcPr>
            <w:tcW w:w="1427" w:type="dxa"/>
            <w:noWrap w:val="0"/>
            <w:vAlign w:val="center"/>
          </w:tcPr>
          <w:p>
            <w:pPr>
              <w:jc w:val="center"/>
              <w:rPr>
                <w:rFonts w:ascii="仿宋_GB2312" w:hAnsi="仿宋_GB2312" w:eastAsia="仿宋_GB2312" w:cs="仿宋_GB2312"/>
                <w:szCs w:val="21"/>
              </w:rPr>
            </w:pPr>
          </w:p>
        </w:tc>
        <w:tc>
          <w:tcPr>
            <w:tcW w:w="1344" w:type="dxa"/>
            <w:noWrap w:val="0"/>
            <w:vAlign w:val="center"/>
          </w:tcPr>
          <w:p>
            <w:pPr>
              <w:spacing w:line="360" w:lineRule="auto"/>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w:t>
            </w:r>
          </w:p>
        </w:tc>
        <w:tc>
          <w:tcPr>
            <w:tcW w:w="1582" w:type="dxa"/>
            <w:noWrap w:val="0"/>
            <w:vAlign w:val="center"/>
          </w:tcPr>
          <w:p>
            <w:pPr>
              <w:jc w:val="center"/>
              <w:rPr>
                <w:rFonts w:ascii="仿宋_GB2312" w:hAnsi="仿宋_GB2312" w:eastAsia="仿宋_GB2312" w:cs="仿宋_GB2312"/>
                <w:szCs w:val="21"/>
              </w:rPr>
            </w:pPr>
          </w:p>
        </w:tc>
        <w:tc>
          <w:tcPr>
            <w:tcW w:w="1587" w:type="dxa"/>
            <w:noWrap w:val="0"/>
            <w:vAlign w:val="center"/>
          </w:tcPr>
          <w:p>
            <w:pPr>
              <w:jc w:val="center"/>
              <w:rPr>
                <w:rFonts w:ascii="仿宋_GB2312" w:hAnsi="仿宋_GB2312" w:eastAsia="仿宋_GB2312" w:cs="仿宋_GB2312"/>
                <w:szCs w:val="21"/>
              </w:rPr>
            </w:pPr>
          </w:p>
        </w:tc>
        <w:tc>
          <w:tcPr>
            <w:tcW w:w="1427" w:type="dxa"/>
            <w:noWrap w:val="0"/>
            <w:vAlign w:val="center"/>
          </w:tcPr>
          <w:p>
            <w:pPr>
              <w:jc w:val="center"/>
              <w:rPr>
                <w:rFonts w:ascii="仿宋_GB2312" w:hAnsi="仿宋_GB2312" w:eastAsia="仿宋_GB2312" w:cs="仿宋_GB2312"/>
                <w:szCs w:val="21"/>
              </w:rPr>
            </w:pPr>
          </w:p>
        </w:tc>
        <w:tc>
          <w:tcPr>
            <w:tcW w:w="1427" w:type="dxa"/>
            <w:noWrap w:val="0"/>
            <w:vAlign w:val="center"/>
          </w:tcPr>
          <w:p>
            <w:pPr>
              <w:jc w:val="center"/>
              <w:rPr>
                <w:rFonts w:ascii="仿宋_GB2312" w:hAnsi="仿宋_GB2312" w:eastAsia="仿宋_GB2312" w:cs="仿宋_GB2312"/>
                <w:szCs w:val="21"/>
              </w:rPr>
            </w:pPr>
          </w:p>
        </w:tc>
        <w:tc>
          <w:tcPr>
            <w:tcW w:w="1344" w:type="dxa"/>
            <w:noWrap w:val="0"/>
            <w:vAlign w:val="center"/>
          </w:tcPr>
          <w:p>
            <w:pPr>
              <w:spacing w:line="360" w:lineRule="auto"/>
              <w:rPr>
                <w:rFonts w:ascii="仿宋_GB2312" w:hAnsi="仿宋_GB2312" w:eastAsia="仿宋_GB2312"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noWrap w:val="0"/>
            <w:vAlign w:val="center"/>
          </w:tcPr>
          <w:p>
            <w:pPr>
              <w:jc w:val="left"/>
              <w:rPr>
                <w:rFonts w:ascii="仿宋_GB2312" w:hAnsi="仿宋_GB2312" w:eastAsia="仿宋_GB2312" w:cs="仿宋_GB2312"/>
                <w:szCs w:val="21"/>
              </w:rPr>
            </w:pPr>
            <w:r>
              <w:rPr>
                <w:rFonts w:hint="eastAsia" w:ascii="仿宋_GB2312" w:hAnsi="仿宋_GB2312" w:eastAsia="仿宋_GB2312" w:cs="仿宋_GB2312"/>
                <w:b/>
                <w:szCs w:val="21"/>
                <w:lang w:val="zh-CN"/>
              </w:rPr>
              <w:t>投标文件中所提供投标的以上伴随产品为我单位生产的产品，</w:t>
            </w:r>
            <w:r>
              <w:rPr>
                <w:rFonts w:hint="eastAsia" w:ascii="仿宋_GB2312" w:hAnsi="仿宋_GB2312" w:eastAsia="仿宋_GB2312" w:cs="仿宋_GB2312"/>
                <w:b/>
                <w:szCs w:val="21"/>
              </w:rPr>
              <w:t>如有虚假</w:t>
            </w:r>
            <w:r>
              <w:rPr>
                <w:rFonts w:hint="eastAsia" w:ascii="仿宋_GB2312" w:hAnsi="仿宋_GB2312" w:eastAsia="仿宋_GB2312" w:cs="仿宋_GB2312"/>
                <w:b/>
                <w:szCs w:val="21"/>
                <w:lang w:val="zh-CN"/>
              </w:rPr>
              <w:t>，我单位承担由此产生的一切后果</w:t>
            </w:r>
            <w:r>
              <w:rPr>
                <w:rFonts w:hint="eastAsia" w:ascii="仿宋_GB2312" w:hAnsi="仿宋_GB2312" w:eastAsia="仿宋_GB2312" w:cs="仿宋_GB2312"/>
                <w:szCs w:val="21"/>
                <w:lang w:val="zh-CN"/>
              </w:rPr>
              <w:t>。</w:t>
            </w:r>
          </w:p>
        </w:tc>
      </w:tr>
    </w:tbl>
    <w:p>
      <w:pPr>
        <w:adjustRightInd w:val="0"/>
        <w:snapToGrid w:val="0"/>
        <w:spacing w:line="360" w:lineRule="auto"/>
        <w:ind w:right="105" w:rightChars="50" w:firstLine="476" w:firstLineChars="227"/>
        <w:jc w:val="left"/>
        <w:rPr>
          <w:rFonts w:ascii="仿宋_GB2312" w:hAnsi="仿宋_GB2312" w:eastAsia="仿宋_GB2312" w:cs="仿宋_GB2312"/>
          <w:szCs w:val="21"/>
        </w:rPr>
      </w:pP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注：1</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供应商为非残疾人福利性单位的，无需填写此声明函。</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2</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仅为本项目提供服务，未提供服务所伴随产品的，此表格可不填写。</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3</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如为本项目提供本单位伴随产品的，请填写此表格。</w:t>
      </w:r>
    </w:p>
    <w:p>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4</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如为本项目提供的伴随产品是其他单位生产的，无需填写此表格，但需生产单位按此格式出具此声明。</w:t>
      </w: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360" w:lineRule="auto"/>
        <w:ind w:right="105" w:rightChars="50"/>
        <w:jc w:val="left"/>
        <w:rPr>
          <w:rFonts w:ascii="仿宋_GB2312" w:hAnsi="仿宋_GB2312" w:eastAsia="仿宋_GB2312" w:cs="仿宋_GB2312"/>
          <w:szCs w:val="21"/>
        </w:rPr>
      </w:pPr>
    </w:p>
    <w:p>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pPr>
        <w:adjustRightInd w:val="0"/>
        <w:snapToGrid w:val="0"/>
        <w:spacing w:line="480" w:lineRule="auto"/>
        <w:ind w:right="105" w:rightChars="50"/>
        <w:jc w:val="left"/>
        <w:rPr>
          <w:rFonts w:ascii="仿宋_GB2312" w:hAnsi="仿宋_GB2312" w:eastAsia="仿宋_GB2312" w:cs="仿宋_GB2312"/>
          <w:b/>
          <w:sz w:val="28"/>
          <w:szCs w:val="28"/>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pPr>
        <w:bidi w:val="0"/>
        <w:rPr>
          <w:rFonts w:hint="eastAsia"/>
        </w:rPr>
      </w:pPr>
    </w:p>
    <w:p>
      <w:pPr>
        <w:pStyle w:val="5"/>
        <w:adjustRightInd w:val="0"/>
        <w:snapToGrid w:val="0"/>
        <w:spacing w:before="0" w:after="0" w:line="240" w:lineRule="auto"/>
        <w:jc w:val="left"/>
        <w:rPr>
          <w:rFonts w:hint="eastAsia" w:ascii="仿宋_GB2312" w:hAnsi="仿宋_GB2312" w:eastAsia="仿宋_GB2312" w:cs="仿宋_GB2312"/>
          <w:szCs w:val="28"/>
          <w:lang w:eastAsia="zh-CN"/>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w:t>
      </w:r>
      <w:r>
        <w:rPr>
          <w:rFonts w:hint="eastAsia" w:ascii="仿宋_GB2312" w:hAnsi="仿宋_GB2312" w:eastAsia="仿宋_GB2312" w:cs="仿宋_GB2312"/>
          <w:szCs w:val="28"/>
          <w:lang w:val="en-US" w:eastAsia="zh-CN"/>
        </w:rPr>
        <w:t>5</w:t>
      </w:r>
    </w:p>
    <w:p>
      <w:pPr>
        <w:widowControl/>
        <w:jc w:val="left"/>
        <w:rPr>
          <w:rFonts w:ascii="仿宋_GB2312" w:hAnsi="仿宋_GB2312" w:eastAsia="仿宋_GB2312" w:cs="仿宋_GB2312"/>
          <w:szCs w:val="21"/>
        </w:rPr>
      </w:pPr>
    </w:p>
    <w:p>
      <w:pPr>
        <w:spacing w:before="319" w:beforeLines="100" w:after="319" w:afterLines="100" w:line="360" w:lineRule="auto"/>
        <w:ind w:right="-21" w:rightChars="-10"/>
        <w:jc w:val="center"/>
        <w:rPr>
          <w:rFonts w:hint="eastAsia" w:ascii="仿宋_GB2312" w:hAnsi="仿宋_GB2312" w:cs="宋体"/>
          <w:b/>
          <w:sz w:val="32"/>
          <w:szCs w:val="32"/>
        </w:rPr>
      </w:pPr>
      <w:bookmarkStart w:id="117" w:name="_Toc30110"/>
      <w:bookmarkStart w:id="118" w:name="_Toc4498_WPSOffice_Level1"/>
      <w:bookmarkStart w:id="119" w:name="_Toc11327"/>
      <w:bookmarkStart w:id="120" w:name="_Toc2821_WPSOffice_Level1"/>
      <w:r>
        <w:rPr>
          <w:rFonts w:hint="eastAsia" w:ascii="仿宋_GB2312" w:hAnsi="仿宋_GB2312" w:cs="宋体"/>
          <w:b/>
          <w:sz w:val="32"/>
          <w:szCs w:val="32"/>
        </w:rPr>
        <w:t>电子投标文件与备份投标文件内容格式                        一致性承诺函</w:t>
      </w:r>
    </w:p>
    <w:p>
      <w:pPr>
        <w:adjustRightInd w:val="0"/>
        <w:snapToGrid w:val="0"/>
        <w:spacing w:line="360" w:lineRule="auto"/>
        <w:ind w:right="630" w:rightChars="300"/>
        <w:rPr>
          <w:rFonts w:hint="eastAsia" w:ascii="仿宋_GB2312" w:hAnsi="仿宋_GB2312" w:cs="宋体"/>
          <w:szCs w:val="21"/>
          <w:u w:val="none"/>
        </w:rPr>
      </w:pPr>
      <w:r>
        <w:rPr>
          <w:rFonts w:ascii="仿宋_GB2312" w:hAnsi="仿宋_GB2312" w:cs="宋体"/>
          <w:szCs w:val="21"/>
          <w:u w:val="none"/>
        </w:rPr>
        <w:t xml:space="preserve"> </w:t>
      </w:r>
      <w:r>
        <w:rPr>
          <w:rFonts w:hint="eastAsia" w:ascii="仿宋_GB2312" w:hAnsi="仿宋_GB2312" w:cs="宋体"/>
          <w:b/>
          <w:szCs w:val="21"/>
          <w:u w:val="none"/>
          <w:lang w:eastAsia="zh-CN"/>
        </w:rPr>
        <w:t>朝阳</w:t>
      </w:r>
      <w:r>
        <w:rPr>
          <w:rFonts w:ascii="仿宋_GB2312" w:hAnsi="仿宋_GB2312" w:cs="宋体"/>
          <w:b/>
          <w:szCs w:val="21"/>
          <w:u w:val="none"/>
        </w:rPr>
        <w:t>市政府采购中心：</w:t>
      </w:r>
    </w:p>
    <w:p>
      <w:pPr>
        <w:adjustRightInd w:val="0"/>
        <w:snapToGrid w:val="0"/>
        <w:spacing w:line="360" w:lineRule="auto"/>
        <w:ind w:right="-21" w:rightChars="-10" w:firstLine="420" w:firstLineChars="200"/>
        <w:rPr>
          <w:rFonts w:hint="eastAsia" w:ascii="仿宋_GB2312" w:hAnsi="仿宋_GB2312" w:cs="宋体"/>
          <w:szCs w:val="21"/>
        </w:rPr>
      </w:pPr>
      <w:r>
        <w:rPr>
          <w:rFonts w:ascii="仿宋_GB2312" w:hAnsi="仿宋_GB2312" w:cs="宋体"/>
          <w:szCs w:val="21"/>
        </w:rPr>
        <w:t xml:space="preserve"> </w:t>
      </w:r>
      <w:r>
        <w:rPr>
          <w:rFonts w:hint="eastAsia" w:ascii="仿宋_GB2312" w:hAnsi="仿宋_GB2312" w:cs="宋体"/>
          <w:szCs w:val="21"/>
        </w:rPr>
        <w:t>我公司郑重承诺，根据辽财采</w:t>
      </w:r>
      <w:r>
        <w:rPr>
          <w:rFonts w:hint="eastAsia" w:ascii="仿宋_GB2312" w:hAnsi="仿宋_GB2312" w:eastAsia="仿宋_GB2312" w:cs="仿宋_GB2312"/>
          <w:szCs w:val="21"/>
        </w:rPr>
        <w:t>〔20</w:t>
      </w:r>
      <w:r>
        <w:rPr>
          <w:rFonts w:hint="eastAsia" w:ascii="仿宋_GB2312" w:hAnsi="仿宋_GB2312" w:eastAsia="仿宋_GB2312" w:cs="仿宋_GB2312"/>
          <w:szCs w:val="21"/>
          <w:lang w:val="en-US" w:eastAsia="zh-CN"/>
        </w:rPr>
        <w:t>21</w:t>
      </w:r>
      <w:r>
        <w:rPr>
          <w:rFonts w:hint="eastAsia" w:ascii="仿宋_GB2312" w:hAnsi="仿宋_GB2312" w:eastAsia="仿宋_GB2312" w:cs="仿宋_GB2312"/>
          <w:szCs w:val="21"/>
        </w:rPr>
        <w:t>〕</w:t>
      </w:r>
      <w:r>
        <w:rPr>
          <w:rFonts w:hint="eastAsia" w:ascii="仿宋_GB2312" w:hAnsi="仿宋_GB2312" w:cs="宋体"/>
          <w:szCs w:val="21"/>
          <w:lang w:val="en-US" w:eastAsia="zh-CN"/>
        </w:rPr>
        <w:t>363</w:t>
      </w:r>
      <w:r>
        <w:rPr>
          <w:rFonts w:hint="eastAsia" w:ascii="仿宋_GB2312" w:hAnsi="仿宋_GB2312" w:cs="宋体"/>
          <w:szCs w:val="21"/>
        </w:rPr>
        <w:t>号文件要求，我司提交的“</w:t>
      </w:r>
      <w:r>
        <w:rPr>
          <w:rFonts w:hint="eastAsia" w:ascii="仿宋_GB2312" w:hAnsi="仿宋_GB2312" w:cs="宋体"/>
          <w:szCs w:val="21"/>
          <w:u w:val="single"/>
        </w:rPr>
        <w:t xml:space="preserve">（项目编号） </w:t>
      </w:r>
      <w:r>
        <w:rPr>
          <w:rFonts w:ascii="仿宋_GB2312" w:hAnsi="仿宋_GB2312" w:cs="宋体"/>
          <w:szCs w:val="21"/>
          <w:u w:val="single"/>
        </w:rPr>
        <w:t xml:space="preserve">   </w:t>
      </w:r>
      <w:r>
        <w:rPr>
          <w:rFonts w:hint="eastAsia" w:ascii="仿宋_GB2312" w:hAnsi="仿宋_GB2312" w:cs="宋体"/>
          <w:szCs w:val="21"/>
        </w:rPr>
        <w:t>、</w:t>
      </w:r>
      <w:r>
        <w:rPr>
          <w:rFonts w:hint="eastAsia" w:ascii="仿宋_GB2312" w:hAnsi="仿宋_GB2312" w:cs="宋体"/>
          <w:szCs w:val="21"/>
          <w:u w:val="single"/>
        </w:rPr>
        <w:t xml:space="preserve">（项目名称） </w:t>
      </w:r>
      <w:r>
        <w:rPr>
          <w:rFonts w:ascii="仿宋_GB2312" w:hAnsi="仿宋_GB2312" w:cs="宋体"/>
          <w:szCs w:val="21"/>
          <w:u w:val="single"/>
        </w:rPr>
        <w:t xml:space="preserve">  </w:t>
      </w:r>
      <w:r>
        <w:rPr>
          <w:rFonts w:hint="eastAsia" w:ascii="仿宋_GB2312" w:hAnsi="仿宋_GB2312" w:cs="宋体"/>
          <w:szCs w:val="21"/>
          <w:u w:val="single"/>
        </w:rPr>
        <w:t>”</w:t>
      </w:r>
      <w:r>
        <w:rPr>
          <w:rFonts w:hint="eastAsia" w:ascii="仿宋_GB2312" w:hAnsi="仿宋_GB2312" w:cs="宋体"/>
          <w:szCs w:val="21"/>
        </w:rPr>
        <w:t>项目电子投标文件与备份投标文件内容格式完全一致；</w:t>
      </w:r>
      <w:r>
        <w:rPr>
          <w:rFonts w:ascii="仿宋_GB2312" w:hAnsi="仿宋_GB2312" w:cs="宋体"/>
          <w:szCs w:val="21"/>
        </w:rPr>
        <w:t>如</w:t>
      </w:r>
      <w:r>
        <w:rPr>
          <w:rFonts w:hint="eastAsia" w:ascii="仿宋_GB2312" w:hAnsi="仿宋_GB2312" w:cs="宋体"/>
          <w:szCs w:val="21"/>
        </w:rPr>
        <w:t>出现电子投标文件与备份投标文件内容格式不一致情形，我公司愿承担由此产生的一切不利后果，包括但不限于被认定为投标无效、中标无效。</w:t>
      </w:r>
    </w:p>
    <w:p>
      <w:pPr>
        <w:adjustRightInd w:val="0"/>
        <w:snapToGrid w:val="0"/>
        <w:spacing w:line="360" w:lineRule="auto"/>
        <w:ind w:right="-21" w:rightChars="-10" w:firstLine="420" w:firstLineChars="200"/>
        <w:rPr>
          <w:rFonts w:hint="eastAsia" w:ascii="仿宋_GB2312" w:hAnsi="仿宋_GB2312" w:cs="宋体"/>
          <w:szCs w:val="21"/>
        </w:rPr>
      </w:pPr>
      <w:r>
        <w:rPr>
          <w:rFonts w:hint="eastAsia" w:ascii="仿宋_GB2312" w:hAnsi="仿宋_GB2312" w:cs="宋体"/>
          <w:szCs w:val="21"/>
        </w:rPr>
        <w:t>特此承诺。</w:t>
      </w:r>
    </w:p>
    <w:p>
      <w:pPr>
        <w:pStyle w:val="27"/>
        <w:rPr>
          <w:rFonts w:hint="eastAsia" w:ascii="仿宋_GB2312" w:hAnsi="仿宋_GB2312" w:cs="宋体"/>
          <w:szCs w:val="21"/>
        </w:rPr>
      </w:pPr>
    </w:p>
    <w:p>
      <w:pPr>
        <w:pStyle w:val="27"/>
        <w:rPr>
          <w:rFonts w:hint="eastAsia" w:ascii="仿宋_GB2312" w:hAnsi="仿宋_GB2312" w:cs="宋体"/>
          <w:szCs w:val="21"/>
        </w:rPr>
      </w:pPr>
    </w:p>
    <w:p>
      <w:pPr>
        <w:pStyle w:val="27"/>
        <w:rPr>
          <w:rFonts w:hint="eastAsia" w:ascii="仿宋_GB2312" w:hAnsi="仿宋_GB2312" w:cs="宋体"/>
          <w:szCs w:val="21"/>
        </w:rPr>
      </w:pPr>
    </w:p>
    <w:p>
      <w:pPr>
        <w:pStyle w:val="27"/>
        <w:rPr>
          <w:rFonts w:hint="eastAsia" w:ascii="仿宋_GB2312" w:hAnsi="仿宋_GB2312" w:cs="宋体"/>
          <w:szCs w:val="21"/>
        </w:rPr>
      </w:pPr>
    </w:p>
    <w:p>
      <w:pPr>
        <w:pStyle w:val="27"/>
        <w:rPr>
          <w:rFonts w:hint="eastAsia" w:ascii="仿宋_GB2312" w:hAnsi="仿宋_GB2312" w:cs="宋体"/>
          <w:szCs w:val="21"/>
        </w:rPr>
      </w:pPr>
    </w:p>
    <w:p>
      <w:pPr>
        <w:pStyle w:val="27"/>
        <w:rPr>
          <w:rFonts w:hint="eastAsia" w:ascii="仿宋_GB2312" w:hAnsi="仿宋_GB2312" w:cs="宋体"/>
          <w:szCs w:val="21"/>
        </w:rPr>
      </w:pPr>
    </w:p>
    <w:p>
      <w:pPr>
        <w:pStyle w:val="27"/>
        <w:rPr>
          <w:rFonts w:hint="eastAsia" w:ascii="仿宋_GB2312" w:hAnsi="仿宋_GB2312" w:cs="宋体"/>
          <w:szCs w:val="21"/>
        </w:rPr>
      </w:pPr>
    </w:p>
    <w:p>
      <w:pPr>
        <w:pStyle w:val="27"/>
        <w:rPr>
          <w:rFonts w:hint="eastAsia" w:ascii="仿宋_GB2312" w:hAnsi="仿宋_GB2312" w:cs="宋体"/>
          <w:szCs w:val="21"/>
        </w:rPr>
      </w:pPr>
    </w:p>
    <w:p>
      <w:pPr>
        <w:pStyle w:val="27"/>
        <w:rPr>
          <w:rFonts w:hint="eastAsia" w:ascii="仿宋_GB2312" w:hAnsi="仿宋_GB2312" w:cs="宋体"/>
          <w:szCs w:val="21"/>
        </w:rPr>
      </w:pPr>
    </w:p>
    <w:p>
      <w:pPr>
        <w:pStyle w:val="27"/>
        <w:rPr>
          <w:rFonts w:hint="eastAsia" w:ascii="仿宋_GB2312" w:hAnsi="仿宋_GB2312" w:cs="宋体"/>
          <w:szCs w:val="21"/>
        </w:rPr>
      </w:pPr>
    </w:p>
    <w:p>
      <w:pPr>
        <w:pStyle w:val="27"/>
        <w:rPr>
          <w:rFonts w:hint="eastAsia" w:ascii="仿宋_GB2312" w:hAnsi="仿宋_GB2312" w:cs="宋体"/>
          <w:szCs w:val="21"/>
        </w:rPr>
      </w:pPr>
    </w:p>
    <w:p>
      <w:pPr>
        <w:pStyle w:val="27"/>
        <w:rPr>
          <w:rFonts w:hint="eastAsia" w:ascii="仿宋_GB2312" w:hAnsi="仿宋_GB2312" w:cs="宋体"/>
          <w:szCs w:val="21"/>
        </w:rPr>
      </w:pPr>
    </w:p>
    <w:p>
      <w:pPr>
        <w:pStyle w:val="27"/>
        <w:rPr>
          <w:rFonts w:hint="eastAsia" w:ascii="仿宋_GB2312" w:hAnsi="仿宋_GB2312" w:cs="宋体"/>
          <w:szCs w:val="21"/>
        </w:rPr>
      </w:pPr>
    </w:p>
    <w:p>
      <w:pPr>
        <w:pStyle w:val="27"/>
        <w:rPr>
          <w:rFonts w:hint="eastAsia" w:ascii="仿宋_GB2312" w:hAnsi="仿宋_GB2312" w:cs="宋体"/>
          <w:szCs w:val="21"/>
          <w:lang w:val="en-US" w:eastAsia="zh-CN"/>
        </w:rPr>
      </w:pPr>
      <w:r>
        <w:rPr>
          <w:sz w:val="21"/>
        </w:rPr>
        <mc:AlternateContent>
          <mc:Choice Requires="wps">
            <w:drawing>
              <wp:anchor distT="0" distB="0" distL="114300" distR="114300" simplePos="0" relativeHeight="251658240" behindDoc="0" locked="0" layoutInCell="1" allowOverlap="1">
                <wp:simplePos x="0" y="0"/>
                <wp:positionH relativeFrom="column">
                  <wp:posOffset>2016760</wp:posOffset>
                </wp:positionH>
                <wp:positionV relativeFrom="paragraph">
                  <wp:posOffset>197485</wp:posOffset>
                </wp:positionV>
                <wp:extent cx="1294130" cy="635"/>
                <wp:effectExtent l="0" t="0" r="0" b="0"/>
                <wp:wrapNone/>
                <wp:docPr id="1" name="直线 5"/>
                <wp:cNvGraphicFramePr/>
                <a:graphic xmlns:a="http://schemas.openxmlformats.org/drawingml/2006/main">
                  <a:graphicData uri="http://schemas.microsoft.com/office/word/2010/wordprocessingShape">
                    <wps:wsp>
                      <wps:cNvCnPr/>
                      <wps:spPr>
                        <a:xfrm>
                          <a:off x="0" y="0"/>
                          <a:ext cx="1294130" cy="635"/>
                        </a:xfrm>
                        <a:prstGeom prst="line">
                          <a:avLst/>
                        </a:prstGeom>
                        <a:ln w="9525" cap="flat" cmpd="sng">
                          <a:solidFill>
                            <a:srgbClr val="000000"/>
                          </a:solidFill>
                          <a:prstDash val="solid"/>
                          <a:headEnd type="none" w="med" len="med"/>
                          <a:tailEnd type="none" w="med" len="med"/>
                        </a:ln>
                      </wps:spPr>
                      <wps:bodyPr upright="true"/>
                    </wps:wsp>
                  </a:graphicData>
                </a:graphic>
              </wp:anchor>
            </w:drawing>
          </mc:Choice>
          <mc:Fallback>
            <w:pict>
              <v:line id="直线 5" o:spid="_x0000_s1026" o:spt="20" style="position:absolute;left:0pt;margin-left:158.8pt;margin-top:15.55pt;height:0.05pt;width:101.9pt;z-index:251658240;mso-width-relative:page;mso-height-relative:page;" filled="f" stroked="t" coordsize="21600,21600" o:gfxdata="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FgAAAGRycy9QSwECFAAUAAAACACHTuJA5GMg99YA&#10;AAAJAQAADwAAAAAAAAABACAAAAA4AAAAZHJzL2Rvd25yZXYueG1sUEsBAhQAFAAAAAgAh07iQNiZ&#10;sJ7SAQAAkgMAAA4AAAAAAAAAAQAgAAAAOwEAAGRycy9lMm9Eb2MueG1sUEsFBgAAAAAGAAYAWQEA&#10;AH8FAAAAAA==&#10;">
                <v:fill on="f" focussize="0,0"/>
                <v:stroke color="#000000" joinstyle="round"/>
                <v:imagedata o:title=""/>
                <o:lock v:ext="edit" aspectratio="f"/>
              </v:line>
            </w:pict>
          </mc:Fallback>
        </mc:AlternateContent>
      </w:r>
      <w:r>
        <w:rPr>
          <w:rFonts w:hint="eastAsia" w:ascii="仿宋_GB2312" w:hAnsi="仿宋_GB2312" w:cs="宋体"/>
          <w:szCs w:val="21"/>
          <w:lang w:eastAsia="zh-CN"/>
        </w:rPr>
        <w:t>投标人名称（加盖单位公章）：</w:t>
      </w:r>
      <w:r>
        <w:rPr>
          <w:rFonts w:hint="eastAsia" w:ascii="仿宋_GB2312" w:hAnsi="仿宋_GB2312" w:cs="宋体"/>
          <w:szCs w:val="21"/>
          <w:lang w:val="en-US" w:eastAsia="zh-CN"/>
        </w:rPr>
        <w:t xml:space="preserve">                    </w:t>
      </w:r>
    </w:p>
    <w:p>
      <w:pPr>
        <w:pStyle w:val="27"/>
        <w:rPr>
          <w:rFonts w:hint="eastAsia" w:ascii="仿宋_GB2312" w:hAnsi="仿宋_GB2312" w:cs="宋体"/>
          <w:szCs w:val="21"/>
          <w:lang w:val="en-US" w:eastAsia="zh-CN"/>
        </w:rPr>
      </w:pPr>
    </w:p>
    <w:p>
      <w:pPr>
        <w:pStyle w:val="27"/>
        <w:rPr>
          <w:rFonts w:hint="eastAsia" w:ascii="仿宋_GB2312" w:hAnsi="仿宋_GB2312" w:cs="宋体"/>
          <w:szCs w:val="21"/>
          <w:lang w:val="en-US" w:eastAsia="zh-CN"/>
        </w:rPr>
      </w:pPr>
      <w:r>
        <w:rPr>
          <w:sz w:val="21"/>
        </w:rPr>
        <mc:AlternateContent>
          <mc:Choice Requires="wps">
            <w:drawing>
              <wp:anchor distT="0" distB="0" distL="114300" distR="114300" simplePos="0" relativeHeight="251659264" behindDoc="0" locked="0" layoutInCell="1" allowOverlap="1">
                <wp:simplePos x="0" y="0"/>
                <wp:positionH relativeFrom="column">
                  <wp:posOffset>4185285</wp:posOffset>
                </wp:positionH>
                <wp:positionV relativeFrom="paragraph">
                  <wp:posOffset>190500</wp:posOffset>
                </wp:positionV>
                <wp:extent cx="1294130" cy="635"/>
                <wp:effectExtent l="0" t="0" r="0" b="0"/>
                <wp:wrapNone/>
                <wp:docPr id="2" name="直线 6"/>
                <wp:cNvGraphicFramePr/>
                <a:graphic xmlns:a="http://schemas.openxmlformats.org/drawingml/2006/main">
                  <a:graphicData uri="http://schemas.microsoft.com/office/word/2010/wordprocessingShape">
                    <wps:wsp>
                      <wps:cNvCnPr/>
                      <wps:spPr>
                        <a:xfrm>
                          <a:off x="0" y="0"/>
                          <a:ext cx="1294130" cy="635"/>
                        </a:xfrm>
                        <a:prstGeom prst="line">
                          <a:avLst/>
                        </a:prstGeom>
                        <a:ln w="9525" cap="flat" cmpd="sng">
                          <a:solidFill>
                            <a:srgbClr val="000000"/>
                          </a:solidFill>
                          <a:prstDash val="solid"/>
                          <a:headEnd type="none" w="med" len="med"/>
                          <a:tailEnd type="none" w="med" len="med"/>
                        </a:ln>
                      </wps:spPr>
                      <wps:bodyPr upright="true"/>
                    </wps:wsp>
                  </a:graphicData>
                </a:graphic>
              </wp:anchor>
            </w:drawing>
          </mc:Choice>
          <mc:Fallback>
            <w:pict>
              <v:line id="直线 6" o:spid="_x0000_s1026" o:spt="20" style="position:absolute;left:0pt;margin-left:329.55pt;margin-top:15pt;height:0.05pt;width:101.9pt;z-index:251659264;mso-width-relative:page;mso-height-relative:page;" filled="f" stroked="t" coordsize="21600,21600" o:gfxdata="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WAAAAZHJzL1BLAQIUABQAAAAIAIdO4kDO4ujP1wAA&#10;AAkBAAAPAAAAAAAAAAEAIAAAADgAAABkcnMvZG93bnJldi54bWxQSwECFAAUAAAACACHTuJA+B8k&#10;69ABAACSAwAADgAAAAAAAAABACAAAAA8AQAAZHJzL2Uyb0RvYy54bWxQSwUGAAAAAAYABgBZAQAA&#10;fgUAAAAA&#10;">
                <v:fill on="f" focussize="0,0"/>
                <v:stroke color="#000000" joinstyle="round"/>
                <v:imagedata o:title=""/>
                <o:lock v:ext="edit" aspectratio="f"/>
              </v:line>
            </w:pict>
          </mc:Fallback>
        </mc:AlternateContent>
      </w:r>
      <w:r>
        <w:rPr>
          <w:rFonts w:hint="eastAsia" w:ascii="仿宋_GB2312" w:hAnsi="仿宋_GB2312" w:cs="宋体"/>
          <w:szCs w:val="21"/>
          <w:lang w:val="en-US" w:eastAsia="zh-CN"/>
        </w:rPr>
        <w:t xml:space="preserve">法定代表人（或非法人组织负责人）或其委托代理人（签字或盖章）：                  </w:t>
      </w:r>
    </w:p>
    <w:p>
      <w:pPr>
        <w:pStyle w:val="27"/>
        <w:rPr>
          <w:rFonts w:hint="eastAsia" w:ascii="仿宋_GB2312" w:hAnsi="仿宋_GB2312" w:cs="宋体"/>
          <w:szCs w:val="21"/>
          <w:lang w:val="en-US" w:eastAsia="zh-CN"/>
        </w:rPr>
      </w:pPr>
    </w:p>
    <w:p>
      <w:pPr>
        <w:pStyle w:val="27"/>
        <w:rPr>
          <w:rFonts w:hint="default" w:ascii="仿宋_GB2312" w:hAnsi="仿宋_GB2312" w:cs="宋体"/>
          <w:szCs w:val="21"/>
          <w:lang w:val="en-US" w:eastAsia="zh-CN"/>
        </w:rPr>
      </w:pPr>
      <w:r>
        <w:rPr>
          <w:sz w:val="21"/>
        </w:rPr>
        <mc:AlternateContent>
          <mc:Choice Requires="wps">
            <w:drawing>
              <wp:anchor distT="0" distB="0" distL="114300" distR="114300" simplePos="0" relativeHeight="251660288" behindDoc="0" locked="0" layoutInCell="1" allowOverlap="1">
                <wp:simplePos x="0" y="0"/>
                <wp:positionH relativeFrom="column">
                  <wp:posOffset>511810</wp:posOffset>
                </wp:positionH>
                <wp:positionV relativeFrom="paragraph">
                  <wp:posOffset>184150</wp:posOffset>
                </wp:positionV>
                <wp:extent cx="1294130" cy="635"/>
                <wp:effectExtent l="0" t="0" r="0" b="0"/>
                <wp:wrapNone/>
                <wp:docPr id="3" name="直线 7"/>
                <wp:cNvGraphicFramePr/>
                <a:graphic xmlns:a="http://schemas.openxmlformats.org/drawingml/2006/main">
                  <a:graphicData uri="http://schemas.microsoft.com/office/word/2010/wordprocessingShape">
                    <wps:wsp>
                      <wps:cNvCnPr/>
                      <wps:spPr>
                        <a:xfrm>
                          <a:off x="0" y="0"/>
                          <a:ext cx="1294130" cy="635"/>
                        </a:xfrm>
                        <a:prstGeom prst="line">
                          <a:avLst/>
                        </a:prstGeom>
                        <a:ln w="9525" cap="flat" cmpd="sng">
                          <a:solidFill>
                            <a:srgbClr val="000000"/>
                          </a:solidFill>
                          <a:prstDash val="solid"/>
                          <a:headEnd type="none" w="med" len="med"/>
                          <a:tailEnd type="none" w="med" len="med"/>
                        </a:ln>
                      </wps:spPr>
                      <wps:bodyPr upright="true"/>
                    </wps:wsp>
                  </a:graphicData>
                </a:graphic>
              </wp:anchor>
            </w:drawing>
          </mc:Choice>
          <mc:Fallback>
            <w:pict>
              <v:line id="直线 7" o:spid="_x0000_s1026" o:spt="20" style="position:absolute;left:0pt;margin-left:40.3pt;margin-top:14.5pt;height:0.05pt;width:101.9pt;z-index:251660288;mso-width-relative:page;mso-height-relative:page;" filled="f" stroked="t" coordsize="21600,21600" o:gfxdata="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WAAAAZHJzL1BLAQIUABQAAAAIAIdO4kA8NwMe1gAA&#10;AAgBAAAPAAAAAAAAAAEAIAAAADgAAABkcnMvZG93bnJldi54bWxQSwECFAAUAAAACACHTuJAGGKo&#10;x9EBAACSAwAADgAAAAAAAAABACAAAAA7AQAAZHJzL2Uyb0RvYy54bWxQSwUGAAAAAAYABgBZAQAA&#10;fgUAAAAA&#10;">
                <v:fill on="f" focussize="0,0"/>
                <v:stroke color="#000000" joinstyle="round"/>
                <v:imagedata o:title=""/>
                <o:lock v:ext="edit" aspectratio="f"/>
              </v:line>
            </w:pict>
          </mc:Fallback>
        </mc:AlternateContent>
      </w:r>
      <w:r>
        <w:rPr>
          <w:rFonts w:hint="eastAsia" w:ascii="仿宋_GB2312" w:hAnsi="仿宋_GB2312" w:cs="宋体"/>
          <w:szCs w:val="21"/>
          <w:lang w:val="en-US" w:eastAsia="zh-CN"/>
        </w:rPr>
        <w:t>日期：</w:t>
      </w:r>
    </w:p>
    <w:p>
      <w:pPr>
        <w:pStyle w:val="27"/>
        <w:rPr>
          <w:rFonts w:hint="default" w:ascii="仿宋_GB2312" w:hAnsi="仿宋_GB2312" w:cs="宋体"/>
          <w:szCs w:val="21"/>
          <w:lang w:val="en-US" w:eastAsia="zh-CN"/>
        </w:rPr>
      </w:pPr>
    </w:p>
    <w:p>
      <w:pPr>
        <w:pStyle w:val="5"/>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rPr>
        <w:br w:type="page"/>
      </w:r>
      <w:r>
        <w:rPr>
          <w:rFonts w:hint="eastAsia" w:ascii="仿宋_GB2312" w:hAnsi="仿宋_GB2312" w:eastAsia="仿宋_GB2312" w:cs="仿宋_GB2312"/>
          <w:szCs w:val="28"/>
        </w:rPr>
        <w:t>格式16</w:t>
      </w:r>
    </w:p>
    <w:p>
      <w:pPr>
        <w:spacing w:before="319" w:beforeLines="100" w:after="319" w:afterLines="100" w:line="360" w:lineRule="auto"/>
        <w:ind w:firstLine="640" w:firstLineChars="200"/>
        <w:jc w:val="center"/>
        <w:rPr>
          <w:rFonts w:ascii="仿宋_GB2312" w:hAnsi="仿宋_GB2312" w:eastAsia="仿宋_GB2312" w:cs="仿宋_GB2312"/>
          <w:b/>
          <w:bCs/>
          <w:sz w:val="32"/>
          <w:szCs w:val="32"/>
        </w:rPr>
      </w:pPr>
      <w:bookmarkStart w:id="121" w:name="_Toc6847_WPSOffice_Level2"/>
      <w:bookmarkStart w:id="122" w:name="_Toc13329_WPSOffice_Level2"/>
      <w:r>
        <w:rPr>
          <w:rFonts w:hint="eastAsia" w:ascii="仿宋_GB2312" w:hAnsi="仿宋_GB2312" w:eastAsia="仿宋_GB2312" w:cs="仿宋_GB2312"/>
          <w:b/>
          <w:bCs/>
          <w:sz w:val="32"/>
          <w:szCs w:val="32"/>
        </w:rPr>
        <w:t>进口产品制造厂家的授权书</w:t>
      </w:r>
      <w:bookmarkEnd w:id="121"/>
      <w:bookmarkEnd w:id="122"/>
    </w:p>
    <w:p>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w:t>
      </w:r>
    </w:p>
    <w:p>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我们</w:t>
      </w:r>
      <w:r>
        <w:rPr>
          <w:rFonts w:hint="eastAsia" w:ascii="仿宋_GB2312" w:hAnsi="仿宋_GB2312" w:eastAsia="仿宋_GB2312" w:cs="仿宋_GB2312"/>
          <w:szCs w:val="21"/>
          <w:u w:val="single"/>
        </w:rPr>
        <w:t>（制造商名称）</w:t>
      </w:r>
      <w:r>
        <w:rPr>
          <w:rFonts w:hint="eastAsia" w:ascii="仿宋_GB2312" w:hAnsi="仿宋_GB2312" w:eastAsia="仿宋_GB2312" w:cs="仿宋_GB2312"/>
          <w:szCs w:val="21"/>
        </w:rPr>
        <w:t>是按</w:t>
      </w:r>
      <w:r>
        <w:rPr>
          <w:rFonts w:hint="eastAsia" w:ascii="仿宋_GB2312" w:hAnsi="仿宋_GB2312" w:eastAsia="仿宋_GB2312" w:cs="仿宋_GB2312"/>
          <w:szCs w:val="21"/>
          <w:u w:val="single"/>
        </w:rPr>
        <w:t>（国家名称）</w:t>
      </w:r>
      <w:r>
        <w:rPr>
          <w:rFonts w:hint="eastAsia" w:ascii="仿宋_GB2312" w:hAnsi="仿宋_GB2312" w:eastAsia="仿宋_GB2312" w:cs="仿宋_GB2312"/>
          <w:szCs w:val="21"/>
        </w:rPr>
        <w:t>法律成立的一家制造商，主要营业地点设在</w:t>
      </w:r>
      <w:r>
        <w:rPr>
          <w:rFonts w:hint="eastAsia" w:ascii="仿宋_GB2312" w:hAnsi="仿宋_GB2312" w:eastAsia="仿宋_GB2312" w:cs="仿宋_GB2312"/>
          <w:szCs w:val="21"/>
          <w:u w:val="single"/>
        </w:rPr>
        <w:t>（制造商地址）</w:t>
      </w:r>
      <w:r>
        <w:rPr>
          <w:rFonts w:hint="eastAsia" w:ascii="仿宋_GB2312" w:hAnsi="仿宋_GB2312" w:eastAsia="仿宋_GB2312" w:cs="仿宋_GB2312"/>
          <w:szCs w:val="21"/>
        </w:rPr>
        <w:t>。兹指派按</w:t>
      </w:r>
      <w:r>
        <w:rPr>
          <w:rFonts w:hint="eastAsia" w:ascii="仿宋_GB2312" w:hAnsi="仿宋_GB2312" w:eastAsia="仿宋_GB2312" w:cs="仿宋_GB2312"/>
          <w:szCs w:val="21"/>
          <w:u w:val="single"/>
        </w:rPr>
        <w:t>（国家名称）</w:t>
      </w:r>
      <w:r>
        <w:rPr>
          <w:rFonts w:hint="eastAsia" w:ascii="仿宋_GB2312" w:hAnsi="仿宋_GB2312" w:eastAsia="仿宋_GB2312" w:cs="仿宋_GB2312"/>
          <w:szCs w:val="21"/>
        </w:rPr>
        <w:t>的法律正式成立的，主要营业地点设在</w:t>
      </w:r>
      <w:r>
        <w:rPr>
          <w:rFonts w:hint="eastAsia" w:ascii="仿宋_GB2312" w:hAnsi="仿宋_GB2312" w:eastAsia="仿宋_GB2312" w:cs="仿宋_GB2312"/>
          <w:szCs w:val="21"/>
          <w:u w:val="single"/>
        </w:rPr>
        <w:t>（投标人地址）</w:t>
      </w:r>
      <w:r>
        <w:rPr>
          <w:rFonts w:hint="eastAsia" w:ascii="仿宋_GB2312" w:hAnsi="仿宋_GB2312" w:eastAsia="仿宋_GB2312" w:cs="仿宋_GB2312"/>
          <w:szCs w:val="21"/>
        </w:rPr>
        <w:t>的</w:t>
      </w:r>
      <w:r>
        <w:rPr>
          <w:rFonts w:hint="eastAsia" w:ascii="仿宋_GB2312" w:hAnsi="仿宋_GB2312" w:eastAsia="仿宋_GB2312" w:cs="仿宋_GB2312"/>
          <w:szCs w:val="21"/>
          <w:u w:val="single"/>
        </w:rPr>
        <w:t>（投标人名称）</w:t>
      </w:r>
      <w:r>
        <w:rPr>
          <w:rFonts w:hint="eastAsia" w:ascii="仿宋_GB2312" w:hAnsi="仿宋_GB2312" w:eastAsia="仿宋_GB2312" w:cs="仿宋_GB2312"/>
          <w:szCs w:val="21"/>
        </w:rPr>
        <w:t>作为我方真正的合法的代理人进行下列有效的活动：</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（1）代表我方办理贵方</w:t>
      </w:r>
      <w:r>
        <w:rPr>
          <w:rFonts w:hint="eastAsia" w:ascii="仿宋_GB2312" w:hAnsi="仿宋_GB2312" w:eastAsia="仿宋_GB2312" w:cs="仿宋_GB2312"/>
          <w:szCs w:val="21"/>
          <w:u w:val="single"/>
        </w:rPr>
        <w:t xml:space="preserve"> （项目编号、项目名称、包号）</w:t>
      </w:r>
      <w:r>
        <w:rPr>
          <w:rFonts w:hint="eastAsia" w:ascii="仿宋_GB2312" w:hAnsi="仿宋_GB2312" w:eastAsia="仿宋_GB2312" w:cs="仿宋_GB2312"/>
          <w:szCs w:val="21"/>
        </w:rPr>
        <w:t xml:space="preserve"> 投标邀请要求提供的由我方制造的货物的有关事宜，并对我方具有约束力。</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（2）作为制造商，我方保证以投标合作者来约束自己，并对该投标共同和分别承担招标文件中所规定的义务。</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（3）我方兹授予</w:t>
      </w:r>
      <w:r>
        <w:rPr>
          <w:rFonts w:hint="eastAsia" w:ascii="仿宋_GB2312" w:hAnsi="仿宋_GB2312" w:eastAsia="仿宋_GB2312" w:cs="仿宋_GB2312"/>
          <w:szCs w:val="21"/>
          <w:u w:val="single"/>
        </w:rPr>
        <w:t xml:space="preserve"> （投标人名称） </w:t>
      </w:r>
      <w:r>
        <w:rPr>
          <w:rFonts w:hint="eastAsia" w:ascii="仿宋_GB2312" w:hAnsi="仿宋_GB2312" w:eastAsia="仿宋_GB2312" w:cs="仿宋_GB2312"/>
          <w:szCs w:val="21"/>
        </w:rPr>
        <w:t xml:space="preserve">全权办理和履行上述我方为完成上述各点所必须的事宜，具有替换或撤销的全权。兹确认 </w:t>
      </w:r>
      <w:r>
        <w:rPr>
          <w:rFonts w:hint="eastAsia" w:ascii="仿宋_GB2312" w:hAnsi="仿宋_GB2312" w:eastAsia="仿宋_GB2312" w:cs="仿宋_GB2312"/>
          <w:szCs w:val="21"/>
          <w:u w:val="single"/>
        </w:rPr>
        <w:t xml:space="preserve">（投标人名称） </w:t>
      </w:r>
      <w:r>
        <w:rPr>
          <w:rFonts w:hint="eastAsia" w:ascii="仿宋_GB2312" w:hAnsi="仿宋_GB2312" w:eastAsia="仿宋_GB2312" w:cs="仿宋_GB2312"/>
          <w:szCs w:val="21"/>
        </w:rPr>
        <w:t>或其正式授权代表依此合法地办理一切事宜。</w:t>
      </w:r>
    </w:p>
    <w:p>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（4）我方于</w:t>
      </w:r>
      <w:r>
        <w:rPr>
          <w:rFonts w:hint="eastAsia" w:ascii="仿宋_GB2312" w:hAnsi="仿宋_GB2312" w:eastAsia="仿宋_GB2312" w:cs="仿宋_GB2312"/>
          <w:szCs w:val="21"/>
          <w:u w:val="single"/>
        </w:rPr>
        <w:t xml:space="preserve"> 年 月 日</w:t>
      </w:r>
      <w:r>
        <w:rPr>
          <w:rFonts w:hint="eastAsia" w:ascii="仿宋_GB2312" w:hAnsi="仿宋_GB2312" w:eastAsia="仿宋_GB2312" w:cs="仿宋_GB2312"/>
          <w:szCs w:val="21"/>
        </w:rPr>
        <w:t>签署本文件，</w:t>
      </w:r>
      <w:r>
        <w:rPr>
          <w:rFonts w:hint="eastAsia" w:ascii="仿宋_GB2312" w:hAnsi="仿宋_GB2312" w:eastAsia="仿宋_GB2312" w:cs="仿宋_GB2312"/>
          <w:szCs w:val="21"/>
          <w:u w:val="single"/>
        </w:rPr>
        <w:t xml:space="preserve"> （投标人名称）</w:t>
      </w:r>
      <w:r>
        <w:rPr>
          <w:rFonts w:hint="eastAsia" w:ascii="仿宋_GB2312" w:hAnsi="仿宋_GB2312" w:eastAsia="仿宋_GB2312" w:cs="仿宋_GB2312"/>
          <w:szCs w:val="21"/>
        </w:rPr>
        <w:t>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日接受此件，以此为证。</w:t>
      </w:r>
    </w:p>
    <w:p>
      <w:pPr>
        <w:spacing w:line="360" w:lineRule="auto"/>
        <w:ind w:firstLine="420" w:firstLineChars="200"/>
        <w:rPr>
          <w:rFonts w:ascii="仿宋_GB2312" w:hAnsi="仿宋_GB2312" w:eastAsia="仿宋_GB2312" w:cs="仿宋_GB2312"/>
          <w:szCs w:val="21"/>
        </w:rPr>
      </w:pP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制造商名称（加盖单位公章）：</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签字人职务和部门：</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签字人姓名：</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签字人（签字）：</w:t>
      </w:r>
      <w:r>
        <w:rPr>
          <w:rFonts w:hint="eastAsia" w:ascii="仿宋_GB2312" w:hAnsi="仿宋_GB2312" w:eastAsia="仿宋_GB2312" w:cs="仿宋_GB2312"/>
          <w:szCs w:val="21"/>
          <w:u w:val="single"/>
        </w:rPr>
        <w:t xml:space="preserve">                           </w:t>
      </w:r>
    </w:p>
    <w:p>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日期：</w:t>
      </w:r>
      <w:r>
        <w:rPr>
          <w:rFonts w:hint="eastAsia" w:ascii="仿宋_GB2312" w:hAnsi="仿宋_GB2312" w:eastAsia="仿宋_GB2312" w:cs="仿宋_GB2312"/>
          <w:szCs w:val="21"/>
          <w:u w:val="single"/>
        </w:rPr>
        <w:t xml:space="preserve">                                     </w:t>
      </w:r>
    </w:p>
    <w:p>
      <w:pPr>
        <w:spacing w:line="360" w:lineRule="auto"/>
        <w:ind w:firstLine="420" w:firstLineChars="200"/>
        <w:rPr>
          <w:rFonts w:ascii="仿宋_GB2312" w:hAnsi="仿宋_GB2312" w:eastAsia="仿宋_GB2312" w:cs="仿宋_GB2312"/>
          <w:szCs w:val="21"/>
          <w:u w:val="single"/>
        </w:rPr>
      </w:pPr>
    </w:p>
    <w:p>
      <w:pPr>
        <w:spacing w:line="360" w:lineRule="auto"/>
        <w:ind w:firstLine="420" w:firstLineChars="200"/>
        <w:rPr>
          <w:rFonts w:ascii="仿宋_GB2312" w:hAnsi="仿宋_GB2312" w:eastAsia="仿宋_GB2312" w:cs="仿宋_GB2312"/>
          <w:szCs w:val="21"/>
          <w:u w:val="single"/>
        </w:rPr>
      </w:pPr>
    </w:p>
    <w:p>
      <w:pPr>
        <w:spacing w:line="360" w:lineRule="auto"/>
        <w:ind w:firstLine="420" w:firstLineChars="200"/>
        <w:rPr>
          <w:rFonts w:ascii="仿宋_GB2312" w:hAnsi="仿宋_GB2312" w:eastAsia="仿宋_GB2312" w:cs="仿宋_GB2312"/>
          <w:szCs w:val="21"/>
        </w:rPr>
      </w:pPr>
    </w:p>
    <w:p>
      <w:pPr>
        <w:spacing w:line="360" w:lineRule="auto"/>
        <w:ind w:firstLine="420" w:firstLineChars="200"/>
        <w:rPr>
          <w:rFonts w:hint="eastAsia" w:ascii="仿宋_GB2312" w:hAnsi="仿宋_GB2312" w:eastAsia="仿宋_GB2312" w:cs="仿宋_GB2312"/>
        </w:rPr>
      </w:pPr>
      <w:bookmarkStart w:id="123" w:name="_Hlk73968990"/>
      <w:r>
        <w:rPr>
          <w:rFonts w:hint="eastAsia" w:ascii="仿宋_GB2312" w:hAnsi="仿宋_GB2312" w:eastAsia="仿宋_GB2312" w:cs="仿宋_GB2312"/>
          <w:szCs w:val="21"/>
        </w:rPr>
        <w:t>（以上格式仅供参考，投标人就以上内容自拟格式，但必须体现出制造商名称及地址、被授权单位名称及地址，授权事项中要求明确体现出制造商同意对投标人提供其制造的货物及相关伴随服务等内容）</w:t>
      </w:r>
      <w:bookmarkEnd w:id="123"/>
    </w:p>
    <w:p>
      <w:pPr>
        <w:pStyle w:val="5"/>
        <w:bidi w:val="0"/>
        <w:jc w:val="left"/>
        <w:rPr>
          <w:rFonts w:hint="eastAsia"/>
          <w:lang w:val="en-US" w:eastAsia="zh-CN"/>
        </w:rPr>
      </w:pPr>
      <w:r>
        <w:rPr>
          <w:rFonts w:hint="eastAsia"/>
          <w:lang w:val="en-US" w:eastAsia="zh-CN"/>
        </w:rPr>
        <w:t>格式17</w:t>
      </w:r>
    </w:p>
    <w:p>
      <w:pPr>
        <w:spacing w:before="319" w:beforeLines="100" w:after="319" w:afterLines="100" w:line="360" w:lineRule="auto"/>
        <w:ind w:firstLine="640" w:firstLineChars="200"/>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递交备份投标文件登记表</w:t>
      </w:r>
    </w:p>
    <w:tbl>
      <w:tblPr>
        <w:tblStyle w:val="20"/>
        <w:tblpPr w:leftFromText="180" w:rightFromText="180" w:vertAnchor="text" w:tblpX="-23" w:tblpY="1"/>
        <w:tblOverlap w:val="never"/>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81"/>
        <w:gridCol w:w="1876"/>
        <w:gridCol w:w="509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3357" w:type="dxa"/>
            <w:gridSpan w:val="2"/>
            <w:noWrap w:val="0"/>
            <w:vAlign w:val="center"/>
          </w:tcPr>
          <w:p>
            <w:pPr>
              <w:ind w:firstLine="630" w:firstLineChars="300"/>
              <w:rPr>
                <w:rFonts w:hint="eastAsia" w:ascii="仿宋_GB2312" w:hAnsi="仿宋_GB2312" w:eastAsia="仿宋_GB2312" w:cs="仿宋_GB2312"/>
                <w:szCs w:val="21"/>
              </w:rPr>
            </w:pPr>
            <w:r>
              <w:rPr>
                <w:rFonts w:hint="eastAsia" w:ascii="仿宋_GB2312" w:hAnsi="仿宋_GB2312" w:eastAsia="仿宋_GB2312" w:cs="仿宋_GB2312"/>
                <w:szCs w:val="21"/>
              </w:rPr>
              <w:t>投   标    顺   序</w:t>
            </w:r>
          </w:p>
        </w:tc>
        <w:tc>
          <w:tcPr>
            <w:tcW w:w="5098" w:type="dxa"/>
            <w:tcBorders>
              <w:right w:val="double" w:color="auto" w:sz="4" w:space="0"/>
            </w:tcBorders>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第       号</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3357" w:type="dxa"/>
            <w:gridSpan w:val="2"/>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采      购      人</w:t>
            </w:r>
          </w:p>
        </w:tc>
        <w:tc>
          <w:tcPr>
            <w:tcW w:w="5098" w:type="dxa"/>
            <w:tcBorders>
              <w:right w:val="double" w:color="auto" w:sz="4" w:space="0"/>
            </w:tcBorders>
            <w:noWrap w:val="0"/>
            <w:vAlign w:val="center"/>
          </w:tcPr>
          <w:p>
            <w:pPr>
              <w:jc w:val="center"/>
              <w:rPr>
                <w:rFonts w:hint="eastAsia" w:ascii="仿宋_GB2312" w:hAnsi="仿宋_GB2312" w:eastAsia="仿宋_GB2312" w:cs="仿宋_GB2312"/>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3357" w:type="dxa"/>
            <w:gridSpan w:val="2"/>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项   目    名   称</w:t>
            </w:r>
          </w:p>
        </w:tc>
        <w:tc>
          <w:tcPr>
            <w:tcW w:w="5098" w:type="dxa"/>
            <w:tcBorders>
              <w:right w:val="double" w:color="auto" w:sz="4" w:space="0"/>
            </w:tcBorders>
            <w:noWrap w:val="0"/>
            <w:vAlign w:val="center"/>
          </w:tcPr>
          <w:p>
            <w:pPr>
              <w:jc w:val="center"/>
              <w:rPr>
                <w:rFonts w:hint="eastAsia" w:ascii="仿宋_GB2312" w:hAnsi="仿宋_GB2312" w:eastAsia="仿宋_GB2312" w:cs="仿宋_GB2312"/>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680" w:hRule="atLeast"/>
        </w:trPr>
        <w:tc>
          <w:tcPr>
            <w:tcW w:w="3357" w:type="dxa"/>
            <w:gridSpan w:val="2"/>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项   目    编   号</w:t>
            </w:r>
          </w:p>
        </w:tc>
        <w:tc>
          <w:tcPr>
            <w:tcW w:w="5098" w:type="dxa"/>
            <w:tcBorders>
              <w:right w:val="double" w:color="auto" w:sz="4" w:space="0"/>
            </w:tcBorders>
            <w:noWrap w:val="0"/>
            <w:vAlign w:val="center"/>
          </w:tcPr>
          <w:p>
            <w:pPr>
              <w:jc w:val="center"/>
              <w:rPr>
                <w:rFonts w:hint="eastAsia" w:ascii="仿宋_GB2312" w:hAnsi="仿宋_GB2312" w:eastAsia="仿宋_GB2312" w:cs="仿宋_GB2312"/>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3357" w:type="dxa"/>
            <w:gridSpan w:val="2"/>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投      标      人</w:t>
            </w:r>
          </w:p>
        </w:tc>
        <w:tc>
          <w:tcPr>
            <w:tcW w:w="5098" w:type="dxa"/>
            <w:tcBorders>
              <w:right w:val="double" w:color="auto" w:sz="4" w:space="0"/>
            </w:tcBorders>
            <w:noWrap w:val="0"/>
            <w:vAlign w:val="center"/>
          </w:tcPr>
          <w:p>
            <w:pPr>
              <w:jc w:val="center"/>
              <w:rPr>
                <w:rFonts w:hint="eastAsia" w:ascii="仿宋_GB2312" w:hAnsi="仿宋_GB2312" w:eastAsia="仿宋_GB2312" w:cs="仿宋_GB2312"/>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3357" w:type="dxa"/>
            <w:gridSpan w:val="2"/>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委托代理人</w:t>
            </w:r>
          </w:p>
        </w:tc>
        <w:tc>
          <w:tcPr>
            <w:tcW w:w="5098" w:type="dxa"/>
            <w:tcBorders>
              <w:right w:val="double" w:color="auto" w:sz="4" w:space="0"/>
            </w:tcBorders>
            <w:noWrap w:val="0"/>
            <w:vAlign w:val="center"/>
          </w:tcPr>
          <w:p>
            <w:pPr>
              <w:jc w:val="center"/>
              <w:rPr>
                <w:rFonts w:hint="eastAsia" w:ascii="仿宋_GB2312" w:hAnsi="仿宋_GB2312" w:eastAsia="仿宋_GB2312" w:cs="仿宋_GB2312"/>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3357" w:type="dxa"/>
            <w:gridSpan w:val="2"/>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移     动    电    话</w:t>
            </w:r>
          </w:p>
        </w:tc>
        <w:tc>
          <w:tcPr>
            <w:tcW w:w="5098" w:type="dxa"/>
            <w:tcBorders>
              <w:right w:val="double" w:color="auto" w:sz="4" w:space="0"/>
            </w:tcBorders>
            <w:noWrap w:val="0"/>
            <w:vAlign w:val="center"/>
          </w:tcPr>
          <w:p>
            <w:pPr>
              <w:jc w:val="center"/>
              <w:rPr>
                <w:rFonts w:hint="eastAsia" w:ascii="仿宋_GB2312" w:hAnsi="仿宋_GB2312" w:eastAsia="仿宋_GB2312" w:cs="仿宋_GB2312"/>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680" w:hRule="atLeast"/>
        </w:trPr>
        <w:tc>
          <w:tcPr>
            <w:tcW w:w="3357" w:type="dxa"/>
            <w:gridSpan w:val="2"/>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备 份 投 标 文 件 份 数</w:t>
            </w:r>
          </w:p>
        </w:tc>
        <w:tc>
          <w:tcPr>
            <w:tcW w:w="5098" w:type="dxa"/>
            <w:tcBorders>
              <w:right w:val="double" w:color="auto" w:sz="4" w:space="0"/>
            </w:tcBorders>
            <w:noWrap w:val="0"/>
            <w:vAlign w:val="center"/>
          </w:tcPr>
          <w:p>
            <w:pPr>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所投包</w:t>
            </w:r>
            <w:r>
              <w:rPr>
                <w:rFonts w:hint="eastAsia" w:ascii="仿宋_GB2312" w:hAnsi="仿宋_GB2312" w:eastAsia="仿宋_GB2312" w:cs="仿宋_GB2312"/>
                <w:szCs w:val="21"/>
                <w:lang w:eastAsia="zh-CN"/>
              </w:rPr>
              <w:t>号</w:t>
            </w: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lang w:eastAsia="zh-CN"/>
              </w:rPr>
              <w:t>），份数（</w:t>
            </w: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szCs w:val="21"/>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3357" w:type="dxa"/>
            <w:gridSpan w:val="2"/>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lang w:eastAsia="zh-CN"/>
              </w:rPr>
              <w:t>采购活动结束后，</w:t>
            </w:r>
            <w:r>
              <w:rPr>
                <w:rFonts w:hint="eastAsia" w:ascii="仿宋_GB2312" w:hAnsi="仿宋_GB2312" w:eastAsia="仿宋_GB2312" w:cs="仿宋_GB2312"/>
                <w:szCs w:val="21"/>
              </w:rPr>
              <w:t>是否领取备份</w:t>
            </w:r>
          </w:p>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投标文件</w:t>
            </w:r>
          </w:p>
        </w:tc>
        <w:tc>
          <w:tcPr>
            <w:tcW w:w="5098" w:type="dxa"/>
            <w:tcBorders>
              <w:bottom w:val="single" w:color="auto" w:sz="6" w:space="0"/>
              <w:right w:val="double" w:color="auto" w:sz="4" w:space="0"/>
            </w:tcBorders>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是（           ）否（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3357" w:type="dxa"/>
            <w:gridSpan w:val="2"/>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递交时间</w:t>
            </w:r>
          </w:p>
        </w:tc>
        <w:tc>
          <w:tcPr>
            <w:tcW w:w="5098" w:type="dxa"/>
            <w:tcBorders>
              <w:bottom w:val="single" w:color="auto" w:sz="6" w:space="0"/>
              <w:right w:val="double" w:color="auto" w:sz="4" w:space="0"/>
            </w:tcBorders>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年    月    日    时    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12" w:hRule="atLeast"/>
        </w:trPr>
        <w:tc>
          <w:tcPr>
            <w:tcW w:w="1481" w:type="dxa"/>
            <w:noWrap w:val="0"/>
            <w:vAlign w:val="center"/>
          </w:tcPr>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t>备注</w:t>
            </w:r>
          </w:p>
        </w:tc>
        <w:tc>
          <w:tcPr>
            <w:tcW w:w="6974" w:type="dxa"/>
            <w:gridSpan w:val="2"/>
            <w:tcBorders>
              <w:right w:val="double" w:color="auto" w:sz="4" w:space="0"/>
            </w:tcBorders>
            <w:noWrap w:val="0"/>
            <w:vAlign w:val="center"/>
          </w:tcPr>
          <w:p>
            <w:pPr>
              <w:jc w:val="center"/>
              <w:rPr>
                <w:rFonts w:hint="eastAsia" w:ascii="仿宋_GB2312" w:hAnsi="仿宋_GB2312" w:eastAsia="仿宋_GB2312" w:cs="仿宋_GB2312"/>
                <w:szCs w:val="21"/>
              </w:rPr>
            </w:pPr>
          </w:p>
        </w:tc>
      </w:tr>
    </w:tbl>
    <w:p>
      <w:pPr>
        <w:bidi w:val="0"/>
        <w:jc w:val="left"/>
        <w:rPr>
          <w:rFonts w:hint="eastAsia" w:ascii="仿宋_GB2312" w:hAnsi="仿宋_GB2312" w:eastAsia="仿宋_GB2312" w:cs="仿宋_GB2312"/>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bCs/>
          <w:lang w:eastAsia="zh-CN"/>
        </w:rPr>
      </w:pPr>
      <w:r>
        <w:rPr>
          <w:rFonts w:hint="eastAsia" w:ascii="仿宋_GB2312" w:hAnsi="仿宋_GB2312" w:eastAsia="仿宋_GB2312" w:cs="仿宋_GB2312"/>
          <w:b/>
          <w:bCs/>
          <w:lang w:eastAsia="zh-CN"/>
        </w:rPr>
        <w:t>说明：</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spacing w:val="-6"/>
          <w:sz w:val="21"/>
          <w:lang w:val="en-US" w:eastAsia="zh-CN"/>
        </w:rPr>
        <w:t>1.“投标顺序”和“递交时间”由交易中心开标（评审）工作人员填写，其余由供应商填写。</w:t>
      </w:r>
    </w:p>
    <w:p>
      <w:pPr>
        <w:pStyle w:val="27"/>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2.评审活动结束后，备份文件由供应商于7日内自行领取，如不领取自动作废。</w:t>
      </w:r>
    </w:p>
    <w:p>
      <w:pPr>
        <w:pStyle w:val="27"/>
        <w:keepNext w:val="0"/>
        <w:keepLines w:val="0"/>
        <w:pageBreakBefore w:val="0"/>
        <w:widowControl w:val="0"/>
        <w:numPr>
          <w:ilvl w:val="0"/>
          <w:numId w:val="0"/>
        </w:numPr>
        <w:kinsoku/>
        <w:wordWrap/>
        <w:overflowPunct/>
        <w:topLinePunct w:val="0"/>
        <w:autoSpaceDE/>
        <w:autoSpaceDN/>
        <w:bidi w:val="0"/>
        <w:adjustRightInd/>
        <w:snapToGrid/>
        <w:spacing w:after="0" w:line="240" w:lineRule="auto"/>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3.联系电话：0421-2836536</w:t>
      </w:r>
    </w:p>
    <w:p>
      <w:pPr>
        <w:numPr>
          <w:ilvl w:val="0"/>
          <w:numId w:val="0"/>
        </w:numPr>
        <w:bidi w:val="0"/>
        <w:jc w:val="left"/>
        <w:rPr>
          <w:rFonts w:hint="eastAsia" w:ascii="仿宋_GB2312" w:hAnsi="仿宋_GB2312" w:eastAsia="仿宋_GB2312" w:cs="仿宋_GB2312"/>
        </w:rPr>
      </w:pPr>
    </w:p>
    <w:p>
      <w:pPr>
        <w:numPr>
          <w:ilvl w:val="0"/>
          <w:numId w:val="0"/>
        </w:numPr>
        <w:bidi w:val="0"/>
        <w:jc w:val="left"/>
        <w:rPr>
          <w:rFonts w:hint="eastAsia" w:ascii="仿宋_GB2312" w:hAnsi="仿宋_GB2312" w:eastAsia="仿宋_GB2312" w:cs="仿宋_GB2312"/>
        </w:rPr>
      </w:pPr>
    </w:p>
    <w:p>
      <w:pPr>
        <w:numPr>
          <w:ilvl w:val="0"/>
          <w:numId w:val="0"/>
        </w:numPr>
        <w:bidi w:val="0"/>
        <w:jc w:val="left"/>
        <w:rPr>
          <w:rFonts w:hint="eastAsia" w:ascii="仿宋_GB2312" w:hAnsi="仿宋_GB2312" w:eastAsia="仿宋_GB2312" w:cs="仿宋_GB2312"/>
        </w:rPr>
      </w:pPr>
    </w:p>
    <w:p>
      <w:pPr>
        <w:numPr>
          <w:ilvl w:val="0"/>
          <w:numId w:val="0"/>
        </w:numPr>
        <w:bidi w:val="0"/>
        <w:jc w:val="left"/>
        <w:rPr>
          <w:rFonts w:hint="eastAsia" w:ascii="仿宋_GB2312" w:hAnsi="仿宋_GB2312" w:eastAsia="仿宋_GB2312" w:cs="仿宋_GB2312"/>
        </w:rPr>
      </w:pPr>
    </w:p>
    <w:p>
      <w:pPr>
        <w:numPr>
          <w:ilvl w:val="0"/>
          <w:numId w:val="0"/>
        </w:numPr>
        <w:bidi w:val="0"/>
        <w:jc w:val="left"/>
        <w:rPr>
          <w:rFonts w:hint="eastAsia" w:ascii="仿宋_GB2312" w:hAnsi="仿宋_GB2312" w:eastAsia="仿宋_GB2312" w:cs="仿宋_GB2312"/>
        </w:rPr>
      </w:pPr>
    </w:p>
    <w:p>
      <w:pPr>
        <w:numPr>
          <w:ilvl w:val="0"/>
          <w:numId w:val="0"/>
        </w:numPr>
        <w:bidi w:val="0"/>
        <w:jc w:val="left"/>
        <w:rPr>
          <w:rFonts w:hint="eastAsia" w:ascii="仿宋_GB2312" w:hAnsi="仿宋_GB2312" w:eastAsia="仿宋_GB2312" w:cs="仿宋_GB2312"/>
        </w:rPr>
      </w:pPr>
    </w:p>
    <w:p>
      <w:pPr>
        <w:numPr>
          <w:ilvl w:val="0"/>
          <w:numId w:val="0"/>
        </w:numPr>
        <w:bidi w:val="0"/>
        <w:jc w:val="left"/>
        <w:rPr>
          <w:rFonts w:hint="eastAsia" w:ascii="仿宋_GB2312" w:hAnsi="仿宋_GB2312" w:eastAsia="仿宋_GB2312" w:cs="仿宋_GB2312"/>
        </w:rPr>
      </w:pPr>
    </w:p>
    <w:p>
      <w:pPr>
        <w:pStyle w:val="4"/>
        <w:bidi w:val="0"/>
        <w:rPr>
          <w:rFonts w:hint="eastAsia"/>
        </w:rPr>
      </w:pPr>
      <w:bookmarkStart w:id="124" w:name="_Toc302856120"/>
      <w:r>
        <w:rPr>
          <w:rFonts w:hint="eastAsia"/>
        </w:rPr>
        <w:t xml:space="preserve">第三章 </w:t>
      </w:r>
      <w:r>
        <w:rPr>
          <w:rFonts w:hint="eastAsia"/>
          <w:lang w:eastAsia="zh-CN"/>
        </w:rPr>
        <w:t>货物</w:t>
      </w:r>
      <w:r>
        <w:rPr>
          <w:rFonts w:hint="eastAsia"/>
        </w:rPr>
        <w:t>需求</w:t>
      </w:r>
      <w:bookmarkEnd w:id="117"/>
      <w:bookmarkEnd w:id="118"/>
      <w:bookmarkEnd w:id="119"/>
      <w:bookmarkEnd w:id="124"/>
    </w:p>
    <w:p>
      <w:pPr>
        <w:spacing w:line="560" w:lineRule="exact"/>
        <w:ind w:left="560" w:hanging="420" w:hangingChars="200"/>
        <w:jc w:val="left"/>
        <w:rPr>
          <w:rFonts w:hint="eastAsia" w:ascii="仿宋_GB2312" w:hAnsi="仿宋_GB2312" w:eastAsia="仿宋_GB2312" w:cs="仿宋_GB2312"/>
          <w:b/>
          <w:bCs/>
          <w:color w:val="000000"/>
          <w:sz w:val="21"/>
          <w:szCs w:val="21"/>
          <w:lang w:eastAsia="zh-CN"/>
        </w:rPr>
      </w:pPr>
      <w:r>
        <w:rPr>
          <w:rFonts w:hint="eastAsia" w:ascii="仿宋_GB2312" w:hAnsi="仿宋_GB2312" w:eastAsia="仿宋_GB2312" w:cs="仿宋_GB2312"/>
          <w:b/>
          <w:bCs/>
          <w:color w:val="000000"/>
          <w:sz w:val="21"/>
          <w:szCs w:val="21"/>
          <w:lang w:eastAsia="zh-CN"/>
        </w:rPr>
        <w:t>注：服务需求中内容均为实质性响应内容。</w:t>
      </w:r>
    </w:p>
    <w:tbl>
      <w:tblPr>
        <w:tblStyle w:val="20"/>
        <w:tblW w:w="50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51"/>
        <w:gridCol w:w="5839"/>
        <w:gridCol w:w="892"/>
        <w:gridCol w:w="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345" w:type="pct"/>
            <w:noWrap w:val="0"/>
            <w:vAlign w:val="center"/>
          </w:tcPr>
          <w:p>
            <w:pPr>
              <w:jc w:val="center"/>
              <w:rPr>
                <w:rFonts w:hint="eastAsia" w:ascii="宋体" w:hAnsi="宋体"/>
                <w:b/>
                <w:sz w:val="21"/>
                <w:szCs w:val="21"/>
              </w:rPr>
            </w:pPr>
            <w:r>
              <w:rPr>
                <w:rFonts w:hint="eastAsia" w:ascii="宋体" w:hAnsi="宋体"/>
                <w:b/>
                <w:sz w:val="21"/>
                <w:szCs w:val="21"/>
              </w:rPr>
              <w:t>序号</w:t>
            </w:r>
          </w:p>
        </w:tc>
        <w:tc>
          <w:tcPr>
            <w:tcW w:w="665" w:type="pct"/>
            <w:noWrap w:val="0"/>
            <w:vAlign w:val="center"/>
          </w:tcPr>
          <w:p>
            <w:pPr>
              <w:jc w:val="center"/>
              <w:rPr>
                <w:rFonts w:hint="eastAsia" w:ascii="宋体" w:hAnsi="宋体"/>
                <w:b/>
                <w:sz w:val="21"/>
                <w:szCs w:val="21"/>
              </w:rPr>
            </w:pPr>
            <w:r>
              <w:rPr>
                <w:rFonts w:hint="eastAsia" w:ascii="宋体" w:hAnsi="宋体"/>
                <w:b/>
                <w:sz w:val="21"/>
                <w:szCs w:val="21"/>
              </w:rPr>
              <w:t>品目名称</w:t>
            </w:r>
          </w:p>
        </w:tc>
        <w:tc>
          <w:tcPr>
            <w:tcW w:w="3103" w:type="pct"/>
            <w:noWrap w:val="0"/>
            <w:vAlign w:val="center"/>
          </w:tcPr>
          <w:p>
            <w:pPr>
              <w:jc w:val="center"/>
              <w:rPr>
                <w:rFonts w:hint="eastAsia" w:ascii="宋体" w:hAnsi="宋体"/>
                <w:b/>
                <w:sz w:val="21"/>
                <w:szCs w:val="21"/>
              </w:rPr>
            </w:pPr>
            <w:r>
              <w:rPr>
                <w:rFonts w:hint="eastAsia" w:ascii="宋体" w:hAnsi="宋体"/>
                <w:b/>
                <w:sz w:val="21"/>
                <w:szCs w:val="21"/>
              </w:rPr>
              <w:t>规格参数</w:t>
            </w:r>
          </w:p>
        </w:tc>
        <w:tc>
          <w:tcPr>
            <w:tcW w:w="474" w:type="pct"/>
            <w:noWrap w:val="0"/>
            <w:vAlign w:val="center"/>
          </w:tcPr>
          <w:p>
            <w:pPr>
              <w:jc w:val="center"/>
              <w:rPr>
                <w:rFonts w:hint="eastAsia" w:ascii="宋体" w:hAnsi="宋体"/>
                <w:b/>
                <w:sz w:val="21"/>
                <w:szCs w:val="21"/>
              </w:rPr>
            </w:pPr>
            <w:r>
              <w:rPr>
                <w:rFonts w:hint="eastAsia" w:ascii="宋体" w:hAnsi="宋体"/>
                <w:b/>
                <w:sz w:val="21"/>
                <w:szCs w:val="21"/>
              </w:rPr>
              <w:t>数量</w:t>
            </w:r>
          </w:p>
        </w:tc>
        <w:tc>
          <w:tcPr>
            <w:tcW w:w="411" w:type="pct"/>
            <w:noWrap w:val="0"/>
            <w:vAlign w:val="center"/>
          </w:tcPr>
          <w:p>
            <w:pPr>
              <w:jc w:val="center"/>
              <w:rPr>
                <w:rFonts w:hint="eastAsia" w:ascii="宋体" w:hAnsi="宋体"/>
                <w:b/>
                <w:sz w:val="21"/>
                <w:szCs w:val="21"/>
              </w:rPr>
            </w:pPr>
            <w:r>
              <w:rPr>
                <w:rFonts w:hint="eastAsia" w:ascii="宋体" w:hAnsi="宋体"/>
                <w:b/>
                <w:sz w:val="21"/>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34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环保车辆人脸抓拍单元</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（1）有效像素：≥900W；分辨率：≥4096(H)×2160(V)</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（2）</w:t>
            </w:r>
            <w:r>
              <w:rPr>
                <w:rFonts w:ascii="Nimbus Roman No9 L" w:hAnsi="Nimbus Roman No9 L" w:eastAsia="Nimbus Roman No9 L" w:cs="Nimbus Roman No9 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通讯接口：≥2个RS-485接口；≥1个RJ45 10M/100M/1000M自适应以太网口。</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（3）</w:t>
            </w:r>
            <w:r>
              <w:rPr>
                <w:rFonts w:ascii="Nimbus Roman No9 L" w:hAnsi="Nimbus Roman No9 L" w:eastAsia="Nimbus Roman No9 L" w:cs="Nimbus Roman No9 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支持深度学习智能，支持号牌识别、车型识别、车身颜色识别、车标识别、细分子品牌和年款识别等功能。包含GA 36规定的号牌字符和应急车辆号牌字符，车辆号牌识别准确率≥99%。</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（4）</w:t>
            </w:r>
            <w:r>
              <w:rPr>
                <w:rFonts w:ascii="Nimbus Roman No9 L" w:hAnsi="Nimbus Roman No9 L" w:eastAsia="Nimbus Roman No9 L" w:cs="Nimbus Roman No9 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具备智能识别机动车违章检测功能。支持机动车超速、压线、逆行、大货车不按规定车道行驶、违法占用应急车道、开车打电话、大客车凌晨2时至5时违规运行等违法行为抓拍、支持未系安全带检测；支持人脸识别功能。</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（5）</w:t>
            </w:r>
            <w:r>
              <w:rPr>
                <w:rFonts w:ascii="Nimbus Roman No9 L" w:hAnsi="Nimbus Roman No9 L" w:eastAsia="Nimbus Roman No9 L" w:cs="Nimbus Roman No9 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支持视频检测触发、雷达触发等检测抓拍方式；支持视频、图片字幕叠加功能单独设置。</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（6）</w:t>
            </w:r>
            <w:r>
              <w:rPr>
                <w:rFonts w:ascii="Nimbus Roman No9 L" w:hAnsi="Nimbus Roman No9 L" w:eastAsia="Nimbus Roman No9 L" w:cs="Nimbus Roman No9 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支持配置抓拍规则区域，可配置机动车违法图片的抓拍位置和触发位置；支持抓拍同时兼顾道路监控。</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（7）</w:t>
            </w:r>
            <w:r>
              <w:rPr>
                <w:rFonts w:ascii="Nimbus Roman No9 L" w:hAnsi="Nimbus Roman No9 L" w:eastAsia="Nimbus Roman No9 L" w:cs="Nimbus Roman No9 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具备一体化实现视频检测、车辆抓拍、补光控制、图像处理、图片合成、数据传输对联等功能。</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（8）</w:t>
            </w:r>
            <w:r>
              <w:rPr>
                <w:rFonts w:ascii="Nimbus Roman No9 L" w:hAnsi="Nimbus Roman No9 L" w:eastAsia="Nimbus Roman No9 L" w:cs="Nimbus Roman No9 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合理配置抓拍设备数量，每处点位要实现车道全覆盖抓拍。</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（9）</w:t>
            </w:r>
            <w:r>
              <w:rPr>
                <w:rFonts w:ascii="Nimbus Roman No9 L" w:hAnsi="Nimbus Roman No9 L" w:eastAsia="Nimbus Roman No9 L" w:cs="Nimbus Roman No9 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支持独立的逻辑车道配置，可同时启用≥6条逻辑规则，并且各个逻辑规则可独立运行。</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（10） 采用多光谱融合技术或者AI超微光技术，可以在晚间使用内置LED灯结合红外爆闪灯或者外置补光灯的情况下，仍得到全彩的图片。</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（11） 无论采用两个1英寸900万像素全局曝光CMOS还是一个CMOS的智能高清摄像机，最大分辨率均可达4096×2160，帧率25帧。</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（12） 支持白天用白光爆闪，晚上用内置灯加红外爆闪或者LED频闪同步补光。</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（13）</w:t>
            </w:r>
            <w:r>
              <w:rPr>
                <w:rFonts w:ascii="Nimbus Roman No9 L" w:hAnsi="Nimbus Roman No9 L" w:eastAsia="Nimbus Roman No9 L" w:cs="Nimbus Roman No9 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抓拍图片可看清前排司乘人员人脸，并可用于后端人脸比对。</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（14）</w:t>
            </w:r>
            <w:r>
              <w:rPr>
                <w:rFonts w:ascii="Nimbus Roman No9 L" w:hAnsi="Nimbus Roman No9 L" w:eastAsia="Nimbus Roman No9 L" w:cs="Nimbus Roman No9 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满足《交通技术监控成像补光装置通用技术条件》(GA/T 1202-2022)中的一级标准。</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含1年视频专网使用</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42</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2</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多合一补光灯</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 xml:space="preserve">（1） 采用24颗或以上数量的高亮度LED芯片，寿命长，稳定性好，发光效率高 </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 xml:space="preserve">（2） 带LED格栅，有效减少周边光污染 </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 xml:space="preserve">（3） 具备步进电机功能，实现红外滤片的切换或者切换成LED频闪 </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 xml:space="preserve">（4） 气体光源回电时间小于67ms，支持超速连拍， </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 xml:space="preserve">（5） 气体补光控制具有峰值抑制功能 </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 xml:space="preserve">（6） 支持LED灯频闪、白光气体爆闪或红外气体爆闪 </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（7） 支持相机误触发保护功能，触发信号输入异常时自动保护、且自动恢复</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（8） 满足《交通技术监控成像补光装置通用技术条件》(GA/T 1202-2022)中的一级标准。能够满足省交管局的备案要求。</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40</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3</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红外球机</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 最低照度:彩色：≤0.0005Lux；黑白：≤0.0001Lux。</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（2） 像素≥400万；支持H.265编码。</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（3） 红外照射距离:≥200米。</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（4） 焦距:最大焦距不小于240mm；不小于40倍光学变焦。</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（5） 水平及垂直范围:水平360°；垂直-20°-90°（自动翻转）。</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（6） 具备违法停车等事件智能检测、预警功能。</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（7） 网络接口:具备RJ45网口，自适应10M/100M网络数据。</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（8） 防护等级: ≥IP66。</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（9） 城市道路违章取证：违停、逆行、压线、变道、机占非、掉头</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（10） 多场景巡航下，违停有效检测距离300 m</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（11） 支持多场景巡航检测，并可配置场景巡航自适应功能</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（12） 支持对静止或运动车辆的手动取证功能。</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（13） 含配套支架</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36</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4</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物联网智能监控管理终端</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 嵌入式操作系统，内置不少于1块2T硬盘；</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（2） 双网卡，可扩展不少于4个100M以太网接口及2个1000M以太网接口、2个1000M SFP光纤接口；</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（3） 坚固紧凑无风扇设计，体积小巧，适合在路边机柜及抱杆机柜使用，单面接口设计，更便于施工操作；</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（4） 支持对通行车辆的信息（记录和图片、录像）存储；</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（5） 可配置多种字符叠加、图片合成模式；</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 xml:space="preserve">（6） 支持区间测速功能； </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8</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5</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多目标雷达</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w:t>
            </w:r>
            <w:r>
              <w:rPr>
                <w:rFonts w:ascii="Arial" w:hAnsi="Arial" w:eastAsia="宋体" w:cs="Aria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检测距离：自检测器安装位置沿来车方向能检测机动车的距离≥250米。</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（2）</w:t>
            </w:r>
            <w:r>
              <w:rPr>
                <w:rFonts w:ascii="Arial" w:hAnsi="Arial" w:eastAsia="宋体" w:cs="Aria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检测宽度：自检测器安装位置沿来车方向同时检测车道数应覆盖安装处所有车道。</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（3）</w:t>
            </w:r>
            <w:r>
              <w:rPr>
                <w:rFonts w:ascii="Arial" w:hAnsi="Arial" w:eastAsia="宋体" w:cs="Aria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检测目标：能精确提供检测区域内车辆即时速度、坐标、运动方向等信息。</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（4）</w:t>
            </w:r>
            <w:r>
              <w:rPr>
                <w:rFonts w:ascii="Arial" w:hAnsi="Arial" w:eastAsia="宋体" w:cs="Aria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存储容量：能存储≥24小时基本数据。</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（5）</w:t>
            </w:r>
            <w:r>
              <w:rPr>
                <w:rFonts w:ascii="Arial" w:hAnsi="Arial" w:eastAsia="宋体" w:cs="Aria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检测精度：对检测断面内平均车速的检测精度不低于95%，对检测断面内车流量的检测精度不低于96%。</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（6）</w:t>
            </w:r>
            <w:r>
              <w:rPr>
                <w:rFonts w:ascii="Arial" w:hAnsi="Arial" w:eastAsia="宋体" w:cs="Aria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 xml:space="preserve">图形化配置：支持通过系统软件图形化操作方式配置参数。 </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（7）</w:t>
            </w:r>
            <w:r>
              <w:rPr>
                <w:rFonts w:ascii="Arial" w:hAnsi="Arial" w:eastAsia="宋体" w:cs="Aria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车辆行驶方向判断：支持车辆由上而下或由下而上的行驶方向判断。</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（8）</w:t>
            </w:r>
            <w:r>
              <w:rPr>
                <w:rFonts w:ascii="Arial" w:hAnsi="Arial" w:eastAsia="宋体" w:cs="Aria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信息显示：支持实时显示车辆目标位置坐标信息（X、Y轴坐标，以车道中心为原点）、行驶车道以及速度。</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（9）</w:t>
            </w:r>
            <w:r>
              <w:rPr>
                <w:rFonts w:ascii="Arial" w:hAnsi="Arial" w:eastAsia="宋体" w:cs="Aria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检测功能：支持检测车流量、距离、速度、排队长度数据并上传。</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（10）</w:t>
            </w:r>
            <w:r>
              <w:rPr>
                <w:rFonts w:ascii="Arial" w:hAnsi="Arial" w:eastAsia="宋体" w:cs="Arial"/>
                <w:i w:val="0"/>
                <w:color w:val="000000"/>
                <w:kern w:val="0"/>
                <w:sz w:val="21"/>
                <w:szCs w:val="21"/>
                <w:u w:val="none"/>
                <w:lang w:val="en-US" w:eastAsia="zh-CN" w:bidi="ar"/>
              </w:rPr>
              <w:t xml:space="preserve"> </w:t>
            </w:r>
            <w:r>
              <w:rPr>
                <w:rFonts w:hint="eastAsia" w:ascii="宋体" w:hAnsi="宋体" w:eastAsia="宋体" w:cs="宋体"/>
                <w:i w:val="0"/>
                <w:color w:val="000000"/>
                <w:kern w:val="0"/>
                <w:sz w:val="21"/>
                <w:szCs w:val="21"/>
                <w:u w:val="none"/>
                <w:lang w:val="en-US" w:eastAsia="zh-CN" w:bidi="ar"/>
              </w:rPr>
              <w:t xml:space="preserve">防护等级：≥IP66 </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18</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6</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卡口杆具及基础</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主杆高8000mm\壁厚≥5mm\直径240-180mm，横杆长4000mm\壁厚≥4mm\直径160-90mm,采用Q235B低合金钢，热侵镀锌。</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具备地锚，钢柱结构、法兰450,6-M24*1200。</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基础C25-C30混凝土\1200*1200*1500。</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安装到目标地点，包含：挖基础、边沟、管线敷设、穿线、渣土运输。</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按照高速运营公司高速施工管理规定，现场封道施工，每处施工2次封道。</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18</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7</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区间测速杆具及基础</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主杆高8000mm\壁厚≥6mm\直径290-260mm，横杆长9000mm\壁厚≥5mm\直径250-100mm,采用Q236B低合金钢，热侵镀锌。</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具备地锚，钢柱结构，法兰500,8-M24*1500。</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基础C25-C30混凝土\1800*1800*2200。</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安装到目标地点，包含：挖基础、边沟、管线敷设、穿线、渣土运输。</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按照高速运营公司高速施工管理规定，现场封道施工，每处施工2次封道。</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14</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8</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视频杆及基础</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主杆高8000mm\壁厚≥5mm\直径240-180mm，横杆长4000mm\壁厚≥4mm\直径160-90mm,采用Q235B低合金钢，热侵镀锌。</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具备地锚，钢柱结构、法兰450,6-M24*1200。</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基础C25-C30混凝土\1200*1200*1500。</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2</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9</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光纤收发器</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单模</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34</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10</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交换机</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不少于8口、上下行端口速率千兆</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34</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11</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背箱及配套线缆</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规格520mm*400mm*300mm，含接线端子。</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RVV2*4电源线140米，从离设备最近的电力资源处取电，包含线缆地埋、立杆架空线缆，表下接电等。</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4芯单模光纤15米4芯光纤，铺设至目标位置。</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辅助材料（包括专用电缆、短接缆、波纹管、水晶头、端子、螺丝螺母、电工胶布、电插排等）。</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提供1年视频专网，连接至交警支队机房。</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32</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12</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禁止拨打手机和系安全带标志</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采用4类反光膜，厚度≥2mm，150*182cm（字高25）； 1、各类标志牌（杆）均应采用热镀锌钢材防腐，外喷环氧富锌底面漆各两遍。 2、各类标志牌底板均采用高强级挤型铝材，不得拼接，材料厚度要符合规范要求。3、所有交通标志中的文字图形等的详细尺寸制作与安装均应严格执行《道路交通标志和标线》（GB5768-2022）中的相关规定。 4、所有标志反光膜等级采用Ⅳ类。</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13</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13</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进入图像监控区域标志</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采用4类反光膜，厚度≥2mm，145*182cm（字高25）； 1、各类标志牌（杆）均应采用热镀锌钢材防腐，外喷环氧富锌底面漆各两遍。 2、各类标志牌底板均采用高强级挤型铝材，不得拼接，材料厚度要符合规范要求。3、所有交通标志中的文字图形等的详细尺寸制作与安装均应严格执行《道路交通标志和标线》（GB5768-2022）中的相关规定。 4、所有标志反光膜等级采用Ⅳ类。</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2</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14</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区间测速起点标志</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采用4类反光膜，厚度≥2mm，145*217cm（字高25）； 1、各类标志牌（杆）均应采用热镀锌钢材防腐，外喷环氧富锌底面漆各两遍。 2、各类标志牌底板均采用高强级挤型铝材，不得拼接，材料厚度要符合规范要求。3、所有交通标志中的文字图形等的详细尺寸制作与安装均应严格执行《道路交通标志和标线》（GB5768-2022）中的相关规定。 4、所有标志反光膜等级采用Ⅳ类。</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5</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15</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区间测速终点标志</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采用4类反光膜，厚度≥2mm，145*217cm（字高25）； 1、各类标志牌（杆）均应采用热镀锌钢材防腐，外喷环氧富锌底面漆各两遍。 2、各类标志牌底板均采用高强级挤型铝材，不得拼接，材料厚度要符合规范要求。3、所有交通标志中的文字图形等的详细尺寸制作与安装均应严格执行《道路交通标志和标线》（GB5768-2022）中的相关规定。 4、所有标志反光膜等级采用Ⅳ类。</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7</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16</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区间测速提示标志</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采用4类反光膜，厚度≥2mm，145*217cm（字高25）； 1、各类标志牌（杆）均应采用热镀锌钢材防腐，外喷环氧富锌底面漆各两遍。 2、各类标志牌底板均采用高强级挤型铝材，不得拼接，材料厚度要符合规范要求。3、所有交通标志中的文字图形等的详细尺寸制作与安装均应严格执行《道路交通标志和标线》（GB5768-2022）中的相关规定。 4、所有标志反光膜等级采用Ⅳ类。</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7</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17</w:t>
            </w:r>
          </w:p>
        </w:tc>
        <w:tc>
          <w:tcPr>
            <w:tcW w:w="665"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限速标志</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采用4类反光膜，厚度≥2mm，Φ120cm； 1、各类标志牌（杆）均应采用热镀锌钢材防腐，外喷环氧富锌底面漆各两遍。 2、各类标志牌底板均采用高强级挤型铝材，不得拼接，材料厚度要符合规范要求。3、所有交通标志中的文字图形等的详细尺寸制作与安装均应严格执行《道路交通标志和标线》（GB5768-2022）中的相关规定。 4、所有标志反光膜等级采用Ⅳ类。</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5</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5" w:type="pct"/>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18</w:t>
            </w:r>
          </w:p>
        </w:tc>
        <w:tc>
          <w:tcPr>
            <w:tcW w:w="665" w:type="pct"/>
            <w:noWrap w:val="0"/>
            <w:vAlign w:val="center"/>
          </w:tcPr>
          <w:p>
            <w:pPr>
              <w:keepNext w:val="0"/>
              <w:keepLines w:val="0"/>
              <w:widowControl/>
              <w:suppressLineNumbers w:val="0"/>
              <w:jc w:val="center"/>
              <w:textAlignment w:val="center"/>
              <w:rPr>
                <w:rFonts w:hint="default"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标志杆具及基础</w:t>
            </w:r>
          </w:p>
        </w:tc>
        <w:tc>
          <w:tcPr>
            <w:tcW w:w="3103" w:type="pct"/>
            <w:noWrap w:val="0"/>
            <w:vAlign w:val="center"/>
          </w:tcPr>
          <w:p>
            <w:pPr>
              <w:keepNext w:val="0"/>
              <w:keepLines w:val="0"/>
              <w:widowControl/>
              <w:suppressLineNumbers w:val="0"/>
              <w:jc w:val="left"/>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主杆高8500mm\壁厚≥6mm\直径≥219mm，双横杆长2000mm\壁厚≥3mm\直径≥114mm,采用Q237B钢材，热侵镀锌。</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具备地锚，钢柱结构、法兰450,6-M24*1200。</w:t>
            </w:r>
            <w:r>
              <w:rPr>
                <w:rFonts w:hint="eastAsia" w:ascii="宋体" w:hAnsi="宋体" w:eastAsia="宋体" w:cs="宋体"/>
                <w:i w:val="0"/>
                <w:color w:val="000000"/>
                <w:kern w:val="0"/>
                <w:sz w:val="21"/>
                <w:szCs w:val="21"/>
                <w:u w:val="none"/>
                <w:lang w:val="en-US" w:eastAsia="zh-CN" w:bidi="ar"/>
              </w:rPr>
              <w:br w:type="textWrapping"/>
            </w:r>
            <w:r>
              <w:rPr>
                <w:rFonts w:hint="eastAsia" w:ascii="宋体" w:hAnsi="宋体" w:eastAsia="宋体" w:cs="宋体"/>
                <w:i w:val="0"/>
                <w:color w:val="000000"/>
                <w:kern w:val="0"/>
                <w:sz w:val="21"/>
                <w:szCs w:val="21"/>
                <w:u w:val="none"/>
                <w:lang w:val="en-US" w:eastAsia="zh-CN" w:bidi="ar"/>
              </w:rPr>
              <w:t>C25-C30混凝土\1200*1200*1500（包含挖坑、渣土清理）</w:t>
            </w:r>
          </w:p>
        </w:tc>
        <w:tc>
          <w:tcPr>
            <w:tcW w:w="474"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14</w:t>
            </w:r>
          </w:p>
        </w:tc>
        <w:tc>
          <w:tcPr>
            <w:tcW w:w="411" w:type="pct"/>
            <w:noWrap w:val="0"/>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kern w:val="0"/>
                <w:sz w:val="21"/>
                <w:szCs w:val="21"/>
                <w:u w:val="none"/>
                <w:lang w:val="en-US" w:eastAsia="zh-CN" w:bidi="ar"/>
              </w:rPr>
              <w:t>根</w:t>
            </w:r>
          </w:p>
        </w:tc>
      </w:tr>
    </w:tbl>
    <w:p>
      <w:pPr>
        <w:bidi w:val="0"/>
        <w:rPr>
          <w:rFonts w:hint="eastAsia"/>
          <w:lang w:val="en-US" w:eastAsia="zh-CN"/>
        </w:rPr>
      </w:pPr>
    </w:p>
    <w:p>
      <w:pPr>
        <w:rPr>
          <w:rFonts w:hint="eastAsia"/>
        </w:rPr>
      </w:pPr>
      <w:bookmarkStart w:id="125" w:name="_Toc8241"/>
      <w:bookmarkStart w:id="126" w:name="_Toc8062"/>
    </w:p>
    <w:p>
      <w:pPr>
        <w:pStyle w:val="4"/>
        <w:snapToGrid w:val="0"/>
        <w:spacing w:before="319" w:beforeLines="100" w:after="319" w:afterLines="100" w:line="360" w:lineRule="auto"/>
        <w:jc w:val="center"/>
        <w:rPr>
          <w:rFonts w:ascii="仿宋_GB2312" w:hAnsi="仿宋_GB2312" w:eastAsia="仿宋_GB2312" w:cs="仿宋_GB2312"/>
        </w:rPr>
      </w:pPr>
      <w:r>
        <w:rPr>
          <w:rFonts w:hint="eastAsia" w:ascii="仿宋_GB2312" w:hAnsi="仿宋_GB2312" w:eastAsia="仿宋_GB2312" w:cs="仿宋_GB2312"/>
        </w:rPr>
        <w:br w:type="page"/>
      </w:r>
      <w:bookmarkStart w:id="127" w:name="_Toc1497959328"/>
      <w:r>
        <w:rPr>
          <w:rFonts w:hint="eastAsia" w:ascii="仿宋_GB2312" w:hAnsi="仿宋_GB2312" w:eastAsia="仿宋_GB2312" w:cs="仿宋_GB2312"/>
        </w:rPr>
        <w:t>第四章 评标方法</w:t>
      </w:r>
      <w:bookmarkEnd w:id="120"/>
      <w:bookmarkEnd w:id="125"/>
      <w:bookmarkEnd w:id="126"/>
      <w:bookmarkEnd w:id="127"/>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本项目将按照招标文件第一章投标人须知中“六 开标及评标”、“七 确定中标”及本章的规定评标。</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b/>
          <w:kern w:val="0"/>
          <w:szCs w:val="21"/>
        </w:rPr>
      </w:pPr>
      <w:bookmarkStart w:id="128" w:name="_Toc22313_WPSOffice_Level2"/>
      <w:r>
        <w:rPr>
          <w:rFonts w:hint="eastAsia" w:ascii="仿宋_GB2312" w:hAnsi="仿宋_GB2312" w:eastAsia="仿宋_GB2312" w:cs="仿宋_GB2312"/>
          <w:b/>
          <w:kern w:val="0"/>
          <w:szCs w:val="21"/>
        </w:rPr>
        <w:t>一、评标方法</w:t>
      </w:r>
      <w:bookmarkEnd w:id="128"/>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本项目采用</w:t>
      </w:r>
      <w:r>
        <w:rPr>
          <w:rFonts w:hint="eastAsia" w:ascii="仿宋_GB2312" w:hAnsi="仿宋_GB2312" w:eastAsia="仿宋_GB2312" w:cs="仿宋_GB2312"/>
          <w:kern w:val="0"/>
          <w:szCs w:val="21"/>
          <w:u w:val="single"/>
        </w:rPr>
        <w:t>综合评分法</w:t>
      </w:r>
      <w:r>
        <w:rPr>
          <w:rFonts w:hint="eastAsia" w:ascii="仿宋_GB2312" w:hAnsi="仿宋_GB2312" w:eastAsia="仿宋_GB2312" w:cs="仿宋_GB2312"/>
          <w:kern w:val="0"/>
          <w:szCs w:val="21"/>
        </w:rPr>
        <w:t>进行评标。</w:t>
      </w:r>
    </w:p>
    <w:p>
      <w:pPr>
        <w:keepNext w:val="0"/>
        <w:keepLines w:val="0"/>
        <w:pageBreakBefore w:val="0"/>
        <w:kinsoku/>
        <w:wordWrap/>
        <w:overflowPunct/>
        <w:topLinePunct w:val="0"/>
        <w:autoSpaceDE/>
        <w:autoSpaceDN/>
        <w:bidi w:val="0"/>
        <w:adjustRightInd w:val="0"/>
        <w:snapToGrid w:val="0"/>
        <w:spacing w:line="500" w:lineRule="exact"/>
        <w:ind w:firstLine="420" w:firstLineChars="200"/>
        <w:textAlignment w:val="baseline"/>
        <w:rPr>
          <w:rFonts w:ascii="仿宋_GB2312" w:hAnsi="仿宋_GB2312" w:eastAsia="仿宋_GB2312" w:cs="仿宋_GB2312"/>
          <w:b/>
          <w:kern w:val="0"/>
          <w:szCs w:val="21"/>
        </w:rPr>
      </w:pPr>
      <w:bookmarkStart w:id="129" w:name="_Toc21368_WPSOffice_Level2"/>
      <w:r>
        <w:rPr>
          <w:rFonts w:hint="eastAsia" w:ascii="仿宋_GB2312" w:hAnsi="仿宋_GB2312" w:eastAsia="仿宋_GB2312" w:cs="仿宋_GB2312"/>
          <w:b/>
          <w:kern w:val="0"/>
          <w:szCs w:val="21"/>
        </w:rPr>
        <w:t>二、评标原则及程序</w:t>
      </w:r>
      <w:bookmarkEnd w:id="129"/>
    </w:p>
    <w:p>
      <w:pPr>
        <w:keepNext w:val="0"/>
        <w:keepLines w:val="0"/>
        <w:pageBreakBefore w:val="0"/>
        <w:kinsoku/>
        <w:wordWrap/>
        <w:overflowPunct/>
        <w:topLinePunct w:val="0"/>
        <w:autoSpaceDE/>
        <w:autoSpaceDN/>
        <w:bidi w:val="0"/>
        <w:adjustRightInd w:val="0"/>
        <w:snapToGrid w:val="0"/>
        <w:spacing w:line="500" w:lineRule="exact"/>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（一）评标原则</w:t>
      </w:r>
    </w:p>
    <w:p>
      <w:pPr>
        <w:keepNext w:val="0"/>
        <w:keepLines w:val="0"/>
        <w:pageBreakBefore w:val="0"/>
        <w:kinsoku/>
        <w:wordWrap/>
        <w:overflowPunct/>
        <w:topLinePunct w:val="0"/>
        <w:autoSpaceDE/>
        <w:autoSpaceDN/>
        <w:bidi w:val="0"/>
        <w:adjustRightInd w:val="0"/>
        <w:snapToGrid w:val="0"/>
        <w:spacing w:line="500" w:lineRule="exact"/>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pPr>
        <w:keepNext w:val="0"/>
        <w:keepLines w:val="0"/>
        <w:pageBreakBefore w:val="0"/>
        <w:kinsoku/>
        <w:wordWrap/>
        <w:overflowPunct/>
        <w:topLinePunct w:val="0"/>
        <w:autoSpaceDE/>
        <w:autoSpaceDN/>
        <w:bidi w:val="0"/>
        <w:adjustRightInd w:val="0"/>
        <w:snapToGrid w:val="0"/>
        <w:spacing w:line="500" w:lineRule="exact"/>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（二）评标程序</w:t>
      </w:r>
    </w:p>
    <w:p>
      <w:pPr>
        <w:keepNext w:val="0"/>
        <w:keepLines w:val="0"/>
        <w:pageBreakBefore w:val="0"/>
        <w:kinsoku/>
        <w:wordWrap/>
        <w:overflowPunct/>
        <w:topLinePunct w:val="0"/>
        <w:autoSpaceDE/>
        <w:autoSpaceDN/>
        <w:bidi w:val="0"/>
        <w:adjustRightInd w:val="0"/>
        <w:snapToGrid w:val="0"/>
        <w:spacing w:line="500" w:lineRule="exact"/>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★1、资格审查</w:t>
      </w:r>
    </w:p>
    <w:p>
      <w:pPr>
        <w:keepNext w:val="0"/>
        <w:keepLines w:val="0"/>
        <w:pageBreakBefore w:val="0"/>
        <w:kinsoku/>
        <w:wordWrap/>
        <w:overflowPunct/>
        <w:topLinePunct w:val="0"/>
        <w:autoSpaceDE/>
        <w:autoSpaceDN/>
        <w:bidi w:val="0"/>
        <w:adjustRightInd w:val="0"/>
        <w:snapToGrid w:val="0"/>
        <w:spacing w:line="500" w:lineRule="exact"/>
        <w:ind w:firstLine="420" w:firstLineChars="200"/>
        <w:textAlignment w:val="baseline"/>
        <w:rPr>
          <w:rFonts w:ascii="仿宋_GB2312" w:hAnsi="仿宋_GB2312" w:eastAsia="仿宋_GB2312" w:cs="仿宋_GB2312"/>
          <w:kern w:val="0"/>
          <w:szCs w:val="21"/>
        </w:rPr>
      </w:pPr>
      <w:r>
        <w:rPr>
          <w:rFonts w:hint="eastAsia" w:ascii="仿宋_GB2312" w:hAnsi="仿宋_GB2312" w:eastAsia="仿宋_GB2312" w:cs="仿宋_GB2312"/>
          <w:kern w:val="0"/>
          <w:szCs w:val="21"/>
        </w:rPr>
        <w:t>1.1详见投标人须知22条。资格审查表详见本章附件1。</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w:t>
      </w:r>
      <w:r>
        <w:rPr>
          <w:rFonts w:hint="eastAsia" w:ascii="仿宋_GB2312" w:hAnsi="仿宋_GB2312" w:eastAsia="仿宋_GB2312" w:cs="仿宋_GB2312"/>
          <w:b/>
          <w:bCs/>
          <w:kern w:val="0"/>
          <w:szCs w:val="21"/>
        </w:rPr>
        <w:t>2、符合性审查</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2.1详见投标人须知23条。符合性审查表详见本章附件2。</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3、样品及演示</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3.1</w:t>
      </w:r>
      <w:r>
        <w:rPr>
          <w:rFonts w:hint="eastAsia" w:ascii="仿宋_GB2312" w:hAnsi="仿宋_GB2312" w:eastAsia="仿宋_GB2312" w:cs="仿宋_GB2312"/>
          <w:kern w:val="0"/>
          <w:szCs w:val="21"/>
        </w:rPr>
        <w:t>投标人须知表11.3条</w:t>
      </w:r>
      <w:r>
        <w:rPr>
          <w:rFonts w:hint="eastAsia" w:ascii="仿宋_GB2312" w:hAnsi="仿宋_GB2312" w:eastAsia="仿宋_GB2312" w:cs="仿宋_GB2312"/>
          <w:szCs w:val="21"/>
        </w:rPr>
        <w:t>中要求投标人提供样品或演示的，按照</w:t>
      </w:r>
      <w:r>
        <w:rPr>
          <w:rFonts w:hint="eastAsia" w:ascii="仿宋_GB2312" w:hAnsi="仿宋_GB2312" w:eastAsia="仿宋_GB2312" w:cs="仿宋_GB2312"/>
          <w:kern w:val="0"/>
          <w:szCs w:val="21"/>
        </w:rPr>
        <w:t>投标人须知表25.1条</w:t>
      </w:r>
      <w:r>
        <w:rPr>
          <w:rFonts w:hint="eastAsia" w:ascii="仿宋_GB2312" w:hAnsi="仿宋_GB2312" w:eastAsia="仿宋_GB2312" w:cs="仿宋_GB2312"/>
          <w:szCs w:val="21"/>
        </w:rPr>
        <w:t>中确定的评审方法以及评审标准进行评审。(样品或演示属于符合性审查的，按照</w:t>
      </w:r>
      <w:r>
        <w:rPr>
          <w:rFonts w:hint="eastAsia" w:ascii="仿宋_GB2312" w:hAnsi="仿宋_GB2312" w:eastAsia="仿宋_GB2312" w:cs="仿宋_GB2312"/>
          <w:kern w:val="0"/>
          <w:szCs w:val="21"/>
        </w:rPr>
        <w:t>投标人须知23条</w:t>
      </w:r>
      <w:r>
        <w:rPr>
          <w:rFonts w:hint="eastAsia" w:ascii="仿宋_GB2312" w:hAnsi="仿宋_GB2312" w:eastAsia="仿宋_GB2312" w:cs="仿宋_GB2312"/>
          <w:szCs w:val="21"/>
        </w:rPr>
        <w:t>规定执行）</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★4</w:t>
      </w:r>
      <w:r>
        <w:rPr>
          <w:rFonts w:hint="eastAsia" w:ascii="仿宋_GB2312" w:hAnsi="仿宋_GB2312" w:eastAsia="仿宋_GB2312" w:cs="仿宋_GB2312"/>
          <w:b/>
          <w:bCs/>
          <w:kern w:val="0"/>
          <w:szCs w:val="21"/>
        </w:rPr>
        <w:t>、同一品牌产品</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b/>
          <w:bCs/>
          <w:szCs w:val="21"/>
        </w:rPr>
      </w:pPr>
      <w:r>
        <w:rPr>
          <w:rFonts w:hint="eastAsia" w:ascii="仿宋_GB2312" w:hAnsi="仿宋_GB2312" w:eastAsia="仿宋_GB2312" w:cs="仿宋_GB2312"/>
          <w:szCs w:val="21"/>
        </w:rPr>
        <w:t>4.1通过资格审查、符合性审查的不同品牌投标人不足3家的，按照</w:t>
      </w:r>
      <w:r>
        <w:rPr>
          <w:rFonts w:hint="eastAsia" w:ascii="仿宋_GB2312" w:hAnsi="仿宋_GB2312" w:eastAsia="仿宋_GB2312" w:cs="仿宋_GB2312"/>
          <w:kern w:val="0"/>
          <w:szCs w:val="21"/>
        </w:rPr>
        <w:t>投标人须知28条第（1）款</w:t>
      </w:r>
      <w:r>
        <w:rPr>
          <w:rFonts w:hint="eastAsia" w:ascii="仿宋_GB2312" w:hAnsi="仿宋_GB2312" w:eastAsia="仿宋_GB2312" w:cs="仿宋_GB2312"/>
          <w:szCs w:val="21"/>
        </w:rPr>
        <w:t>执行</w:t>
      </w:r>
      <w:r>
        <w:rPr>
          <w:rFonts w:hint="eastAsia" w:ascii="仿宋_GB2312" w:hAnsi="仿宋_GB2312" w:eastAsia="仿宋_GB2312" w:cs="仿宋_GB2312"/>
          <w:kern w:val="0"/>
          <w:szCs w:val="21"/>
        </w:rPr>
        <w:t>。</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4.2提供相同品牌产品且通过资格审查、符合性审查的不同投标人，按一家投标人计算。</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4.3如一个分包内只有一种产品，不同投标人所投产品为同一品牌的，按如下方式处理：</w:t>
      </w:r>
    </w:p>
    <w:p>
      <w:pPr>
        <w:keepNext w:val="0"/>
        <w:keepLines w:val="0"/>
        <w:pageBreakBefore w:val="0"/>
        <w:numPr>
          <w:ilvl w:val="0"/>
          <w:numId w:val="7"/>
        </w:numPr>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kern w:val="0"/>
          <w:szCs w:val="21"/>
        </w:rPr>
        <w:t>本章第8条</w:t>
      </w:r>
      <w:r>
        <w:rPr>
          <w:rFonts w:hint="eastAsia" w:ascii="仿宋_GB2312" w:hAnsi="仿宋_GB2312" w:eastAsia="仿宋_GB2312" w:cs="仿宋_GB2312"/>
          <w:szCs w:val="21"/>
        </w:rPr>
        <w:t>“推荐中标候选人的原则”规定执行；未规定的采取随机抽取方式确定，其他</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kern w:val="0"/>
          <w:szCs w:val="21"/>
        </w:rPr>
        <w:t>按本章第4.3条规定处理。</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★5</w:t>
      </w:r>
      <w:r>
        <w:rPr>
          <w:rFonts w:hint="eastAsia" w:ascii="仿宋_GB2312" w:hAnsi="仿宋_GB2312" w:eastAsia="仿宋_GB2312" w:cs="仿宋_GB2312"/>
          <w:b/>
          <w:bCs/>
          <w:kern w:val="0"/>
          <w:szCs w:val="21"/>
        </w:rPr>
        <w:t>、比较及评价</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5.1评标委员会对通过符合性审查的投标文件进行比较和评价。</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5.2在评标期间，对投标文件的澄清按投标人须知24条内容执行。</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5.3评标委员会认为投标人的报价明显低于其他通过符合性审查的投标人报价，有可能影响产品质量或者不能诚信履约的，评标委员会应当要求其在评标现场合理的时间内提供书面说明，并提交相关证明材料，</w:t>
      </w:r>
      <w:r>
        <w:rPr>
          <w:rFonts w:hint="eastAsia" w:ascii="仿宋_GB2312" w:hAnsi="仿宋_GB2312" w:eastAsia="仿宋_GB2312" w:cs="仿宋_GB2312"/>
          <w:kern w:val="0"/>
          <w:szCs w:val="21"/>
        </w:rPr>
        <w:t>投标人不能证明其报价合理性的，评标委员会应当将</w:t>
      </w:r>
      <w:r>
        <w:rPr>
          <w:rFonts w:hint="eastAsia" w:ascii="仿宋_GB2312" w:hAnsi="仿宋_GB2312" w:eastAsia="仿宋_GB2312" w:cs="仿宋_GB2312"/>
          <w:szCs w:val="21"/>
        </w:rPr>
        <w:t>其投标作为</w:t>
      </w:r>
      <w:r>
        <w:rPr>
          <w:rFonts w:hint="eastAsia" w:ascii="仿宋_GB2312" w:hAnsi="仿宋_GB2312" w:eastAsia="仿宋_GB2312" w:cs="仿宋_GB2312"/>
          <w:b/>
          <w:bCs/>
          <w:szCs w:val="21"/>
        </w:rPr>
        <w:t>无效投标处理</w:t>
      </w:r>
      <w:r>
        <w:rPr>
          <w:rFonts w:hint="eastAsia" w:ascii="仿宋_GB2312" w:hAnsi="仿宋_GB2312" w:eastAsia="仿宋_GB2312" w:cs="仿宋_GB2312"/>
          <w:szCs w:val="21"/>
        </w:rPr>
        <w:t>。</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投标人的书面说明材料包含货物本身成本、人工费用、运输、税收等，以及报价不会影响产品质量或诚信履约能力的说明等。</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投标人的书面说明应当签字确认或者加盖公章，否则无效。书面说明的签字确认，由其法定代表人（非法人单位负责人或自然人本人）或者其授权代表签字确认。</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pPr>
        <w:keepNext w:val="0"/>
        <w:keepLines w:val="0"/>
        <w:pageBreakBefore w:val="0"/>
        <w:numPr>
          <w:ilvl w:val="0"/>
          <w:numId w:val="8"/>
        </w:numPr>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拒绝或者变相拒绝提供有效书面说明；</w:t>
      </w:r>
    </w:p>
    <w:p>
      <w:pPr>
        <w:keepNext w:val="0"/>
        <w:keepLines w:val="0"/>
        <w:pageBreakBefore w:val="0"/>
        <w:numPr>
          <w:ilvl w:val="0"/>
          <w:numId w:val="8"/>
        </w:numPr>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书面说明不能证明其报价合理性的；</w:t>
      </w:r>
    </w:p>
    <w:p>
      <w:pPr>
        <w:keepNext w:val="0"/>
        <w:keepLines w:val="0"/>
        <w:pageBreakBefore w:val="0"/>
        <w:numPr>
          <w:ilvl w:val="0"/>
          <w:numId w:val="8"/>
        </w:numPr>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未在规定时间内递交有效书面说明书的。</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★6</w:t>
      </w:r>
      <w:r>
        <w:rPr>
          <w:rFonts w:hint="eastAsia" w:ascii="仿宋_GB2312" w:hAnsi="仿宋_GB2312" w:eastAsia="仿宋_GB2312" w:cs="仿宋_GB2312"/>
          <w:b/>
          <w:bCs/>
          <w:kern w:val="0"/>
          <w:szCs w:val="21"/>
        </w:rPr>
        <w:t>、需落实的政府采购政策性规定：</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6.1对于中小微企业的相关规定</w:t>
      </w:r>
    </w:p>
    <w:p>
      <w:pPr>
        <w:keepNext w:val="0"/>
        <w:keepLines w:val="0"/>
        <w:pageBreakBefore w:val="0"/>
        <w:kinsoku/>
        <w:wordWrap/>
        <w:overflowPunct/>
        <w:topLinePunct w:val="0"/>
        <w:autoSpaceDE/>
        <w:autoSpaceDN/>
        <w:bidi w:val="0"/>
        <w:adjustRightInd w:val="0"/>
        <w:snapToGrid w:val="0"/>
        <w:spacing w:line="500" w:lineRule="exact"/>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6.1.1对于非专门面向中小企业的项目，在满足价格扣除条件且在投标文件中按要求提交了《中小企业声明函》</w:t>
      </w:r>
      <w:r>
        <w:rPr>
          <w:rFonts w:hint="eastAsia" w:ascii="仿宋_GB2312" w:hAnsi="仿宋_GB2312" w:eastAsia="仿宋_GB2312" w:cs="仿宋_GB2312"/>
          <w:kern w:val="0"/>
          <w:szCs w:val="21"/>
        </w:rPr>
        <w:t>的，</w:t>
      </w:r>
      <w:r>
        <w:rPr>
          <w:rFonts w:hint="eastAsia" w:ascii="仿宋_GB2312" w:hAnsi="仿宋_GB2312" w:eastAsia="仿宋_GB2312" w:cs="仿宋_GB2312"/>
          <w:szCs w:val="21"/>
        </w:rPr>
        <w:t>对投标报价给予价格扣除，用扣除后的价格参与评审。投标报价扣除比例如下：</w:t>
      </w:r>
    </w:p>
    <w:p>
      <w:pPr>
        <w:keepNext w:val="0"/>
        <w:keepLines w:val="0"/>
        <w:pageBreakBefore w:val="0"/>
        <w:kinsoku/>
        <w:wordWrap/>
        <w:overflowPunct/>
        <w:topLinePunct w:val="0"/>
        <w:autoSpaceDE/>
        <w:autoSpaceDN/>
        <w:bidi w:val="0"/>
        <w:adjustRightInd w:val="0"/>
        <w:snapToGrid w:val="0"/>
        <w:spacing w:line="500" w:lineRule="exact"/>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（1）非联合体投标</w:t>
      </w:r>
    </w:p>
    <w:p>
      <w:pPr>
        <w:keepNext w:val="0"/>
        <w:keepLines w:val="0"/>
        <w:pageBreakBefore w:val="0"/>
        <w:kinsoku/>
        <w:wordWrap/>
        <w:overflowPunct/>
        <w:topLinePunct w:val="0"/>
        <w:autoSpaceDE/>
        <w:autoSpaceDN/>
        <w:bidi w:val="0"/>
        <w:adjustRightInd w:val="0"/>
        <w:snapToGrid w:val="0"/>
        <w:spacing w:line="500" w:lineRule="exact"/>
        <w:jc w:val="left"/>
        <w:rPr>
          <w:rFonts w:ascii="仿宋_GB2312" w:hAnsi="仿宋_GB2312" w:eastAsia="仿宋_GB2312" w:cs="仿宋_GB2312"/>
          <w:szCs w:val="21"/>
        </w:rPr>
      </w:pPr>
      <w:r>
        <w:rPr>
          <w:rFonts w:hint="eastAsia" w:ascii="仿宋_GB2312" w:hAnsi="仿宋_GB2312" w:eastAsia="仿宋_GB2312" w:cs="仿宋_GB2312"/>
          <w:szCs w:val="21"/>
        </w:rPr>
        <w:t xml:space="preserve">       小型和微型企业相应产品、服务投标报价的</w:t>
      </w:r>
      <w:r>
        <w:rPr>
          <w:rFonts w:hint="eastAsia" w:ascii="仿宋_GB2312" w:hAnsi="仿宋_GB2312" w:eastAsia="仿宋_GB2312" w:cs="仿宋_GB2312"/>
          <w:kern w:val="0"/>
          <w:szCs w:val="21"/>
          <w:u w:val="single"/>
          <w:lang w:val="en-US" w:eastAsia="zh-CN"/>
        </w:rPr>
        <w:t xml:space="preserve">10% </w:t>
      </w:r>
      <w:r>
        <w:rPr>
          <w:rFonts w:hint="eastAsia" w:ascii="仿宋_GB2312" w:hAnsi="仿宋_GB2312" w:eastAsia="仿宋_GB2312" w:cs="仿宋_GB2312"/>
          <w:kern w:val="0"/>
          <w:szCs w:val="21"/>
        </w:rPr>
        <w:t>（</w:t>
      </w:r>
      <w:r>
        <w:rPr>
          <w:rFonts w:hint="eastAsia" w:ascii="仿宋_GB2312" w:hAnsi="仿宋_GB2312" w:eastAsia="仿宋_GB2312" w:cs="仿宋_GB2312"/>
          <w:szCs w:val="21"/>
          <w:lang w:val="en-US" w:eastAsia="zh-CN"/>
        </w:rPr>
        <w:t>10</w:t>
      </w: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rPr>
        <w:t>0%）</w:t>
      </w:r>
    </w:p>
    <w:p>
      <w:pPr>
        <w:keepNext w:val="0"/>
        <w:keepLines w:val="0"/>
        <w:pageBreakBefore w:val="0"/>
        <w:kinsoku/>
        <w:wordWrap/>
        <w:overflowPunct/>
        <w:topLinePunct w:val="0"/>
        <w:autoSpaceDE/>
        <w:autoSpaceDN/>
        <w:bidi w:val="0"/>
        <w:adjustRightInd w:val="0"/>
        <w:snapToGrid w:val="0"/>
        <w:spacing w:line="500" w:lineRule="exact"/>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（2）联合体投标</w:t>
      </w:r>
    </w:p>
    <w:p>
      <w:pPr>
        <w:keepNext w:val="0"/>
        <w:keepLines w:val="0"/>
        <w:pageBreakBefore w:val="0"/>
        <w:kinsoku/>
        <w:wordWrap/>
        <w:overflowPunct/>
        <w:topLinePunct w:val="0"/>
        <w:autoSpaceDE/>
        <w:autoSpaceDN/>
        <w:bidi w:val="0"/>
        <w:adjustRightInd w:val="0"/>
        <w:snapToGrid w:val="0"/>
        <w:spacing w:line="500" w:lineRule="exact"/>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kern w:val="0"/>
          <w:szCs w:val="21"/>
          <w:u w:val="single"/>
          <w:lang w:val="en-US" w:eastAsia="zh-CN"/>
        </w:rPr>
        <w:t xml:space="preserve"> </w:t>
      </w:r>
      <w:r>
        <w:rPr>
          <w:rFonts w:hint="eastAsia" w:ascii="仿宋_GB2312" w:hAnsi="仿宋_GB2312" w:eastAsia="仿宋_GB2312" w:cs="仿宋_GB2312"/>
          <w:color w:val="auto"/>
          <w:kern w:val="0"/>
          <w:szCs w:val="21"/>
        </w:rPr>
        <w:t>（</w:t>
      </w:r>
      <w:r>
        <w:rPr>
          <w:rFonts w:hint="eastAsia" w:ascii="仿宋_GB2312" w:hAnsi="仿宋_GB2312" w:eastAsia="仿宋_GB2312" w:cs="仿宋_GB2312"/>
          <w:color w:val="auto"/>
          <w:szCs w:val="21"/>
          <w:lang w:val="en-US" w:eastAsia="zh-CN"/>
        </w:rPr>
        <w:t>4</w:t>
      </w: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lang w:val="en-US" w:eastAsia="zh-CN"/>
        </w:rPr>
        <w:t>6</w:t>
      </w:r>
      <w:r>
        <w:rPr>
          <w:rFonts w:hint="eastAsia" w:ascii="仿宋_GB2312" w:hAnsi="仿宋_GB2312" w:eastAsia="仿宋_GB2312" w:cs="仿宋_GB2312"/>
          <w:color w:val="auto"/>
          <w:szCs w:val="21"/>
        </w:rPr>
        <w:t>%）</w:t>
      </w:r>
      <w:r>
        <w:rPr>
          <w:rFonts w:hint="eastAsia" w:ascii="仿宋_GB2312" w:hAnsi="仿宋_GB2312" w:eastAsia="仿宋_GB2312" w:cs="仿宋_GB2312"/>
          <w:szCs w:val="21"/>
        </w:rPr>
        <w:t>。</w:t>
      </w:r>
    </w:p>
    <w:p>
      <w:pPr>
        <w:keepNext w:val="0"/>
        <w:keepLines w:val="0"/>
        <w:pageBreakBefore w:val="0"/>
        <w:kinsoku/>
        <w:wordWrap/>
        <w:overflowPunct/>
        <w:topLinePunct w:val="0"/>
        <w:autoSpaceDE/>
        <w:autoSpaceDN/>
        <w:bidi w:val="0"/>
        <w:adjustRightInd w:val="0"/>
        <w:snapToGrid w:val="0"/>
        <w:spacing w:line="500" w:lineRule="exact"/>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pPr>
        <w:keepNext w:val="0"/>
        <w:keepLines w:val="0"/>
        <w:pageBreakBefore w:val="0"/>
        <w:kinsoku/>
        <w:wordWrap/>
        <w:overflowPunct/>
        <w:topLinePunct w:val="0"/>
        <w:autoSpaceDE/>
        <w:autoSpaceDN/>
        <w:bidi w:val="0"/>
        <w:adjustRightInd w:val="0"/>
        <w:snapToGrid w:val="0"/>
        <w:spacing w:line="500" w:lineRule="exact"/>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6.1.2监狱企业视同小型、微型企业，在满足价格扣除条件且在投标文件中按要求提交了省级以上监狱管理局、戒毒管理局（含新疆生产建设兵团）出具的属于监狱企业的证明文件的，对其投标报价按本章</w:t>
      </w:r>
      <w:r>
        <w:rPr>
          <w:rFonts w:hint="eastAsia" w:ascii="仿宋_GB2312" w:hAnsi="仿宋_GB2312" w:eastAsia="仿宋_GB2312" w:cs="仿宋_GB2312"/>
          <w:szCs w:val="21"/>
          <w:lang w:val="en-US" w:eastAsia="zh-CN"/>
        </w:rPr>
        <w:t>6</w:t>
      </w:r>
      <w:r>
        <w:rPr>
          <w:rFonts w:hint="eastAsia" w:ascii="仿宋_GB2312" w:hAnsi="仿宋_GB2312" w:eastAsia="仿宋_GB2312" w:cs="仿宋_GB2312"/>
          <w:szCs w:val="21"/>
        </w:rPr>
        <w:t>.1.1条款的比例予以扣除，</w:t>
      </w:r>
      <w:r>
        <w:rPr>
          <w:rFonts w:hint="eastAsia" w:ascii="仿宋_GB2312" w:hAnsi="仿宋_GB2312" w:eastAsia="仿宋_GB2312" w:cs="仿宋_GB2312"/>
          <w:kern w:val="0"/>
          <w:szCs w:val="21"/>
        </w:rPr>
        <w:t>用扣除后的价格参与评审</w:t>
      </w:r>
      <w:r>
        <w:rPr>
          <w:rFonts w:hint="eastAsia" w:ascii="仿宋_GB2312" w:hAnsi="仿宋_GB2312" w:eastAsia="仿宋_GB2312" w:cs="仿宋_GB2312"/>
          <w:szCs w:val="21"/>
        </w:rPr>
        <w:t>。</w:t>
      </w:r>
    </w:p>
    <w:p>
      <w:pPr>
        <w:keepNext w:val="0"/>
        <w:keepLines w:val="0"/>
        <w:pageBreakBefore w:val="0"/>
        <w:kinsoku/>
        <w:wordWrap/>
        <w:overflowPunct/>
        <w:topLinePunct w:val="0"/>
        <w:autoSpaceDE/>
        <w:autoSpaceDN/>
        <w:bidi w:val="0"/>
        <w:adjustRightInd w:val="0"/>
        <w:snapToGrid w:val="0"/>
        <w:spacing w:line="500" w:lineRule="exact"/>
        <w:ind w:firstLine="420" w:firstLineChars="200"/>
        <w:jc w:val="left"/>
        <w:rPr>
          <w:rFonts w:ascii="仿宋_GB2312" w:hAnsi="仿宋_GB2312" w:eastAsia="仿宋_GB2312" w:cs="仿宋_GB2312"/>
          <w:szCs w:val="21"/>
        </w:rPr>
      </w:pPr>
      <w:r>
        <w:rPr>
          <w:rFonts w:hint="eastAsia" w:ascii="仿宋_GB2312" w:hAnsi="仿宋_GB2312" w:eastAsia="仿宋_GB2312" w:cs="仿宋_GB2312"/>
          <w:b/>
          <w:kern w:val="0"/>
          <w:szCs w:val="21"/>
        </w:rPr>
        <w:t>6.1.3</w:t>
      </w:r>
      <w:r>
        <w:rPr>
          <w:rFonts w:hint="eastAsia" w:ascii="仿宋_GB2312" w:hAnsi="仿宋_GB2312" w:eastAsia="仿宋_GB2312" w:cs="仿宋_GB2312"/>
          <w:szCs w:val="21"/>
        </w:rPr>
        <w:t>残疾人福利性单位视同小型、微型企业，在满足价格扣除条件且在</w:t>
      </w:r>
      <w:r>
        <w:rPr>
          <w:rFonts w:hint="eastAsia" w:ascii="仿宋_GB2312" w:hAnsi="仿宋_GB2312" w:eastAsia="仿宋_GB2312" w:cs="仿宋_GB2312"/>
          <w:kern w:val="0"/>
          <w:szCs w:val="21"/>
        </w:rPr>
        <w:t>投标文件中提供了《残疾人福利性单位声明函》的，</w:t>
      </w:r>
      <w:r>
        <w:rPr>
          <w:rFonts w:hint="eastAsia" w:ascii="仿宋_GB2312" w:hAnsi="仿宋_GB2312" w:eastAsia="仿宋_GB2312" w:cs="仿宋_GB2312"/>
          <w:szCs w:val="21"/>
        </w:rPr>
        <w:t>对其投标报价按本章</w:t>
      </w:r>
      <w:r>
        <w:rPr>
          <w:rFonts w:hint="eastAsia" w:ascii="仿宋_GB2312" w:hAnsi="仿宋_GB2312" w:eastAsia="仿宋_GB2312" w:cs="仿宋_GB2312"/>
          <w:szCs w:val="21"/>
          <w:lang w:val="en-US" w:eastAsia="zh-CN"/>
        </w:rPr>
        <w:t>6</w:t>
      </w:r>
      <w:r>
        <w:rPr>
          <w:rFonts w:hint="eastAsia" w:ascii="仿宋_GB2312" w:hAnsi="仿宋_GB2312" w:eastAsia="仿宋_GB2312" w:cs="仿宋_GB2312"/>
          <w:szCs w:val="21"/>
        </w:rPr>
        <w:t>.1.1条款的比例予以扣除</w:t>
      </w:r>
      <w:r>
        <w:rPr>
          <w:rFonts w:hint="eastAsia" w:ascii="仿宋_GB2312" w:hAnsi="仿宋_GB2312" w:eastAsia="仿宋_GB2312" w:cs="仿宋_GB2312"/>
          <w:kern w:val="0"/>
          <w:szCs w:val="21"/>
        </w:rPr>
        <w:t>，用扣除后的价格参与评审。</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b/>
          <w:szCs w:val="21"/>
        </w:rPr>
      </w:pPr>
      <w:r>
        <w:rPr>
          <w:rFonts w:hint="eastAsia" w:ascii="仿宋_GB2312" w:hAnsi="仿宋_GB2312" w:eastAsia="仿宋_GB2312" w:cs="仿宋_GB2312"/>
          <w:b/>
          <w:szCs w:val="21"/>
        </w:rPr>
        <w:t>6.1.4残疾人福利性单位属于小型、微型企业的，不重复享受政策。</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6.2对于节能产品、环境标志产品的相关规定</w:t>
      </w:r>
    </w:p>
    <w:p>
      <w:pPr>
        <w:keepNext w:val="0"/>
        <w:keepLines w:val="0"/>
        <w:pageBreakBefore w:val="0"/>
        <w:numPr>
          <w:ilvl w:val="0"/>
          <w:numId w:val="9"/>
        </w:numPr>
        <w:kinsoku/>
        <w:wordWrap/>
        <w:overflowPunct/>
        <w:topLinePunct w:val="0"/>
        <w:autoSpaceDE/>
        <w:autoSpaceDN/>
        <w:bidi w:val="0"/>
        <w:adjustRightInd w:val="0"/>
        <w:snapToGrid w:val="0"/>
        <w:spacing w:line="500" w:lineRule="exact"/>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节能产品或环境标志产品，依据品目清单和认证证书实施政府优先采购。</w:t>
      </w:r>
      <w:r>
        <w:rPr>
          <w:rFonts w:hint="eastAsia" w:ascii="仿宋_GB2312" w:hAnsi="仿宋_GB2312" w:eastAsia="仿宋_GB2312" w:cs="仿宋_GB2312"/>
        </w:rPr>
        <w:t>供应商</w:t>
      </w:r>
      <w:r>
        <w:rPr>
          <w:rFonts w:hint="eastAsia" w:ascii="仿宋_GB2312" w:hAnsi="仿宋_GB2312" w:eastAsia="仿宋_GB2312" w:cs="仿宋_GB2312"/>
          <w:szCs w:val="21"/>
        </w:rPr>
        <w:t>应能够提供国家确定的认证机构出具的、处于有效期之内的节能产品、环境标志产品认证证书，方可对获得证书的产品优先推荐。</w:t>
      </w:r>
    </w:p>
    <w:p>
      <w:pPr>
        <w:keepNext w:val="0"/>
        <w:keepLines w:val="0"/>
        <w:pageBreakBefore w:val="0"/>
        <w:kinsoku/>
        <w:wordWrap/>
        <w:overflowPunct/>
        <w:topLinePunct w:val="0"/>
        <w:autoSpaceDE/>
        <w:autoSpaceDN/>
        <w:bidi w:val="0"/>
        <w:adjustRightInd w:val="0"/>
        <w:snapToGrid w:val="0"/>
        <w:spacing w:line="500" w:lineRule="exact"/>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采用最低评标价法的，</w:t>
      </w:r>
      <w:r>
        <w:rPr>
          <w:rFonts w:hint="eastAsia" w:ascii="仿宋_GB2312" w:hAnsi="仿宋_GB2312" w:eastAsia="仿宋_GB2312" w:cs="仿宋_GB2312"/>
          <w:szCs w:val="21"/>
        </w:rPr>
        <w:t>对</w:t>
      </w:r>
      <w:r>
        <w:rPr>
          <w:rFonts w:hint="eastAsia" w:ascii="仿宋_GB2312" w:hAnsi="仿宋_GB2312" w:eastAsia="仿宋_GB2312" w:cs="仿宋_GB2312"/>
          <w:kern w:val="0"/>
          <w:szCs w:val="21"/>
        </w:rPr>
        <w:t>清单中投标产品的报价</w:t>
      </w:r>
      <w:r>
        <w:rPr>
          <w:rFonts w:hint="eastAsia" w:ascii="仿宋_GB2312" w:hAnsi="仿宋_GB2312" w:eastAsia="仿宋_GB2312" w:cs="仿宋_GB2312"/>
          <w:szCs w:val="21"/>
        </w:rPr>
        <w:t>给予价格扣除，用扣除后的价格参与评审。报价扣除比例为</w:t>
      </w:r>
      <w:r>
        <w:rPr>
          <w:rFonts w:hint="eastAsia" w:ascii="仿宋_GB2312" w:hAnsi="仿宋_GB2312" w:eastAsia="仿宋_GB2312" w:cs="仿宋_GB2312"/>
          <w:kern w:val="0"/>
          <w:szCs w:val="21"/>
        </w:rPr>
        <w:t>清单中产品报价的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 xml:space="preserve"> 6</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 xml:space="preserve"> </w:t>
      </w: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szCs w:val="21"/>
        </w:rPr>
        <w:t>%。</w:t>
      </w:r>
    </w:p>
    <w:p>
      <w:pPr>
        <w:keepNext w:val="0"/>
        <w:keepLines w:val="0"/>
        <w:pageBreakBefore w:val="0"/>
        <w:kinsoku/>
        <w:wordWrap/>
        <w:overflowPunct/>
        <w:topLinePunct w:val="0"/>
        <w:autoSpaceDE/>
        <w:autoSpaceDN/>
        <w:bidi w:val="0"/>
        <w:adjustRightInd w:val="0"/>
        <w:snapToGrid w:val="0"/>
        <w:spacing w:line="500" w:lineRule="exact"/>
        <w:ind w:firstLine="630" w:firstLineChars="3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采用综合评分法评标的项目，对清单中产品给予相应的加分。（详见评分细则）</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（2）供应商应同时提供品目清单网络截图，并以明确标注所报产品信息和位置的方式，用以方便评审。</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（3）认证机构和获证产品信息发布媒体：详见中国政府采购网（www.ccgp.gov.cn）建立的与认证结果信息发布平台的链接。</w:t>
      </w:r>
    </w:p>
    <w:p>
      <w:pPr>
        <w:keepNext w:val="0"/>
        <w:keepLines w:val="0"/>
        <w:pageBreakBefore w:val="0"/>
        <w:kinsoku/>
        <w:wordWrap/>
        <w:overflowPunct/>
        <w:topLinePunct w:val="0"/>
        <w:autoSpaceDE/>
        <w:autoSpaceDN/>
        <w:bidi w:val="0"/>
        <w:adjustRightInd w:val="0"/>
        <w:spacing w:line="500" w:lineRule="exact"/>
        <w:ind w:firstLine="420"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6.3对于列入《辽宁省创新产品和服务目录》内的产品、服务的相关规定</w:t>
      </w:r>
    </w:p>
    <w:p>
      <w:pPr>
        <w:keepNext w:val="0"/>
        <w:keepLines w:val="0"/>
        <w:pageBreakBefore w:val="0"/>
        <w:kinsoku/>
        <w:wordWrap/>
        <w:overflowPunct/>
        <w:topLinePunct w:val="0"/>
        <w:autoSpaceDE/>
        <w:autoSpaceDN/>
        <w:bidi w:val="0"/>
        <w:adjustRightInd w:val="0"/>
        <w:spacing w:line="500" w:lineRule="exact"/>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采用最低评标价法的：对列入《辽宁省创新产品和服务目录》内的投标产品、服务给予其投标报价</w:t>
      </w:r>
      <w:r>
        <w:rPr>
          <w:rFonts w:hint="eastAsia" w:ascii="仿宋_GB2312" w:hAnsi="仿宋_GB2312" w:eastAsia="仿宋_GB2312" w:cs="仿宋_GB2312"/>
          <w:szCs w:val="21"/>
          <w:u w:val="single"/>
          <w:lang w:val="en-US" w:eastAsia="zh-CN"/>
        </w:rPr>
        <w:t xml:space="preserve">  6%  </w:t>
      </w:r>
      <w:r>
        <w:rPr>
          <w:rFonts w:hint="eastAsia" w:ascii="仿宋_GB2312" w:hAnsi="仿宋_GB2312" w:eastAsia="仿宋_GB2312" w:cs="仿宋_GB2312"/>
          <w:szCs w:val="21"/>
        </w:rPr>
        <w:t>（6-8%）的价格扣除，用扣除后的价格参与评审。</w:t>
      </w:r>
    </w:p>
    <w:p>
      <w:pPr>
        <w:keepNext w:val="0"/>
        <w:keepLines w:val="0"/>
        <w:pageBreakBefore w:val="0"/>
        <w:kinsoku/>
        <w:wordWrap/>
        <w:overflowPunct/>
        <w:topLinePunct w:val="0"/>
        <w:autoSpaceDE/>
        <w:autoSpaceDN/>
        <w:bidi w:val="0"/>
        <w:adjustRightInd w:val="0"/>
        <w:spacing w:line="500" w:lineRule="exact"/>
        <w:ind w:firstLine="420" w:firstLineChars="200"/>
        <w:jc w:val="left"/>
        <w:rPr>
          <w:rFonts w:hint="eastAsia" w:ascii="仿宋_GB2312" w:hAnsi="仿宋_GB2312" w:eastAsia="仿宋_GB2312" w:cs="仿宋_GB2312"/>
          <w:kern w:val="0"/>
          <w:szCs w:val="21"/>
        </w:rPr>
      </w:pPr>
      <w:r>
        <w:rPr>
          <w:rFonts w:hint="eastAsia" w:ascii="仿宋_GB2312" w:hAnsi="仿宋_GB2312" w:eastAsia="仿宋_GB2312" w:cs="仿宋_GB2312"/>
          <w:szCs w:val="21"/>
        </w:rPr>
        <w:t>采用综合评分法评标的：对列入《辽宁省创新产品和服务目录》内的投标产品、服务给予</w:t>
      </w:r>
      <w:r>
        <w:rPr>
          <w:rFonts w:hint="eastAsia" w:ascii="仿宋_GB2312" w:hAnsi="仿宋_GB2312" w:eastAsia="仿宋_GB2312" w:cs="仿宋_GB2312"/>
          <w:szCs w:val="21"/>
          <w:u w:val="single"/>
          <w:lang w:val="en-US" w:eastAsia="zh-CN"/>
        </w:rPr>
        <w:t xml:space="preserve">   6%  </w:t>
      </w:r>
      <w:r>
        <w:rPr>
          <w:rFonts w:hint="eastAsia" w:ascii="仿宋_GB2312" w:hAnsi="仿宋_GB2312" w:eastAsia="仿宋_GB2312" w:cs="仿宋_GB2312"/>
          <w:szCs w:val="21"/>
        </w:rPr>
        <w:t>（6-8%）的加分（详见评分细则）。</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★7</w:t>
      </w:r>
      <w:r>
        <w:rPr>
          <w:rFonts w:hint="eastAsia" w:ascii="仿宋_GB2312" w:hAnsi="仿宋_GB2312" w:eastAsia="仿宋_GB2312" w:cs="仿宋_GB2312"/>
          <w:b/>
          <w:bCs/>
          <w:kern w:val="0"/>
          <w:szCs w:val="21"/>
        </w:rPr>
        <w:t>、投标无效情况详见投标人须知。</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★8</w:t>
      </w:r>
      <w:r>
        <w:rPr>
          <w:rFonts w:hint="eastAsia" w:ascii="仿宋_GB2312" w:hAnsi="仿宋_GB2312" w:eastAsia="仿宋_GB2312" w:cs="仿宋_GB2312"/>
          <w:b/>
          <w:bCs/>
          <w:kern w:val="0"/>
          <w:szCs w:val="21"/>
        </w:rPr>
        <w:t>、推荐中标候选人的原则</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详见第一章投标人须知第29条，具体处理办法如下：</w:t>
      </w:r>
    </w:p>
    <w:p>
      <w:pPr>
        <w:keepNext w:val="0"/>
        <w:keepLines w:val="0"/>
        <w:pageBreakBefore w:val="0"/>
        <w:numPr>
          <w:ilvl w:val="0"/>
          <w:numId w:val="10"/>
        </w:numPr>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采用最低评标价法的：</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扣除后的投标报价相同时，按投标报价由低至高排序；</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按前款不能区分的，优先采购节能产品、环境标志产品；</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pPr>
        <w:keepNext w:val="0"/>
        <w:keepLines w:val="0"/>
        <w:pageBreakBefore w:val="0"/>
        <w:numPr>
          <w:ilvl w:val="0"/>
          <w:numId w:val="10"/>
        </w:numPr>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采用综合评分法的：</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得分相同的，按扣除后的投标报价由低到高顺序排序；</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按前款不能区分的，按投标报价由低至高顺序排序；</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按前款不能区分的，优先采购节能产品、环保产品；</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b/>
          <w:kern w:val="0"/>
          <w:szCs w:val="21"/>
        </w:rPr>
      </w:pPr>
      <w:bookmarkStart w:id="130" w:name="_Toc30297_WPSOffice_Level2"/>
      <w:r>
        <w:rPr>
          <w:rFonts w:hint="eastAsia" w:ascii="仿宋_GB2312" w:hAnsi="仿宋_GB2312" w:eastAsia="仿宋_GB2312" w:cs="仿宋_GB2312"/>
          <w:b/>
          <w:szCs w:val="21"/>
        </w:rPr>
        <w:t>三、</w:t>
      </w:r>
      <w:r>
        <w:rPr>
          <w:rFonts w:hint="eastAsia" w:ascii="仿宋_GB2312" w:hAnsi="仿宋_GB2312" w:eastAsia="仿宋_GB2312" w:cs="仿宋_GB2312"/>
          <w:b/>
          <w:kern w:val="0"/>
          <w:szCs w:val="21"/>
        </w:rPr>
        <w:t>确定中标人</w:t>
      </w:r>
      <w:bookmarkEnd w:id="130"/>
    </w:p>
    <w:p>
      <w:pPr>
        <w:keepNext w:val="0"/>
        <w:keepLines w:val="0"/>
        <w:pageBreakBefore w:val="0"/>
        <w:kinsoku/>
        <w:wordWrap/>
        <w:overflowPunct/>
        <w:topLinePunct w:val="0"/>
        <w:autoSpaceDE/>
        <w:autoSpaceDN/>
        <w:bidi w:val="0"/>
        <w:adjustRightInd w:val="0"/>
        <w:snapToGrid w:val="0"/>
        <w:spacing w:line="500" w:lineRule="exact"/>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评标委员会根据全体评标委员会成员签字的原始评标记录和评标结果编写评标报告，并向采购人提交书面评标报告。</w:t>
      </w:r>
    </w:p>
    <w:p>
      <w:pPr>
        <w:keepNext w:val="0"/>
        <w:keepLines w:val="0"/>
        <w:pageBreakBefore w:val="0"/>
        <w:widowControl/>
        <w:kinsoku/>
        <w:wordWrap/>
        <w:overflowPunct/>
        <w:topLinePunct w:val="0"/>
        <w:autoSpaceDE/>
        <w:autoSpaceDN/>
        <w:bidi w:val="0"/>
        <w:spacing w:line="500" w:lineRule="exact"/>
        <w:jc w:val="left"/>
        <w:rPr>
          <w:rFonts w:ascii="仿宋_GB2312" w:hAnsi="仿宋_GB2312" w:eastAsia="仿宋_GB2312" w:cs="仿宋_GB2312"/>
          <w:kern w:val="0"/>
          <w:sz w:val="24"/>
        </w:rPr>
      </w:pPr>
      <w:r>
        <w:rPr>
          <w:rFonts w:hint="eastAsia" w:ascii="仿宋_GB2312" w:hAnsi="仿宋_GB2312" w:eastAsia="仿宋_GB2312" w:cs="仿宋_GB2312"/>
          <w:szCs w:val="21"/>
        </w:rPr>
        <w:t>采购人按照评标报告确定的中标候选人名单按顺序确定中标人，或由采购人委托评标委员会按照第一章投标人须知第31条规定的方式确定中标人。</w:t>
      </w:r>
      <w:r>
        <w:rPr>
          <w:rFonts w:hint="eastAsia" w:ascii="仿宋_GB2312" w:hAnsi="仿宋_GB2312" w:eastAsia="仿宋_GB2312" w:cs="仿宋_GB2312"/>
        </w:rPr>
        <w:br w:type="page"/>
      </w:r>
    </w:p>
    <w:p>
      <w:pPr>
        <w:pStyle w:val="5"/>
        <w:adjustRightInd w:val="0"/>
        <w:snapToGrid w:val="0"/>
        <w:spacing w:before="0" w:after="0" w:line="240" w:lineRule="auto"/>
        <w:jc w:val="left"/>
        <w:rPr>
          <w:rFonts w:ascii="仿宋_GB2312" w:hAnsi="仿宋_GB2312" w:eastAsia="仿宋_GB2312" w:cs="仿宋_GB2312"/>
          <w:szCs w:val="28"/>
        </w:rPr>
      </w:pPr>
      <w:bookmarkStart w:id="131" w:name="_Toc32318_WPSOffice_Level2"/>
      <w:r>
        <w:rPr>
          <w:rFonts w:hint="eastAsia" w:ascii="仿宋_GB2312" w:hAnsi="仿宋_GB2312" w:eastAsia="仿宋_GB2312" w:cs="仿宋_GB2312"/>
          <w:szCs w:val="28"/>
        </w:rPr>
        <w:t xml:space="preserve">附件1                   </w:t>
      </w:r>
      <w:bookmarkEnd w:id="131"/>
    </w:p>
    <w:p>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资格审查表</w:t>
      </w:r>
    </w:p>
    <w:tbl>
      <w:tblPr>
        <w:tblStyle w:val="20"/>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3959"/>
        <w:gridCol w:w="2003"/>
        <w:gridCol w:w="923"/>
        <w:gridCol w:w="804"/>
        <w:gridCol w:w="9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546" w:type="dxa"/>
            <w:vMerge w:val="restart"/>
            <w:noWrap w:val="0"/>
            <w:vAlign w:val="center"/>
          </w:tcPr>
          <w:p>
            <w:pPr>
              <w:ind w:left="-96" w:leftChars="-46" w:right="-86" w:rightChars="-41"/>
              <w:jc w:val="center"/>
              <w:rPr>
                <w:rFonts w:ascii="仿宋_GB2312" w:hAnsi="仿宋_GB2312" w:eastAsia="仿宋_GB2312" w:cs="仿宋_GB2312"/>
              </w:rPr>
            </w:pPr>
            <w:r>
              <w:rPr>
                <w:rFonts w:hint="eastAsia" w:ascii="仿宋_GB2312" w:hAnsi="仿宋_GB2312" w:eastAsia="仿宋_GB2312" w:cs="仿宋_GB2312"/>
              </w:rPr>
              <w:t>序号</w:t>
            </w:r>
          </w:p>
        </w:tc>
        <w:tc>
          <w:tcPr>
            <w:tcW w:w="3959" w:type="dxa"/>
            <w:vMerge w:val="restart"/>
            <w:noWrap w:val="0"/>
            <w:vAlign w:val="center"/>
          </w:tcPr>
          <w:p>
            <w:pPr>
              <w:pStyle w:val="5"/>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p>
        </w:tc>
        <w:tc>
          <w:tcPr>
            <w:tcW w:w="2003" w:type="dxa"/>
            <w:vMerge w:val="restart"/>
            <w:noWrap w:val="0"/>
            <w:vAlign w:val="center"/>
          </w:tcPr>
          <w:p>
            <w:pPr>
              <w:pStyle w:val="5"/>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审查标准</w:t>
            </w:r>
          </w:p>
        </w:tc>
        <w:tc>
          <w:tcPr>
            <w:tcW w:w="2668" w:type="dxa"/>
            <w:gridSpan w:val="3"/>
            <w:noWrap w:val="0"/>
            <w:vAlign w:val="center"/>
          </w:tcPr>
          <w:p>
            <w:pPr>
              <w:pStyle w:val="5"/>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546" w:type="dxa"/>
            <w:vMerge w:val="continue"/>
            <w:noWrap w:val="0"/>
            <w:vAlign w:val="center"/>
          </w:tcPr>
          <w:p>
            <w:pPr>
              <w:pStyle w:val="5"/>
              <w:adjustRightInd w:val="0"/>
              <w:snapToGrid w:val="0"/>
              <w:spacing w:before="0" w:after="0" w:line="240" w:lineRule="auto"/>
              <w:rPr>
                <w:rFonts w:ascii="仿宋_GB2312" w:hAnsi="仿宋_GB2312" w:eastAsia="仿宋_GB2312" w:cs="仿宋_GB2312"/>
              </w:rPr>
            </w:pPr>
          </w:p>
        </w:tc>
        <w:tc>
          <w:tcPr>
            <w:tcW w:w="3959" w:type="dxa"/>
            <w:vMerge w:val="continue"/>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2003" w:type="dxa"/>
            <w:vMerge w:val="continue"/>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923"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pPr>
              <w:adjustRightInd w:val="0"/>
              <w:snapToGrid w:val="0"/>
              <w:jc w:val="center"/>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1</w:t>
            </w:r>
          </w:p>
        </w:tc>
        <w:tc>
          <w:tcPr>
            <w:tcW w:w="3959" w:type="dxa"/>
            <w:noWrap w:val="0"/>
            <w:vAlign w:val="center"/>
          </w:tcPr>
          <w:p>
            <w:pPr>
              <w:adjustRightInd w:val="0"/>
              <w:snapToGrid w:val="0"/>
              <w:jc w:val="left"/>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营业执照或事业单位法人证书或执业许可证等证明文件复印件或自然人的身份证明复印件（自然人身份证明仅在自然人作为投标主体时适用）</w:t>
            </w:r>
          </w:p>
        </w:tc>
        <w:tc>
          <w:tcPr>
            <w:tcW w:w="2003" w:type="dxa"/>
            <w:noWrap w:val="0"/>
            <w:vAlign w:val="center"/>
          </w:tcPr>
          <w:p>
            <w:pPr>
              <w:pStyle w:val="5"/>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pStyle w:val="5"/>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46" w:type="dxa"/>
            <w:noWrap w:val="0"/>
            <w:vAlign w:val="center"/>
          </w:tcPr>
          <w:p>
            <w:pPr>
              <w:adjustRightInd w:val="0"/>
              <w:snapToGrid w:val="0"/>
              <w:jc w:val="center"/>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2</w:t>
            </w:r>
          </w:p>
        </w:tc>
        <w:tc>
          <w:tcPr>
            <w:tcW w:w="3959" w:type="dxa"/>
            <w:noWrap w:val="0"/>
            <w:vAlign w:val="center"/>
          </w:tcPr>
          <w:p>
            <w:pPr>
              <w:widowControl/>
              <w:adjustRightInd w:val="0"/>
              <w:snapToGrid w:val="0"/>
              <w:jc w:val="left"/>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组织机构代码证复印件（三证合一的不需提供）</w:t>
            </w:r>
          </w:p>
        </w:tc>
        <w:tc>
          <w:tcPr>
            <w:tcW w:w="2003" w:type="dxa"/>
            <w:noWrap w:val="0"/>
            <w:vAlign w:val="center"/>
          </w:tcPr>
          <w:p>
            <w:pPr>
              <w:pStyle w:val="5"/>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pStyle w:val="5"/>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pPr>
              <w:adjustRightInd w:val="0"/>
              <w:snapToGrid w:val="0"/>
              <w:jc w:val="center"/>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3</w:t>
            </w:r>
          </w:p>
        </w:tc>
        <w:tc>
          <w:tcPr>
            <w:tcW w:w="3959" w:type="dxa"/>
            <w:noWrap w:val="0"/>
            <w:vAlign w:val="center"/>
          </w:tcPr>
          <w:p>
            <w:pPr>
              <w:widowControl/>
              <w:adjustRightInd w:val="0"/>
              <w:snapToGrid w:val="0"/>
              <w:jc w:val="left"/>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税务登记证复印件（三证合一的不需提供）</w:t>
            </w:r>
          </w:p>
        </w:tc>
        <w:tc>
          <w:tcPr>
            <w:tcW w:w="2003" w:type="dxa"/>
            <w:noWrap w:val="0"/>
            <w:vAlign w:val="center"/>
          </w:tcPr>
          <w:p>
            <w:pPr>
              <w:pStyle w:val="5"/>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pPr>
              <w:pStyle w:val="5"/>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23"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pPr>
              <w:adjustRightInd w:val="0"/>
              <w:snapToGrid w:val="0"/>
              <w:jc w:val="center"/>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4</w:t>
            </w:r>
          </w:p>
        </w:tc>
        <w:tc>
          <w:tcPr>
            <w:tcW w:w="3959" w:type="dxa"/>
            <w:noWrap w:val="0"/>
            <w:vAlign w:val="center"/>
          </w:tcPr>
          <w:p>
            <w:pPr>
              <w:snapToGrid w:val="0"/>
              <w:jc w:val="left"/>
              <w:rPr>
                <w:rFonts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法定代表人（或非法人组织负责人）身份证明书（自然人参加的无需提供）</w:t>
            </w:r>
          </w:p>
        </w:tc>
        <w:tc>
          <w:tcPr>
            <w:tcW w:w="2003" w:type="dxa"/>
            <w:noWrap w:val="0"/>
            <w:vAlign w:val="top"/>
          </w:tcPr>
          <w:p>
            <w:pPr>
              <w:pStyle w:val="5"/>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pStyle w:val="5"/>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pPr>
              <w:adjustRightInd w:val="0"/>
              <w:snapToGrid w:val="0"/>
              <w:jc w:val="center"/>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5</w:t>
            </w:r>
          </w:p>
        </w:tc>
        <w:tc>
          <w:tcPr>
            <w:tcW w:w="3959" w:type="dxa"/>
            <w:noWrap w:val="0"/>
            <w:vAlign w:val="center"/>
          </w:tcPr>
          <w:p>
            <w:pPr>
              <w:widowControl/>
              <w:snapToGrid w:val="0"/>
              <w:jc w:val="left"/>
              <w:rPr>
                <w:rFonts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法定代表人（或非法人组织负责人）授权委托书（授权委托人参加的须提供）</w:t>
            </w:r>
          </w:p>
        </w:tc>
        <w:tc>
          <w:tcPr>
            <w:tcW w:w="2003" w:type="dxa"/>
            <w:noWrap w:val="0"/>
            <w:vAlign w:val="top"/>
          </w:tcPr>
          <w:p>
            <w:pPr>
              <w:pStyle w:val="5"/>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pStyle w:val="5"/>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546" w:type="dxa"/>
            <w:noWrap w:val="0"/>
            <w:vAlign w:val="center"/>
          </w:tcPr>
          <w:p>
            <w:pPr>
              <w:adjustRightInd w:val="0"/>
              <w:snapToGrid w:val="0"/>
              <w:jc w:val="center"/>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6</w:t>
            </w:r>
          </w:p>
        </w:tc>
        <w:tc>
          <w:tcPr>
            <w:tcW w:w="3959" w:type="dxa"/>
            <w:noWrap w:val="0"/>
            <w:vAlign w:val="center"/>
          </w:tcPr>
          <w:p>
            <w:pPr>
              <w:widowControl/>
              <w:adjustRightInd w:val="0"/>
              <w:snapToGrid w:val="0"/>
              <w:jc w:val="left"/>
              <w:rPr>
                <w:rFonts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lang w:eastAsia="zh-CN"/>
              </w:rPr>
              <w:t>资格证明材料承诺函</w:t>
            </w:r>
          </w:p>
        </w:tc>
        <w:tc>
          <w:tcPr>
            <w:tcW w:w="2003" w:type="dxa"/>
            <w:noWrap w:val="0"/>
            <w:vAlign w:val="center"/>
          </w:tcPr>
          <w:p>
            <w:pPr>
              <w:pStyle w:val="5"/>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pStyle w:val="5"/>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23"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pPr>
              <w:adjustRightInd w:val="0"/>
              <w:snapToGrid w:val="0"/>
              <w:jc w:val="center"/>
              <w:rPr>
                <w:rFonts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7</w:t>
            </w:r>
          </w:p>
        </w:tc>
        <w:tc>
          <w:tcPr>
            <w:tcW w:w="3959" w:type="dxa"/>
            <w:noWrap w:val="0"/>
            <w:vAlign w:val="center"/>
          </w:tcPr>
          <w:p>
            <w:pPr>
              <w:widowControl/>
              <w:adjustRightInd w:val="0"/>
              <w:snapToGrid w:val="0"/>
              <w:jc w:val="left"/>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其它资格证明文件:</w:t>
            </w:r>
            <w:r>
              <w:rPr>
                <w:rFonts w:hint="eastAsia" w:ascii="仿宋_GB2312" w:hAnsi="仿宋_GB2312" w:eastAsia="仿宋_GB2312" w:cs="仿宋_GB2312"/>
                <w:color w:val="auto"/>
                <w:szCs w:val="21"/>
                <w:lang w:eastAsia="zh-CN"/>
              </w:rPr>
              <w:t>本项目</w:t>
            </w:r>
            <w:r>
              <w:rPr>
                <w:rFonts w:hint="eastAsia" w:ascii="仿宋_GB2312" w:hAnsi="仿宋_GB2312" w:eastAsia="仿宋_GB2312" w:cs="仿宋_GB2312"/>
                <w:b/>
                <w:bCs/>
                <w:color w:val="auto"/>
                <w:szCs w:val="21"/>
                <w:lang w:eastAsia="zh-CN"/>
              </w:rPr>
              <w:t>无</w:t>
            </w:r>
            <w:r>
              <w:rPr>
                <w:rFonts w:hint="eastAsia" w:ascii="仿宋_GB2312" w:hAnsi="仿宋_GB2312" w:eastAsia="仿宋_GB2312" w:cs="仿宋_GB2312"/>
                <w:color w:val="auto"/>
                <w:szCs w:val="21"/>
              </w:rPr>
              <w:t>（如适用，按供应商须知表1.3.4要求描述）</w:t>
            </w:r>
          </w:p>
        </w:tc>
        <w:tc>
          <w:tcPr>
            <w:tcW w:w="2003" w:type="dxa"/>
            <w:noWrap w:val="0"/>
            <w:vAlign w:val="center"/>
          </w:tcPr>
          <w:p>
            <w:pPr>
              <w:pStyle w:val="5"/>
              <w:adjustRightInd w:val="0"/>
              <w:snapToGrid w:val="0"/>
              <w:spacing w:before="0" w:after="0" w:line="240" w:lineRule="auto"/>
              <w:jc w:val="left"/>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1.按要求提供</w:t>
            </w:r>
          </w:p>
          <w:p>
            <w:pPr>
              <w:pStyle w:val="5"/>
              <w:adjustRightInd w:val="0"/>
              <w:snapToGrid w:val="0"/>
              <w:spacing w:before="0" w:after="0" w:line="240" w:lineRule="auto"/>
              <w:jc w:val="left"/>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2.合法有效</w:t>
            </w:r>
          </w:p>
        </w:tc>
        <w:tc>
          <w:tcPr>
            <w:tcW w:w="923" w:type="dxa"/>
            <w:noWrap w:val="0"/>
            <w:vAlign w:val="top"/>
          </w:tcPr>
          <w:p>
            <w:pPr>
              <w:pStyle w:val="5"/>
              <w:adjustRightInd w:val="0"/>
              <w:snapToGrid w:val="0"/>
              <w:spacing w:before="0" w:after="0" w:line="240" w:lineRule="auto"/>
              <w:rPr>
                <w:rFonts w:ascii="仿宋_GB2312" w:hAnsi="仿宋_GB2312" w:eastAsia="仿宋_GB2312" w:cs="仿宋_GB2312"/>
                <w:color w:val="FF0000"/>
                <w:sz w:val="21"/>
                <w:szCs w:val="21"/>
              </w:rPr>
            </w:pPr>
          </w:p>
        </w:tc>
        <w:tc>
          <w:tcPr>
            <w:tcW w:w="804" w:type="dxa"/>
            <w:noWrap w:val="0"/>
            <w:vAlign w:val="top"/>
          </w:tcPr>
          <w:p>
            <w:pPr>
              <w:pStyle w:val="5"/>
              <w:adjustRightInd w:val="0"/>
              <w:snapToGrid w:val="0"/>
              <w:spacing w:before="0" w:after="0" w:line="240" w:lineRule="auto"/>
              <w:rPr>
                <w:rFonts w:ascii="仿宋_GB2312" w:hAnsi="仿宋_GB2312" w:eastAsia="仿宋_GB2312" w:cs="仿宋_GB2312"/>
                <w:color w:val="FF0000"/>
                <w:sz w:val="21"/>
                <w:szCs w:val="21"/>
              </w:rPr>
            </w:pPr>
          </w:p>
        </w:tc>
        <w:tc>
          <w:tcPr>
            <w:tcW w:w="941" w:type="dxa"/>
            <w:noWrap w:val="0"/>
            <w:vAlign w:val="top"/>
          </w:tcPr>
          <w:p>
            <w:pPr>
              <w:pStyle w:val="5"/>
              <w:adjustRightInd w:val="0"/>
              <w:snapToGrid w:val="0"/>
              <w:spacing w:before="0" w:after="0" w:line="240" w:lineRule="auto"/>
              <w:rPr>
                <w:rFonts w:ascii="仿宋_GB2312" w:hAnsi="仿宋_GB2312" w:eastAsia="仿宋_GB2312" w:cs="仿宋_GB2312"/>
                <w:color w:val="FF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546" w:type="dxa"/>
            <w:noWrap w:val="0"/>
            <w:vAlign w:val="center"/>
          </w:tcPr>
          <w:p>
            <w:pPr>
              <w:adjustRightInd w:val="0"/>
              <w:snapToGrid w:val="0"/>
              <w:jc w:val="center"/>
              <w:rPr>
                <w:rFonts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8</w:t>
            </w:r>
          </w:p>
        </w:tc>
        <w:tc>
          <w:tcPr>
            <w:tcW w:w="3959" w:type="dxa"/>
            <w:noWrap w:val="0"/>
            <w:vAlign w:val="center"/>
          </w:tcPr>
          <w:p>
            <w:pPr>
              <w:widowControl/>
              <w:snapToGrid w:val="0"/>
              <w:jc w:val="left"/>
              <w:rPr>
                <w:rFonts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信用记录（采购人或采购代理机构将按照采购文件规定的审查期间内进行查询）</w:t>
            </w:r>
          </w:p>
        </w:tc>
        <w:tc>
          <w:tcPr>
            <w:tcW w:w="2003" w:type="dxa"/>
            <w:noWrap w:val="0"/>
            <w:vAlign w:val="center"/>
          </w:tcPr>
          <w:p>
            <w:pPr>
              <w:pStyle w:val="5"/>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bCs/>
                <w:color w:val="auto"/>
                <w:sz w:val="21"/>
                <w:szCs w:val="21"/>
              </w:rPr>
              <w:t>无供应商须知22.2.1所述的不良记录</w:t>
            </w:r>
          </w:p>
        </w:tc>
        <w:tc>
          <w:tcPr>
            <w:tcW w:w="923"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6" w:type="dxa"/>
            <w:noWrap w:val="0"/>
            <w:vAlign w:val="center"/>
          </w:tcPr>
          <w:p>
            <w:pPr>
              <w:snapToGrid w:val="0"/>
              <w:jc w:val="center"/>
              <w:rPr>
                <w:rFonts w:ascii="仿宋_GB2312" w:hAnsi="仿宋_GB2312" w:eastAsia="仿宋_GB2312" w:cs="仿宋_GB2312"/>
              </w:rPr>
            </w:pPr>
          </w:p>
        </w:tc>
        <w:tc>
          <w:tcPr>
            <w:tcW w:w="3959" w:type="dxa"/>
            <w:noWrap w:val="0"/>
            <w:vAlign w:val="center"/>
          </w:tcPr>
          <w:p>
            <w:pPr>
              <w:snapToGrid w:val="0"/>
              <w:jc w:val="center"/>
              <w:rPr>
                <w:rFonts w:ascii="仿宋_GB2312" w:hAnsi="仿宋_GB2312" w:eastAsia="仿宋_GB2312" w:cs="仿宋_GB2312"/>
              </w:rPr>
            </w:pPr>
            <w:r>
              <w:rPr>
                <w:rFonts w:hint="eastAsia" w:ascii="仿宋_GB2312" w:hAnsi="仿宋_GB2312" w:eastAsia="仿宋_GB2312" w:cs="仿宋_GB2312"/>
              </w:rPr>
              <w:t>结论</w:t>
            </w:r>
          </w:p>
        </w:tc>
        <w:tc>
          <w:tcPr>
            <w:tcW w:w="2003"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c>
          <w:tcPr>
            <w:tcW w:w="923"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c>
          <w:tcPr>
            <w:tcW w:w="804"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c>
          <w:tcPr>
            <w:tcW w:w="941" w:type="dxa"/>
            <w:noWrap w:val="0"/>
            <w:vAlign w:val="top"/>
          </w:tcPr>
          <w:p>
            <w:pPr>
              <w:pStyle w:val="5"/>
              <w:adjustRightInd w:val="0"/>
              <w:snapToGrid w:val="0"/>
              <w:spacing w:before="0" w:after="0" w:line="240" w:lineRule="auto"/>
              <w:rPr>
                <w:rFonts w:ascii="仿宋_GB2312" w:hAnsi="仿宋_GB2312" w:eastAsia="仿宋_GB2312" w:cs="仿宋_GB2312"/>
                <w:sz w:val="21"/>
                <w:szCs w:val="21"/>
              </w:rPr>
            </w:pPr>
          </w:p>
        </w:tc>
      </w:tr>
    </w:tbl>
    <w:p>
      <w:pPr>
        <w:snapToGrid w:val="0"/>
        <w:rPr>
          <w:rFonts w:hint="eastAsia" w:ascii="仿宋_GB2312" w:hAnsi="仿宋_GB2312" w:eastAsia="仿宋_GB2312" w:cs="仿宋_GB2312"/>
        </w:rPr>
      </w:pPr>
    </w:p>
    <w:p>
      <w:pPr>
        <w:snapToGrid w:val="0"/>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pPr>
        <w:snapToGrid w:val="0"/>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pPr>
        <w:rPr>
          <w:rFonts w:ascii="仿宋_GB2312" w:hAnsi="仿宋_GB2312" w:eastAsia="仿宋_GB2312" w:cs="仿宋_GB2312"/>
        </w:rPr>
      </w:pPr>
    </w:p>
    <w:p>
      <w:pPr>
        <w:pStyle w:val="18"/>
        <w:widowControl w:val="0"/>
        <w:snapToGrid w:val="0"/>
        <w:spacing w:before="0" w:beforeAutospacing="0" w:after="0" w:afterAutospacing="0" w:line="480" w:lineRule="auto"/>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审查人签字：</w:t>
      </w:r>
    </w:p>
    <w:p>
      <w:pPr>
        <w:pStyle w:val="18"/>
        <w:widowControl w:val="0"/>
        <w:snapToGrid w:val="0"/>
        <w:spacing w:before="0" w:beforeAutospacing="0" w:after="0" w:afterAutospacing="0" w:line="480" w:lineRule="auto"/>
        <w:jc w:val="both"/>
        <w:rPr>
          <w:rFonts w:ascii="仿宋_GB2312" w:hAnsi="仿宋_GB2312" w:eastAsia="仿宋_GB2312" w:cs="仿宋_GB2312"/>
          <w:bCs/>
          <w:sz w:val="21"/>
          <w:szCs w:val="21"/>
        </w:rPr>
      </w:pPr>
      <w:r>
        <w:rPr>
          <w:rFonts w:hint="eastAsia" w:ascii="仿宋_GB2312" w:hAnsi="仿宋_GB2312" w:eastAsia="仿宋_GB2312" w:cs="仿宋_GB2312"/>
          <w:bCs/>
          <w:sz w:val="21"/>
          <w:szCs w:val="21"/>
        </w:rPr>
        <w:t>日      期：</w:t>
      </w:r>
    </w:p>
    <w:p>
      <w:pPr>
        <w:pStyle w:val="5"/>
        <w:adjustRightInd w:val="0"/>
        <w:snapToGrid w:val="0"/>
        <w:spacing w:before="0" w:after="0" w:line="240" w:lineRule="auto"/>
        <w:jc w:val="left"/>
        <w:rPr>
          <w:rFonts w:ascii="仿宋_GB2312" w:hAnsi="仿宋_GB2312" w:eastAsia="仿宋_GB2312" w:cs="仿宋_GB2312"/>
          <w:szCs w:val="28"/>
        </w:rPr>
      </w:pPr>
      <w:bookmarkStart w:id="132" w:name="_Toc11558_WPSOffice_Level2"/>
      <w:r>
        <w:rPr>
          <w:rFonts w:hint="eastAsia" w:ascii="仿宋_GB2312" w:hAnsi="仿宋_GB2312" w:eastAsia="仿宋_GB2312" w:cs="仿宋_GB2312"/>
          <w:szCs w:val="28"/>
        </w:rPr>
        <w:br w:type="page"/>
      </w:r>
      <w:r>
        <w:rPr>
          <w:rFonts w:hint="eastAsia" w:ascii="仿宋_GB2312" w:hAnsi="仿宋_GB2312" w:eastAsia="仿宋_GB2312" w:cs="仿宋_GB2312"/>
          <w:szCs w:val="28"/>
        </w:rPr>
        <w:t xml:space="preserve">附件2                  </w:t>
      </w:r>
      <w:bookmarkEnd w:id="132"/>
    </w:p>
    <w:p>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符合性审查表</w:t>
      </w:r>
    </w:p>
    <w:tbl>
      <w:tblPr>
        <w:tblStyle w:val="20"/>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2873"/>
        <w:gridCol w:w="2977"/>
        <w:gridCol w:w="900"/>
        <w:gridCol w:w="871"/>
        <w:gridCol w:w="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511" w:type="dxa"/>
            <w:vMerge w:val="restart"/>
            <w:noWrap w:val="0"/>
            <w:vAlign w:val="center"/>
          </w:tcPr>
          <w:p>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序号</w:t>
            </w:r>
          </w:p>
        </w:tc>
        <w:tc>
          <w:tcPr>
            <w:tcW w:w="2873" w:type="dxa"/>
            <w:vMerge w:val="restart"/>
            <w:noWrap w:val="0"/>
            <w:vAlign w:val="center"/>
          </w:tcPr>
          <w:p>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审查项目</w:t>
            </w:r>
          </w:p>
        </w:tc>
        <w:tc>
          <w:tcPr>
            <w:tcW w:w="2977" w:type="dxa"/>
            <w:vMerge w:val="restart"/>
            <w:noWrap w:val="0"/>
            <w:vAlign w:val="center"/>
          </w:tcPr>
          <w:p>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审查标准</w:t>
            </w:r>
          </w:p>
        </w:tc>
        <w:tc>
          <w:tcPr>
            <w:tcW w:w="2715" w:type="dxa"/>
            <w:gridSpan w:val="3"/>
            <w:noWrap w:val="0"/>
            <w:vAlign w:val="center"/>
          </w:tcPr>
          <w:p>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511" w:type="dxa"/>
            <w:vMerge w:val="continue"/>
            <w:noWrap w:val="0"/>
            <w:vAlign w:val="center"/>
          </w:tcPr>
          <w:p>
            <w:pPr>
              <w:pStyle w:val="5"/>
              <w:adjustRightInd w:val="0"/>
              <w:snapToGrid w:val="0"/>
              <w:spacing w:before="0" w:after="0" w:line="240" w:lineRule="auto"/>
              <w:rPr>
                <w:rFonts w:ascii="仿宋_GB2312" w:hAnsi="仿宋_GB2312" w:eastAsia="仿宋_GB2312" w:cs="仿宋_GB2312"/>
              </w:rPr>
            </w:pPr>
          </w:p>
        </w:tc>
        <w:tc>
          <w:tcPr>
            <w:tcW w:w="2873" w:type="dxa"/>
            <w:vMerge w:val="continue"/>
            <w:noWrap w:val="0"/>
            <w:vAlign w:val="center"/>
          </w:tcPr>
          <w:p>
            <w:pPr>
              <w:pStyle w:val="5"/>
              <w:adjustRightInd w:val="0"/>
              <w:snapToGrid w:val="0"/>
              <w:spacing w:before="0" w:after="0" w:line="240" w:lineRule="auto"/>
              <w:jc w:val="both"/>
              <w:rPr>
                <w:rFonts w:ascii="仿宋_GB2312" w:hAnsi="仿宋_GB2312" w:eastAsia="仿宋_GB2312" w:cs="仿宋_GB2312"/>
                <w:sz w:val="21"/>
                <w:szCs w:val="21"/>
              </w:rPr>
            </w:pPr>
          </w:p>
        </w:tc>
        <w:tc>
          <w:tcPr>
            <w:tcW w:w="2977" w:type="dxa"/>
            <w:vMerge w:val="continue"/>
            <w:noWrap w:val="0"/>
            <w:vAlign w:val="center"/>
          </w:tcPr>
          <w:p>
            <w:pPr>
              <w:pStyle w:val="5"/>
              <w:adjustRightInd w:val="0"/>
              <w:snapToGrid w:val="0"/>
              <w:spacing w:before="0" w:after="0" w:line="240" w:lineRule="auto"/>
              <w:jc w:val="both"/>
              <w:rPr>
                <w:rFonts w:ascii="仿宋_GB2312" w:hAnsi="仿宋_GB2312" w:eastAsia="仿宋_GB2312" w:cs="仿宋_GB2312"/>
                <w:sz w:val="21"/>
                <w:szCs w:val="21"/>
              </w:rPr>
            </w:pPr>
          </w:p>
        </w:tc>
        <w:tc>
          <w:tcPr>
            <w:tcW w:w="900"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871"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511" w:type="dxa"/>
            <w:noWrap w:val="0"/>
            <w:vAlign w:val="center"/>
          </w:tcPr>
          <w:p>
            <w:pPr>
              <w:jc w:val="center"/>
              <w:rPr>
                <w:rFonts w:ascii="仿宋_GB2312" w:hAnsi="仿宋_GB2312" w:eastAsia="仿宋_GB2312" w:cs="仿宋_GB2312"/>
              </w:rPr>
            </w:pPr>
            <w:r>
              <w:rPr>
                <w:rFonts w:hint="eastAsia" w:ascii="仿宋_GB2312" w:hAnsi="仿宋_GB2312" w:eastAsia="仿宋_GB2312" w:cs="仿宋_GB2312"/>
                <w:kern w:val="0"/>
                <w:sz w:val="20"/>
                <w:szCs w:val="21"/>
              </w:rPr>
              <w:t>1</w:t>
            </w:r>
          </w:p>
        </w:tc>
        <w:tc>
          <w:tcPr>
            <w:tcW w:w="2873" w:type="dxa"/>
            <w:noWrap w:val="0"/>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投标函</w:t>
            </w:r>
          </w:p>
        </w:tc>
        <w:tc>
          <w:tcPr>
            <w:tcW w:w="2977" w:type="dxa"/>
            <w:noWrap w:val="0"/>
            <w:vAlign w:val="center"/>
          </w:tcPr>
          <w:p>
            <w:pPr>
              <w:pStyle w:val="5"/>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pStyle w:val="5"/>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900"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871"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62" w:hRule="atLeast"/>
          <w:jc w:val="center"/>
        </w:trPr>
        <w:tc>
          <w:tcPr>
            <w:tcW w:w="511" w:type="dxa"/>
            <w:noWrap w:val="0"/>
            <w:vAlign w:val="center"/>
          </w:tcPr>
          <w:p>
            <w:pPr>
              <w:jc w:val="center"/>
              <w:rPr>
                <w:rFonts w:hint="eastAsia" w:ascii="仿宋_GB2312" w:hAnsi="仿宋_GB2312" w:eastAsia="仿宋_GB2312" w:cs="仿宋_GB2312"/>
                <w:lang w:eastAsia="zh-CN"/>
              </w:rPr>
            </w:pPr>
            <w:r>
              <w:rPr>
                <w:rFonts w:hint="eastAsia" w:ascii="仿宋_GB2312" w:hAnsi="仿宋_GB2312" w:eastAsia="仿宋_GB2312" w:cs="仿宋_GB2312"/>
                <w:kern w:val="0"/>
                <w:szCs w:val="21"/>
                <w:lang w:val="en-US" w:eastAsia="zh-CN"/>
              </w:rPr>
              <w:t>2</w:t>
            </w:r>
          </w:p>
        </w:tc>
        <w:tc>
          <w:tcPr>
            <w:tcW w:w="2873" w:type="dxa"/>
            <w:noWrap w:val="0"/>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开标一览表</w:t>
            </w:r>
          </w:p>
        </w:tc>
        <w:tc>
          <w:tcPr>
            <w:tcW w:w="2977" w:type="dxa"/>
            <w:noWrap w:val="0"/>
            <w:vAlign w:val="center"/>
          </w:tcPr>
          <w:p>
            <w:pPr>
              <w:pStyle w:val="5"/>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pStyle w:val="5"/>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900"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871"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511" w:type="dxa"/>
            <w:noWrap w:val="0"/>
            <w:vAlign w:val="center"/>
          </w:tcPr>
          <w:p>
            <w:pPr>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3</w:t>
            </w:r>
          </w:p>
        </w:tc>
        <w:tc>
          <w:tcPr>
            <w:tcW w:w="2873" w:type="dxa"/>
            <w:noWrap w:val="0"/>
            <w:vAlign w:val="center"/>
          </w:tcPr>
          <w:p>
            <w:pPr>
              <w:jc w:val="left"/>
              <w:rPr>
                <w:rFonts w:ascii="仿宋_GB2312" w:hAnsi="仿宋_GB2312" w:eastAsia="仿宋_GB2312" w:cs="仿宋_GB2312"/>
                <w:b/>
                <w:szCs w:val="21"/>
              </w:rPr>
            </w:pPr>
            <w:r>
              <w:rPr>
                <w:rFonts w:hint="eastAsia" w:ascii="仿宋_GB2312" w:hAnsi="仿宋_GB2312" w:eastAsia="仿宋_GB2312" w:cs="仿宋_GB2312"/>
                <w:szCs w:val="21"/>
              </w:rPr>
              <w:t>分项报价表</w:t>
            </w:r>
          </w:p>
        </w:tc>
        <w:tc>
          <w:tcPr>
            <w:tcW w:w="2977" w:type="dxa"/>
            <w:noWrap w:val="0"/>
            <w:vAlign w:val="center"/>
          </w:tcPr>
          <w:p>
            <w:pPr>
              <w:pStyle w:val="5"/>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pStyle w:val="5"/>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900"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871"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511" w:type="dxa"/>
            <w:noWrap w:val="0"/>
            <w:vAlign w:val="center"/>
          </w:tcPr>
          <w:p>
            <w:pPr>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4</w:t>
            </w:r>
          </w:p>
        </w:tc>
        <w:tc>
          <w:tcPr>
            <w:tcW w:w="2873" w:type="dxa"/>
            <w:noWrap w:val="0"/>
            <w:vAlign w:val="center"/>
          </w:tcPr>
          <w:p>
            <w:pPr>
              <w:jc w:val="left"/>
              <w:rPr>
                <w:rFonts w:ascii="仿宋_GB2312" w:hAnsi="仿宋_GB2312" w:eastAsia="仿宋_GB2312" w:cs="仿宋_GB2312"/>
                <w:b/>
                <w:szCs w:val="21"/>
              </w:rPr>
            </w:pPr>
            <w:r>
              <w:rPr>
                <w:rFonts w:hint="eastAsia" w:ascii="仿宋_GB2312" w:hAnsi="仿宋_GB2312" w:eastAsia="仿宋_GB2312" w:cs="仿宋_GB2312"/>
                <w:szCs w:val="21"/>
              </w:rPr>
              <w:t>技术规格偏离表</w:t>
            </w:r>
          </w:p>
        </w:tc>
        <w:tc>
          <w:tcPr>
            <w:tcW w:w="2977" w:type="dxa"/>
            <w:noWrap w:val="0"/>
            <w:vAlign w:val="center"/>
          </w:tcPr>
          <w:p>
            <w:pPr>
              <w:pStyle w:val="5"/>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pStyle w:val="5"/>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900"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871"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511" w:type="dxa"/>
            <w:noWrap w:val="0"/>
            <w:vAlign w:val="center"/>
          </w:tcPr>
          <w:p>
            <w:pPr>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5</w:t>
            </w:r>
          </w:p>
        </w:tc>
        <w:tc>
          <w:tcPr>
            <w:tcW w:w="2873" w:type="dxa"/>
            <w:noWrap w:val="0"/>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商务条款偏离表</w:t>
            </w:r>
          </w:p>
        </w:tc>
        <w:tc>
          <w:tcPr>
            <w:tcW w:w="2977" w:type="dxa"/>
            <w:noWrap w:val="0"/>
            <w:vAlign w:val="center"/>
          </w:tcPr>
          <w:p>
            <w:pPr>
              <w:pStyle w:val="5"/>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pStyle w:val="5"/>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900"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871"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0" w:hRule="atLeast"/>
          <w:jc w:val="center"/>
        </w:trPr>
        <w:tc>
          <w:tcPr>
            <w:tcW w:w="511" w:type="dxa"/>
            <w:noWrap w:val="0"/>
            <w:vAlign w:val="center"/>
          </w:tcPr>
          <w:p>
            <w:pPr>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6</w:t>
            </w:r>
          </w:p>
        </w:tc>
        <w:tc>
          <w:tcPr>
            <w:tcW w:w="2873" w:type="dxa"/>
            <w:noWrap w:val="0"/>
            <w:vAlign w:val="center"/>
          </w:tcPr>
          <w:p>
            <w:pPr>
              <w:rPr>
                <w:rFonts w:ascii="仿宋_GB2312" w:hAnsi="仿宋_GB2312" w:eastAsia="仿宋_GB2312" w:cs="仿宋_GB2312"/>
                <w:b/>
                <w:szCs w:val="21"/>
              </w:rPr>
            </w:pPr>
            <w:r>
              <w:rPr>
                <w:rFonts w:hint="eastAsia" w:ascii="仿宋_GB2312" w:hAnsi="仿宋_GB2312" w:eastAsia="仿宋_GB2312" w:cs="仿宋_GB2312"/>
                <w:kern w:val="0"/>
                <w:szCs w:val="21"/>
              </w:rPr>
              <w:t>投标人关联单位说明</w:t>
            </w:r>
          </w:p>
        </w:tc>
        <w:tc>
          <w:tcPr>
            <w:tcW w:w="2977" w:type="dxa"/>
            <w:noWrap w:val="0"/>
            <w:vAlign w:val="center"/>
          </w:tcPr>
          <w:p>
            <w:pPr>
              <w:pStyle w:val="5"/>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无投标须知1.5所述情形</w:t>
            </w:r>
          </w:p>
        </w:tc>
        <w:tc>
          <w:tcPr>
            <w:tcW w:w="900"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871"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511" w:type="dxa"/>
            <w:noWrap w:val="0"/>
            <w:vAlign w:val="center"/>
          </w:tcPr>
          <w:p>
            <w:pPr>
              <w:jc w:val="center"/>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7</w:t>
            </w:r>
          </w:p>
        </w:tc>
        <w:tc>
          <w:tcPr>
            <w:tcW w:w="2873" w:type="dxa"/>
            <w:noWrap w:val="0"/>
            <w:vAlign w:val="center"/>
          </w:tcPr>
          <w:p>
            <w:pP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《品目清单》、《节能产品认证证书》（</w:t>
            </w:r>
            <w:r>
              <w:rPr>
                <w:rFonts w:hint="eastAsia" w:ascii="仿宋_GB2312" w:hAnsi="仿宋_GB2312" w:eastAsia="仿宋_GB2312" w:cs="仿宋_GB2312"/>
                <w:color w:val="auto"/>
                <w:kern w:val="0"/>
                <w:szCs w:val="21"/>
                <w:lang w:eastAsia="zh-CN"/>
              </w:rPr>
              <w:t>如适用，</w:t>
            </w:r>
            <w:r>
              <w:rPr>
                <w:rFonts w:hint="eastAsia" w:ascii="仿宋_GB2312" w:hAnsi="仿宋_GB2312" w:eastAsia="仿宋_GB2312" w:cs="仿宋_GB2312"/>
                <w:color w:val="auto"/>
                <w:kern w:val="0"/>
                <w:szCs w:val="21"/>
              </w:rPr>
              <w:t>政府强制采购的节能产品须提供）</w:t>
            </w:r>
          </w:p>
        </w:tc>
        <w:tc>
          <w:tcPr>
            <w:tcW w:w="2977" w:type="dxa"/>
            <w:noWrap w:val="0"/>
            <w:vAlign w:val="center"/>
          </w:tcPr>
          <w:p>
            <w:pPr>
              <w:pStyle w:val="5"/>
              <w:adjustRightInd w:val="0"/>
              <w:snapToGrid w:val="0"/>
              <w:spacing w:before="0" w:after="0" w:line="240" w:lineRule="auto"/>
              <w:jc w:val="left"/>
              <w:rPr>
                <w:rFonts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1.按要求提供</w:t>
            </w:r>
          </w:p>
          <w:p>
            <w:pPr>
              <w:pStyle w:val="5"/>
              <w:adjustRightInd w:val="0"/>
              <w:snapToGrid w:val="0"/>
              <w:spacing w:before="0" w:after="0" w:line="240" w:lineRule="auto"/>
              <w:jc w:val="left"/>
              <w:rPr>
                <w:rFonts w:hint="eastAsia" w:ascii="仿宋_GB2312" w:hAnsi="仿宋_GB2312" w:eastAsia="仿宋_GB2312" w:cs="仿宋_GB2312"/>
                <w:b w:val="0"/>
                <w:color w:val="auto"/>
                <w:sz w:val="21"/>
                <w:szCs w:val="21"/>
              </w:rPr>
            </w:pPr>
            <w:r>
              <w:rPr>
                <w:rFonts w:hint="eastAsia" w:ascii="仿宋_GB2312" w:hAnsi="仿宋_GB2312" w:eastAsia="仿宋_GB2312" w:cs="仿宋_GB2312"/>
                <w:b w:val="0"/>
                <w:color w:val="auto"/>
                <w:sz w:val="21"/>
                <w:szCs w:val="21"/>
              </w:rPr>
              <w:t>2.合法有效</w:t>
            </w:r>
          </w:p>
        </w:tc>
        <w:tc>
          <w:tcPr>
            <w:tcW w:w="900" w:type="dxa"/>
            <w:noWrap w:val="0"/>
            <w:vAlign w:val="center"/>
          </w:tcPr>
          <w:p>
            <w:pPr>
              <w:pStyle w:val="5"/>
              <w:adjustRightInd w:val="0"/>
              <w:snapToGrid w:val="0"/>
              <w:spacing w:before="0" w:after="0" w:line="240" w:lineRule="auto"/>
              <w:rPr>
                <w:rFonts w:ascii="仿宋_GB2312" w:hAnsi="仿宋_GB2312" w:eastAsia="仿宋_GB2312" w:cs="仿宋_GB2312"/>
                <w:color w:val="auto"/>
                <w:sz w:val="21"/>
                <w:szCs w:val="21"/>
              </w:rPr>
            </w:pPr>
          </w:p>
        </w:tc>
        <w:tc>
          <w:tcPr>
            <w:tcW w:w="871"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11" w:type="dxa"/>
            <w:noWrap w:val="0"/>
            <w:vAlign w:val="center"/>
          </w:tcPr>
          <w:p>
            <w:pPr>
              <w:jc w:val="center"/>
              <w:rPr>
                <w:rFonts w:hint="default"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8</w:t>
            </w:r>
          </w:p>
        </w:tc>
        <w:tc>
          <w:tcPr>
            <w:tcW w:w="2873" w:type="dxa"/>
            <w:noWrap w:val="0"/>
            <w:vAlign w:val="center"/>
          </w:tcPr>
          <w:p>
            <w:pPr>
              <w:rPr>
                <w:rFonts w:ascii="仿宋_GB2312" w:hAnsi="仿宋_GB2312" w:eastAsia="仿宋_GB2312" w:cs="仿宋_GB2312"/>
                <w:b/>
                <w:color w:val="auto"/>
                <w:szCs w:val="21"/>
              </w:rPr>
            </w:pPr>
            <w:r>
              <w:rPr>
                <w:rFonts w:hint="eastAsia" w:ascii="仿宋_GB2312" w:hAnsi="仿宋_GB2312" w:eastAsia="仿宋_GB2312" w:cs="仿宋_GB2312"/>
                <w:color w:val="auto"/>
                <w:kern w:val="0"/>
                <w:szCs w:val="21"/>
              </w:rPr>
              <w:t>其他符合性证明材料</w:t>
            </w:r>
          </w:p>
        </w:tc>
        <w:tc>
          <w:tcPr>
            <w:tcW w:w="2977" w:type="dxa"/>
            <w:noWrap w:val="0"/>
            <w:vAlign w:val="center"/>
          </w:tcPr>
          <w:p>
            <w:pPr>
              <w:rPr>
                <w:rFonts w:ascii="仿宋_GB2312" w:hAnsi="仿宋_GB2312" w:eastAsia="仿宋_GB2312" w:cs="仿宋_GB2312"/>
                <w:color w:val="auto"/>
                <w:szCs w:val="21"/>
              </w:rPr>
            </w:pPr>
            <w:r>
              <w:rPr>
                <w:rFonts w:hint="eastAsia" w:ascii="仿宋_GB2312" w:hAnsi="仿宋_GB2312" w:eastAsia="仿宋_GB2312" w:cs="仿宋_GB2312"/>
                <w:color w:val="auto"/>
                <w:szCs w:val="21"/>
              </w:rPr>
              <w:t>响应招标文件实质性要求</w:t>
            </w:r>
          </w:p>
        </w:tc>
        <w:tc>
          <w:tcPr>
            <w:tcW w:w="900" w:type="dxa"/>
            <w:noWrap w:val="0"/>
            <w:vAlign w:val="center"/>
          </w:tcPr>
          <w:p>
            <w:pPr>
              <w:pStyle w:val="5"/>
              <w:adjustRightInd w:val="0"/>
              <w:snapToGrid w:val="0"/>
              <w:spacing w:before="0" w:after="0" w:line="240" w:lineRule="auto"/>
              <w:rPr>
                <w:rFonts w:ascii="仿宋_GB2312" w:hAnsi="仿宋_GB2312" w:eastAsia="仿宋_GB2312" w:cs="仿宋_GB2312"/>
                <w:color w:val="auto"/>
                <w:sz w:val="21"/>
                <w:szCs w:val="21"/>
              </w:rPr>
            </w:pPr>
          </w:p>
        </w:tc>
        <w:tc>
          <w:tcPr>
            <w:tcW w:w="871" w:type="dxa"/>
            <w:noWrap w:val="0"/>
            <w:vAlign w:val="center"/>
          </w:tcPr>
          <w:p>
            <w:pPr>
              <w:pStyle w:val="5"/>
              <w:adjustRightInd w:val="0"/>
              <w:snapToGrid w:val="0"/>
              <w:spacing w:before="0" w:after="0" w:line="240" w:lineRule="auto"/>
              <w:rPr>
                <w:rFonts w:ascii="仿宋_GB2312" w:hAnsi="仿宋_GB2312" w:eastAsia="仿宋_GB2312" w:cs="仿宋_GB2312"/>
                <w:color w:val="FF0000"/>
                <w:sz w:val="21"/>
                <w:szCs w:val="21"/>
              </w:rPr>
            </w:pPr>
          </w:p>
        </w:tc>
        <w:tc>
          <w:tcPr>
            <w:tcW w:w="944" w:type="dxa"/>
            <w:noWrap w:val="0"/>
            <w:vAlign w:val="center"/>
          </w:tcPr>
          <w:p>
            <w:pPr>
              <w:pStyle w:val="5"/>
              <w:adjustRightInd w:val="0"/>
              <w:snapToGrid w:val="0"/>
              <w:spacing w:before="0" w:after="0" w:line="240" w:lineRule="auto"/>
              <w:rPr>
                <w:rFonts w:ascii="仿宋_GB2312" w:hAnsi="仿宋_GB2312" w:eastAsia="仿宋_GB2312" w:cs="仿宋_GB2312"/>
                <w:color w:val="FF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11" w:type="dxa"/>
            <w:noWrap w:val="0"/>
            <w:vAlign w:val="center"/>
          </w:tcPr>
          <w:p>
            <w:pPr>
              <w:jc w:val="cente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9</w:t>
            </w:r>
          </w:p>
        </w:tc>
        <w:tc>
          <w:tcPr>
            <w:tcW w:w="2873" w:type="dxa"/>
            <w:noWrap w:val="0"/>
            <w:vAlign w:val="center"/>
          </w:tcPr>
          <w:p>
            <w:pPr>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lang w:eastAsia="zh-CN"/>
              </w:rPr>
              <w:t>电子投标文件与备份投标文件内容格式一致性承诺函</w:t>
            </w:r>
          </w:p>
        </w:tc>
        <w:tc>
          <w:tcPr>
            <w:tcW w:w="2977" w:type="dxa"/>
            <w:noWrap w:val="0"/>
            <w:vAlign w:val="center"/>
          </w:tcPr>
          <w:p>
            <w:pPr>
              <w:pStyle w:val="5"/>
              <w:adjustRightInd w:val="0"/>
              <w:snapToGrid w:val="0"/>
              <w:spacing w:before="0" w:after="0" w:line="240" w:lineRule="auto"/>
              <w:jc w:val="both"/>
              <w:rPr>
                <w:rFonts w:hint="eastAsia" w:ascii="仿宋_GB2312" w:hAnsi="仿宋_GB2312" w:eastAsia="仿宋_GB2312" w:cs="仿宋_GB2312"/>
                <w:b w:val="0"/>
                <w:sz w:val="21"/>
                <w:szCs w:val="21"/>
                <w:lang w:eastAsia="zh-CN"/>
              </w:rPr>
            </w:pPr>
            <w:r>
              <w:rPr>
                <w:rFonts w:hint="eastAsia" w:ascii="仿宋_GB2312" w:hAnsi="仿宋_GB2312" w:eastAsia="仿宋_GB2312" w:cs="仿宋_GB2312"/>
                <w:b w:val="0"/>
                <w:sz w:val="21"/>
                <w:szCs w:val="21"/>
              </w:rPr>
              <w:t>1.按给定格式</w:t>
            </w:r>
            <w:r>
              <w:rPr>
                <w:rFonts w:hint="eastAsia" w:ascii="仿宋_GB2312" w:hAnsi="仿宋_GB2312" w:eastAsia="仿宋_GB2312" w:cs="仿宋_GB2312"/>
                <w:b w:val="0"/>
                <w:sz w:val="21"/>
                <w:szCs w:val="21"/>
                <w:lang w:eastAsia="zh-CN"/>
              </w:rPr>
              <w:t>填写</w:t>
            </w:r>
          </w:p>
          <w:p>
            <w:pPr>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pPr>
              <w:rPr>
                <w:rFonts w:hint="eastAsia" w:ascii="仿宋_GB2312" w:hAnsi="仿宋_GB2312" w:eastAsia="仿宋_GB2312" w:cs="仿宋_GB2312"/>
                <w:szCs w:val="21"/>
              </w:rPr>
            </w:pPr>
            <w:r>
              <w:rPr>
                <w:rFonts w:hint="eastAsia" w:ascii="仿宋_GB2312" w:hAnsi="仿宋_GB2312" w:eastAsia="仿宋_GB2312" w:cs="仿宋_GB2312"/>
                <w:b w:val="0"/>
                <w:sz w:val="21"/>
                <w:szCs w:val="21"/>
              </w:rPr>
              <w:t>3.按规定签章</w:t>
            </w:r>
          </w:p>
        </w:tc>
        <w:tc>
          <w:tcPr>
            <w:tcW w:w="900"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871"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0" w:hRule="atLeast"/>
          <w:jc w:val="center"/>
        </w:trPr>
        <w:tc>
          <w:tcPr>
            <w:tcW w:w="511" w:type="dxa"/>
            <w:noWrap w:val="0"/>
            <w:vAlign w:val="center"/>
          </w:tcPr>
          <w:p>
            <w:pPr>
              <w:snapToGrid w:val="0"/>
              <w:jc w:val="center"/>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10</w:t>
            </w:r>
          </w:p>
        </w:tc>
        <w:tc>
          <w:tcPr>
            <w:tcW w:w="2873" w:type="dxa"/>
            <w:noWrap w:val="0"/>
            <w:vAlign w:val="center"/>
          </w:tcPr>
          <w:p>
            <w:pPr>
              <w:snapToGrid w:val="0"/>
              <w:rPr>
                <w:rFonts w:ascii="仿宋_GB2312" w:hAnsi="仿宋_GB2312" w:eastAsia="仿宋_GB2312" w:cs="仿宋_GB2312"/>
                <w:szCs w:val="21"/>
              </w:rPr>
            </w:pPr>
            <w:r>
              <w:rPr>
                <w:rFonts w:hint="eastAsia" w:ascii="仿宋_GB2312" w:hAnsi="仿宋_GB2312" w:eastAsia="仿宋_GB2312" w:cs="仿宋_GB2312"/>
                <w:szCs w:val="21"/>
              </w:rPr>
              <w:t>投标报价</w:t>
            </w:r>
          </w:p>
        </w:tc>
        <w:tc>
          <w:tcPr>
            <w:tcW w:w="2977" w:type="dxa"/>
            <w:noWrap w:val="0"/>
            <w:vAlign w:val="center"/>
          </w:tcPr>
          <w:p>
            <w:pPr>
              <w:pStyle w:val="5"/>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1.响应招标文件实质性要求</w:t>
            </w:r>
          </w:p>
          <w:p>
            <w:pPr>
              <w:pStyle w:val="5"/>
              <w:adjustRightInd w:val="0"/>
              <w:snapToGrid w:val="0"/>
              <w:spacing w:before="0" w:after="0" w:line="240" w:lineRule="auto"/>
              <w:jc w:val="both"/>
              <w:rPr>
                <w:rFonts w:hint="default" w:ascii="仿宋_GB2312" w:hAnsi="仿宋_GB2312" w:eastAsia="仿宋_GB2312" w:cs="仿宋_GB2312"/>
                <w:b w:val="0"/>
                <w:sz w:val="21"/>
                <w:szCs w:val="21"/>
                <w:lang w:val="en-US" w:eastAsia="zh-CN"/>
              </w:rPr>
            </w:pPr>
            <w:r>
              <w:rPr>
                <w:rFonts w:hint="eastAsia" w:ascii="仿宋_GB2312" w:hAnsi="仿宋_GB2312" w:eastAsia="仿宋_GB2312" w:cs="仿宋_GB2312"/>
                <w:b w:val="0"/>
                <w:sz w:val="21"/>
                <w:szCs w:val="21"/>
                <w:lang w:val="en-US" w:eastAsia="zh-CN"/>
              </w:rPr>
              <w:t>2.无投标须知26.2所述情形</w:t>
            </w:r>
          </w:p>
        </w:tc>
        <w:tc>
          <w:tcPr>
            <w:tcW w:w="900"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871"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11" w:type="dxa"/>
            <w:noWrap w:val="0"/>
            <w:vAlign w:val="center"/>
          </w:tcPr>
          <w:p>
            <w:pPr>
              <w:snapToGrid w:val="0"/>
              <w:jc w:val="center"/>
              <w:rPr>
                <w:rFonts w:ascii="仿宋_GB2312" w:hAnsi="仿宋_GB2312" w:eastAsia="仿宋_GB2312" w:cs="仿宋_GB2312"/>
              </w:rPr>
            </w:pPr>
          </w:p>
        </w:tc>
        <w:tc>
          <w:tcPr>
            <w:tcW w:w="2873" w:type="dxa"/>
            <w:noWrap w:val="0"/>
            <w:vAlign w:val="center"/>
          </w:tcPr>
          <w:p>
            <w:pPr>
              <w:snapToGrid w:val="0"/>
              <w:rPr>
                <w:rFonts w:ascii="仿宋_GB2312" w:hAnsi="仿宋_GB2312" w:eastAsia="仿宋_GB2312" w:cs="仿宋_GB2312"/>
                <w:szCs w:val="21"/>
              </w:rPr>
            </w:pPr>
            <w:r>
              <w:rPr>
                <w:rFonts w:hint="eastAsia" w:ascii="仿宋_GB2312" w:hAnsi="仿宋_GB2312" w:eastAsia="仿宋_GB2312" w:cs="仿宋_GB2312"/>
                <w:szCs w:val="21"/>
              </w:rPr>
              <w:t>结论</w:t>
            </w:r>
          </w:p>
        </w:tc>
        <w:tc>
          <w:tcPr>
            <w:tcW w:w="2977" w:type="dxa"/>
            <w:noWrap w:val="0"/>
            <w:vAlign w:val="center"/>
          </w:tcPr>
          <w:p>
            <w:pPr>
              <w:pStyle w:val="5"/>
              <w:adjustRightInd w:val="0"/>
              <w:snapToGrid w:val="0"/>
              <w:spacing w:before="0" w:after="0" w:line="240" w:lineRule="auto"/>
              <w:jc w:val="both"/>
              <w:rPr>
                <w:rFonts w:ascii="仿宋_GB2312" w:hAnsi="仿宋_GB2312" w:eastAsia="仿宋_GB2312" w:cs="仿宋_GB2312"/>
                <w:sz w:val="21"/>
                <w:szCs w:val="21"/>
              </w:rPr>
            </w:pPr>
          </w:p>
        </w:tc>
        <w:tc>
          <w:tcPr>
            <w:tcW w:w="900"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871"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c>
          <w:tcPr>
            <w:tcW w:w="944" w:type="dxa"/>
            <w:noWrap w:val="0"/>
            <w:vAlign w:val="center"/>
          </w:tcPr>
          <w:p>
            <w:pPr>
              <w:pStyle w:val="5"/>
              <w:adjustRightInd w:val="0"/>
              <w:snapToGrid w:val="0"/>
              <w:spacing w:before="0" w:after="0" w:line="240" w:lineRule="auto"/>
              <w:rPr>
                <w:rFonts w:ascii="仿宋_GB2312" w:hAnsi="仿宋_GB2312" w:eastAsia="仿宋_GB2312" w:cs="仿宋_GB2312"/>
                <w:sz w:val="21"/>
                <w:szCs w:val="21"/>
              </w:rPr>
            </w:pPr>
          </w:p>
        </w:tc>
      </w:tr>
    </w:tbl>
    <w:p>
      <w:pPr>
        <w:ind w:right="-630" w:rightChars="-300"/>
        <w:rPr>
          <w:rFonts w:hint="eastAsia" w:ascii="仿宋_GB2312" w:hAnsi="仿宋_GB2312" w:eastAsia="仿宋_GB2312" w:cs="仿宋_GB2312"/>
        </w:rPr>
      </w:pPr>
      <w:bookmarkStart w:id="133" w:name="_Toc17433_WPSOffice_Level2"/>
      <w:r>
        <w:rPr>
          <w:rFonts w:hint="eastAsia" w:ascii="仿宋_GB2312" w:hAnsi="仿宋_GB2312" w:eastAsia="仿宋_GB2312" w:cs="仿宋_GB2312"/>
        </w:rPr>
        <w:t>注：1、进口产品的制造厂家的授权书（可视具体情况调整至符合性证明材料及符合性审查表中）</w:t>
      </w:r>
    </w:p>
    <w:p>
      <w:pPr>
        <w:ind w:firstLine="420" w:firstLineChars="200"/>
        <w:rPr>
          <w:rFonts w:ascii="仿宋_GB2312" w:hAnsi="仿宋_GB2312" w:eastAsia="仿宋_GB2312" w:cs="仿宋_GB2312"/>
        </w:rPr>
      </w:pPr>
      <w:r>
        <w:rPr>
          <w:rFonts w:hint="eastAsia" w:ascii="仿宋_GB2312" w:hAnsi="仿宋_GB2312" w:eastAsia="仿宋_GB2312" w:cs="仿宋_GB2312"/>
        </w:rPr>
        <w:t>2、《</w:t>
      </w:r>
      <w:r>
        <w:rPr>
          <w:rFonts w:hint="eastAsia" w:ascii="仿宋_GB2312" w:hAnsi="仿宋_GB2312" w:eastAsia="仿宋_GB2312" w:cs="仿宋_GB2312"/>
          <w:lang w:eastAsia="zh-CN"/>
        </w:rPr>
        <w:t>创新产品和服务目录</w:t>
      </w:r>
      <w:r>
        <w:rPr>
          <w:rFonts w:hint="eastAsia" w:ascii="仿宋_GB2312" w:hAnsi="仿宋_GB2312" w:eastAsia="仿宋_GB2312" w:cs="仿宋_GB2312"/>
        </w:rPr>
        <w:t>》内产品、服务证明材料（可视具体情况调整至符合性证明材料及符合性审查表中）</w:t>
      </w:r>
    </w:p>
    <w:p>
      <w:pPr>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pPr>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pPr>
        <w:pStyle w:val="18"/>
        <w:widowControl w:val="0"/>
        <w:snapToGrid w:val="0"/>
        <w:spacing w:before="0" w:beforeAutospacing="0" w:after="0" w:afterAutospacing="0"/>
        <w:ind w:left="5903" w:hanging="5880" w:hangingChars="2800"/>
        <w:rPr>
          <w:rFonts w:ascii="仿宋_GB2312" w:hAnsi="仿宋_GB2312" w:eastAsia="仿宋_GB2312" w:cs="仿宋_GB2312"/>
          <w:b/>
          <w:sz w:val="21"/>
          <w:szCs w:val="21"/>
        </w:rPr>
      </w:pPr>
    </w:p>
    <w:p>
      <w:pPr>
        <w:pStyle w:val="18"/>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审查人签字： </w:t>
      </w:r>
    </w:p>
    <w:p>
      <w:pPr>
        <w:pStyle w:val="18"/>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日      期：</w:t>
      </w:r>
    </w:p>
    <w:p>
      <w:pPr>
        <w:pStyle w:val="5"/>
        <w:bidi w:val="0"/>
        <w:jc w:val="left"/>
        <w:rPr>
          <w:rFonts w:ascii="仿宋_GB2312" w:hAnsi="仿宋_GB2312" w:eastAsia="仿宋_GB2312" w:cs="仿宋_GB2312"/>
          <w:sz w:val="32"/>
          <w:szCs w:val="32"/>
        </w:rPr>
      </w:pPr>
      <w:r>
        <w:rPr>
          <w:rFonts w:hint="eastAsia" w:ascii="仿宋_GB2312" w:hAnsi="仿宋_GB2312" w:eastAsia="仿宋_GB2312" w:cs="仿宋_GB2312"/>
          <w:b/>
          <w:kern w:val="2"/>
          <w:sz w:val="28"/>
          <w:szCs w:val="28"/>
          <w:lang w:val="en-US" w:eastAsia="zh-CN" w:bidi="ar-SA"/>
        </w:rPr>
        <w:t xml:space="preserve">附件3 </w:t>
      </w:r>
      <w:r>
        <w:rPr>
          <w:rFonts w:hint="eastAsia" w:ascii="仿宋_GB2312" w:hAnsi="仿宋_GB2312" w:eastAsia="仿宋_GB2312" w:cs="仿宋_GB2312"/>
          <w:szCs w:val="28"/>
        </w:rPr>
        <w:t xml:space="preserve">                  </w:t>
      </w:r>
      <w:r>
        <w:rPr>
          <w:rFonts w:hint="eastAsia" w:ascii="仿宋_GB2312" w:hAnsi="仿宋_GB2312" w:eastAsia="仿宋_GB2312" w:cs="仿宋_GB2312"/>
          <w:sz w:val="32"/>
          <w:szCs w:val="32"/>
        </w:rPr>
        <w:t xml:space="preserve"> </w:t>
      </w:r>
      <w:bookmarkEnd w:id="133"/>
    </w:p>
    <w:p>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评分细则</w:t>
      </w:r>
    </w:p>
    <w:p>
      <w:pPr>
        <w:jc w:val="left"/>
        <w:rPr>
          <w:rFonts w:ascii="仿宋_GB2312" w:hAnsi="仿宋_GB2312" w:eastAsia="仿宋_GB2312" w:cs="仿宋_GB2312"/>
          <w:b/>
          <w:sz w:val="28"/>
          <w:szCs w:val="28"/>
        </w:rPr>
      </w:pPr>
      <w:r>
        <w:rPr>
          <w:rFonts w:hint="eastAsia" w:ascii="仿宋_GB2312" w:hAnsi="仿宋_GB2312" w:eastAsia="仿宋_GB2312" w:cs="仿宋_GB2312"/>
          <w:b/>
          <w:szCs w:val="21"/>
        </w:rPr>
        <w:t>（一）基本评分标准</w:t>
      </w:r>
    </w:p>
    <w:tbl>
      <w:tblPr>
        <w:tblStyle w:val="20"/>
        <w:tblW w:w="9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331"/>
        <w:gridCol w:w="6479"/>
        <w:gridCol w:w="690"/>
        <w:gridCol w:w="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noWrap w:val="0"/>
            <w:vAlign w:val="center"/>
          </w:tcPr>
          <w:p>
            <w:pPr>
              <w:widowControl/>
              <w:spacing w:line="276" w:lineRule="auto"/>
              <w:jc w:val="center"/>
              <w:rPr>
                <w:rFonts w:ascii="宋体" w:hAnsi="宋体"/>
                <w:b/>
                <w:color w:val="000000"/>
                <w:sz w:val="21"/>
                <w:szCs w:val="21"/>
              </w:rPr>
            </w:pPr>
            <w:r>
              <w:rPr>
                <w:rFonts w:hint="eastAsia" w:ascii="宋体" w:hAnsi="宋体"/>
                <w:b/>
                <w:color w:val="000000"/>
                <w:sz w:val="21"/>
                <w:szCs w:val="21"/>
              </w:rPr>
              <w:t>序号</w:t>
            </w:r>
          </w:p>
        </w:tc>
        <w:tc>
          <w:tcPr>
            <w:tcW w:w="1331" w:type="dxa"/>
            <w:noWrap w:val="0"/>
            <w:vAlign w:val="center"/>
          </w:tcPr>
          <w:p>
            <w:pPr>
              <w:widowControl/>
              <w:spacing w:line="276" w:lineRule="auto"/>
              <w:jc w:val="center"/>
              <w:rPr>
                <w:rFonts w:ascii="宋体" w:hAnsi="宋体"/>
                <w:b/>
                <w:color w:val="000000"/>
                <w:sz w:val="21"/>
                <w:szCs w:val="21"/>
              </w:rPr>
            </w:pPr>
            <w:r>
              <w:rPr>
                <w:rFonts w:hint="eastAsia" w:ascii="宋体" w:hAnsi="宋体"/>
                <w:b/>
                <w:color w:val="000000"/>
                <w:sz w:val="21"/>
                <w:szCs w:val="21"/>
              </w:rPr>
              <w:t>评分因素</w:t>
            </w:r>
          </w:p>
        </w:tc>
        <w:tc>
          <w:tcPr>
            <w:tcW w:w="6479" w:type="dxa"/>
            <w:noWrap w:val="0"/>
            <w:vAlign w:val="center"/>
          </w:tcPr>
          <w:p>
            <w:pPr>
              <w:widowControl/>
              <w:spacing w:line="276" w:lineRule="auto"/>
              <w:jc w:val="center"/>
              <w:rPr>
                <w:rFonts w:ascii="宋体" w:hAnsi="宋体"/>
                <w:b/>
                <w:color w:val="000000"/>
                <w:sz w:val="21"/>
                <w:szCs w:val="21"/>
              </w:rPr>
            </w:pPr>
            <w:r>
              <w:rPr>
                <w:rFonts w:hint="eastAsia" w:ascii="宋体" w:hAnsi="宋体"/>
                <w:b/>
                <w:color w:val="000000"/>
                <w:sz w:val="21"/>
                <w:szCs w:val="21"/>
              </w:rPr>
              <w:t>评审标准</w:t>
            </w:r>
          </w:p>
        </w:tc>
        <w:tc>
          <w:tcPr>
            <w:tcW w:w="690" w:type="dxa"/>
            <w:noWrap w:val="0"/>
            <w:vAlign w:val="center"/>
          </w:tcPr>
          <w:p>
            <w:pPr>
              <w:widowControl/>
              <w:spacing w:line="276" w:lineRule="auto"/>
              <w:jc w:val="center"/>
              <w:rPr>
                <w:rFonts w:ascii="宋体" w:hAnsi="宋体"/>
                <w:b/>
                <w:color w:val="000000"/>
                <w:sz w:val="21"/>
                <w:szCs w:val="21"/>
              </w:rPr>
            </w:pPr>
            <w:r>
              <w:rPr>
                <w:rFonts w:hint="eastAsia" w:ascii="宋体" w:hAnsi="宋体"/>
                <w:b/>
                <w:color w:val="000000"/>
                <w:sz w:val="21"/>
                <w:szCs w:val="21"/>
              </w:rPr>
              <w:t>分值</w:t>
            </w:r>
          </w:p>
        </w:tc>
        <w:tc>
          <w:tcPr>
            <w:tcW w:w="690" w:type="dxa"/>
            <w:noWrap w:val="0"/>
            <w:vAlign w:val="center"/>
          </w:tcPr>
          <w:p>
            <w:pPr>
              <w:widowControl/>
              <w:spacing w:line="276" w:lineRule="auto"/>
              <w:jc w:val="center"/>
              <w:rPr>
                <w:rFonts w:hint="eastAsia" w:ascii="宋体" w:hAnsi="宋体" w:eastAsia="仿宋"/>
                <w:b/>
                <w:color w:val="000000"/>
                <w:sz w:val="21"/>
                <w:szCs w:val="21"/>
                <w:lang w:eastAsia="zh-CN"/>
              </w:rPr>
            </w:pPr>
            <w:r>
              <w:rPr>
                <w:rFonts w:hint="eastAsia" w:ascii="宋体" w:hAnsi="宋体"/>
                <w:b/>
                <w:color w:val="000000"/>
                <w:sz w:val="21"/>
                <w:szCs w:val="21"/>
                <w:lang w:eastAsia="zh-CN"/>
              </w:rPr>
              <w:t>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709" w:type="dxa"/>
            <w:noWrap w:val="0"/>
            <w:vAlign w:val="center"/>
          </w:tcPr>
          <w:p>
            <w:pPr>
              <w:widowControl/>
              <w:spacing w:line="276" w:lineRule="auto"/>
              <w:jc w:val="center"/>
              <w:rPr>
                <w:rFonts w:ascii="宋体" w:hAnsi="宋体"/>
                <w:b/>
                <w:color w:val="000000"/>
                <w:sz w:val="21"/>
                <w:szCs w:val="21"/>
              </w:rPr>
            </w:pPr>
            <w:r>
              <w:rPr>
                <w:rFonts w:hint="eastAsia" w:ascii="宋体" w:hAnsi="宋体"/>
                <w:b/>
                <w:color w:val="000000"/>
                <w:sz w:val="21"/>
                <w:szCs w:val="21"/>
              </w:rPr>
              <w:t>1</w:t>
            </w:r>
          </w:p>
        </w:tc>
        <w:tc>
          <w:tcPr>
            <w:tcW w:w="1331" w:type="dxa"/>
            <w:noWrap w:val="0"/>
            <w:vAlign w:val="center"/>
          </w:tcPr>
          <w:p>
            <w:pPr>
              <w:widowControl/>
              <w:spacing w:line="276" w:lineRule="auto"/>
              <w:jc w:val="center"/>
              <w:rPr>
                <w:rFonts w:hint="eastAsia" w:ascii="宋体" w:hAnsi="宋体"/>
                <w:b/>
                <w:color w:val="000000"/>
                <w:sz w:val="21"/>
                <w:szCs w:val="21"/>
              </w:rPr>
            </w:pPr>
            <w:r>
              <w:rPr>
                <w:rFonts w:hint="eastAsia" w:ascii="宋体" w:hAnsi="宋体"/>
                <w:b/>
                <w:color w:val="000000"/>
                <w:sz w:val="21"/>
                <w:szCs w:val="21"/>
              </w:rPr>
              <w:t>价格</w:t>
            </w:r>
          </w:p>
        </w:tc>
        <w:tc>
          <w:tcPr>
            <w:tcW w:w="6479" w:type="dxa"/>
            <w:noWrap w:val="0"/>
            <w:vAlign w:val="center"/>
          </w:tcPr>
          <w:p>
            <w:pPr>
              <w:spacing w:line="276" w:lineRule="auto"/>
              <w:rPr>
                <w:rFonts w:ascii="宋体" w:hAnsi="宋体"/>
                <w:color w:val="000000"/>
                <w:sz w:val="21"/>
                <w:szCs w:val="21"/>
              </w:rPr>
            </w:pPr>
            <w:r>
              <w:rPr>
                <w:rFonts w:hint="eastAsia" w:ascii="宋体" w:hAnsi="宋体"/>
                <w:color w:val="000000"/>
                <w:sz w:val="21"/>
                <w:szCs w:val="21"/>
              </w:rPr>
              <w:t>价格分采用低价优先法计算，即满足招标文件要求且最终报价最低的为评标基准价，其价格分为满分。</w:t>
            </w:r>
          </w:p>
          <w:p>
            <w:pPr>
              <w:spacing w:line="276" w:lineRule="auto"/>
              <w:rPr>
                <w:rFonts w:ascii="宋体" w:hAnsi="宋体"/>
                <w:color w:val="000000"/>
                <w:sz w:val="21"/>
                <w:szCs w:val="21"/>
              </w:rPr>
            </w:pPr>
            <w:r>
              <w:rPr>
                <w:rFonts w:hint="eastAsia" w:ascii="宋体" w:hAnsi="宋体"/>
                <w:color w:val="000000"/>
                <w:sz w:val="21"/>
                <w:szCs w:val="21"/>
              </w:rPr>
              <w:t>其他供应商的价格分统一按照下列公式计算（小数点保留两位）：</w:t>
            </w:r>
          </w:p>
          <w:p>
            <w:pPr>
              <w:spacing w:line="276" w:lineRule="auto"/>
              <w:rPr>
                <w:rFonts w:ascii="宋体" w:hAnsi="宋体"/>
                <w:color w:val="000000"/>
                <w:sz w:val="21"/>
                <w:szCs w:val="21"/>
              </w:rPr>
            </w:pPr>
            <w:r>
              <w:rPr>
                <w:rFonts w:hint="eastAsia" w:ascii="宋体" w:hAnsi="宋体"/>
                <w:color w:val="000000"/>
                <w:sz w:val="21"/>
                <w:szCs w:val="21"/>
              </w:rPr>
              <w:t>报价得分=(评标基准价／报价)×30。</w:t>
            </w:r>
          </w:p>
        </w:tc>
        <w:tc>
          <w:tcPr>
            <w:tcW w:w="690" w:type="dxa"/>
            <w:noWrap w:val="0"/>
            <w:vAlign w:val="center"/>
          </w:tcPr>
          <w:p>
            <w:pPr>
              <w:widowControl/>
              <w:spacing w:line="276" w:lineRule="auto"/>
              <w:jc w:val="center"/>
              <w:rPr>
                <w:rFonts w:ascii="宋体" w:hAnsi="宋体"/>
                <w:b/>
                <w:bCs/>
                <w:color w:val="000000"/>
                <w:sz w:val="21"/>
                <w:szCs w:val="21"/>
              </w:rPr>
            </w:pPr>
            <w:r>
              <w:rPr>
                <w:rFonts w:hint="eastAsia" w:ascii="宋体" w:hAnsi="宋体"/>
                <w:b/>
                <w:bCs/>
                <w:color w:val="000000"/>
                <w:sz w:val="21"/>
                <w:szCs w:val="21"/>
              </w:rPr>
              <w:t>30</w:t>
            </w:r>
          </w:p>
        </w:tc>
        <w:tc>
          <w:tcPr>
            <w:tcW w:w="690" w:type="dxa"/>
            <w:noWrap w:val="0"/>
            <w:vAlign w:val="center"/>
          </w:tcPr>
          <w:p>
            <w:pPr>
              <w:widowControl/>
              <w:spacing w:line="276" w:lineRule="auto"/>
              <w:jc w:val="center"/>
              <w:rPr>
                <w:rFonts w:hint="eastAsia" w:ascii="宋体" w:hAnsi="宋体" w:eastAsia="仿宋"/>
                <w:b/>
                <w:bCs/>
                <w:color w:val="000000"/>
                <w:sz w:val="21"/>
                <w:szCs w:val="21"/>
                <w:lang w:eastAsia="zh-CN"/>
              </w:rPr>
            </w:pPr>
            <w:r>
              <w:rPr>
                <w:rFonts w:hint="eastAsia" w:ascii="宋体" w:hAnsi="宋体"/>
                <w:b/>
                <w:bCs/>
                <w:color w:val="000000"/>
                <w:sz w:val="21"/>
                <w:szCs w:val="21"/>
                <w:lang w:eastAsia="zh-CN"/>
              </w:rPr>
              <w:t>价格分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restart"/>
            <w:noWrap w:val="0"/>
            <w:vAlign w:val="center"/>
          </w:tcPr>
          <w:p>
            <w:pPr>
              <w:spacing w:line="276" w:lineRule="auto"/>
              <w:jc w:val="center"/>
              <w:rPr>
                <w:rFonts w:hint="eastAsia" w:ascii="宋体" w:hAnsi="宋体"/>
                <w:b/>
                <w:color w:val="000000"/>
                <w:sz w:val="21"/>
                <w:szCs w:val="21"/>
              </w:rPr>
            </w:pPr>
            <w:r>
              <w:rPr>
                <w:rFonts w:hint="eastAsia" w:ascii="宋体" w:hAnsi="宋体"/>
                <w:b/>
                <w:color w:val="000000"/>
                <w:sz w:val="21"/>
                <w:szCs w:val="21"/>
              </w:rPr>
              <w:t>2</w:t>
            </w:r>
          </w:p>
        </w:tc>
        <w:tc>
          <w:tcPr>
            <w:tcW w:w="1331" w:type="dxa"/>
            <w:vMerge w:val="restart"/>
            <w:noWrap w:val="0"/>
            <w:vAlign w:val="center"/>
          </w:tcPr>
          <w:p>
            <w:pPr>
              <w:spacing w:line="276" w:lineRule="auto"/>
              <w:jc w:val="center"/>
              <w:rPr>
                <w:rFonts w:hint="eastAsia" w:ascii="宋体" w:hAnsi="宋体"/>
                <w:b/>
                <w:color w:val="000000"/>
                <w:sz w:val="21"/>
                <w:szCs w:val="21"/>
              </w:rPr>
            </w:pPr>
            <w:r>
              <w:rPr>
                <w:rFonts w:hint="eastAsia" w:ascii="宋体" w:hAnsi="宋体"/>
                <w:b/>
                <w:color w:val="000000"/>
                <w:sz w:val="21"/>
                <w:szCs w:val="21"/>
              </w:rPr>
              <w:t>方案部分</w:t>
            </w:r>
          </w:p>
        </w:tc>
        <w:tc>
          <w:tcPr>
            <w:tcW w:w="6479" w:type="dxa"/>
            <w:noWrap w:val="0"/>
            <w:vAlign w:val="center"/>
          </w:tcPr>
          <w:p>
            <w:pPr>
              <w:spacing w:line="276" w:lineRule="auto"/>
              <w:rPr>
                <w:rFonts w:hint="eastAsia" w:ascii="宋体" w:hAnsi="宋体"/>
                <w:color w:val="000000"/>
                <w:sz w:val="21"/>
                <w:szCs w:val="21"/>
              </w:rPr>
            </w:pPr>
            <w:r>
              <w:rPr>
                <w:rFonts w:hint="eastAsia" w:ascii="宋体" w:hAnsi="宋体"/>
                <w:color w:val="000000"/>
                <w:sz w:val="21"/>
                <w:szCs w:val="21"/>
              </w:rPr>
              <w:t>投标人应根据项目需求制定详细的建设技术方案，方案包括但不限于以下内容：①建设目标；②技术架构；③技术要点；④技术保障。</w:t>
            </w:r>
          </w:p>
          <w:p>
            <w:pPr>
              <w:spacing w:line="276" w:lineRule="auto"/>
              <w:rPr>
                <w:rFonts w:ascii="宋体" w:hAnsi="宋体"/>
                <w:color w:val="000000"/>
                <w:sz w:val="21"/>
                <w:szCs w:val="21"/>
              </w:rPr>
            </w:pPr>
            <w:r>
              <w:rPr>
                <w:rFonts w:hint="eastAsia" w:ascii="宋体" w:hAnsi="宋体"/>
                <w:color w:val="000000"/>
                <w:sz w:val="21"/>
                <w:szCs w:val="21"/>
              </w:rPr>
              <w:t>所有要点均结合采购需求进行具体、详细、条理清晰的阐述，完全能够满足项目需求，得4分，每缺一项内容扣1分，扣完为止；每有一项内容阐述不清或不全面的扣0.5分。</w:t>
            </w:r>
          </w:p>
        </w:tc>
        <w:tc>
          <w:tcPr>
            <w:tcW w:w="690" w:type="dxa"/>
            <w:noWrap w:val="0"/>
            <w:vAlign w:val="center"/>
          </w:tcPr>
          <w:p>
            <w:pPr>
              <w:spacing w:line="276" w:lineRule="auto"/>
              <w:jc w:val="center"/>
              <w:rPr>
                <w:rFonts w:hint="eastAsia" w:ascii="宋体" w:hAnsi="宋体"/>
                <w:b/>
                <w:bCs/>
                <w:color w:val="000000"/>
                <w:sz w:val="21"/>
                <w:szCs w:val="21"/>
              </w:rPr>
            </w:pPr>
            <w:r>
              <w:rPr>
                <w:rFonts w:hint="eastAsia" w:ascii="宋体" w:hAnsi="宋体"/>
                <w:b/>
                <w:bCs/>
                <w:color w:val="000000"/>
                <w:sz w:val="21"/>
                <w:szCs w:val="21"/>
              </w:rPr>
              <w:t>4</w:t>
            </w:r>
          </w:p>
        </w:tc>
        <w:tc>
          <w:tcPr>
            <w:tcW w:w="690" w:type="dxa"/>
            <w:noWrap w:val="0"/>
            <w:vAlign w:val="center"/>
          </w:tcPr>
          <w:p>
            <w:pPr>
              <w:spacing w:line="276" w:lineRule="auto"/>
              <w:jc w:val="center"/>
              <w:rPr>
                <w:rFonts w:hint="eastAsia" w:ascii="宋体" w:hAnsi="宋体" w:eastAsia="仿宋"/>
                <w:b/>
                <w:bCs/>
                <w:color w:val="000000"/>
                <w:sz w:val="21"/>
                <w:szCs w:val="21"/>
                <w:lang w:eastAsia="zh-CN"/>
              </w:rPr>
            </w:pPr>
            <w:r>
              <w:rPr>
                <w:rFonts w:hint="eastAsia" w:ascii="宋体" w:hAnsi="宋体"/>
                <w:b/>
                <w:bCs/>
                <w:color w:val="000000"/>
                <w:sz w:val="21"/>
                <w:szCs w:val="21"/>
                <w:lang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noWrap w:val="0"/>
            <w:vAlign w:val="center"/>
          </w:tcPr>
          <w:p>
            <w:pPr>
              <w:widowControl/>
              <w:spacing w:line="276" w:lineRule="auto"/>
              <w:jc w:val="center"/>
              <w:rPr>
                <w:rFonts w:ascii="宋体" w:hAnsi="宋体"/>
                <w:b/>
                <w:color w:val="000000"/>
                <w:sz w:val="21"/>
                <w:szCs w:val="21"/>
              </w:rPr>
            </w:pPr>
          </w:p>
        </w:tc>
        <w:tc>
          <w:tcPr>
            <w:tcW w:w="1331" w:type="dxa"/>
            <w:vMerge w:val="continue"/>
            <w:noWrap w:val="0"/>
            <w:vAlign w:val="center"/>
          </w:tcPr>
          <w:p>
            <w:pPr>
              <w:widowControl/>
              <w:spacing w:line="276" w:lineRule="auto"/>
              <w:jc w:val="center"/>
              <w:rPr>
                <w:rFonts w:ascii="宋体" w:hAnsi="宋体"/>
                <w:b/>
                <w:color w:val="000000"/>
                <w:sz w:val="21"/>
                <w:szCs w:val="21"/>
              </w:rPr>
            </w:pPr>
          </w:p>
        </w:tc>
        <w:tc>
          <w:tcPr>
            <w:tcW w:w="6479" w:type="dxa"/>
            <w:noWrap w:val="0"/>
            <w:vAlign w:val="center"/>
          </w:tcPr>
          <w:p>
            <w:pPr>
              <w:spacing w:line="276" w:lineRule="auto"/>
              <w:rPr>
                <w:rFonts w:hint="eastAsia" w:ascii="宋体" w:hAnsi="宋体"/>
                <w:color w:val="000000"/>
                <w:sz w:val="21"/>
                <w:szCs w:val="21"/>
              </w:rPr>
            </w:pPr>
            <w:r>
              <w:rPr>
                <w:rFonts w:hint="eastAsia" w:ascii="宋体" w:hAnsi="宋体"/>
                <w:color w:val="000000"/>
                <w:sz w:val="21"/>
                <w:szCs w:val="21"/>
              </w:rPr>
              <w:t>投标人应根据项目需求制定详细的项目实施方案，方案包括但不限于以下内容：①需求分析；②实施要点；③进度计划；④保障措施。</w:t>
            </w:r>
          </w:p>
          <w:p>
            <w:pPr>
              <w:spacing w:line="276" w:lineRule="auto"/>
              <w:rPr>
                <w:rFonts w:ascii="宋体" w:hAnsi="宋体"/>
                <w:color w:val="000000"/>
                <w:sz w:val="21"/>
                <w:szCs w:val="21"/>
              </w:rPr>
            </w:pPr>
            <w:r>
              <w:rPr>
                <w:rFonts w:hint="eastAsia" w:ascii="宋体" w:hAnsi="宋体"/>
                <w:color w:val="000000"/>
                <w:sz w:val="21"/>
                <w:szCs w:val="21"/>
              </w:rPr>
              <w:t>所有要点均结合采购需求进行具体、详细、条理清晰的阐述，完全能够满足项目需求，得4分，每缺一项内容扣1分，扣完为止；每有一项内容阐述不清或不全面的扣0.5分。</w:t>
            </w:r>
          </w:p>
        </w:tc>
        <w:tc>
          <w:tcPr>
            <w:tcW w:w="690" w:type="dxa"/>
            <w:noWrap w:val="0"/>
            <w:vAlign w:val="center"/>
          </w:tcPr>
          <w:p>
            <w:pPr>
              <w:widowControl/>
              <w:spacing w:line="276" w:lineRule="auto"/>
              <w:jc w:val="center"/>
              <w:rPr>
                <w:rFonts w:hint="eastAsia" w:ascii="宋体" w:hAnsi="宋体"/>
                <w:b/>
                <w:bCs/>
                <w:color w:val="000000"/>
                <w:sz w:val="21"/>
                <w:szCs w:val="21"/>
              </w:rPr>
            </w:pPr>
            <w:r>
              <w:rPr>
                <w:rFonts w:hint="eastAsia" w:ascii="宋体" w:hAnsi="宋体"/>
                <w:b/>
                <w:bCs/>
                <w:color w:val="000000"/>
                <w:sz w:val="21"/>
                <w:szCs w:val="21"/>
              </w:rPr>
              <w:t>4</w:t>
            </w:r>
          </w:p>
        </w:tc>
        <w:tc>
          <w:tcPr>
            <w:tcW w:w="690" w:type="dxa"/>
            <w:noWrap w:val="0"/>
            <w:vAlign w:val="center"/>
          </w:tcPr>
          <w:p>
            <w:pPr>
              <w:widowControl/>
              <w:spacing w:line="276" w:lineRule="auto"/>
              <w:jc w:val="center"/>
              <w:rPr>
                <w:rFonts w:hint="eastAsia" w:ascii="宋体" w:hAnsi="宋体"/>
                <w:b/>
                <w:bCs/>
                <w:color w:val="000000"/>
                <w:sz w:val="21"/>
                <w:szCs w:val="21"/>
              </w:rPr>
            </w:pPr>
            <w:r>
              <w:rPr>
                <w:rFonts w:hint="eastAsia" w:ascii="宋体" w:hAnsi="宋体"/>
                <w:b/>
                <w:bCs/>
                <w:color w:val="000000"/>
                <w:sz w:val="21"/>
                <w:szCs w:val="21"/>
                <w:lang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1" w:hRule="atLeast"/>
          <w:jc w:val="center"/>
        </w:trPr>
        <w:tc>
          <w:tcPr>
            <w:tcW w:w="709" w:type="dxa"/>
            <w:vMerge w:val="continue"/>
            <w:noWrap w:val="0"/>
            <w:vAlign w:val="center"/>
          </w:tcPr>
          <w:p>
            <w:pPr>
              <w:widowControl/>
              <w:spacing w:line="276" w:lineRule="auto"/>
              <w:jc w:val="center"/>
              <w:rPr>
                <w:rFonts w:ascii="宋体" w:hAnsi="宋体"/>
                <w:b/>
                <w:color w:val="000000"/>
                <w:sz w:val="21"/>
                <w:szCs w:val="21"/>
              </w:rPr>
            </w:pPr>
          </w:p>
        </w:tc>
        <w:tc>
          <w:tcPr>
            <w:tcW w:w="1331" w:type="dxa"/>
            <w:vMerge w:val="continue"/>
            <w:noWrap w:val="0"/>
            <w:vAlign w:val="center"/>
          </w:tcPr>
          <w:p>
            <w:pPr>
              <w:widowControl/>
              <w:spacing w:line="276" w:lineRule="auto"/>
              <w:jc w:val="center"/>
              <w:rPr>
                <w:rFonts w:ascii="宋体" w:hAnsi="宋体"/>
                <w:b/>
                <w:color w:val="000000"/>
                <w:sz w:val="21"/>
                <w:szCs w:val="21"/>
              </w:rPr>
            </w:pPr>
          </w:p>
        </w:tc>
        <w:tc>
          <w:tcPr>
            <w:tcW w:w="6479" w:type="dxa"/>
            <w:noWrap w:val="0"/>
            <w:vAlign w:val="center"/>
          </w:tcPr>
          <w:p>
            <w:pPr>
              <w:spacing w:line="276" w:lineRule="auto"/>
              <w:rPr>
                <w:rFonts w:hint="eastAsia" w:ascii="宋体" w:hAnsi="宋体"/>
                <w:color w:val="000000"/>
                <w:sz w:val="21"/>
                <w:szCs w:val="21"/>
              </w:rPr>
            </w:pPr>
            <w:r>
              <w:rPr>
                <w:rFonts w:hint="eastAsia" w:ascii="宋体" w:hAnsi="宋体"/>
                <w:color w:val="000000"/>
                <w:sz w:val="21"/>
                <w:szCs w:val="21"/>
              </w:rPr>
              <w:t>投标人应根据项目需求制定详细的服务质量保障方案，方案包括但不限于以下内容：①质量目标；②质量保障体系；③质量管理；④质量风险及保障措施。</w:t>
            </w:r>
          </w:p>
          <w:p>
            <w:pPr>
              <w:spacing w:line="276" w:lineRule="auto"/>
              <w:rPr>
                <w:rFonts w:ascii="宋体" w:hAnsi="宋体"/>
                <w:color w:val="000000"/>
                <w:sz w:val="21"/>
                <w:szCs w:val="21"/>
              </w:rPr>
            </w:pPr>
            <w:r>
              <w:rPr>
                <w:rFonts w:hint="eastAsia" w:ascii="宋体" w:hAnsi="宋体"/>
                <w:color w:val="000000"/>
                <w:sz w:val="21"/>
                <w:szCs w:val="21"/>
              </w:rPr>
              <w:t>所有要点均结合采购需求进行具体、详细、条理清晰的阐述，完全能够满足项目需求，得4分，每缺一项内容扣1分，扣完为止；每有一项内容阐述不清或不全面的扣0.5分。</w:t>
            </w:r>
          </w:p>
        </w:tc>
        <w:tc>
          <w:tcPr>
            <w:tcW w:w="690" w:type="dxa"/>
            <w:noWrap w:val="0"/>
            <w:vAlign w:val="center"/>
          </w:tcPr>
          <w:p>
            <w:pPr>
              <w:spacing w:line="276" w:lineRule="auto"/>
              <w:jc w:val="center"/>
              <w:rPr>
                <w:rFonts w:hint="eastAsia" w:ascii="宋体" w:hAnsi="宋体"/>
                <w:b/>
                <w:bCs/>
                <w:color w:val="000000"/>
                <w:sz w:val="21"/>
                <w:szCs w:val="21"/>
              </w:rPr>
            </w:pPr>
            <w:r>
              <w:rPr>
                <w:rFonts w:hint="eastAsia" w:ascii="宋体" w:hAnsi="宋体"/>
                <w:b/>
                <w:bCs/>
                <w:color w:val="000000"/>
                <w:sz w:val="21"/>
                <w:szCs w:val="21"/>
              </w:rPr>
              <w:t>4</w:t>
            </w:r>
          </w:p>
        </w:tc>
        <w:tc>
          <w:tcPr>
            <w:tcW w:w="690" w:type="dxa"/>
            <w:noWrap w:val="0"/>
            <w:vAlign w:val="center"/>
          </w:tcPr>
          <w:p>
            <w:pPr>
              <w:spacing w:line="276" w:lineRule="auto"/>
              <w:jc w:val="center"/>
              <w:rPr>
                <w:rFonts w:hint="eastAsia" w:ascii="宋体" w:hAnsi="宋体"/>
                <w:b/>
                <w:bCs/>
                <w:color w:val="000000"/>
                <w:sz w:val="21"/>
                <w:szCs w:val="21"/>
              </w:rPr>
            </w:pPr>
            <w:r>
              <w:rPr>
                <w:rFonts w:hint="eastAsia" w:ascii="宋体" w:hAnsi="宋体"/>
                <w:b/>
                <w:bCs/>
                <w:color w:val="000000"/>
                <w:sz w:val="21"/>
                <w:szCs w:val="21"/>
                <w:lang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709" w:type="dxa"/>
            <w:vMerge w:val="continue"/>
            <w:noWrap w:val="0"/>
            <w:vAlign w:val="center"/>
          </w:tcPr>
          <w:p>
            <w:pPr>
              <w:widowControl/>
              <w:spacing w:line="276" w:lineRule="auto"/>
              <w:jc w:val="center"/>
              <w:rPr>
                <w:rFonts w:ascii="宋体" w:hAnsi="宋体"/>
                <w:b/>
                <w:color w:val="000000"/>
                <w:sz w:val="21"/>
                <w:szCs w:val="21"/>
              </w:rPr>
            </w:pPr>
          </w:p>
        </w:tc>
        <w:tc>
          <w:tcPr>
            <w:tcW w:w="1331" w:type="dxa"/>
            <w:vMerge w:val="continue"/>
            <w:noWrap w:val="0"/>
            <w:vAlign w:val="center"/>
          </w:tcPr>
          <w:p>
            <w:pPr>
              <w:widowControl/>
              <w:spacing w:line="276" w:lineRule="auto"/>
              <w:jc w:val="center"/>
              <w:rPr>
                <w:rFonts w:ascii="宋体" w:hAnsi="宋体"/>
                <w:b/>
                <w:color w:val="000000"/>
                <w:sz w:val="21"/>
                <w:szCs w:val="21"/>
              </w:rPr>
            </w:pPr>
          </w:p>
        </w:tc>
        <w:tc>
          <w:tcPr>
            <w:tcW w:w="6479" w:type="dxa"/>
            <w:noWrap w:val="0"/>
            <w:vAlign w:val="center"/>
          </w:tcPr>
          <w:p>
            <w:pPr>
              <w:spacing w:line="276" w:lineRule="auto"/>
              <w:rPr>
                <w:rFonts w:hint="eastAsia" w:ascii="宋体" w:hAnsi="宋体"/>
                <w:color w:val="000000"/>
                <w:sz w:val="21"/>
                <w:szCs w:val="21"/>
              </w:rPr>
            </w:pPr>
            <w:r>
              <w:rPr>
                <w:rFonts w:hint="eastAsia" w:ascii="宋体" w:hAnsi="宋体"/>
                <w:color w:val="000000"/>
                <w:sz w:val="21"/>
                <w:szCs w:val="21"/>
              </w:rPr>
              <w:t>投标人应根据项目需求制定详细的培训方案，方案包括但不限于以下内容：①培训目标；②培训方式；③培训地点及培训内容；④培训课程管理。</w:t>
            </w:r>
          </w:p>
          <w:p>
            <w:pPr>
              <w:spacing w:line="276" w:lineRule="auto"/>
              <w:rPr>
                <w:rFonts w:hint="eastAsia" w:ascii="宋体" w:hAnsi="宋体"/>
                <w:color w:val="000000"/>
                <w:sz w:val="21"/>
                <w:szCs w:val="21"/>
              </w:rPr>
            </w:pPr>
            <w:r>
              <w:rPr>
                <w:rFonts w:hint="eastAsia" w:ascii="宋体" w:hAnsi="宋体"/>
                <w:color w:val="000000"/>
                <w:sz w:val="21"/>
                <w:szCs w:val="21"/>
              </w:rPr>
              <w:t>所有要点均结合采购需求进行具体、详细、条理清晰的阐述，完全能够满足项目需求，得4分，每缺一项内容扣1分，扣完为止；每有一项内容阐述不清或不全面的扣0.5分。</w:t>
            </w:r>
          </w:p>
        </w:tc>
        <w:tc>
          <w:tcPr>
            <w:tcW w:w="690" w:type="dxa"/>
            <w:noWrap w:val="0"/>
            <w:vAlign w:val="center"/>
          </w:tcPr>
          <w:p>
            <w:pPr>
              <w:spacing w:line="276" w:lineRule="auto"/>
              <w:jc w:val="center"/>
              <w:rPr>
                <w:rFonts w:hint="eastAsia" w:ascii="宋体" w:hAnsi="宋体"/>
                <w:b/>
                <w:bCs/>
                <w:color w:val="000000"/>
                <w:sz w:val="21"/>
                <w:szCs w:val="21"/>
              </w:rPr>
            </w:pPr>
            <w:r>
              <w:rPr>
                <w:rFonts w:hint="eastAsia" w:ascii="宋体" w:hAnsi="宋体"/>
                <w:b/>
                <w:bCs/>
                <w:color w:val="000000"/>
                <w:sz w:val="21"/>
                <w:szCs w:val="21"/>
              </w:rPr>
              <w:t>4</w:t>
            </w:r>
          </w:p>
        </w:tc>
        <w:tc>
          <w:tcPr>
            <w:tcW w:w="690" w:type="dxa"/>
            <w:noWrap w:val="0"/>
            <w:vAlign w:val="center"/>
          </w:tcPr>
          <w:p>
            <w:pPr>
              <w:spacing w:line="276" w:lineRule="auto"/>
              <w:jc w:val="center"/>
              <w:rPr>
                <w:rFonts w:hint="eastAsia" w:ascii="宋体" w:hAnsi="宋体"/>
                <w:b/>
                <w:bCs/>
                <w:color w:val="000000"/>
                <w:sz w:val="21"/>
                <w:szCs w:val="21"/>
              </w:rPr>
            </w:pPr>
            <w:r>
              <w:rPr>
                <w:rFonts w:hint="eastAsia" w:ascii="宋体" w:hAnsi="宋体"/>
                <w:b/>
                <w:bCs/>
                <w:color w:val="000000"/>
                <w:sz w:val="21"/>
                <w:szCs w:val="21"/>
                <w:lang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noWrap w:val="0"/>
            <w:vAlign w:val="center"/>
          </w:tcPr>
          <w:p>
            <w:pPr>
              <w:widowControl/>
              <w:spacing w:line="276" w:lineRule="auto"/>
              <w:jc w:val="center"/>
              <w:rPr>
                <w:rFonts w:ascii="宋体" w:hAnsi="宋体"/>
                <w:b/>
                <w:color w:val="000000"/>
                <w:sz w:val="21"/>
                <w:szCs w:val="21"/>
              </w:rPr>
            </w:pPr>
          </w:p>
        </w:tc>
        <w:tc>
          <w:tcPr>
            <w:tcW w:w="1331" w:type="dxa"/>
            <w:vMerge w:val="continue"/>
            <w:noWrap w:val="0"/>
            <w:vAlign w:val="center"/>
          </w:tcPr>
          <w:p>
            <w:pPr>
              <w:widowControl/>
              <w:spacing w:line="276" w:lineRule="auto"/>
              <w:jc w:val="center"/>
              <w:rPr>
                <w:rFonts w:ascii="宋体" w:hAnsi="宋体"/>
                <w:b/>
                <w:color w:val="000000"/>
                <w:sz w:val="21"/>
                <w:szCs w:val="21"/>
              </w:rPr>
            </w:pPr>
          </w:p>
        </w:tc>
        <w:tc>
          <w:tcPr>
            <w:tcW w:w="6479" w:type="dxa"/>
            <w:noWrap w:val="0"/>
            <w:vAlign w:val="center"/>
          </w:tcPr>
          <w:p>
            <w:pPr>
              <w:spacing w:line="276" w:lineRule="auto"/>
              <w:rPr>
                <w:rFonts w:hint="eastAsia" w:ascii="宋体" w:hAnsi="宋体"/>
                <w:color w:val="000000"/>
                <w:sz w:val="21"/>
                <w:szCs w:val="21"/>
              </w:rPr>
            </w:pPr>
            <w:r>
              <w:rPr>
                <w:rFonts w:hint="eastAsia" w:ascii="宋体" w:hAnsi="宋体"/>
                <w:color w:val="000000"/>
                <w:sz w:val="21"/>
                <w:szCs w:val="21"/>
              </w:rPr>
              <w:t>投标人应根据项目需求制定详细的售后服务方案，方案包括但不限于以下内容：①售后服务内容及响应时间；②售后服务承诺；③售后服务流程；④售后服务保障措施。</w:t>
            </w:r>
          </w:p>
          <w:p>
            <w:pPr>
              <w:spacing w:line="276" w:lineRule="auto"/>
              <w:rPr>
                <w:rFonts w:ascii="宋体" w:hAnsi="宋体"/>
                <w:color w:val="000000"/>
                <w:sz w:val="21"/>
                <w:szCs w:val="21"/>
              </w:rPr>
            </w:pPr>
            <w:r>
              <w:rPr>
                <w:rFonts w:hint="eastAsia" w:ascii="宋体" w:hAnsi="宋体"/>
                <w:color w:val="000000"/>
                <w:sz w:val="21"/>
                <w:szCs w:val="21"/>
              </w:rPr>
              <w:t>所有要点均结合采购需求进行具体、详细、条理清晰的阐述，完全能够满足项目需求，得4分，每缺一项内容扣1分，扣完为止；每有一项内容阐述不清或不全面的扣0.5分。</w:t>
            </w:r>
          </w:p>
        </w:tc>
        <w:tc>
          <w:tcPr>
            <w:tcW w:w="690" w:type="dxa"/>
            <w:noWrap w:val="0"/>
            <w:vAlign w:val="center"/>
          </w:tcPr>
          <w:p>
            <w:pPr>
              <w:spacing w:line="276" w:lineRule="auto"/>
              <w:jc w:val="center"/>
              <w:rPr>
                <w:rFonts w:hint="eastAsia" w:ascii="宋体" w:hAnsi="宋体"/>
                <w:b/>
                <w:bCs/>
                <w:color w:val="000000"/>
                <w:sz w:val="21"/>
                <w:szCs w:val="21"/>
              </w:rPr>
            </w:pPr>
            <w:r>
              <w:rPr>
                <w:rFonts w:hint="eastAsia" w:ascii="宋体" w:hAnsi="宋体"/>
                <w:b/>
                <w:bCs/>
                <w:color w:val="000000"/>
                <w:sz w:val="21"/>
                <w:szCs w:val="21"/>
              </w:rPr>
              <w:t>4</w:t>
            </w:r>
          </w:p>
        </w:tc>
        <w:tc>
          <w:tcPr>
            <w:tcW w:w="690" w:type="dxa"/>
            <w:noWrap w:val="0"/>
            <w:vAlign w:val="center"/>
          </w:tcPr>
          <w:p>
            <w:pPr>
              <w:spacing w:line="276" w:lineRule="auto"/>
              <w:jc w:val="center"/>
              <w:rPr>
                <w:rFonts w:hint="eastAsia" w:ascii="宋体" w:hAnsi="宋体"/>
                <w:b/>
                <w:bCs/>
                <w:color w:val="000000"/>
                <w:sz w:val="21"/>
                <w:szCs w:val="21"/>
              </w:rPr>
            </w:pPr>
            <w:r>
              <w:rPr>
                <w:rFonts w:hint="eastAsia" w:ascii="宋体" w:hAnsi="宋体"/>
                <w:b/>
                <w:bCs/>
                <w:color w:val="000000"/>
                <w:sz w:val="21"/>
                <w:szCs w:val="21"/>
                <w:lang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1" w:hRule="atLeast"/>
          <w:jc w:val="center"/>
        </w:trPr>
        <w:tc>
          <w:tcPr>
            <w:tcW w:w="709" w:type="dxa"/>
            <w:vMerge w:val="restart"/>
            <w:noWrap w:val="0"/>
            <w:vAlign w:val="center"/>
          </w:tcPr>
          <w:p>
            <w:pPr>
              <w:widowControl/>
              <w:spacing w:line="276" w:lineRule="auto"/>
              <w:jc w:val="center"/>
              <w:rPr>
                <w:rFonts w:hint="eastAsia" w:ascii="宋体" w:hAnsi="宋体"/>
                <w:b/>
                <w:color w:val="000000"/>
                <w:sz w:val="21"/>
                <w:szCs w:val="21"/>
              </w:rPr>
            </w:pPr>
            <w:r>
              <w:rPr>
                <w:rFonts w:hint="eastAsia" w:ascii="宋体" w:hAnsi="宋体"/>
                <w:b/>
                <w:color w:val="000000"/>
                <w:sz w:val="21"/>
                <w:szCs w:val="21"/>
              </w:rPr>
              <w:t>3</w:t>
            </w:r>
          </w:p>
        </w:tc>
        <w:tc>
          <w:tcPr>
            <w:tcW w:w="1331" w:type="dxa"/>
            <w:vMerge w:val="restart"/>
            <w:noWrap w:val="0"/>
            <w:vAlign w:val="center"/>
          </w:tcPr>
          <w:p>
            <w:pPr>
              <w:widowControl/>
              <w:spacing w:line="276" w:lineRule="auto"/>
              <w:jc w:val="center"/>
              <w:rPr>
                <w:rFonts w:hint="eastAsia" w:ascii="宋体" w:hAnsi="宋体"/>
                <w:b/>
                <w:color w:val="000000"/>
                <w:sz w:val="21"/>
                <w:szCs w:val="21"/>
              </w:rPr>
            </w:pPr>
            <w:r>
              <w:rPr>
                <w:rFonts w:hint="eastAsia" w:ascii="宋体" w:hAnsi="宋体"/>
                <w:b/>
                <w:color w:val="000000"/>
                <w:sz w:val="21"/>
                <w:szCs w:val="21"/>
              </w:rPr>
              <w:t>产品部分</w:t>
            </w:r>
          </w:p>
        </w:tc>
        <w:tc>
          <w:tcPr>
            <w:tcW w:w="6479" w:type="dxa"/>
            <w:noWrap w:val="0"/>
            <w:vAlign w:val="center"/>
          </w:tcPr>
          <w:p>
            <w:pPr>
              <w:spacing w:line="276" w:lineRule="auto"/>
              <w:rPr>
                <w:rFonts w:hint="eastAsia" w:ascii="宋体" w:hAnsi="宋体" w:cs="仿宋"/>
                <w:color w:val="000000"/>
                <w:sz w:val="21"/>
                <w:szCs w:val="21"/>
              </w:rPr>
            </w:pPr>
            <w:r>
              <w:rPr>
                <w:rFonts w:hint="eastAsia" w:ascii="宋体" w:hAnsi="宋体" w:cs="仿宋"/>
                <w:color w:val="000000"/>
                <w:sz w:val="21"/>
                <w:szCs w:val="21"/>
              </w:rPr>
              <w:t>环保车辆人脸抓拍单元：</w:t>
            </w:r>
          </w:p>
          <w:p>
            <w:pPr>
              <w:spacing w:line="276" w:lineRule="auto"/>
              <w:rPr>
                <w:rFonts w:hint="eastAsia" w:ascii="宋体" w:hAnsi="宋体" w:cs="仿宋"/>
                <w:color w:val="000000"/>
                <w:sz w:val="21"/>
                <w:szCs w:val="21"/>
              </w:rPr>
            </w:pPr>
            <w:r>
              <w:rPr>
                <w:rFonts w:hint="eastAsia" w:ascii="宋体" w:hAnsi="宋体" w:cs="仿宋"/>
                <w:color w:val="000000"/>
                <w:sz w:val="21"/>
                <w:szCs w:val="21"/>
              </w:rPr>
              <w:t>1.外接雷达功能检查：支持外接多目标检测雷达，可实现雷达视频融合检测，可输出目标编号、车型和雷达速度、位置等信息。（需提供</w:t>
            </w:r>
            <w:r>
              <w:rPr>
                <w:rFonts w:hint="eastAsia" w:ascii="宋体" w:hAnsi="宋体" w:cs="仿宋"/>
                <w:color w:val="000000"/>
                <w:sz w:val="21"/>
                <w:szCs w:val="21"/>
                <w:lang w:eastAsia="zh-CN"/>
              </w:rPr>
              <w:t>国家认可的</w:t>
            </w:r>
            <w:r>
              <w:rPr>
                <w:rFonts w:hint="eastAsia" w:ascii="宋体" w:hAnsi="宋体" w:cs="仿宋"/>
                <w:color w:val="000000"/>
                <w:sz w:val="21"/>
                <w:szCs w:val="21"/>
              </w:rPr>
              <w:t>机构出具的检测报告复印件并加盖</w:t>
            </w:r>
            <w:r>
              <w:rPr>
                <w:rFonts w:hint="eastAsia" w:ascii="宋体" w:hAnsi="宋体" w:cs="仿宋"/>
                <w:color w:val="000000"/>
                <w:sz w:val="21"/>
                <w:szCs w:val="21"/>
                <w:lang w:eastAsia="zh-CN"/>
              </w:rPr>
              <w:t>投标人</w:t>
            </w:r>
            <w:r>
              <w:rPr>
                <w:rFonts w:hint="eastAsia" w:ascii="宋体" w:hAnsi="宋体" w:cs="仿宋"/>
                <w:color w:val="000000"/>
                <w:sz w:val="21"/>
                <w:szCs w:val="21"/>
              </w:rPr>
              <w:t>公章，提供得3分，不提供不得分）</w:t>
            </w:r>
          </w:p>
          <w:p>
            <w:pPr>
              <w:spacing w:line="276" w:lineRule="auto"/>
              <w:rPr>
                <w:rFonts w:hint="eastAsia" w:ascii="宋体" w:hAnsi="宋体" w:cs="仿宋"/>
                <w:color w:val="000000"/>
                <w:sz w:val="21"/>
                <w:szCs w:val="21"/>
              </w:rPr>
            </w:pPr>
            <w:r>
              <w:rPr>
                <w:rFonts w:hint="eastAsia" w:ascii="宋体" w:hAnsi="宋体" w:cs="仿宋"/>
                <w:color w:val="000000"/>
                <w:sz w:val="21"/>
                <w:szCs w:val="21"/>
              </w:rPr>
              <w:t>2.外接鱼眼相机联动功能检查：支持两台设备（一个卡口、一个电警）和外接鱼眼相机，实现车辆的管控取证和违章变道的取证（支持配合终端服务器输出卡口和电警的抓拍合成图，可配置输出合成鱼眼图）。（需提供</w:t>
            </w:r>
            <w:r>
              <w:rPr>
                <w:rFonts w:hint="eastAsia" w:ascii="宋体" w:hAnsi="宋体" w:cs="仿宋"/>
                <w:color w:val="000000"/>
                <w:sz w:val="21"/>
                <w:szCs w:val="21"/>
                <w:lang w:eastAsia="zh-CN"/>
              </w:rPr>
              <w:t>国家认可的</w:t>
            </w:r>
            <w:r>
              <w:rPr>
                <w:rFonts w:hint="eastAsia" w:ascii="宋体" w:hAnsi="宋体" w:cs="仿宋"/>
                <w:color w:val="000000"/>
                <w:sz w:val="21"/>
                <w:szCs w:val="21"/>
              </w:rPr>
              <w:t>机构出具的检测报告复印件并加盖</w:t>
            </w:r>
            <w:r>
              <w:rPr>
                <w:rFonts w:hint="eastAsia" w:ascii="宋体" w:hAnsi="宋体" w:cs="仿宋"/>
                <w:color w:val="000000"/>
                <w:sz w:val="21"/>
                <w:szCs w:val="21"/>
                <w:lang w:eastAsia="zh-CN"/>
              </w:rPr>
              <w:t>投标人</w:t>
            </w:r>
            <w:r>
              <w:rPr>
                <w:rFonts w:hint="eastAsia" w:ascii="宋体" w:hAnsi="宋体" w:cs="仿宋"/>
                <w:color w:val="000000"/>
                <w:sz w:val="21"/>
                <w:szCs w:val="21"/>
              </w:rPr>
              <w:t>公章，提供得3分，不提供不得分）</w:t>
            </w:r>
          </w:p>
          <w:p>
            <w:pPr>
              <w:spacing w:line="276" w:lineRule="auto"/>
              <w:rPr>
                <w:rFonts w:hint="eastAsia" w:ascii="宋体" w:hAnsi="宋体" w:cs="仿宋"/>
                <w:color w:val="000000"/>
                <w:sz w:val="21"/>
                <w:szCs w:val="21"/>
              </w:rPr>
            </w:pPr>
            <w:r>
              <w:rPr>
                <w:rFonts w:hint="eastAsia" w:ascii="宋体" w:hAnsi="宋体" w:cs="仿宋"/>
                <w:color w:val="000000"/>
                <w:sz w:val="21"/>
                <w:szCs w:val="21"/>
              </w:rPr>
              <w:t>3.司乘人员抓拍性能试验：支持前排人脸检测，并识别主驾驶员的性别、是否戴眼镜结构化属性信息，可在抓拍图上叠加主/副驾驶人脸小图和主驾驶员的结构化属性信息。 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需提供</w:t>
            </w:r>
            <w:r>
              <w:rPr>
                <w:rFonts w:hint="eastAsia" w:ascii="宋体" w:hAnsi="宋体" w:cs="仿宋"/>
                <w:color w:val="000000"/>
                <w:sz w:val="21"/>
                <w:szCs w:val="21"/>
                <w:lang w:eastAsia="zh-CN"/>
              </w:rPr>
              <w:t>国家认可的</w:t>
            </w:r>
            <w:r>
              <w:rPr>
                <w:rFonts w:hint="eastAsia" w:ascii="宋体" w:hAnsi="宋体" w:cs="仿宋"/>
                <w:color w:val="000000"/>
                <w:sz w:val="21"/>
                <w:szCs w:val="21"/>
              </w:rPr>
              <w:t>机构出具的检测报告复印件并加盖</w:t>
            </w:r>
            <w:r>
              <w:rPr>
                <w:rFonts w:hint="eastAsia" w:ascii="宋体" w:hAnsi="宋体" w:cs="仿宋"/>
                <w:color w:val="000000"/>
                <w:sz w:val="21"/>
                <w:szCs w:val="21"/>
                <w:lang w:eastAsia="zh-CN"/>
              </w:rPr>
              <w:t>投标人</w:t>
            </w:r>
            <w:r>
              <w:rPr>
                <w:rFonts w:hint="eastAsia" w:ascii="宋体" w:hAnsi="宋体" w:cs="仿宋"/>
                <w:color w:val="000000"/>
                <w:sz w:val="21"/>
                <w:szCs w:val="21"/>
              </w:rPr>
              <w:t>公章，提供得3分，不提供不得分）</w:t>
            </w:r>
          </w:p>
          <w:p>
            <w:pPr>
              <w:spacing w:line="276" w:lineRule="auto"/>
              <w:rPr>
                <w:rFonts w:hint="eastAsia" w:ascii="宋体" w:hAnsi="宋体" w:cs="仿宋"/>
                <w:color w:val="000000"/>
                <w:sz w:val="21"/>
                <w:szCs w:val="21"/>
              </w:rPr>
            </w:pPr>
            <w:r>
              <w:rPr>
                <w:rFonts w:hint="eastAsia" w:ascii="宋体" w:hAnsi="宋体" w:cs="仿宋"/>
                <w:color w:val="000000"/>
                <w:sz w:val="21"/>
                <w:szCs w:val="21"/>
              </w:rPr>
              <w:t>4.车牌识别功能检查：支持对25×10 像素～1100×3000 像素的机动车车牌进行抓拍并识别号码； 支持抓拍并识别垂直倾斜角度≤45°、水平倾斜角度≤35°、俯仰角度≤40°的机动车车牌号码。（需提供</w:t>
            </w:r>
            <w:r>
              <w:rPr>
                <w:rFonts w:hint="eastAsia" w:ascii="宋体" w:hAnsi="宋体" w:cs="仿宋"/>
                <w:color w:val="000000"/>
                <w:sz w:val="21"/>
                <w:szCs w:val="21"/>
                <w:lang w:eastAsia="zh-CN"/>
              </w:rPr>
              <w:t>国家认可的</w:t>
            </w:r>
            <w:r>
              <w:rPr>
                <w:rFonts w:hint="eastAsia" w:ascii="宋体" w:hAnsi="宋体" w:cs="仿宋"/>
                <w:color w:val="000000"/>
                <w:sz w:val="21"/>
                <w:szCs w:val="21"/>
              </w:rPr>
              <w:t>机构出具的检测报告复印件并加盖</w:t>
            </w:r>
            <w:r>
              <w:rPr>
                <w:rFonts w:hint="eastAsia" w:ascii="宋体" w:hAnsi="宋体" w:cs="仿宋"/>
                <w:color w:val="000000"/>
                <w:sz w:val="21"/>
                <w:szCs w:val="21"/>
                <w:lang w:eastAsia="zh-CN"/>
              </w:rPr>
              <w:t>投标人</w:t>
            </w:r>
            <w:r>
              <w:rPr>
                <w:rFonts w:hint="eastAsia" w:ascii="宋体" w:hAnsi="宋体" w:cs="仿宋"/>
                <w:color w:val="000000"/>
                <w:sz w:val="21"/>
                <w:szCs w:val="21"/>
              </w:rPr>
              <w:t>公章，提供得3分，不提供不得分）</w:t>
            </w:r>
          </w:p>
          <w:p>
            <w:pPr>
              <w:spacing w:line="276" w:lineRule="auto"/>
              <w:rPr>
                <w:rFonts w:hint="eastAsia" w:ascii="宋体" w:hAnsi="宋体" w:cs="仿宋"/>
                <w:color w:val="000000"/>
                <w:sz w:val="21"/>
                <w:szCs w:val="21"/>
              </w:rPr>
            </w:pPr>
            <w:r>
              <w:rPr>
                <w:rFonts w:hint="eastAsia" w:ascii="宋体" w:hAnsi="宋体" w:cs="仿宋"/>
                <w:color w:val="000000"/>
                <w:sz w:val="21"/>
                <w:szCs w:val="21"/>
              </w:rPr>
              <w:t>5.目标跟踪功能检查 ：支持检测并跟踪指定区域内不少于 245 个目标，目标包括机动车、非机动车以及行人。（需提供</w:t>
            </w:r>
            <w:r>
              <w:rPr>
                <w:rFonts w:hint="eastAsia" w:ascii="宋体" w:hAnsi="宋体" w:cs="仿宋"/>
                <w:color w:val="000000"/>
                <w:sz w:val="21"/>
                <w:szCs w:val="21"/>
                <w:lang w:eastAsia="zh-CN"/>
              </w:rPr>
              <w:t>国家认可的</w:t>
            </w:r>
            <w:r>
              <w:rPr>
                <w:rFonts w:hint="eastAsia" w:ascii="宋体" w:hAnsi="宋体" w:cs="仿宋"/>
                <w:color w:val="000000"/>
                <w:sz w:val="21"/>
                <w:szCs w:val="21"/>
              </w:rPr>
              <w:t>机构出具的检测报告复印件并加盖</w:t>
            </w:r>
            <w:r>
              <w:rPr>
                <w:rFonts w:hint="eastAsia" w:ascii="宋体" w:hAnsi="宋体" w:cs="仿宋"/>
                <w:color w:val="000000"/>
                <w:sz w:val="21"/>
                <w:szCs w:val="21"/>
                <w:lang w:eastAsia="zh-CN"/>
              </w:rPr>
              <w:t>投标人</w:t>
            </w:r>
            <w:r>
              <w:rPr>
                <w:rFonts w:hint="eastAsia" w:ascii="宋体" w:hAnsi="宋体" w:cs="仿宋"/>
                <w:color w:val="000000"/>
                <w:sz w:val="21"/>
                <w:szCs w:val="21"/>
              </w:rPr>
              <w:t>公章，提供得3分，不提供不得分）</w:t>
            </w:r>
          </w:p>
        </w:tc>
        <w:tc>
          <w:tcPr>
            <w:tcW w:w="690" w:type="dxa"/>
            <w:noWrap w:val="0"/>
            <w:vAlign w:val="center"/>
          </w:tcPr>
          <w:p>
            <w:pPr>
              <w:spacing w:line="276" w:lineRule="auto"/>
              <w:jc w:val="center"/>
              <w:rPr>
                <w:rFonts w:ascii="宋体" w:hAnsi="宋体"/>
                <w:b/>
                <w:bCs/>
                <w:color w:val="000000"/>
                <w:sz w:val="21"/>
                <w:szCs w:val="21"/>
              </w:rPr>
            </w:pPr>
            <w:r>
              <w:rPr>
                <w:rFonts w:hint="eastAsia" w:ascii="宋体" w:hAnsi="宋体"/>
                <w:b/>
                <w:bCs/>
                <w:color w:val="000000"/>
                <w:sz w:val="21"/>
                <w:szCs w:val="21"/>
              </w:rPr>
              <w:t>15</w:t>
            </w:r>
          </w:p>
        </w:tc>
        <w:tc>
          <w:tcPr>
            <w:tcW w:w="690" w:type="dxa"/>
            <w:noWrap w:val="0"/>
            <w:vAlign w:val="center"/>
          </w:tcPr>
          <w:p>
            <w:pPr>
              <w:spacing w:line="276" w:lineRule="auto"/>
              <w:jc w:val="center"/>
              <w:rPr>
                <w:rFonts w:hint="eastAsia" w:ascii="宋体" w:hAnsi="宋体"/>
                <w:b/>
                <w:bCs/>
                <w:color w:val="000000"/>
                <w:sz w:val="21"/>
                <w:szCs w:val="21"/>
              </w:rPr>
            </w:pPr>
            <w:r>
              <w:rPr>
                <w:rFonts w:hint="eastAsia" w:ascii="宋体" w:hAnsi="宋体"/>
                <w:b/>
                <w:bCs/>
                <w:color w:val="000000"/>
                <w:sz w:val="21"/>
                <w:szCs w:val="21"/>
                <w:lang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4" w:hRule="atLeast"/>
          <w:jc w:val="center"/>
        </w:trPr>
        <w:tc>
          <w:tcPr>
            <w:tcW w:w="709" w:type="dxa"/>
            <w:vMerge w:val="continue"/>
            <w:noWrap w:val="0"/>
            <w:vAlign w:val="center"/>
          </w:tcPr>
          <w:p>
            <w:pPr>
              <w:widowControl/>
              <w:spacing w:line="276" w:lineRule="auto"/>
              <w:jc w:val="center"/>
              <w:rPr>
                <w:rFonts w:ascii="宋体" w:hAnsi="宋体"/>
                <w:b/>
                <w:color w:val="000000"/>
                <w:sz w:val="21"/>
                <w:szCs w:val="21"/>
              </w:rPr>
            </w:pPr>
          </w:p>
        </w:tc>
        <w:tc>
          <w:tcPr>
            <w:tcW w:w="1331" w:type="dxa"/>
            <w:vMerge w:val="continue"/>
            <w:noWrap w:val="0"/>
            <w:vAlign w:val="center"/>
          </w:tcPr>
          <w:p>
            <w:pPr>
              <w:widowControl/>
              <w:spacing w:line="276" w:lineRule="auto"/>
              <w:jc w:val="center"/>
              <w:rPr>
                <w:rFonts w:ascii="宋体" w:hAnsi="宋体"/>
                <w:b/>
                <w:color w:val="000000"/>
                <w:sz w:val="21"/>
                <w:szCs w:val="21"/>
              </w:rPr>
            </w:pPr>
          </w:p>
        </w:tc>
        <w:tc>
          <w:tcPr>
            <w:tcW w:w="6479" w:type="dxa"/>
            <w:noWrap w:val="0"/>
            <w:vAlign w:val="center"/>
          </w:tcPr>
          <w:p>
            <w:pPr>
              <w:spacing w:line="276" w:lineRule="auto"/>
              <w:rPr>
                <w:rFonts w:hint="eastAsia" w:ascii="宋体" w:hAnsi="宋体" w:cs="仿宋"/>
                <w:color w:val="000000"/>
                <w:sz w:val="21"/>
                <w:szCs w:val="21"/>
              </w:rPr>
            </w:pPr>
            <w:r>
              <w:rPr>
                <w:rFonts w:hint="eastAsia" w:ascii="宋体" w:hAnsi="宋体" w:cs="仿宋"/>
                <w:color w:val="000000"/>
                <w:sz w:val="21"/>
                <w:szCs w:val="21"/>
              </w:rPr>
              <w:t>红外球机：</w:t>
            </w:r>
          </w:p>
          <w:p>
            <w:pPr>
              <w:spacing w:line="276" w:lineRule="auto"/>
              <w:rPr>
                <w:rFonts w:hint="eastAsia" w:ascii="宋体" w:hAnsi="宋体" w:cs="仿宋"/>
                <w:color w:val="000000"/>
                <w:sz w:val="21"/>
                <w:szCs w:val="21"/>
              </w:rPr>
            </w:pPr>
            <w:r>
              <w:rPr>
                <w:rFonts w:hint="eastAsia" w:ascii="宋体" w:hAnsi="宋体" w:cs="仿宋"/>
                <w:color w:val="000000"/>
                <w:sz w:val="21"/>
                <w:szCs w:val="21"/>
              </w:rPr>
              <w:t>支持坑槽检测、裂缝检测、龟裂检测，可上传报警及抓拍图片；支持配置16个检测场景；支持配置灵敏度、叠加目标框；当监控场景内，事件触发报警后，可联动报警输出和上传图片；智能交通事件检测和普通公路事件检测可根据智能布防时间自动切换（需提供</w:t>
            </w:r>
            <w:r>
              <w:rPr>
                <w:rFonts w:hint="eastAsia" w:ascii="宋体" w:hAnsi="宋体" w:cs="仿宋"/>
                <w:color w:val="000000"/>
                <w:sz w:val="21"/>
                <w:szCs w:val="21"/>
                <w:lang w:eastAsia="zh-CN"/>
              </w:rPr>
              <w:t>国家认可的</w:t>
            </w:r>
            <w:r>
              <w:rPr>
                <w:rFonts w:hint="eastAsia" w:ascii="宋体" w:hAnsi="宋体" w:cs="仿宋"/>
                <w:color w:val="000000"/>
                <w:sz w:val="21"/>
                <w:szCs w:val="21"/>
              </w:rPr>
              <w:t>机构出具的检测报告复印件并加盖</w:t>
            </w:r>
            <w:r>
              <w:rPr>
                <w:rFonts w:hint="eastAsia" w:ascii="宋体" w:hAnsi="宋体" w:cs="仿宋"/>
                <w:color w:val="000000"/>
                <w:sz w:val="21"/>
                <w:szCs w:val="21"/>
                <w:lang w:eastAsia="zh-CN"/>
              </w:rPr>
              <w:t>投标人</w:t>
            </w:r>
            <w:r>
              <w:rPr>
                <w:rFonts w:hint="eastAsia" w:ascii="宋体" w:hAnsi="宋体" w:cs="仿宋"/>
                <w:color w:val="000000"/>
                <w:sz w:val="21"/>
                <w:szCs w:val="21"/>
              </w:rPr>
              <w:t>公章，提供得3分，不提供不得分）</w:t>
            </w:r>
          </w:p>
        </w:tc>
        <w:tc>
          <w:tcPr>
            <w:tcW w:w="690" w:type="dxa"/>
            <w:noWrap w:val="0"/>
            <w:vAlign w:val="center"/>
          </w:tcPr>
          <w:p>
            <w:pPr>
              <w:spacing w:line="276" w:lineRule="auto"/>
              <w:jc w:val="center"/>
              <w:rPr>
                <w:rFonts w:ascii="宋体" w:hAnsi="宋体"/>
                <w:b/>
                <w:bCs/>
                <w:color w:val="000000"/>
                <w:sz w:val="21"/>
                <w:szCs w:val="21"/>
              </w:rPr>
            </w:pPr>
            <w:r>
              <w:rPr>
                <w:rFonts w:hint="eastAsia" w:ascii="宋体" w:hAnsi="宋体"/>
                <w:b/>
                <w:bCs/>
                <w:color w:val="000000"/>
                <w:sz w:val="21"/>
                <w:szCs w:val="21"/>
              </w:rPr>
              <w:t>3</w:t>
            </w:r>
          </w:p>
        </w:tc>
        <w:tc>
          <w:tcPr>
            <w:tcW w:w="690" w:type="dxa"/>
            <w:noWrap w:val="0"/>
            <w:vAlign w:val="center"/>
          </w:tcPr>
          <w:p>
            <w:pPr>
              <w:spacing w:line="276" w:lineRule="auto"/>
              <w:jc w:val="center"/>
              <w:rPr>
                <w:rFonts w:hint="eastAsia" w:ascii="宋体" w:hAnsi="宋体"/>
                <w:b/>
                <w:bCs/>
                <w:color w:val="000000"/>
                <w:sz w:val="21"/>
                <w:szCs w:val="21"/>
              </w:rPr>
            </w:pPr>
            <w:r>
              <w:rPr>
                <w:rFonts w:hint="eastAsia" w:ascii="宋体" w:hAnsi="宋体"/>
                <w:b/>
                <w:bCs/>
                <w:color w:val="000000"/>
                <w:sz w:val="21"/>
                <w:szCs w:val="21"/>
                <w:lang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noWrap w:val="0"/>
            <w:vAlign w:val="center"/>
          </w:tcPr>
          <w:p>
            <w:pPr>
              <w:widowControl/>
              <w:spacing w:line="276" w:lineRule="auto"/>
              <w:jc w:val="center"/>
              <w:rPr>
                <w:rFonts w:ascii="宋体" w:hAnsi="宋体"/>
                <w:b/>
                <w:color w:val="000000"/>
                <w:sz w:val="21"/>
                <w:szCs w:val="21"/>
              </w:rPr>
            </w:pPr>
          </w:p>
        </w:tc>
        <w:tc>
          <w:tcPr>
            <w:tcW w:w="1331" w:type="dxa"/>
            <w:vMerge w:val="continue"/>
            <w:noWrap w:val="0"/>
            <w:vAlign w:val="center"/>
          </w:tcPr>
          <w:p>
            <w:pPr>
              <w:widowControl/>
              <w:spacing w:line="276" w:lineRule="auto"/>
              <w:jc w:val="center"/>
              <w:rPr>
                <w:rFonts w:ascii="宋体" w:hAnsi="宋体"/>
                <w:b/>
                <w:color w:val="000000"/>
                <w:sz w:val="21"/>
                <w:szCs w:val="21"/>
              </w:rPr>
            </w:pPr>
          </w:p>
        </w:tc>
        <w:tc>
          <w:tcPr>
            <w:tcW w:w="6479" w:type="dxa"/>
            <w:noWrap w:val="0"/>
            <w:vAlign w:val="center"/>
          </w:tcPr>
          <w:p>
            <w:pPr>
              <w:spacing w:line="276" w:lineRule="auto"/>
              <w:rPr>
                <w:rFonts w:hint="eastAsia" w:ascii="宋体" w:hAnsi="宋体" w:cs="仿宋"/>
                <w:color w:val="000000"/>
                <w:sz w:val="21"/>
                <w:szCs w:val="21"/>
              </w:rPr>
            </w:pPr>
            <w:r>
              <w:rPr>
                <w:rFonts w:hint="eastAsia" w:ascii="宋体" w:hAnsi="宋体" w:cs="仿宋"/>
                <w:color w:val="000000"/>
                <w:sz w:val="21"/>
                <w:szCs w:val="21"/>
              </w:rPr>
              <w:t>物联网智能监控管理终端；</w:t>
            </w:r>
          </w:p>
          <w:p>
            <w:pPr>
              <w:spacing w:line="276" w:lineRule="auto"/>
              <w:rPr>
                <w:rFonts w:hint="eastAsia" w:ascii="宋体" w:hAnsi="宋体" w:cs="仿宋"/>
                <w:color w:val="000000"/>
                <w:sz w:val="21"/>
                <w:szCs w:val="21"/>
              </w:rPr>
            </w:pPr>
            <w:r>
              <w:rPr>
                <w:rFonts w:hint="eastAsia" w:ascii="宋体" w:hAnsi="宋体" w:cs="仿宋"/>
                <w:color w:val="000000"/>
                <w:sz w:val="21"/>
                <w:szCs w:val="21"/>
              </w:rPr>
              <w:t>1.可设置图片的存储空间，在规定的空间内自动循环覆盖，剩余空间为录像存储空间。（需提供</w:t>
            </w:r>
            <w:r>
              <w:rPr>
                <w:rFonts w:hint="eastAsia" w:ascii="宋体" w:hAnsi="宋体" w:cs="仿宋"/>
                <w:color w:val="000000"/>
                <w:sz w:val="21"/>
                <w:szCs w:val="21"/>
                <w:lang w:eastAsia="zh-CN"/>
              </w:rPr>
              <w:t>国家认可的</w:t>
            </w:r>
            <w:r>
              <w:rPr>
                <w:rFonts w:hint="eastAsia" w:ascii="宋体" w:hAnsi="宋体" w:cs="仿宋"/>
                <w:color w:val="000000"/>
                <w:sz w:val="21"/>
                <w:szCs w:val="21"/>
              </w:rPr>
              <w:t>机构出具的检测报告复印件并加盖</w:t>
            </w:r>
            <w:r>
              <w:rPr>
                <w:rFonts w:hint="eastAsia" w:ascii="宋体" w:hAnsi="宋体" w:cs="仿宋"/>
                <w:color w:val="000000"/>
                <w:sz w:val="21"/>
                <w:szCs w:val="21"/>
                <w:lang w:eastAsia="zh-CN"/>
              </w:rPr>
              <w:t>投标人</w:t>
            </w:r>
            <w:r>
              <w:rPr>
                <w:rFonts w:hint="eastAsia" w:ascii="宋体" w:hAnsi="宋体" w:cs="仿宋"/>
                <w:color w:val="000000"/>
                <w:sz w:val="21"/>
                <w:szCs w:val="21"/>
              </w:rPr>
              <w:t>公章，提供得</w:t>
            </w:r>
            <w:r>
              <w:rPr>
                <w:rFonts w:ascii="宋体" w:hAnsi="宋体" w:cs="仿宋"/>
                <w:color w:val="000000"/>
                <w:sz w:val="21"/>
                <w:szCs w:val="21"/>
              </w:rPr>
              <w:t>4</w:t>
            </w:r>
            <w:r>
              <w:rPr>
                <w:rFonts w:hint="eastAsia" w:ascii="宋体" w:hAnsi="宋体" w:cs="仿宋"/>
                <w:color w:val="000000"/>
                <w:sz w:val="21"/>
                <w:szCs w:val="21"/>
              </w:rPr>
              <w:t>分，不提供不得分）</w:t>
            </w:r>
          </w:p>
          <w:p>
            <w:pPr>
              <w:spacing w:line="276" w:lineRule="auto"/>
              <w:rPr>
                <w:rFonts w:hint="eastAsia" w:ascii="宋体" w:hAnsi="宋体" w:cs="仿宋"/>
                <w:color w:val="000000"/>
                <w:sz w:val="21"/>
                <w:szCs w:val="21"/>
              </w:rPr>
            </w:pPr>
            <w:r>
              <w:rPr>
                <w:rFonts w:hint="eastAsia" w:ascii="宋体" w:hAnsi="宋体" w:cs="仿宋"/>
                <w:color w:val="000000"/>
                <w:sz w:val="21"/>
                <w:szCs w:val="21"/>
              </w:rPr>
              <w:t>2.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需提供</w:t>
            </w:r>
            <w:r>
              <w:rPr>
                <w:rFonts w:hint="eastAsia" w:ascii="宋体" w:hAnsi="宋体" w:cs="仿宋"/>
                <w:color w:val="000000"/>
                <w:sz w:val="21"/>
                <w:szCs w:val="21"/>
                <w:lang w:eastAsia="zh-CN"/>
              </w:rPr>
              <w:t>国家认可的</w:t>
            </w:r>
            <w:r>
              <w:rPr>
                <w:rFonts w:hint="eastAsia" w:ascii="宋体" w:hAnsi="宋体" w:cs="仿宋"/>
                <w:color w:val="000000"/>
                <w:sz w:val="21"/>
                <w:szCs w:val="21"/>
              </w:rPr>
              <w:t>机构出具的检测报告复印件并加盖</w:t>
            </w:r>
            <w:r>
              <w:rPr>
                <w:rFonts w:hint="eastAsia" w:ascii="宋体" w:hAnsi="宋体" w:cs="仿宋"/>
                <w:color w:val="000000"/>
                <w:sz w:val="21"/>
                <w:szCs w:val="21"/>
                <w:lang w:eastAsia="zh-CN"/>
              </w:rPr>
              <w:t>投标人</w:t>
            </w:r>
            <w:r>
              <w:rPr>
                <w:rFonts w:hint="eastAsia" w:ascii="宋体" w:hAnsi="宋体" w:cs="仿宋"/>
                <w:color w:val="000000"/>
                <w:sz w:val="21"/>
                <w:szCs w:val="21"/>
              </w:rPr>
              <w:t>公章，提供得</w:t>
            </w:r>
            <w:r>
              <w:rPr>
                <w:rFonts w:ascii="宋体" w:hAnsi="宋体" w:cs="仿宋"/>
                <w:color w:val="000000"/>
                <w:sz w:val="21"/>
                <w:szCs w:val="21"/>
              </w:rPr>
              <w:t>4</w:t>
            </w:r>
            <w:r>
              <w:rPr>
                <w:rFonts w:hint="eastAsia" w:ascii="宋体" w:hAnsi="宋体" w:cs="仿宋"/>
                <w:color w:val="000000"/>
                <w:sz w:val="21"/>
                <w:szCs w:val="21"/>
              </w:rPr>
              <w:t>分，不提供不得分）</w:t>
            </w:r>
          </w:p>
          <w:p>
            <w:pPr>
              <w:spacing w:line="276" w:lineRule="auto"/>
              <w:rPr>
                <w:rFonts w:hint="eastAsia" w:ascii="宋体" w:hAnsi="宋体" w:cs="仿宋"/>
                <w:color w:val="000000"/>
                <w:sz w:val="21"/>
                <w:szCs w:val="21"/>
              </w:rPr>
            </w:pPr>
            <w:r>
              <w:rPr>
                <w:rFonts w:hint="eastAsia" w:ascii="宋体" w:hAnsi="宋体" w:cs="仿宋"/>
                <w:color w:val="000000"/>
                <w:sz w:val="21"/>
                <w:szCs w:val="21"/>
              </w:rPr>
              <w:t>3.对于在记录过程中出现的系统死机或意外故障，设备能够在规定的时间内自动恢复其正常工作状态并使故障前的信息不丢失。（需提供</w:t>
            </w:r>
            <w:r>
              <w:rPr>
                <w:rFonts w:hint="eastAsia" w:ascii="宋体" w:hAnsi="宋体" w:cs="仿宋"/>
                <w:color w:val="000000"/>
                <w:sz w:val="21"/>
                <w:szCs w:val="21"/>
                <w:lang w:eastAsia="zh-CN"/>
              </w:rPr>
              <w:t>国家认可的</w:t>
            </w:r>
            <w:r>
              <w:rPr>
                <w:rFonts w:hint="eastAsia" w:ascii="宋体" w:hAnsi="宋体" w:cs="仿宋"/>
                <w:color w:val="000000"/>
                <w:sz w:val="21"/>
                <w:szCs w:val="21"/>
              </w:rPr>
              <w:t>机构出具的检测报告复印件并加盖</w:t>
            </w:r>
            <w:r>
              <w:rPr>
                <w:rFonts w:hint="eastAsia" w:ascii="宋体" w:hAnsi="宋体" w:cs="仿宋"/>
                <w:color w:val="000000"/>
                <w:sz w:val="21"/>
                <w:szCs w:val="21"/>
                <w:lang w:eastAsia="zh-CN"/>
              </w:rPr>
              <w:t>投标人</w:t>
            </w:r>
            <w:r>
              <w:rPr>
                <w:rFonts w:hint="eastAsia" w:ascii="宋体" w:hAnsi="宋体" w:cs="仿宋"/>
                <w:color w:val="000000"/>
                <w:sz w:val="21"/>
                <w:szCs w:val="21"/>
              </w:rPr>
              <w:t>公章，提供得</w:t>
            </w:r>
            <w:r>
              <w:rPr>
                <w:rFonts w:ascii="宋体" w:hAnsi="宋体" w:cs="仿宋"/>
                <w:color w:val="000000"/>
                <w:sz w:val="21"/>
                <w:szCs w:val="21"/>
              </w:rPr>
              <w:t>4</w:t>
            </w:r>
            <w:r>
              <w:rPr>
                <w:rFonts w:hint="eastAsia" w:ascii="宋体" w:hAnsi="宋体" w:cs="仿宋"/>
                <w:color w:val="000000"/>
                <w:sz w:val="21"/>
                <w:szCs w:val="21"/>
              </w:rPr>
              <w:t>分，不提供不得分）</w:t>
            </w:r>
          </w:p>
          <w:p>
            <w:pPr>
              <w:spacing w:line="276" w:lineRule="auto"/>
              <w:rPr>
                <w:rFonts w:hint="eastAsia" w:ascii="宋体" w:hAnsi="宋体" w:cs="仿宋"/>
                <w:color w:val="000000"/>
                <w:sz w:val="21"/>
                <w:szCs w:val="21"/>
                <w:highlight w:val="green"/>
              </w:rPr>
            </w:pPr>
            <w:r>
              <w:rPr>
                <w:rFonts w:hint="eastAsia" w:ascii="宋体" w:hAnsi="宋体" w:cs="仿宋"/>
                <w:color w:val="000000"/>
                <w:sz w:val="21"/>
                <w:szCs w:val="21"/>
              </w:rPr>
              <w:t>4.设备内的录像、图片文件无法直接删除或者修改，只能通过循环覆盖和硬盘格式化操作。（需提供</w:t>
            </w:r>
            <w:r>
              <w:rPr>
                <w:rFonts w:hint="eastAsia" w:ascii="宋体" w:hAnsi="宋体" w:cs="仿宋"/>
                <w:color w:val="000000"/>
                <w:sz w:val="21"/>
                <w:szCs w:val="21"/>
                <w:lang w:eastAsia="zh-CN"/>
              </w:rPr>
              <w:t>国家认可的</w:t>
            </w:r>
            <w:r>
              <w:rPr>
                <w:rFonts w:hint="eastAsia" w:ascii="宋体" w:hAnsi="宋体" w:cs="仿宋"/>
                <w:color w:val="000000"/>
                <w:sz w:val="21"/>
                <w:szCs w:val="21"/>
              </w:rPr>
              <w:t>机构出具的检测报告复印件并加盖</w:t>
            </w:r>
            <w:r>
              <w:rPr>
                <w:rFonts w:hint="eastAsia" w:ascii="宋体" w:hAnsi="宋体" w:cs="仿宋"/>
                <w:color w:val="000000"/>
                <w:sz w:val="21"/>
                <w:szCs w:val="21"/>
                <w:lang w:eastAsia="zh-CN"/>
              </w:rPr>
              <w:t>投标人</w:t>
            </w:r>
            <w:r>
              <w:rPr>
                <w:rFonts w:hint="eastAsia" w:ascii="宋体" w:hAnsi="宋体" w:cs="仿宋"/>
                <w:color w:val="000000"/>
                <w:sz w:val="21"/>
                <w:szCs w:val="21"/>
              </w:rPr>
              <w:t>公章，提供得</w:t>
            </w:r>
            <w:r>
              <w:rPr>
                <w:rFonts w:ascii="宋体" w:hAnsi="宋体" w:cs="仿宋"/>
                <w:color w:val="000000"/>
                <w:sz w:val="21"/>
                <w:szCs w:val="21"/>
              </w:rPr>
              <w:t>4</w:t>
            </w:r>
            <w:r>
              <w:rPr>
                <w:rFonts w:hint="eastAsia" w:ascii="宋体" w:hAnsi="宋体" w:cs="仿宋"/>
                <w:color w:val="000000"/>
                <w:sz w:val="21"/>
                <w:szCs w:val="21"/>
              </w:rPr>
              <w:t>分，不提供不得分）</w:t>
            </w:r>
          </w:p>
        </w:tc>
        <w:tc>
          <w:tcPr>
            <w:tcW w:w="690" w:type="dxa"/>
            <w:noWrap w:val="0"/>
            <w:vAlign w:val="center"/>
          </w:tcPr>
          <w:p>
            <w:pPr>
              <w:spacing w:line="276" w:lineRule="auto"/>
              <w:jc w:val="center"/>
              <w:rPr>
                <w:rFonts w:ascii="宋体" w:hAnsi="宋体"/>
                <w:b/>
                <w:bCs/>
                <w:color w:val="000000"/>
                <w:sz w:val="21"/>
                <w:szCs w:val="21"/>
              </w:rPr>
            </w:pPr>
            <w:r>
              <w:rPr>
                <w:rFonts w:ascii="宋体" w:hAnsi="宋体"/>
                <w:b/>
                <w:bCs/>
                <w:color w:val="000000"/>
                <w:sz w:val="21"/>
                <w:szCs w:val="21"/>
              </w:rPr>
              <w:t>16</w:t>
            </w:r>
          </w:p>
        </w:tc>
        <w:tc>
          <w:tcPr>
            <w:tcW w:w="690" w:type="dxa"/>
            <w:noWrap w:val="0"/>
            <w:vAlign w:val="center"/>
          </w:tcPr>
          <w:p>
            <w:pPr>
              <w:spacing w:line="276" w:lineRule="auto"/>
              <w:jc w:val="center"/>
              <w:rPr>
                <w:rFonts w:ascii="宋体" w:hAnsi="宋体"/>
                <w:b/>
                <w:bCs/>
                <w:color w:val="000000"/>
                <w:sz w:val="21"/>
                <w:szCs w:val="21"/>
              </w:rPr>
            </w:pPr>
            <w:r>
              <w:rPr>
                <w:rFonts w:hint="eastAsia" w:ascii="宋体" w:hAnsi="宋体"/>
                <w:b/>
                <w:bCs/>
                <w:color w:val="000000"/>
                <w:sz w:val="21"/>
                <w:szCs w:val="21"/>
                <w:lang w:eastAsia="zh-CN"/>
              </w:rPr>
              <w:t>主观分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restart"/>
            <w:noWrap w:val="0"/>
            <w:vAlign w:val="center"/>
          </w:tcPr>
          <w:p>
            <w:pPr>
              <w:widowControl/>
              <w:spacing w:line="276" w:lineRule="auto"/>
              <w:jc w:val="center"/>
              <w:rPr>
                <w:rFonts w:hint="eastAsia" w:ascii="宋体" w:hAnsi="宋体"/>
                <w:b/>
                <w:color w:val="000000"/>
                <w:sz w:val="21"/>
                <w:szCs w:val="21"/>
              </w:rPr>
            </w:pPr>
            <w:r>
              <w:rPr>
                <w:rFonts w:hint="eastAsia" w:ascii="宋体" w:hAnsi="宋体"/>
                <w:b/>
                <w:color w:val="000000"/>
                <w:sz w:val="21"/>
                <w:szCs w:val="21"/>
              </w:rPr>
              <w:t>4</w:t>
            </w:r>
          </w:p>
        </w:tc>
        <w:tc>
          <w:tcPr>
            <w:tcW w:w="1331" w:type="dxa"/>
            <w:vMerge w:val="restart"/>
            <w:noWrap w:val="0"/>
            <w:vAlign w:val="center"/>
          </w:tcPr>
          <w:p>
            <w:pPr>
              <w:widowControl/>
              <w:spacing w:line="276" w:lineRule="auto"/>
              <w:jc w:val="center"/>
              <w:rPr>
                <w:rFonts w:ascii="宋体" w:hAnsi="宋体"/>
                <w:b/>
                <w:color w:val="000000"/>
                <w:sz w:val="21"/>
                <w:szCs w:val="21"/>
              </w:rPr>
            </w:pPr>
            <w:r>
              <w:rPr>
                <w:rFonts w:hint="eastAsia" w:ascii="宋体" w:hAnsi="宋体"/>
                <w:b/>
                <w:color w:val="000000"/>
                <w:sz w:val="21"/>
                <w:szCs w:val="21"/>
              </w:rPr>
              <w:t>商务部分</w:t>
            </w:r>
          </w:p>
        </w:tc>
        <w:tc>
          <w:tcPr>
            <w:tcW w:w="6479" w:type="dxa"/>
            <w:noWrap w:val="0"/>
            <w:vAlign w:val="center"/>
          </w:tcPr>
          <w:p>
            <w:pPr>
              <w:spacing w:line="276" w:lineRule="auto"/>
              <w:rPr>
                <w:rFonts w:hint="eastAsia" w:ascii="宋体" w:hAnsi="宋体" w:cs="仿宋"/>
                <w:color w:val="000000"/>
                <w:sz w:val="21"/>
                <w:szCs w:val="21"/>
                <w:highlight w:val="yellow"/>
              </w:rPr>
            </w:pPr>
            <w:r>
              <w:rPr>
                <w:rFonts w:hint="eastAsia" w:ascii="宋体" w:hAnsi="宋体" w:cs="仿宋"/>
                <w:color w:val="000000"/>
                <w:sz w:val="21"/>
                <w:szCs w:val="21"/>
              </w:rPr>
              <w:t>1.为保障项目规范推进，投标人或投标人所投核心产品制造商具备符合《商品售后服务评价体系》（GB/T 27922）的售后服务认证证书的，得</w:t>
            </w:r>
            <w:r>
              <w:rPr>
                <w:rFonts w:ascii="宋体" w:hAnsi="宋体" w:cs="仿宋"/>
                <w:color w:val="000000"/>
                <w:sz w:val="21"/>
                <w:szCs w:val="21"/>
              </w:rPr>
              <w:t>4</w:t>
            </w:r>
            <w:r>
              <w:rPr>
                <w:rFonts w:hint="eastAsia" w:ascii="宋体" w:hAnsi="宋体" w:cs="仿宋"/>
                <w:color w:val="000000"/>
                <w:sz w:val="21"/>
                <w:szCs w:val="21"/>
              </w:rPr>
              <w:t>分，不提供不得分。（需提供证书</w:t>
            </w:r>
            <w:r>
              <w:rPr>
                <w:rFonts w:hint="eastAsia" w:ascii="宋体" w:hAnsi="宋体" w:cs="仿宋"/>
                <w:color w:val="000000"/>
                <w:sz w:val="21"/>
                <w:szCs w:val="21"/>
                <w:lang w:eastAsia="zh-CN"/>
              </w:rPr>
              <w:t>或</w:t>
            </w:r>
            <w:r>
              <w:rPr>
                <w:rFonts w:hint="eastAsia" w:ascii="宋体" w:hAnsi="宋体" w:cs="仿宋"/>
                <w:color w:val="000000"/>
                <w:sz w:val="21"/>
                <w:szCs w:val="21"/>
              </w:rPr>
              <w:t>相关证明材料复印件并加盖</w:t>
            </w:r>
            <w:r>
              <w:rPr>
                <w:rFonts w:hint="eastAsia" w:ascii="宋体" w:hAnsi="宋体" w:cs="仿宋"/>
                <w:color w:val="000000"/>
                <w:sz w:val="21"/>
                <w:szCs w:val="21"/>
                <w:lang w:eastAsia="zh-CN"/>
              </w:rPr>
              <w:t>投标人</w:t>
            </w:r>
            <w:r>
              <w:rPr>
                <w:rFonts w:hint="eastAsia" w:ascii="宋体" w:hAnsi="宋体" w:cs="仿宋"/>
                <w:color w:val="000000"/>
                <w:sz w:val="21"/>
                <w:szCs w:val="21"/>
              </w:rPr>
              <w:t>公章）</w:t>
            </w:r>
          </w:p>
        </w:tc>
        <w:tc>
          <w:tcPr>
            <w:tcW w:w="690" w:type="dxa"/>
            <w:noWrap w:val="0"/>
            <w:vAlign w:val="center"/>
          </w:tcPr>
          <w:p>
            <w:pPr>
              <w:spacing w:line="276" w:lineRule="auto"/>
              <w:jc w:val="center"/>
              <w:rPr>
                <w:rFonts w:ascii="宋体" w:hAnsi="宋体"/>
                <w:b/>
                <w:bCs/>
                <w:color w:val="000000"/>
                <w:sz w:val="21"/>
                <w:szCs w:val="21"/>
              </w:rPr>
            </w:pPr>
            <w:r>
              <w:rPr>
                <w:rFonts w:ascii="宋体" w:hAnsi="宋体"/>
                <w:b/>
                <w:bCs/>
                <w:color w:val="000000"/>
                <w:sz w:val="21"/>
                <w:szCs w:val="21"/>
              </w:rPr>
              <w:t>4</w:t>
            </w:r>
          </w:p>
        </w:tc>
        <w:tc>
          <w:tcPr>
            <w:tcW w:w="690" w:type="dxa"/>
            <w:noWrap w:val="0"/>
            <w:vAlign w:val="center"/>
          </w:tcPr>
          <w:p>
            <w:pPr>
              <w:spacing w:line="276" w:lineRule="auto"/>
              <w:jc w:val="center"/>
              <w:rPr>
                <w:rFonts w:hint="eastAsia" w:ascii="宋体" w:hAnsi="宋体" w:eastAsia="仿宋"/>
                <w:b/>
                <w:bCs/>
                <w:color w:val="000000"/>
                <w:sz w:val="21"/>
                <w:szCs w:val="21"/>
                <w:lang w:eastAsia="zh-CN"/>
              </w:rPr>
            </w:pPr>
            <w:r>
              <w:rPr>
                <w:rFonts w:hint="eastAsia" w:ascii="宋体" w:hAnsi="宋体"/>
                <w:b/>
                <w:bCs/>
                <w:color w:val="000000"/>
                <w:sz w:val="21"/>
                <w:szCs w:val="21"/>
                <w:lang w:eastAsia="zh-CN"/>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9" w:type="dxa"/>
            <w:vMerge w:val="continue"/>
            <w:noWrap w:val="0"/>
            <w:vAlign w:val="center"/>
          </w:tcPr>
          <w:p>
            <w:pPr>
              <w:widowControl/>
              <w:spacing w:line="276" w:lineRule="auto"/>
              <w:jc w:val="center"/>
              <w:rPr>
                <w:rFonts w:ascii="宋体" w:hAnsi="宋体"/>
                <w:b/>
                <w:color w:val="000000"/>
                <w:sz w:val="21"/>
                <w:szCs w:val="21"/>
              </w:rPr>
            </w:pPr>
          </w:p>
        </w:tc>
        <w:tc>
          <w:tcPr>
            <w:tcW w:w="1331" w:type="dxa"/>
            <w:vMerge w:val="continue"/>
            <w:noWrap w:val="0"/>
            <w:vAlign w:val="center"/>
          </w:tcPr>
          <w:p>
            <w:pPr>
              <w:widowControl/>
              <w:spacing w:line="276" w:lineRule="auto"/>
              <w:jc w:val="center"/>
              <w:rPr>
                <w:rFonts w:ascii="宋体" w:hAnsi="宋体"/>
                <w:b/>
                <w:color w:val="000000"/>
                <w:sz w:val="21"/>
                <w:szCs w:val="21"/>
              </w:rPr>
            </w:pPr>
          </w:p>
        </w:tc>
        <w:tc>
          <w:tcPr>
            <w:tcW w:w="6479" w:type="dxa"/>
            <w:noWrap w:val="0"/>
            <w:vAlign w:val="center"/>
          </w:tcPr>
          <w:p>
            <w:pPr>
              <w:spacing w:line="276" w:lineRule="auto"/>
              <w:rPr>
                <w:rFonts w:hint="eastAsia" w:ascii="宋体" w:hAnsi="宋体" w:cs="仿宋"/>
                <w:color w:val="000000"/>
                <w:sz w:val="21"/>
                <w:szCs w:val="21"/>
                <w:highlight w:val="yellow"/>
              </w:rPr>
            </w:pPr>
            <w:r>
              <w:rPr>
                <w:rFonts w:hint="eastAsia" w:ascii="宋体" w:hAnsi="宋体" w:cs="仿宋"/>
                <w:color w:val="000000"/>
                <w:sz w:val="21"/>
                <w:szCs w:val="21"/>
              </w:rPr>
              <w:t>2.为保障项目规范推进，投标人或投标人所投核心产品制造商获得公安部重点实验室的，得</w:t>
            </w:r>
            <w:r>
              <w:rPr>
                <w:rFonts w:ascii="宋体" w:hAnsi="宋体" w:cs="仿宋"/>
                <w:color w:val="000000"/>
                <w:sz w:val="21"/>
                <w:szCs w:val="21"/>
              </w:rPr>
              <w:t>4</w:t>
            </w:r>
            <w:r>
              <w:rPr>
                <w:rFonts w:hint="eastAsia" w:ascii="宋体" w:hAnsi="宋体" w:cs="仿宋"/>
                <w:color w:val="000000"/>
                <w:sz w:val="21"/>
                <w:szCs w:val="21"/>
              </w:rPr>
              <w:t>分，不提供不得分。（需提供证书</w:t>
            </w:r>
            <w:r>
              <w:rPr>
                <w:rFonts w:hint="eastAsia" w:ascii="宋体" w:hAnsi="宋体" w:cs="仿宋"/>
                <w:color w:val="000000"/>
                <w:sz w:val="21"/>
                <w:szCs w:val="21"/>
                <w:lang w:eastAsia="zh-CN"/>
              </w:rPr>
              <w:t>或</w:t>
            </w:r>
            <w:r>
              <w:rPr>
                <w:rFonts w:hint="eastAsia" w:ascii="宋体" w:hAnsi="宋体" w:cs="仿宋"/>
                <w:color w:val="000000"/>
                <w:sz w:val="21"/>
                <w:szCs w:val="21"/>
              </w:rPr>
              <w:t>相关证明材料复印件并加盖</w:t>
            </w:r>
            <w:r>
              <w:rPr>
                <w:rFonts w:hint="eastAsia" w:ascii="宋体" w:hAnsi="宋体" w:cs="仿宋"/>
                <w:color w:val="000000"/>
                <w:sz w:val="21"/>
                <w:szCs w:val="21"/>
                <w:lang w:eastAsia="zh-CN"/>
              </w:rPr>
              <w:t>投标人</w:t>
            </w:r>
            <w:r>
              <w:rPr>
                <w:rFonts w:hint="eastAsia" w:ascii="宋体" w:hAnsi="宋体" w:cs="仿宋"/>
                <w:color w:val="000000"/>
                <w:sz w:val="21"/>
                <w:szCs w:val="21"/>
              </w:rPr>
              <w:t>公章）</w:t>
            </w:r>
          </w:p>
        </w:tc>
        <w:tc>
          <w:tcPr>
            <w:tcW w:w="690" w:type="dxa"/>
            <w:noWrap w:val="0"/>
            <w:vAlign w:val="center"/>
          </w:tcPr>
          <w:p>
            <w:pPr>
              <w:spacing w:line="276" w:lineRule="auto"/>
              <w:jc w:val="center"/>
              <w:rPr>
                <w:rFonts w:ascii="宋体" w:hAnsi="宋体"/>
                <w:b/>
                <w:bCs/>
                <w:color w:val="000000"/>
                <w:sz w:val="21"/>
                <w:szCs w:val="21"/>
              </w:rPr>
            </w:pPr>
            <w:r>
              <w:rPr>
                <w:rFonts w:ascii="宋体" w:hAnsi="宋体"/>
                <w:b/>
                <w:bCs/>
                <w:color w:val="000000"/>
                <w:sz w:val="21"/>
                <w:szCs w:val="21"/>
              </w:rPr>
              <w:t>4</w:t>
            </w:r>
          </w:p>
        </w:tc>
        <w:tc>
          <w:tcPr>
            <w:tcW w:w="690" w:type="dxa"/>
            <w:noWrap w:val="0"/>
            <w:vAlign w:val="center"/>
          </w:tcPr>
          <w:p>
            <w:pPr>
              <w:spacing w:line="276" w:lineRule="auto"/>
              <w:jc w:val="center"/>
              <w:rPr>
                <w:rFonts w:ascii="宋体" w:hAnsi="宋体"/>
                <w:b/>
                <w:bCs/>
                <w:color w:val="000000"/>
                <w:sz w:val="21"/>
                <w:szCs w:val="21"/>
              </w:rPr>
            </w:pPr>
            <w:r>
              <w:rPr>
                <w:rFonts w:hint="eastAsia" w:ascii="宋体" w:hAnsi="宋体"/>
                <w:b/>
                <w:bCs/>
                <w:color w:val="000000"/>
                <w:sz w:val="21"/>
                <w:szCs w:val="21"/>
                <w:lang w:eastAsia="zh-CN"/>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noWrap w:val="0"/>
            <w:vAlign w:val="center"/>
          </w:tcPr>
          <w:p>
            <w:pPr>
              <w:widowControl/>
              <w:spacing w:line="276" w:lineRule="auto"/>
              <w:jc w:val="center"/>
              <w:rPr>
                <w:rFonts w:ascii="宋体" w:hAnsi="宋体"/>
                <w:b/>
                <w:color w:val="000000"/>
                <w:sz w:val="21"/>
                <w:szCs w:val="21"/>
              </w:rPr>
            </w:pPr>
          </w:p>
        </w:tc>
        <w:tc>
          <w:tcPr>
            <w:tcW w:w="1331" w:type="dxa"/>
            <w:vMerge w:val="continue"/>
            <w:noWrap w:val="0"/>
            <w:vAlign w:val="center"/>
          </w:tcPr>
          <w:p>
            <w:pPr>
              <w:widowControl/>
              <w:spacing w:line="276" w:lineRule="auto"/>
              <w:jc w:val="center"/>
              <w:rPr>
                <w:rFonts w:ascii="宋体" w:hAnsi="宋体"/>
                <w:b/>
                <w:color w:val="000000"/>
                <w:sz w:val="21"/>
                <w:szCs w:val="21"/>
              </w:rPr>
            </w:pPr>
          </w:p>
        </w:tc>
        <w:tc>
          <w:tcPr>
            <w:tcW w:w="6479" w:type="dxa"/>
            <w:noWrap w:val="0"/>
            <w:vAlign w:val="center"/>
          </w:tcPr>
          <w:p>
            <w:pPr>
              <w:spacing w:line="276" w:lineRule="auto"/>
              <w:rPr>
                <w:rFonts w:hint="eastAsia" w:ascii="宋体" w:hAnsi="宋体" w:cs="仿宋"/>
                <w:color w:val="000000"/>
                <w:sz w:val="21"/>
                <w:szCs w:val="21"/>
                <w:highlight w:val="yellow"/>
              </w:rPr>
            </w:pPr>
            <w:r>
              <w:rPr>
                <w:rFonts w:hint="eastAsia" w:ascii="宋体" w:hAnsi="宋体" w:cs="仿宋"/>
                <w:color w:val="000000"/>
                <w:sz w:val="21"/>
                <w:szCs w:val="21"/>
              </w:rPr>
              <w:t>3.为保障项目规范推进，投标人或投标人所投核心产品的制造商应具备绿色供应链管理体系认证证书，符合GB/T 33635-2017标准要求的，得4分，不提供不得分。（需提供证书复印件并加盖投标人公章）</w:t>
            </w:r>
          </w:p>
        </w:tc>
        <w:tc>
          <w:tcPr>
            <w:tcW w:w="690" w:type="dxa"/>
            <w:noWrap w:val="0"/>
            <w:vAlign w:val="center"/>
          </w:tcPr>
          <w:p>
            <w:pPr>
              <w:spacing w:line="276" w:lineRule="auto"/>
              <w:jc w:val="center"/>
              <w:rPr>
                <w:rFonts w:ascii="宋体" w:hAnsi="宋体"/>
                <w:b/>
                <w:bCs/>
                <w:color w:val="000000"/>
                <w:sz w:val="21"/>
                <w:szCs w:val="21"/>
              </w:rPr>
            </w:pPr>
            <w:r>
              <w:rPr>
                <w:rFonts w:ascii="宋体" w:hAnsi="宋体"/>
                <w:b/>
                <w:bCs/>
                <w:color w:val="000000"/>
                <w:sz w:val="21"/>
                <w:szCs w:val="21"/>
              </w:rPr>
              <w:t>4</w:t>
            </w:r>
          </w:p>
        </w:tc>
        <w:tc>
          <w:tcPr>
            <w:tcW w:w="690" w:type="dxa"/>
            <w:noWrap w:val="0"/>
            <w:vAlign w:val="center"/>
          </w:tcPr>
          <w:p>
            <w:pPr>
              <w:spacing w:line="276" w:lineRule="auto"/>
              <w:jc w:val="center"/>
              <w:rPr>
                <w:rFonts w:ascii="宋体" w:hAnsi="宋体"/>
                <w:b/>
                <w:bCs/>
                <w:color w:val="000000"/>
                <w:sz w:val="21"/>
                <w:szCs w:val="21"/>
              </w:rPr>
            </w:pPr>
            <w:r>
              <w:rPr>
                <w:rFonts w:hint="eastAsia" w:ascii="宋体" w:hAnsi="宋体"/>
                <w:b/>
                <w:bCs/>
                <w:color w:val="000000"/>
                <w:sz w:val="21"/>
                <w:szCs w:val="21"/>
                <w:lang w:eastAsia="zh-CN"/>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Merge w:val="continue"/>
            <w:noWrap w:val="0"/>
            <w:vAlign w:val="center"/>
          </w:tcPr>
          <w:p>
            <w:pPr>
              <w:widowControl/>
              <w:spacing w:line="276" w:lineRule="auto"/>
              <w:jc w:val="center"/>
              <w:rPr>
                <w:rFonts w:ascii="宋体" w:hAnsi="宋体"/>
                <w:b/>
                <w:color w:val="000000"/>
                <w:sz w:val="21"/>
                <w:szCs w:val="21"/>
              </w:rPr>
            </w:pPr>
          </w:p>
        </w:tc>
        <w:tc>
          <w:tcPr>
            <w:tcW w:w="1331" w:type="dxa"/>
            <w:vMerge w:val="continue"/>
            <w:noWrap w:val="0"/>
            <w:vAlign w:val="center"/>
          </w:tcPr>
          <w:p>
            <w:pPr>
              <w:widowControl/>
              <w:spacing w:line="276" w:lineRule="auto"/>
              <w:jc w:val="center"/>
              <w:rPr>
                <w:rFonts w:ascii="宋体" w:hAnsi="宋体"/>
                <w:b/>
                <w:color w:val="000000"/>
                <w:sz w:val="21"/>
                <w:szCs w:val="21"/>
              </w:rPr>
            </w:pPr>
          </w:p>
        </w:tc>
        <w:tc>
          <w:tcPr>
            <w:tcW w:w="6479" w:type="dxa"/>
            <w:noWrap w:val="0"/>
            <w:vAlign w:val="center"/>
          </w:tcPr>
          <w:p>
            <w:pPr>
              <w:spacing w:line="276" w:lineRule="auto"/>
              <w:rPr>
                <w:rFonts w:hint="eastAsia" w:ascii="宋体" w:hAnsi="宋体" w:cs="仿宋"/>
                <w:color w:val="000000"/>
                <w:sz w:val="21"/>
                <w:szCs w:val="21"/>
                <w:highlight w:val="yellow"/>
              </w:rPr>
            </w:pPr>
            <w:r>
              <w:rPr>
                <w:rFonts w:hint="eastAsia" w:ascii="宋体" w:hAnsi="宋体" w:cs="仿宋"/>
                <w:color w:val="000000"/>
                <w:sz w:val="21"/>
                <w:szCs w:val="21"/>
              </w:rPr>
              <w:t>4.为保障项目规范推进，投标人或投标人所投核心产品的制造商</w:t>
            </w:r>
            <w:r>
              <w:rPr>
                <w:rFonts w:hint="eastAsia"/>
                <w:sz w:val="21"/>
                <w:szCs w:val="21"/>
              </w:rPr>
              <w:t>为国家认定企业技术中心的，</w:t>
            </w:r>
            <w:r>
              <w:rPr>
                <w:rFonts w:hint="eastAsia" w:ascii="宋体" w:hAnsi="宋体" w:cs="仿宋"/>
                <w:color w:val="000000"/>
                <w:sz w:val="21"/>
                <w:szCs w:val="21"/>
              </w:rPr>
              <w:t>得</w:t>
            </w:r>
            <w:r>
              <w:rPr>
                <w:rFonts w:ascii="宋体" w:hAnsi="宋体" w:cs="仿宋"/>
                <w:color w:val="000000"/>
                <w:sz w:val="21"/>
                <w:szCs w:val="21"/>
              </w:rPr>
              <w:t>4</w:t>
            </w:r>
            <w:r>
              <w:rPr>
                <w:rFonts w:hint="eastAsia" w:ascii="宋体" w:hAnsi="宋体" w:cs="仿宋"/>
                <w:color w:val="000000"/>
                <w:sz w:val="21"/>
                <w:szCs w:val="21"/>
              </w:rPr>
              <w:t>分，不提供不得分。（需提供证书</w:t>
            </w:r>
            <w:r>
              <w:rPr>
                <w:rFonts w:hint="eastAsia" w:ascii="宋体" w:hAnsi="宋体" w:cs="仿宋"/>
                <w:color w:val="000000"/>
                <w:sz w:val="21"/>
                <w:szCs w:val="21"/>
                <w:lang w:eastAsia="zh-CN"/>
              </w:rPr>
              <w:t>或</w:t>
            </w:r>
            <w:r>
              <w:rPr>
                <w:rFonts w:hint="eastAsia" w:ascii="宋体" w:hAnsi="宋体" w:cs="仿宋"/>
                <w:color w:val="000000"/>
                <w:sz w:val="21"/>
                <w:szCs w:val="21"/>
              </w:rPr>
              <w:t>相关证明材料复印件并加盖</w:t>
            </w:r>
            <w:r>
              <w:rPr>
                <w:rFonts w:hint="eastAsia" w:ascii="宋体" w:hAnsi="宋体" w:cs="仿宋"/>
                <w:color w:val="000000"/>
                <w:sz w:val="21"/>
                <w:szCs w:val="21"/>
                <w:lang w:eastAsia="zh-CN"/>
              </w:rPr>
              <w:t>投标人</w:t>
            </w:r>
            <w:r>
              <w:rPr>
                <w:rFonts w:hint="eastAsia" w:ascii="宋体" w:hAnsi="宋体" w:cs="仿宋"/>
                <w:color w:val="000000"/>
                <w:sz w:val="21"/>
                <w:szCs w:val="21"/>
              </w:rPr>
              <w:t>公章）</w:t>
            </w:r>
          </w:p>
        </w:tc>
        <w:tc>
          <w:tcPr>
            <w:tcW w:w="690" w:type="dxa"/>
            <w:noWrap w:val="0"/>
            <w:vAlign w:val="center"/>
          </w:tcPr>
          <w:p>
            <w:pPr>
              <w:spacing w:line="276" w:lineRule="auto"/>
              <w:jc w:val="center"/>
              <w:rPr>
                <w:rFonts w:ascii="宋体" w:hAnsi="宋体"/>
                <w:b/>
                <w:bCs/>
                <w:color w:val="000000"/>
                <w:sz w:val="21"/>
                <w:szCs w:val="21"/>
              </w:rPr>
            </w:pPr>
            <w:r>
              <w:rPr>
                <w:rFonts w:ascii="宋体" w:hAnsi="宋体"/>
                <w:b/>
                <w:bCs/>
                <w:color w:val="000000"/>
                <w:sz w:val="21"/>
                <w:szCs w:val="21"/>
              </w:rPr>
              <w:t>4</w:t>
            </w:r>
          </w:p>
        </w:tc>
        <w:tc>
          <w:tcPr>
            <w:tcW w:w="690" w:type="dxa"/>
            <w:noWrap w:val="0"/>
            <w:vAlign w:val="center"/>
          </w:tcPr>
          <w:p>
            <w:pPr>
              <w:spacing w:line="276" w:lineRule="auto"/>
              <w:jc w:val="center"/>
              <w:rPr>
                <w:rFonts w:ascii="宋体" w:hAnsi="宋体"/>
                <w:b/>
                <w:bCs/>
                <w:color w:val="000000"/>
                <w:sz w:val="21"/>
                <w:szCs w:val="21"/>
              </w:rPr>
            </w:pPr>
            <w:r>
              <w:rPr>
                <w:rFonts w:hint="eastAsia" w:ascii="宋体" w:hAnsi="宋体"/>
                <w:b/>
                <w:bCs/>
                <w:color w:val="000000"/>
                <w:sz w:val="21"/>
                <w:szCs w:val="21"/>
                <w:lang w:eastAsia="zh-CN"/>
              </w:rPr>
              <w:t>客观分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519" w:type="dxa"/>
            <w:gridSpan w:val="3"/>
            <w:noWrap w:val="0"/>
            <w:vAlign w:val="center"/>
          </w:tcPr>
          <w:p>
            <w:pPr>
              <w:widowControl/>
              <w:spacing w:line="276" w:lineRule="auto"/>
              <w:jc w:val="center"/>
              <w:rPr>
                <w:rFonts w:ascii="宋体" w:hAnsi="宋体"/>
                <w:color w:val="000000"/>
                <w:sz w:val="21"/>
                <w:szCs w:val="21"/>
              </w:rPr>
            </w:pPr>
            <w:r>
              <w:rPr>
                <w:rFonts w:hint="eastAsia" w:ascii="宋体" w:hAnsi="宋体"/>
                <w:b/>
                <w:bCs/>
                <w:color w:val="000000"/>
                <w:sz w:val="21"/>
                <w:szCs w:val="21"/>
              </w:rPr>
              <w:t>合计</w:t>
            </w:r>
          </w:p>
        </w:tc>
        <w:tc>
          <w:tcPr>
            <w:tcW w:w="690" w:type="dxa"/>
            <w:noWrap w:val="0"/>
            <w:vAlign w:val="center"/>
          </w:tcPr>
          <w:p>
            <w:pPr>
              <w:widowControl/>
              <w:spacing w:line="276" w:lineRule="auto"/>
              <w:jc w:val="center"/>
              <w:rPr>
                <w:rFonts w:ascii="宋体" w:hAnsi="宋体"/>
                <w:b/>
                <w:bCs/>
                <w:color w:val="000000"/>
                <w:sz w:val="21"/>
                <w:szCs w:val="21"/>
              </w:rPr>
            </w:pPr>
            <w:r>
              <w:rPr>
                <w:rFonts w:hint="eastAsia" w:ascii="宋体" w:hAnsi="宋体"/>
                <w:b/>
                <w:bCs/>
                <w:color w:val="000000"/>
                <w:sz w:val="21"/>
                <w:szCs w:val="21"/>
              </w:rPr>
              <w:t>100</w:t>
            </w:r>
          </w:p>
        </w:tc>
        <w:tc>
          <w:tcPr>
            <w:tcW w:w="690" w:type="dxa"/>
            <w:noWrap w:val="0"/>
            <w:vAlign w:val="center"/>
          </w:tcPr>
          <w:p>
            <w:pPr>
              <w:widowControl/>
              <w:spacing w:line="276" w:lineRule="auto"/>
              <w:jc w:val="center"/>
              <w:rPr>
                <w:rFonts w:hint="eastAsia" w:ascii="宋体" w:hAnsi="宋体"/>
                <w:b/>
                <w:bCs/>
                <w:color w:val="000000"/>
                <w:sz w:val="21"/>
                <w:szCs w:val="21"/>
              </w:rPr>
            </w:pPr>
          </w:p>
        </w:tc>
      </w:tr>
    </w:tbl>
    <w:p>
      <w:pPr>
        <w:numPr>
          <w:ilvl w:val="0"/>
          <w:numId w:val="0"/>
        </w:numPr>
        <w:rPr>
          <w:rFonts w:hint="eastAsia" w:ascii="仿宋_GB2312" w:hAnsi="仿宋_GB2312" w:eastAsia="仿宋_GB2312" w:cs="仿宋_GB2312"/>
          <w:b/>
          <w:szCs w:val="21"/>
        </w:rPr>
      </w:pPr>
    </w:p>
    <w:p>
      <w:pPr>
        <w:numPr>
          <w:ilvl w:val="0"/>
          <w:numId w:val="0"/>
        </w:numPr>
        <w:rPr>
          <w:rFonts w:hint="eastAsia" w:ascii="仿宋_GB2312" w:hAnsi="仿宋_GB2312" w:eastAsia="仿宋_GB2312" w:cs="仿宋_GB2312"/>
          <w:b/>
          <w:szCs w:val="21"/>
        </w:rPr>
      </w:pPr>
    </w:p>
    <w:p>
      <w:pPr>
        <w:numPr>
          <w:ilvl w:val="0"/>
          <w:numId w:val="0"/>
        </w:numPr>
        <w:rPr>
          <w:rFonts w:hint="eastAsia" w:ascii="仿宋_GB2312" w:hAnsi="仿宋_GB2312" w:eastAsia="仿宋_GB2312" w:cs="仿宋_GB2312"/>
          <w:b/>
          <w:szCs w:val="21"/>
        </w:rPr>
      </w:pPr>
    </w:p>
    <w:p>
      <w:pPr>
        <w:numPr>
          <w:ilvl w:val="0"/>
          <w:numId w:val="0"/>
        </w:numPr>
        <w:rPr>
          <w:rFonts w:hint="eastAsia" w:ascii="仿宋_GB2312" w:hAnsi="仿宋_GB2312" w:eastAsia="仿宋_GB2312" w:cs="仿宋_GB2312"/>
          <w:b/>
          <w:szCs w:val="21"/>
        </w:rPr>
      </w:pPr>
    </w:p>
    <w:p>
      <w:pPr>
        <w:numPr>
          <w:ilvl w:val="0"/>
          <w:numId w:val="0"/>
        </w:numPr>
        <w:rPr>
          <w:rFonts w:hint="eastAsia" w:ascii="仿宋_GB2312" w:hAnsi="仿宋_GB2312" w:eastAsia="仿宋_GB2312" w:cs="仿宋_GB2312"/>
          <w:b/>
          <w:szCs w:val="21"/>
        </w:rPr>
      </w:pPr>
    </w:p>
    <w:p>
      <w:pPr>
        <w:numPr>
          <w:ilvl w:val="0"/>
          <w:numId w:val="0"/>
        </w:numPr>
        <w:rPr>
          <w:rFonts w:hint="eastAsia" w:ascii="仿宋_GB2312" w:hAnsi="仿宋_GB2312" w:eastAsia="仿宋_GB2312" w:cs="仿宋_GB2312"/>
          <w:b/>
          <w:szCs w:val="21"/>
        </w:rPr>
      </w:pPr>
    </w:p>
    <w:p>
      <w:pPr>
        <w:numPr>
          <w:ilvl w:val="0"/>
          <w:numId w:val="0"/>
        </w:numPr>
        <w:rPr>
          <w:rFonts w:hint="eastAsia" w:ascii="仿宋_GB2312" w:hAnsi="仿宋_GB2312" w:eastAsia="仿宋_GB2312" w:cs="仿宋_GB2312"/>
          <w:b/>
          <w:szCs w:val="21"/>
        </w:rPr>
      </w:pPr>
    </w:p>
    <w:p>
      <w:pPr>
        <w:numPr>
          <w:ilvl w:val="0"/>
          <w:numId w:val="0"/>
        </w:numPr>
        <w:rPr>
          <w:rFonts w:hint="eastAsia" w:ascii="仿宋_GB2312" w:hAnsi="仿宋_GB2312" w:eastAsia="仿宋_GB2312" w:cs="仿宋_GB2312"/>
          <w:b/>
          <w:szCs w:val="21"/>
        </w:rPr>
      </w:pPr>
    </w:p>
    <w:p>
      <w:pPr>
        <w:numPr>
          <w:ilvl w:val="0"/>
          <w:numId w:val="0"/>
        </w:numPr>
        <w:rPr>
          <w:rFonts w:hint="eastAsia" w:ascii="仿宋_GB2312" w:hAnsi="仿宋_GB2312" w:eastAsia="仿宋_GB2312" w:cs="仿宋_GB2312"/>
          <w:b/>
          <w:szCs w:val="21"/>
        </w:rPr>
      </w:pPr>
    </w:p>
    <w:p>
      <w:pPr>
        <w:numPr>
          <w:ilvl w:val="0"/>
          <w:numId w:val="0"/>
        </w:numPr>
        <w:rPr>
          <w:rFonts w:hint="eastAsia" w:ascii="仿宋_GB2312" w:hAnsi="仿宋_GB2312" w:eastAsia="仿宋_GB2312" w:cs="仿宋_GB2312"/>
          <w:b/>
          <w:szCs w:val="21"/>
        </w:rPr>
      </w:pPr>
    </w:p>
    <w:p>
      <w:pPr>
        <w:numPr>
          <w:ilvl w:val="0"/>
          <w:numId w:val="0"/>
        </w:numPr>
        <w:rPr>
          <w:rFonts w:hint="eastAsia" w:ascii="仿宋_GB2312" w:hAnsi="仿宋_GB2312" w:eastAsia="仿宋_GB2312" w:cs="仿宋_GB2312"/>
          <w:b/>
          <w:szCs w:val="21"/>
        </w:rPr>
      </w:pPr>
    </w:p>
    <w:p>
      <w:pPr>
        <w:numPr>
          <w:ilvl w:val="0"/>
          <w:numId w:val="0"/>
        </w:numPr>
        <w:rPr>
          <w:rFonts w:ascii="仿宋_GB2312" w:hAnsi="仿宋_GB2312" w:eastAsia="仿宋_GB2312" w:cs="仿宋_GB2312"/>
          <w:b/>
          <w:szCs w:val="21"/>
        </w:rPr>
      </w:pPr>
      <w:r>
        <w:rPr>
          <w:rFonts w:hint="eastAsia" w:ascii="仿宋_GB2312" w:hAnsi="仿宋_GB2312" w:eastAsia="仿宋_GB2312" w:cs="仿宋_GB2312"/>
          <w:b/>
          <w:szCs w:val="21"/>
        </w:rPr>
        <w:t>加分项评分标准</w:t>
      </w:r>
    </w:p>
    <w:tbl>
      <w:tblPr>
        <w:tblStyle w:val="20"/>
        <w:tblW w:w="8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7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110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加分因素</w:t>
            </w:r>
          </w:p>
        </w:tc>
        <w:tc>
          <w:tcPr>
            <w:tcW w:w="729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加分说明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110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节能产品</w:t>
            </w:r>
          </w:p>
        </w:tc>
        <w:tc>
          <w:tcPr>
            <w:tcW w:w="7296" w:type="dxa"/>
            <w:tcBorders>
              <w:top w:val="single" w:color="auto" w:sz="4" w:space="0"/>
              <w:left w:val="single" w:color="auto" w:sz="4" w:space="0"/>
              <w:bottom w:val="single" w:color="auto" w:sz="4" w:space="0"/>
              <w:right w:val="single" w:color="auto" w:sz="4" w:space="0"/>
            </w:tcBorders>
            <w:noWrap w:val="0"/>
            <w:vAlign w:val="center"/>
          </w:tcPr>
          <w:p>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lang w:val="en-US" w:eastAsia="zh-CN"/>
              </w:rPr>
              <w:t>6</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pPr>
              <w:rPr>
                <w:rFonts w:ascii="仿宋_GB2312" w:hAnsi="仿宋_GB2312" w:eastAsia="仿宋_GB2312" w:cs="仿宋_GB2312"/>
                <w:szCs w:val="21"/>
              </w:rPr>
            </w:pPr>
            <w:r>
              <w:rPr>
                <w:rFonts w:hint="eastAsia" w:ascii="仿宋_GB2312" w:hAnsi="仿宋_GB2312" w:eastAsia="仿宋_GB2312" w:cs="仿宋_GB2312"/>
                <w:szCs w:val="21"/>
              </w:rPr>
              <w:t>节能产品加分＝（节能产品投标报价之和/投标总价）×价格部分总分值</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6</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110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_GB2312" w:hAnsi="仿宋_GB2312" w:eastAsia="仿宋_GB2312" w:cs="仿宋_GB2312"/>
                <w:szCs w:val="21"/>
              </w:rPr>
            </w:pPr>
            <w:r>
              <w:rPr>
                <w:rFonts w:hint="eastAsia" w:ascii="仿宋_GB2312" w:hAnsi="仿宋_GB2312" w:eastAsia="仿宋_GB2312" w:cs="仿宋_GB2312"/>
                <w:szCs w:val="21"/>
              </w:rPr>
              <w:t>环保产品</w:t>
            </w:r>
          </w:p>
        </w:tc>
        <w:tc>
          <w:tcPr>
            <w:tcW w:w="7296" w:type="dxa"/>
            <w:tcBorders>
              <w:top w:val="single" w:color="auto" w:sz="4" w:space="0"/>
              <w:left w:val="single" w:color="auto" w:sz="4" w:space="0"/>
              <w:bottom w:val="single" w:color="auto" w:sz="4" w:space="0"/>
              <w:right w:val="single" w:color="auto" w:sz="4" w:space="0"/>
            </w:tcBorders>
            <w:noWrap w:val="0"/>
            <w:vAlign w:val="center"/>
          </w:tcPr>
          <w:p>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szCs w:val="21"/>
                <w:u w:val="single"/>
                <w:lang w:val="en-US" w:eastAsia="zh-CN"/>
              </w:rPr>
              <w:t>6</w:t>
            </w:r>
            <w:r>
              <w:rPr>
                <w:rFonts w:hint="eastAsia" w:ascii="仿宋_GB2312" w:hAnsi="仿宋_GB2312" w:eastAsia="仿宋_GB2312" w:cs="仿宋_GB2312"/>
                <w:szCs w:val="21"/>
              </w:rPr>
              <w:t>%的加分，计算公式如下：</w:t>
            </w:r>
          </w:p>
          <w:p>
            <w:pPr>
              <w:ind w:left="210" w:hanging="210" w:hangingChars="100"/>
              <w:rPr>
                <w:rFonts w:ascii="仿宋_GB2312" w:hAnsi="仿宋_GB2312" w:eastAsia="仿宋_GB2312" w:cs="仿宋_GB2312"/>
                <w:szCs w:val="21"/>
              </w:rPr>
            </w:pPr>
            <w:r>
              <w:rPr>
                <w:rFonts w:hint="eastAsia" w:ascii="仿宋_GB2312" w:hAnsi="仿宋_GB2312" w:eastAsia="仿宋_GB2312" w:cs="仿宋_GB2312"/>
                <w:szCs w:val="21"/>
              </w:rPr>
              <w:t>环保产品加分＝（环保产品投标报价之和/投标总价）×价格部分总分值</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lang w:val="en-US" w:eastAsia="zh-CN"/>
              </w:rPr>
              <w:t>6</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110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lang w:eastAsia="zh-CN"/>
              </w:rPr>
              <w:t>创新产品</w:t>
            </w:r>
          </w:p>
        </w:tc>
        <w:tc>
          <w:tcPr>
            <w:tcW w:w="7296" w:type="dxa"/>
            <w:tcBorders>
              <w:top w:val="single" w:color="auto" w:sz="4" w:space="0"/>
              <w:left w:val="single" w:color="auto" w:sz="4" w:space="0"/>
              <w:bottom w:val="single" w:color="auto" w:sz="4" w:space="0"/>
              <w:right w:val="single" w:color="auto" w:sz="4" w:space="0"/>
            </w:tcBorders>
            <w:noWrap w:val="0"/>
            <w:vAlign w:val="center"/>
          </w:tcPr>
          <w:p>
            <w:pPr>
              <w:rPr>
                <w:rFonts w:hint="eastAsia" w:ascii="仿宋_GB2312" w:hAnsi="仿宋_GB2312" w:eastAsia="仿宋_GB2312" w:cs="仿宋_GB2312"/>
                <w:szCs w:val="21"/>
              </w:rPr>
            </w:pPr>
            <w:r>
              <w:rPr>
                <w:rFonts w:hint="eastAsia" w:ascii="仿宋_GB2312" w:hAnsi="仿宋_GB2312" w:eastAsia="仿宋_GB2312" w:cs="仿宋_GB2312"/>
                <w:b w:val="0"/>
                <w:bCs w:val="0"/>
                <w:szCs w:val="21"/>
              </w:rPr>
              <w:t>对于列入《辽宁省创新产品和服务目录》内的产品、服务</w:t>
            </w:r>
            <w:r>
              <w:rPr>
                <w:rFonts w:hint="eastAsia" w:ascii="仿宋_GB2312" w:hAnsi="仿宋_GB2312" w:eastAsia="仿宋_GB2312" w:cs="仿宋_GB2312"/>
                <w:b w:val="0"/>
                <w:bCs w:val="0"/>
                <w:szCs w:val="21"/>
                <w:lang w:eastAsia="zh-CN"/>
              </w:rPr>
              <w:t>：</w:t>
            </w:r>
            <w:r>
              <w:rPr>
                <w:rFonts w:hint="eastAsia" w:ascii="仿宋_GB2312" w:hAnsi="仿宋_GB2312" w:eastAsia="仿宋_GB2312" w:cs="仿宋_GB2312"/>
                <w:b w:val="0"/>
                <w:bCs w:val="0"/>
                <w:szCs w:val="21"/>
                <w:lang w:val="en-US" w:eastAsia="zh-CN"/>
              </w:rPr>
              <w:t>给予</w:t>
            </w:r>
            <w:r>
              <w:rPr>
                <w:rFonts w:hint="eastAsia" w:ascii="仿宋_GB2312" w:hAnsi="仿宋_GB2312" w:eastAsia="仿宋_GB2312" w:cs="仿宋_GB2312"/>
                <w:szCs w:val="21"/>
                <w:u w:val="single"/>
                <w:lang w:val="en-US" w:eastAsia="zh-CN"/>
              </w:rPr>
              <w:t>6%</w:t>
            </w:r>
            <w:r>
              <w:rPr>
                <w:rFonts w:hint="eastAsia" w:ascii="仿宋_GB2312" w:hAnsi="仿宋_GB2312" w:eastAsia="仿宋_GB2312" w:cs="仿宋_GB2312"/>
                <w:szCs w:val="21"/>
              </w:rPr>
              <w:t>（6-8%）的加分</w:t>
            </w:r>
            <w:r>
              <w:rPr>
                <w:rFonts w:hint="eastAsia" w:ascii="仿宋_GB2312" w:hAnsi="仿宋_GB2312" w:eastAsia="仿宋_GB2312" w:cs="仿宋_GB2312"/>
                <w:szCs w:val="21"/>
                <w:lang w:eastAsia="zh-CN"/>
              </w:rPr>
              <w:t>。</w:t>
            </w:r>
          </w:p>
        </w:tc>
      </w:tr>
    </w:tbl>
    <w:p>
      <w:pPr>
        <w:jc w:val="center"/>
        <w:rPr>
          <w:rFonts w:hint="eastAsia" w:ascii="仿宋_GB2312" w:hAnsi="仿宋_GB2312" w:eastAsia="仿宋_GB2312" w:cs="仿宋_GB2312"/>
          <w:szCs w:val="21"/>
        </w:rPr>
      </w:pPr>
      <w:r>
        <w:rPr>
          <w:rFonts w:hint="eastAsia" w:ascii="仿宋_GB2312" w:hAnsi="仿宋_GB2312" w:eastAsia="仿宋_GB2312" w:cs="仿宋_GB2312"/>
          <w:szCs w:val="21"/>
        </w:rPr>
        <w:br w:type="page"/>
      </w:r>
    </w:p>
    <w:p>
      <w:pPr>
        <w:adjustRightInd w:val="0"/>
        <w:snapToGrid w:val="0"/>
        <w:spacing w:line="360" w:lineRule="auto"/>
        <w:jc w:val="center"/>
        <w:rPr>
          <w:rFonts w:hint="eastAsia" w:ascii="仿宋_GB2312" w:hAnsi="仿宋_GB2312" w:eastAsia="仿宋_GB2312" w:cs="仿宋_GB2312"/>
          <w:b/>
          <w:kern w:val="44"/>
          <w:sz w:val="44"/>
          <w:szCs w:val="24"/>
          <w:lang w:val="en-US" w:eastAsia="zh-CN" w:bidi="ar-SA"/>
        </w:rPr>
      </w:pPr>
      <w:bookmarkStart w:id="134" w:name="_Toc25922_WPSOffice_Level1"/>
      <w:bookmarkStart w:id="135" w:name="_Toc22690"/>
      <w:bookmarkStart w:id="136" w:name="_Toc24606"/>
    </w:p>
    <w:p>
      <w:pPr>
        <w:adjustRightInd w:val="0"/>
        <w:snapToGrid w:val="0"/>
        <w:spacing w:line="360" w:lineRule="auto"/>
        <w:jc w:val="center"/>
        <w:rPr>
          <w:rFonts w:hint="eastAsia" w:ascii="仿宋_GB2312" w:hAnsi="仿宋_GB2312" w:eastAsia="仿宋_GB2312" w:cs="仿宋_GB2312"/>
          <w:b/>
          <w:kern w:val="44"/>
          <w:sz w:val="44"/>
          <w:szCs w:val="24"/>
          <w:lang w:val="en-US" w:eastAsia="zh-CN" w:bidi="ar-SA"/>
        </w:rPr>
      </w:pPr>
    </w:p>
    <w:p>
      <w:pPr>
        <w:adjustRightInd w:val="0"/>
        <w:snapToGrid w:val="0"/>
        <w:spacing w:line="360" w:lineRule="auto"/>
        <w:jc w:val="center"/>
        <w:rPr>
          <w:rFonts w:hint="eastAsia" w:ascii="仿宋_GB2312" w:hAnsi="仿宋_GB2312" w:eastAsia="仿宋_GB2312" w:cs="仿宋_GB2312"/>
          <w:b/>
          <w:kern w:val="44"/>
          <w:sz w:val="44"/>
          <w:szCs w:val="24"/>
          <w:lang w:val="en-US" w:eastAsia="zh-CN" w:bidi="ar-SA"/>
        </w:rPr>
      </w:pPr>
    </w:p>
    <w:p>
      <w:pPr>
        <w:adjustRightInd w:val="0"/>
        <w:snapToGrid w:val="0"/>
        <w:spacing w:line="360" w:lineRule="auto"/>
        <w:jc w:val="center"/>
        <w:rPr>
          <w:rFonts w:hint="eastAsia" w:ascii="仿宋_GB2312" w:hAnsi="仿宋_GB2312" w:eastAsia="仿宋_GB2312" w:cs="仿宋_GB2312"/>
          <w:b/>
          <w:kern w:val="44"/>
          <w:sz w:val="44"/>
          <w:szCs w:val="24"/>
          <w:lang w:val="en-US" w:eastAsia="zh-CN" w:bidi="ar-SA"/>
        </w:rPr>
      </w:pPr>
    </w:p>
    <w:p>
      <w:pPr>
        <w:pStyle w:val="9"/>
        <w:rPr>
          <w:rFonts w:hint="eastAsia"/>
          <w:lang w:val="en-US" w:eastAsia="zh-CN"/>
        </w:rPr>
      </w:pPr>
    </w:p>
    <w:p>
      <w:pPr>
        <w:pStyle w:val="4"/>
        <w:bidi w:val="0"/>
        <w:rPr>
          <w:rFonts w:hint="eastAsia"/>
          <w:lang w:val="en-US" w:eastAsia="zh-CN"/>
        </w:rPr>
      </w:pPr>
      <w:bookmarkStart w:id="137" w:name="_Toc2050244296"/>
      <w:r>
        <w:rPr>
          <w:rFonts w:hint="eastAsia"/>
          <w:lang w:val="en-US" w:eastAsia="zh-CN"/>
        </w:rPr>
        <w:t>第五章 政府采购合同条款</w:t>
      </w:r>
      <w:bookmarkEnd w:id="134"/>
      <w:r>
        <w:rPr>
          <w:rFonts w:hint="eastAsia"/>
          <w:lang w:val="en-US" w:eastAsia="zh-CN"/>
        </w:rPr>
        <w:t>及格式</w:t>
      </w:r>
      <w:bookmarkEnd w:id="135"/>
      <w:bookmarkEnd w:id="136"/>
      <w:bookmarkEnd w:id="137"/>
    </w:p>
    <w:p>
      <w:pPr>
        <w:rPr>
          <w:rFonts w:ascii="仿宋_GB2312" w:hAnsi="仿宋_GB2312" w:eastAsia="仿宋_GB2312" w:cs="仿宋_GB2312"/>
        </w:rPr>
      </w:pPr>
      <w:r>
        <w:rPr>
          <w:rFonts w:hint="eastAsia" w:ascii="仿宋_GB2312" w:hAnsi="仿宋_GB2312" w:eastAsia="仿宋_GB2312" w:cs="仿宋_GB2312"/>
        </w:rPr>
        <w:br w:type="page"/>
      </w:r>
    </w:p>
    <w:p>
      <w:pPr>
        <w:pStyle w:val="5"/>
        <w:adjustRightInd w:val="0"/>
        <w:snapToGrid w:val="0"/>
        <w:spacing w:line="240" w:lineRule="auto"/>
        <w:jc w:val="left"/>
        <w:rPr>
          <w:rFonts w:ascii="仿宋_GB2312" w:hAnsi="仿宋_GB2312" w:eastAsia="仿宋_GB2312" w:cs="仿宋_GB2312"/>
          <w:szCs w:val="28"/>
        </w:rPr>
      </w:pPr>
      <w:bookmarkStart w:id="138" w:name="_Toc23704_WPSOffice_Level1"/>
      <w:r>
        <w:rPr>
          <w:rFonts w:hint="eastAsia" w:ascii="仿宋_GB2312" w:hAnsi="仿宋_GB2312" w:eastAsia="仿宋_GB2312" w:cs="仿宋_GB2312"/>
          <w:szCs w:val="28"/>
        </w:rPr>
        <w:t>合同条款</w:t>
      </w:r>
      <w:bookmarkEnd w:id="138"/>
    </w:p>
    <w:p>
      <w:pPr>
        <w:spacing w:before="319" w:beforeLines="100" w:after="319" w:afterLines="100" w:line="360" w:lineRule="auto"/>
        <w:jc w:val="center"/>
        <w:rPr>
          <w:rFonts w:ascii="宋体" w:hAnsi="宋体" w:cs="Lucida Sans Unicode"/>
          <w:b/>
          <w:sz w:val="44"/>
          <w:szCs w:val="44"/>
        </w:rPr>
      </w:pPr>
      <w:r>
        <w:rPr>
          <w:rFonts w:hint="eastAsia" w:ascii="宋体" w:hAnsi="宋体" w:cs="Lucida Sans Unicode"/>
          <w:b/>
          <w:sz w:val="44"/>
          <w:szCs w:val="44"/>
        </w:rPr>
        <w:t>政府采购合同条款</w:t>
      </w:r>
    </w:p>
    <w:p>
      <w:pPr>
        <w:numPr>
          <w:ilvl w:val="0"/>
          <w:numId w:val="11"/>
        </w:numPr>
        <w:spacing w:line="360" w:lineRule="auto"/>
        <w:rPr>
          <w:rFonts w:ascii="仿宋_GB2312" w:hAnsi="宋体" w:eastAsia="仿宋_GB2312"/>
          <w:b/>
          <w:szCs w:val="21"/>
        </w:rPr>
      </w:pPr>
      <w:r>
        <w:rPr>
          <w:rFonts w:hint="eastAsia" w:ascii="仿宋_GB2312" w:hAnsi="宋体" w:eastAsia="仿宋_GB2312"/>
          <w:b/>
          <w:szCs w:val="21"/>
        </w:rPr>
        <w:t>术语定义</w:t>
      </w:r>
    </w:p>
    <w:p>
      <w:pPr>
        <w:spacing w:line="360" w:lineRule="auto"/>
        <w:ind w:firstLine="411" w:firstLineChars="196"/>
        <w:rPr>
          <w:rFonts w:ascii="仿宋_GB2312" w:hAnsi="宋体" w:eastAsia="仿宋_GB2312"/>
          <w:szCs w:val="21"/>
        </w:rPr>
      </w:pPr>
      <w:r>
        <w:rPr>
          <w:rFonts w:hint="eastAsia" w:ascii="仿宋_GB2312" w:hAnsi="宋体" w:eastAsia="仿宋_GB2312"/>
          <w:szCs w:val="21"/>
        </w:rPr>
        <w:t>本政府采购合同下列术语应解释为：</w:t>
      </w:r>
    </w:p>
    <w:p>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1</w:t>
      </w:r>
      <w:r>
        <w:rPr>
          <w:rFonts w:hint="eastAsia" w:ascii="仿宋_GB2312" w:hAnsi="宋体" w:eastAsia="仿宋_GB2312"/>
          <w:szCs w:val="21"/>
        </w:rPr>
        <w:t>“政府采购合同”指供需双方依照政府采购程序、按照招标文件、投标文件确定的事项所达成的协议，包括附件、附录和上述文件所提到的构成政府采购合同的所有文件。</w:t>
      </w:r>
    </w:p>
    <w:p>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2 </w:t>
      </w:r>
      <w:r>
        <w:rPr>
          <w:rFonts w:hint="eastAsia" w:ascii="仿宋_GB2312" w:hAnsi="宋体" w:eastAsia="仿宋_GB2312"/>
          <w:szCs w:val="21"/>
        </w:rPr>
        <w:t>“政府采购合同价”指根据合同约定供方在正确地完全履行政府采购合同义务后需方应支付给供方的价格。</w:t>
      </w:r>
    </w:p>
    <w:p>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3 </w:t>
      </w:r>
      <w:r>
        <w:rPr>
          <w:rFonts w:hint="eastAsia" w:ascii="仿宋_GB2312" w:hAnsi="宋体" w:eastAsia="仿宋_GB2312"/>
          <w:szCs w:val="21"/>
        </w:rPr>
        <w:t>“服务”指政府采购合同服务清单（同投标文件中开标一览表及其附表，下同）所约定的服务内容。</w:t>
      </w:r>
    </w:p>
    <w:p>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5 </w:t>
      </w:r>
      <w:r>
        <w:rPr>
          <w:rFonts w:hint="eastAsia" w:ascii="仿宋_GB2312" w:hAnsi="宋体" w:eastAsia="仿宋_GB2312"/>
          <w:szCs w:val="21"/>
        </w:rPr>
        <w:t>“需方”指项目基本内容及要求中所述取得产品和服务的采购单位。</w:t>
      </w:r>
    </w:p>
    <w:p>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6 </w:t>
      </w:r>
      <w:r>
        <w:rPr>
          <w:rFonts w:hint="eastAsia" w:ascii="仿宋_GB2312" w:hAnsi="宋体" w:eastAsia="仿宋_GB2312"/>
          <w:szCs w:val="21"/>
        </w:rPr>
        <w:t>“供方”指项目基本内容及要求中所述提供产品和服务的中标供应商。</w:t>
      </w:r>
    </w:p>
    <w:p>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7 </w:t>
      </w:r>
      <w:r>
        <w:rPr>
          <w:rFonts w:hint="eastAsia" w:ascii="仿宋_GB2312" w:hAnsi="宋体" w:eastAsia="仿宋_GB2312"/>
          <w:szCs w:val="21"/>
        </w:rPr>
        <w:t>“检验”指需方按照政府采购合同约定的标准对供方所提供服务进行的检测和查验。</w:t>
      </w:r>
    </w:p>
    <w:p>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 xml:space="preserve">8 </w:t>
      </w:r>
      <w:r>
        <w:rPr>
          <w:rFonts w:hint="eastAsia" w:ascii="仿宋_GB2312" w:hAnsi="宋体" w:eastAsia="仿宋_GB2312"/>
          <w:szCs w:val="21"/>
        </w:rPr>
        <w:t>“验收书”指采购单位或</w:t>
      </w:r>
      <w:r>
        <w:rPr>
          <w:rFonts w:hint="eastAsia" w:ascii="仿宋_GB2312" w:hAnsi="宋体" w:eastAsia="仿宋_GB2312" w:cs="Lucida Sans Unicode"/>
          <w:szCs w:val="21"/>
        </w:rPr>
        <w:t>采购代理机构</w:t>
      </w:r>
      <w:r>
        <w:rPr>
          <w:rFonts w:hint="eastAsia" w:ascii="仿宋_GB2312" w:hAnsi="宋体" w:eastAsia="仿宋_GB2312"/>
          <w:szCs w:val="21"/>
        </w:rPr>
        <w:t>根据合同履约验收意见书形成反映采购单位和组织验收机构意见的文件。</w:t>
      </w:r>
    </w:p>
    <w:p>
      <w:pPr>
        <w:spacing w:line="360" w:lineRule="auto"/>
        <w:ind w:firstLine="420" w:firstLineChars="200"/>
        <w:rPr>
          <w:rFonts w:ascii="仿宋_GB2312" w:hAnsi="宋体" w:eastAsia="仿宋_GB2312"/>
          <w:szCs w:val="21"/>
        </w:rPr>
      </w:pPr>
      <w:r>
        <w:rPr>
          <w:rFonts w:hint="eastAsia" w:ascii="仿宋_GB2312" w:hAnsi="宋体" w:eastAsia="仿宋_GB2312"/>
          <w:szCs w:val="21"/>
        </w:rPr>
        <w:t>1.9“天”指日历天数（如无特别说明）。</w:t>
      </w:r>
    </w:p>
    <w:p>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10</w:t>
      </w:r>
      <w:r>
        <w:rPr>
          <w:rFonts w:hint="eastAsia" w:ascii="仿宋_GB2312" w:hAnsi="宋体" w:eastAsia="仿宋_GB2312"/>
          <w:szCs w:val="21"/>
        </w:rPr>
        <w:t>“第三人”是指本政府采购合同双方以外的任何中国境内外的自然人、法人或其它经济组织。</w:t>
      </w:r>
    </w:p>
    <w:p>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11</w:t>
      </w:r>
      <w:r>
        <w:rPr>
          <w:rFonts w:hint="eastAsia" w:ascii="仿宋_GB2312" w:hAnsi="宋体" w:eastAsia="仿宋_GB2312"/>
          <w:szCs w:val="21"/>
        </w:rPr>
        <w:t>“法律、法规”是指由中国各级政府及有关部门制定的法律、行政法规、地方性法规、规章及其它规范性文件的有关规定。</w:t>
      </w:r>
    </w:p>
    <w:p>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12</w:t>
      </w:r>
      <w:r>
        <w:rPr>
          <w:rFonts w:hint="eastAsia" w:ascii="仿宋_GB2312" w:hAnsi="宋体" w:eastAsia="仿宋_GB2312"/>
          <w:szCs w:val="21"/>
        </w:rPr>
        <w:t>“招标文件”指采购人或</w:t>
      </w:r>
      <w:r>
        <w:rPr>
          <w:rFonts w:hint="eastAsia" w:ascii="仿宋_GB2312" w:hAnsi="宋体" w:eastAsia="仿宋_GB2312" w:cs="Lucida Sans Unicode"/>
          <w:szCs w:val="21"/>
        </w:rPr>
        <w:t>采购代理机构</w:t>
      </w:r>
      <w:r>
        <w:rPr>
          <w:rFonts w:hint="eastAsia" w:ascii="仿宋_GB2312" w:hAnsi="宋体" w:eastAsia="仿宋_GB2312"/>
          <w:szCs w:val="21"/>
        </w:rPr>
        <w:t>发布的招标文件。</w:t>
      </w:r>
    </w:p>
    <w:p>
      <w:pPr>
        <w:spacing w:line="360" w:lineRule="auto"/>
        <w:ind w:firstLine="420" w:firstLineChars="200"/>
        <w:rPr>
          <w:rFonts w:ascii="仿宋_GB2312" w:hAnsi="宋体" w:eastAsia="仿宋_GB2312"/>
          <w:szCs w:val="21"/>
        </w:rPr>
      </w:pPr>
      <w:r>
        <w:rPr>
          <w:rFonts w:hint="eastAsia" w:ascii="仿宋_GB2312" w:hAnsi="宋体" w:eastAsia="仿宋_GB2312"/>
          <w:szCs w:val="21"/>
        </w:rPr>
        <w:t>1</w:t>
      </w:r>
      <w:r>
        <w:rPr>
          <w:rFonts w:hint="eastAsia" w:ascii="仿宋_GB2312" w:hAnsi="宋体" w:eastAsia="仿宋_GB2312"/>
          <w:b/>
          <w:szCs w:val="21"/>
        </w:rPr>
        <w:t>.</w:t>
      </w:r>
      <w:r>
        <w:rPr>
          <w:rFonts w:hint="eastAsia" w:ascii="仿宋_GB2312" w:eastAsia="仿宋_GB2312"/>
          <w:szCs w:val="21"/>
        </w:rPr>
        <w:t>13</w:t>
      </w:r>
      <w:r>
        <w:rPr>
          <w:rFonts w:hint="eastAsia" w:ascii="仿宋_GB2312" w:hAnsi="宋体" w:eastAsia="仿宋_GB2312"/>
          <w:szCs w:val="21"/>
        </w:rPr>
        <w:t>“投标文件”指供方按照</w:t>
      </w:r>
      <w:r>
        <w:rPr>
          <w:rFonts w:hint="eastAsia" w:ascii="仿宋_GB2312" w:hAnsi="宋体" w:eastAsia="仿宋_GB2312" w:cs="Lucida Sans Unicode"/>
          <w:szCs w:val="21"/>
        </w:rPr>
        <w:t>采购代理机构</w:t>
      </w:r>
      <w:r>
        <w:rPr>
          <w:rFonts w:hint="eastAsia" w:ascii="仿宋_GB2312" w:hAnsi="宋体" w:eastAsia="仿宋_GB2312"/>
          <w:szCs w:val="21"/>
        </w:rPr>
        <w:t>招标文件的要求编制和递交，并最终被评标委员会接受的投标文件。</w:t>
      </w:r>
    </w:p>
    <w:p>
      <w:pPr>
        <w:spacing w:line="360" w:lineRule="auto"/>
        <w:ind w:firstLine="417" w:firstLineChars="199"/>
        <w:rPr>
          <w:rFonts w:ascii="仿宋_GB2312" w:hAnsi="宋体" w:eastAsia="仿宋_GB2312"/>
          <w:b/>
          <w:szCs w:val="21"/>
        </w:rPr>
      </w:pPr>
      <w:r>
        <w:rPr>
          <w:rFonts w:hint="eastAsia" w:ascii="仿宋_GB2312" w:hAnsi="宋体" w:eastAsia="仿宋_GB2312"/>
          <w:b/>
          <w:szCs w:val="21"/>
        </w:rPr>
        <w:t>2.技术规范与服务内容</w:t>
      </w:r>
    </w:p>
    <w:p>
      <w:pPr>
        <w:spacing w:line="360" w:lineRule="auto"/>
        <w:ind w:firstLine="417" w:firstLineChars="199"/>
        <w:rPr>
          <w:rFonts w:ascii="仿宋_GB2312" w:hAnsi="宋体" w:eastAsia="仿宋_GB2312"/>
          <w:szCs w:val="21"/>
        </w:rPr>
      </w:pPr>
      <w:r>
        <w:rPr>
          <w:rFonts w:hint="eastAsia" w:ascii="仿宋_GB2312" w:hAnsi="宋体" w:eastAsia="仿宋_GB2312"/>
          <w:szCs w:val="21"/>
        </w:rPr>
        <w:t>2.1投标服务的技术规范应与招标文件规定的技术规范（如果有的话）相一致。若无相应说明，则以国家有关部门最新颁布的相应标准及规范为准。</w:t>
      </w:r>
    </w:p>
    <w:p>
      <w:pPr>
        <w:spacing w:line="360" w:lineRule="auto"/>
        <w:ind w:firstLine="417" w:firstLineChars="199"/>
        <w:rPr>
          <w:rFonts w:ascii="仿宋_GB2312" w:hAnsi="宋体" w:eastAsia="仿宋_GB2312"/>
          <w:szCs w:val="21"/>
        </w:rPr>
      </w:pPr>
      <w:r>
        <w:rPr>
          <w:rFonts w:hint="eastAsia" w:ascii="仿宋_GB2312" w:hAnsi="宋体" w:eastAsia="仿宋_GB2312"/>
          <w:szCs w:val="21"/>
        </w:rPr>
        <w:t>2.2 投标服务的服务内容应与招标文件规定服务内容及投标文件中的项目要求及投标响应表一致。</w:t>
      </w:r>
    </w:p>
    <w:p>
      <w:pPr>
        <w:spacing w:line="360" w:lineRule="auto"/>
        <w:ind w:firstLine="417" w:firstLineChars="199"/>
        <w:rPr>
          <w:rFonts w:ascii="仿宋_GB2312" w:hAnsi="宋体" w:eastAsia="仿宋_GB2312"/>
          <w:b/>
          <w:szCs w:val="21"/>
        </w:rPr>
      </w:pPr>
      <w:r>
        <w:rPr>
          <w:rFonts w:hint="eastAsia" w:ascii="仿宋_GB2312" w:hAnsi="宋体" w:eastAsia="仿宋_GB2312"/>
          <w:b/>
          <w:szCs w:val="21"/>
        </w:rPr>
        <w:t>3.知识产权</w:t>
      </w:r>
    </w:p>
    <w:p>
      <w:pPr>
        <w:spacing w:line="360" w:lineRule="auto"/>
        <w:ind w:firstLine="411" w:firstLineChars="196"/>
        <w:jc w:val="left"/>
        <w:rPr>
          <w:rFonts w:ascii="仿宋_GB2312" w:hAnsi="宋体" w:eastAsia="仿宋_GB2312"/>
          <w:szCs w:val="21"/>
        </w:rPr>
      </w:pPr>
      <w:r>
        <w:rPr>
          <w:rFonts w:hint="eastAsia" w:ascii="仿宋_GB2312" w:hAnsi="宋体" w:eastAsia="仿宋_GB2312"/>
          <w:szCs w:val="21"/>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pPr>
        <w:spacing w:line="360" w:lineRule="auto"/>
        <w:ind w:firstLine="411" w:firstLineChars="196"/>
        <w:jc w:val="left"/>
        <w:rPr>
          <w:rFonts w:ascii="仿宋_GB2312" w:hAnsi="宋体" w:eastAsia="仿宋_GB2312"/>
          <w:szCs w:val="21"/>
        </w:rPr>
      </w:pPr>
      <w:r>
        <w:rPr>
          <w:rFonts w:hint="eastAsia" w:ascii="仿宋_GB2312" w:hAnsi="宋体" w:eastAsia="仿宋_GB2312"/>
          <w:szCs w:val="21"/>
        </w:rPr>
        <w:t>3.2供方应保证所供服务符合国家的有关规定。</w:t>
      </w:r>
    </w:p>
    <w:p>
      <w:pPr>
        <w:tabs>
          <w:tab w:val="left" w:pos="360"/>
        </w:tabs>
        <w:spacing w:line="360" w:lineRule="auto"/>
        <w:ind w:firstLine="417" w:firstLineChars="199"/>
        <w:rPr>
          <w:rFonts w:ascii="仿宋_GB2312" w:hAnsi="宋体" w:eastAsia="仿宋_GB2312"/>
          <w:szCs w:val="21"/>
        </w:rPr>
      </w:pPr>
      <w:r>
        <w:rPr>
          <w:rFonts w:hint="eastAsia" w:ascii="仿宋_GB2312" w:hAnsi="宋体" w:eastAsia="仿宋_GB2312"/>
          <w:szCs w:val="21"/>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pPr>
        <w:spacing w:line="360" w:lineRule="auto"/>
        <w:ind w:firstLine="417" w:firstLineChars="199"/>
        <w:rPr>
          <w:rFonts w:ascii="仿宋_GB2312" w:hAnsi="宋体" w:eastAsia="仿宋_GB2312"/>
          <w:b/>
          <w:szCs w:val="21"/>
        </w:rPr>
      </w:pPr>
      <w:r>
        <w:rPr>
          <w:rFonts w:hint="eastAsia" w:ascii="仿宋_GB2312" w:hAnsi="宋体" w:eastAsia="仿宋_GB2312"/>
          <w:b/>
          <w:szCs w:val="21"/>
        </w:rPr>
        <w:t>4.完成方式</w:t>
      </w:r>
    </w:p>
    <w:p>
      <w:pPr>
        <w:spacing w:line="360" w:lineRule="auto"/>
        <w:ind w:firstLine="417" w:firstLineChars="199"/>
        <w:rPr>
          <w:rFonts w:ascii="仿宋_GB2312" w:hAnsi="宋体" w:eastAsia="仿宋_GB2312"/>
          <w:szCs w:val="21"/>
        </w:rPr>
      </w:pPr>
      <w:r>
        <w:rPr>
          <w:rFonts w:hint="eastAsia" w:ascii="仿宋_GB2312" w:hAnsi="宋体" w:eastAsia="仿宋_GB2312"/>
          <w:szCs w:val="21"/>
        </w:rPr>
        <w:t>供方按照合同约定的时间、地点完成服务。</w:t>
      </w:r>
    </w:p>
    <w:p>
      <w:pPr>
        <w:spacing w:line="360" w:lineRule="auto"/>
        <w:ind w:firstLine="417" w:firstLineChars="199"/>
        <w:rPr>
          <w:rFonts w:ascii="仿宋_GB2312" w:hAnsi="宋体" w:eastAsia="仿宋_GB2312"/>
          <w:b/>
          <w:szCs w:val="21"/>
        </w:rPr>
      </w:pPr>
      <w:r>
        <w:rPr>
          <w:rFonts w:hint="eastAsia" w:ascii="仿宋_GB2312" w:hAnsi="宋体" w:eastAsia="仿宋_GB2312"/>
          <w:b/>
          <w:szCs w:val="21"/>
        </w:rPr>
        <w:t>5.付款</w:t>
      </w:r>
    </w:p>
    <w:p>
      <w:pPr>
        <w:spacing w:line="360" w:lineRule="auto"/>
        <w:ind w:firstLine="417" w:firstLineChars="199"/>
        <w:rPr>
          <w:rFonts w:ascii="仿宋_GB2312" w:hAnsi="宋体" w:eastAsia="仿宋_GB2312"/>
          <w:szCs w:val="21"/>
        </w:rPr>
      </w:pPr>
      <w:r>
        <w:rPr>
          <w:rFonts w:hint="eastAsia" w:ascii="仿宋_GB2312" w:hAnsi="宋体" w:eastAsia="仿宋_GB2312"/>
          <w:szCs w:val="21"/>
        </w:rPr>
        <w:t>5.1政府采购合同以人民币付款。</w:t>
      </w:r>
    </w:p>
    <w:p>
      <w:pPr>
        <w:spacing w:line="360" w:lineRule="auto"/>
        <w:ind w:firstLine="417" w:firstLineChars="199"/>
        <w:rPr>
          <w:rFonts w:ascii="仿宋_GB2312" w:hAnsi="宋体" w:eastAsia="仿宋_GB2312"/>
          <w:szCs w:val="21"/>
        </w:rPr>
      </w:pPr>
      <w:r>
        <w:rPr>
          <w:rFonts w:hint="eastAsia" w:ascii="仿宋_GB2312" w:hAnsi="宋体" w:eastAsia="仿宋_GB2312"/>
          <w:szCs w:val="21"/>
        </w:rPr>
        <w:t>5.2在供方按照政府采购合同的规定履行服务后，需方按照合同约定的方式和条件付款。</w:t>
      </w:r>
    </w:p>
    <w:p>
      <w:pPr>
        <w:spacing w:line="360" w:lineRule="auto"/>
        <w:ind w:firstLine="420" w:firstLineChars="200"/>
        <w:rPr>
          <w:rFonts w:ascii="仿宋_GB2312" w:hAnsi="宋体" w:eastAsia="仿宋_GB2312"/>
          <w:b/>
          <w:szCs w:val="21"/>
        </w:rPr>
      </w:pPr>
      <w:r>
        <w:rPr>
          <w:rFonts w:hint="eastAsia" w:ascii="仿宋_GB2312" w:hAnsi="宋体" w:eastAsia="仿宋_GB2312"/>
          <w:b/>
          <w:szCs w:val="21"/>
        </w:rPr>
        <w:t>6.服务质量</w:t>
      </w:r>
    </w:p>
    <w:p>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6.1供方应保证政府采购合同项下所供服务是由供方提供的，并完全符合强制性的国家技术质量规范和政府采购合同规定的质量、性能和技术规范等要求。</w:t>
      </w:r>
    </w:p>
    <w:p>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6.2供方提供的服务质量应满足行业一般标准，符合合同约定。</w:t>
      </w:r>
    </w:p>
    <w:p>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6.3需方有权对供方的服务质量进行监督，发现服务存在不符合合同标准的情形的，可以要求供方改正服务方式、替换服务人员等补救方式，供方应按需方要求改正，并赔偿需方实际损失。</w:t>
      </w:r>
    </w:p>
    <w:p>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6.4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pPr>
        <w:spacing w:line="360" w:lineRule="auto"/>
        <w:ind w:firstLine="411" w:firstLineChars="196"/>
        <w:rPr>
          <w:rFonts w:ascii="仿宋_GB2312" w:hAnsi="宋体" w:eastAsia="仿宋_GB2312"/>
          <w:b/>
          <w:szCs w:val="21"/>
        </w:rPr>
      </w:pPr>
      <w:r>
        <w:rPr>
          <w:rFonts w:hint="eastAsia" w:ascii="仿宋_GB2312" w:hAnsi="宋体" w:eastAsia="仿宋_GB2312"/>
          <w:b/>
          <w:szCs w:val="21"/>
        </w:rPr>
        <w:t>7.技术服务和保修责任</w:t>
      </w:r>
    </w:p>
    <w:p>
      <w:pPr>
        <w:spacing w:line="360" w:lineRule="auto"/>
        <w:ind w:firstLine="411" w:firstLineChars="196"/>
        <w:rPr>
          <w:rFonts w:ascii="仿宋_GB2312" w:hAnsi="宋体" w:eastAsia="仿宋_GB2312"/>
          <w:szCs w:val="21"/>
        </w:rPr>
      </w:pPr>
      <w:r>
        <w:rPr>
          <w:rFonts w:hint="eastAsia" w:ascii="仿宋_GB2312" w:hAnsi="宋体" w:eastAsia="仿宋_GB2312"/>
          <w:szCs w:val="21"/>
        </w:rPr>
        <w:t>7.1本条适用于</w:t>
      </w:r>
      <w:r>
        <w:rPr>
          <w:rFonts w:hint="eastAsia" w:ascii="仿宋_GB2312" w:hAnsi="宋体" w:eastAsia="仿宋_GB2312" w:cs="Arial"/>
          <w:szCs w:val="21"/>
        </w:rPr>
        <w:t>委托开发等最终以产品形式交付需方使用的服务。</w:t>
      </w:r>
    </w:p>
    <w:p>
      <w:pPr>
        <w:spacing w:line="360" w:lineRule="auto"/>
        <w:ind w:firstLine="411" w:firstLineChars="196"/>
        <w:rPr>
          <w:rFonts w:ascii="仿宋_GB2312" w:hAnsi="宋体" w:eastAsia="仿宋_GB2312"/>
          <w:szCs w:val="21"/>
        </w:rPr>
      </w:pPr>
      <w:r>
        <w:rPr>
          <w:rFonts w:hint="eastAsia" w:ascii="仿宋_GB2312" w:hAnsi="宋体" w:eastAsia="仿宋_GB2312"/>
          <w:szCs w:val="21"/>
        </w:rPr>
        <w:t>7.2供方对交付的产品的保修期，以招标文件中的规定为准，如果投标文件中的承诺优于招标文件规定，则以投标文件为准。</w:t>
      </w:r>
    </w:p>
    <w:p>
      <w:pPr>
        <w:spacing w:line="360" w:lineRule="auto"/>
        <w:ind w:firstLine="411" w:firstLineChars="196"/>
        <w:rPr>
          <w:rFonts w:ascii="仿宋_GB2312" w:hAnsi="宋体" w:eastAsia="仿宋_GB2312"/>
          <w:szCs w:val="21"/>
        </w:rPr>
      </w:pPr>
      <w:r>
        <w:rPr>
          <w:rFonts w:hint="eastAsia" w:ascii="仿宋_GB2312" w:hAnsi="宋体" w:eastAsia="仿宋_GB2312"/>
          <w:szCs w:val="21"/>
        </w:rPr>
        <w:t>7.3供方应按如下内容提供售后服务：</w:t>
      </w:r>
    </w:p>
    <w:p>
      <w:pPr>
        <w:spacing w:line="360" w:lineRule="auto"/>
        <w:ind w:firstLine="411" w:firstLineChars="196"/>
        <w:rPr>
          <w:rFonts w:ascii="仿宋_GB2312" w:hAnsi="宋体" w:eastAsia="仿宋_GB2312"/>
          <w:szCs w:val="21"/>
        </w:rPr>
      </w:pPr>
      <w:r>
        <w:rPr>
          <w:rFonts w:hint="eastAsia" w:ascii="仿宋_GB2312" w:hAnsi="宋体" w:eastAsia="仿宋_GB2312"/>
          <w:szCs w:val="21"/>
        </w:rPr>
        <w:t>7.3.1产品经过试运行期，所有性能指标达到技术规范书的要求时，可按招标文件、投标文件内容进行初验。在试运行期间，由于产品质量等造成某些指标达不到要求，供方须更换或进行修复，试运行期重新计算。</w:t>
      </w:r>
    </w:p>
    <w:p>
      <w:pPr>
        <w:spacing w:line="360" w:lineRule="auto"/>
        <w:ind w:firstLine="411" w:firstLineChars="196"/>
        <w:rPr>
          <w:rFonts w:ascii="仿宋_GB2312" w:hAnsi="宋体" w:eastAsia="仿宋_GB2312"/>
          <w:szCs w:val="21"/>
        </w:rPr>
      </w:pPr>
      <w:r>
        <w:rPr>
          <w:rFonts w:hint="eastAsia" w:ascii="仿宋_GB2312" w:hAnsi="宋体" w:eastAsia="仿宋_GB2312"/>
          <w:szCs w:val="21"/>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pPr>
        <w:spacing w:line="360" w:lineRule="auto"/>
        <w:ind w:firstLine="411" w:firstLineChars="196"/>
        <w:rPr>
          <w:rFonts w:ascii="仿宋_GB2312" w:hAnsi="宋体" w:eastAsia="仿宋_GB2312"/>
          <w:szCs w:val="21"/>
        </w:rPr>
      </w:pPr>
      <w:r>
        <w:rPr>
          <w:rFonts w:hint="eastAsia" w:ascii="仿宋_GB2312" w:hAnsi="宋体" w:eastAsia="仿宋_GB2312"/>
          <w:szCs w:val="21"/>
        </w:rPr>
        <w:t>7.3.3保修期间供方要保修除消耗品以外的所有产品。如果系统、设备等发生故障，供方要调查故障原因并修复直至满足最终验收指标和性能的要求，或者修理、更换整个或部分有缺陷的材料。</w:t>
      </w:r>
    </w:p>
    <w:p>
      <w:pPr>
        <w:spacing w:line="360" w:lineRule="auto"/>
        <w:ind w:firstLine="411" w:firstLineChars="196"/>
        <w:rPr>
          <w:rFonts w:ascii="仿宋_GB2312" w:hAnsi="宋体" w:eastAsia="仿宋_GB2312"/>
          <w:szCs w:val="21"/>
        </w:rPr>
      </w:pPr>
      <w:r>
        <w:rPr>
          <w:rFonts w:hint="eastAsia" w:ascii="仿宋_GB2312" w:hAnsi="宋体" w:eastAsia="仿宋_GB2312"/>
          <w:szCs w:val="21"/>
        </w:rPr>
        <w:t>7.3.4保修期内，供方提供电话、电子邮件、Web、现场服务等方式的技术支持，对用户的现场服务要求，供方必须按投标文件做出的承诺进行响应。</w:t>
      </w:r>
    </w:p>
    <w:p>
      <w:pPr>
        <w:spacing w:line="360" w:lineRule="auto"/>
        <w:ind w:firstLine="411" w:firstLineChars="196"/>
        <w:rPr>
          <w:rFonts w:ascii="仿宋_GB2312" w:hAnsi="宋体" w:eastAsia="仿宋_GB2312"/>
          <w:szCs w:val="21"/>
        </w:rPr>
      </w:pPr>
      <w:r>
        <w:rPr>
          <w:rFonts w:hint="eastAsia" w:ascii="仿宋_GB2312" w:hAnsi="宋体" w:eastAsia="仿宋_GB2312"/>
          <w:szCs w:val="21"/>
        </w:rPr>
        <w:t>7.3.5保修期内，供方应对出现故障无法修复的产品或无法正常运行的系统，提供替代产品以保证系统的正常工作。</w:t>
      </w:r>
    </w:p>
    <w:p>
      <w:pPr>
        <w:spacing w:line="360" w:lineRule="auto"/>
        <w:ind w:firstLine="411" w:firstLineChars="196"/>
        <w:rPr>
          <w:rFonts w:ascii="仿宋_GB2312" w:hAnsi="宋体" w:eastAsia="仿宋_GB2312"/>
          <w:szCs w:val="21"/>
        </w:rPr>
      </w:pPr>
      <w:r>
        <w:rPr>
          <w:rFonts w:hint="eastAsia" w:ascii="仿宋_GB2312" w:hAnsi="宋体" w:eastAsia="仿宋_GB2312"/>
          <w:szCs w:val="21"/>
        </w:rPr>
        <w:t>7.3.6保修期内，供方应投标时的承诺提供相关服务。</w:t>
      </w:r>
    </w:p>
    <w:p>
      <w:pPr>
        <w:spacing w:line="360" w:lineRule="auto"/>
        <w:ind w:firstLine="411" w:firstLineChars="196"/>
        <w:rPr>
          <w:rFonts w:ascii="仿宋_GB2312" w:hAnsi="宋体" w:eastAsia="仿宋_GB2312"/>
          <w:szCs w:val="21"/>
        </w:rPr>
      </w:pPr>
      <w:r>
        <w:rPr>
          <w:rFonts w:hint="eastAsia" w:ascii="仿宋_GB2312" w:hAnsi="宋体" w:eastAsia="仿宋_GB2312"/>
          <w:szCs w:val="21"/>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pPr>
        <w:spacing w:line="360" w:lineRule="auto"/>
        <w:ind w:firstLine="411" w:firstLineChars="196"/>
        <w:rPr>
          <w:rFonts w:ascii="仿宋_GB2312" w:hAnsi="宋体" w:eastAsia="仿宋_GB2312"/>
          <w:szCs w:val="21"/>
        </w:rPr>
      </w:pPr>
      <w:r>
        <w:rPr>
          <w:rFonts w:hint="eastAsia" w:ascii="仿宋_GB2312" w:hAnsi="宋体" w:eastAsia="仿宋_GB2312"/>
          <w:szCs w:val="21"/>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pPr>
        <w:spacing w:line="360" w:lineRule="auto"/>
        <w:ind w:firstLine="411" w:firstLineChars="196"/>
        <w:rPr>
          <w:rFonts w:ascii="仿宋_GB2312" w:hAnsi="宋体" w:eastAsia="仿宋_GB2312"/>
          <w:szCs w:val="21"/>
        </w:rPr>
      </w:pPr>
      <w:r>
        <w:rPr>
          <w:rFonts w:hint="eastAsia" w:ascii="仿宋_GB2312" w:hAnsi="宋体" w:eastAsia="仿宋_GB2312"/>
          <w:szCs w:val="21"/>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pPr>
        <w:spacing w:line="360" w:lineRule="auto"/>
        <w:ind w:firstLine="417" w:firstLineChars="199"/>
        <w:rPr>
          <w:rFonts w:ascii="仿宋_GB2312" w:hAnsi="宋体" w:eastAsia="仿宋_GB2312"/>
          <w:szCs w:val="21"/>
        </w:rPr>
      </w:pPr>
      <w:r>
        <w:rPr>
          <w:rFonts w:hint="eastAsia" w:ascii="仿宋_GB2312" w:hAnsi="宋体" w:eastAsia="仿宋_GB2312"/>
          <w:szCs w:val="21"/>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pPr>
        <w:spacing w:line="360" w:lineRule="auto"/>
        <w:ind w:firstLine="417" w:firstLineChars="199"/>
        <w:rPr>
          <w:rFonts w:ascii="仿宋_GB2312" w:hAnsi="宋体" w:eastAsia="仿宋_GB2312"/>
          <w:b/>
          <w:szCs w:val="21"/>
        </w:rPr>
      </w:pPr>
      <w:r>
        <w:rPr>
          <w:rFonts w:hint="eastAsia" w:ascii="仿宋_GB2312" w:hAnsi="宋体" w:eastAsia="仿宋_GB2312"/>
          <w:b/>
          <w:szCs w:val="21"/>
        </w:rPr>
        <w:t>8.检验和验收</w:t>
      </w:r>
    </w:p>
    <w:p>
      <w:pPr>
        <w:spacing w:line="360" w:lineRule="auto"/>
        <w:ind w:firstLine="417" w:firstLineChars="199"/>
        <w:rPr>
          <w:rFonts w:ascii="仿宋_GB2312" w:hAnsi="宋体" w:eastAsia="仿宋_GB2312"/>
          <w:szCs w:val="21"/>
        </w:rPr>
      </w:pPr>
      <w:r>
        <w:rPr>
          <w:rFonts w:hint="eastAsia" w:ascii="仿宋_GB2312" w:hAnsi="宋体" w:eastAsia="仿宋_GB2312"/>
          <w:szCs w:val="21"/>
        </w:rPr>
        <w:t>8.1完成服务后，需方或采购代理机构（由具体项目决定）应在政府采购合同规定的时间内组织验收，并在“验收书”上签字。“验收书”将作为申请付款文件的一部分。</w:t>
      </w:r>
    </w:p>
    <w:p>
      <w:pPr>
        <w:spacing w:line="360" w:lineRule="auto"/>
        <w:ind w:firstLine="417" w:firstLineChars="199"/>
        <w:rPr>
          <w:rFonts w:ascii="仿宋_GB2312" w:hAnsi="宋体" w:eastAsia="仿宋_GB2312"/>
          <w:szCs w:val="21"/>
        </w:rPr>
      </w:pPr>
      <w:r>
        <w:rPr>
          <w:rFonts w:hint="eastAsia" w:ascii="仿宋_GB2312" w:hAnsi="宋体" w:eastAsia="仿宋_GB2312"/>
          <w:szCs w:val="21"/>
        </w:rPr>
        <w:t>8.2</w:t>
      </w:r>
      <w:r>
        <w:rPr>
          <w:rFonts w:hint="eastAsia" w:ascii="仿宋_GB2312" w:hAnsi="宋体" w:eastAsia="仿宋_GB2312" w:cs="Arial"/>
          <w:szCs w:val="21"/>
        </w:rPr>
        <w:t>对于委托开发等最终以产品形式交付需方使用的服务，</w:t>
      </w:r>
      <w:r>
        <w:rPr>
          <w:rFonts w:hint="eastAsia" w:ascii="仿宋_GB2312" w:hAnsi="宋体" w:eastAsia="仿宋_GB2312"/>
          <w:szCs w:val="21"/>
        </w:rPr>
        <w:t>保修期自验收书签署之日起计算。</w:t>
      </w:r>
    </w:p>
    <w:p>
      <w:pPr>
        <w:tabs>
          <w:tab w:val="left" w:pos="360"/>
        </w:tabs>
        <w:spacing w:line="360" w:lineRule="auto"/>
        <w:ind w:firstLine="457" w:firstLineChars="218"/>
        <w:rPr>
          <w:rFonts w:ascii="仿宋_GB2312" w:hAnsi="宋体" w:eastAsia="仿宋_GB2312"/>
          <w:b/>
          <w:szCs w:val="21"/>
        </w:rPr>
      </w:pPr>
      <w:r>
        <w:rPr>
          <w:rFonts w:hint="eastAsia" w:ascii="仿宋_GB2312" w:hAnsi="宋体" w:eastAsia="仿宋_GB2312"/>
          <w:b/>
          <w:szCs w:val="21"/>
        </w:rPr>
        <w:t>9.违约责任</w:t>
      </w:r>
    </w:p>
    <w:p>
      <w:pPr>
        <w:spacing w:line="360" w:lineRule="auto"/>
        <w:ind w:firstLine="457" w:firstLineChars="218"/>
        <w:rPr>
          <w:rFonts w:ascii="仿宋_GB2312" w:hAnsi="宋体" w:eastAsia="仿宋_GB2312" w:cs="Arial"/>
          <w:szCs w:val="21"/>
        </w:rPr>
      </w:pPr>
      <w:r>
        <w:rPr>
          <w:rFonts w:hint="eastAsia" w:ascii="仿宋_GB2312" w:hAnsi="宋体" w:eastAsia="仿宋_GB2312" w:cs="Arial"/>
          <w:szCs w:val="21"/>
        </w:rPr>
        <w:t>9.1如果供方未按照政府采购合同规定的要求提供服务；或供方未能履行政府采购合同规定的任何其它义务时，需方有权向供方发出违约通知书，供方应按照需方选择的下列一种或多种方式承担赔偿责任：</w:t>
      </w:r>
    </w:p>
    <w:p>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9.1.1在需方同意延长的期限内提供服务并承担由此给需方造成的一切损失；</w:t>
      </w:r>
    </w:p>
    <w:p>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9.1.2在需方规定的时间内，用符合政府采购合同规定的服务以达到政府采购合同规定的要求，供方应承担由此发生的一切费用和风险。此时，相关服务的期限也应相应延长；</w:t>
      </w:r>
    </w:p>
    <w:p>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9.1.3需方有权部分或全部解除政府采购合同并要求供方赔偿由此造成的损失。此时需方可采取必要的补救措施，相关费用由供方承担。</w:t>
      </w:r>
    </w:p>
    <w:p>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9.3延期服务的违约责任</w:t>
      </w:r>
    </w:p>
    <w:p>
      <w:pPr>
        <w:spacing w:line="360" w:lineRule="auto"/>
        <w:ind w:firstLine="420" w:firstLineChars="200"/>
        <w:rPr>
          <w:rFonts w:ascii="仿宋_GB2312" w:hAnsi="宋体" w:eastAsia="仿宋_GB2312" w:cs="Arial"/>
          <w:szCs w:val="21"/>
        </w:rPr>
      </w:pPr>
      <w:r>
        <w:rPr>
          <w:rFonts w:hint="eastAsia" w:ascii="仿宋_GB2312" w:hAnsi="宋体" w:eastAsia="仿宋_GB2312" w:cs="Arial"/>
          <w:szCs w:val="21"/>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8.4以上各项交付的违约金并不影响违约方履行政府采购合同的各项义务。</w:t>
      </w:r>
    </w:p>
    <w:p>
      <w:pPr>
        <w:spacing w:line="360" w:lineRule="auto"/>
        <w:ind w:left="420"/>
        <w:rPr>
          <w:rFonts w:ascii="仿宋_GB2312" w:hAnsi="宋体" w:eastAsia="仿宋_GB2312" w:cs="Arial"/>
          <w:b/>
          <w:szCs w:val="21"/>
        </w:rPr>
      </w:pPr>
      <w:r>
        <w:rPr>
          <w:rFonts w:hint="eastAsia" w:ascii="仿宋_GB2312" w:hAnsi="宋体" w:eastAsia="仿宋_GB2312" w:cs="Arial"/>
          <w:b/>
          <w:szCs w:val="21"/>
        </w:rPr>
        <w:t>10.不可抗力</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10.2本条所述的“不可抗力”系指那些双方无法控制，不可预见的事件，但不包括双方的违约或疏忽。这些事件包括但不限于：战争、严重火灾、洪水、台风、地震。</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11.争端的解决</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11.1需方和供方应通过友好协商，解决在执行本政府采购合同过程中所发生的或与本政府采购合同有关的一切争端。</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11.2如果协商不成，双方中的任何一方可向需方所在地的人民法院提起诉讼。</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11.3因政府采购合同部分履行引发诉讼的，在诉讼期间，除正在进行诉讼的部分外，本政府采购合同的其它部分应继续执行。</w:t>
      </w:r>
    </w:p>
    <w:p>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12.违约终止政府采购合同</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12.1在需方因供方违约而按政府采购合同约定采取的任何补救措施不起作用的情况下，需方可在下列情况下向供方发出书面通知，提出终止部分或全部政府采购合同。</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12.1.1如果供方未能在政府采购合同规定的限期或需方同意延长的限期内提供部分或全部服务；</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12.1.2如果供方未能履行政府采购合同规定的其它任何义务。</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12.1.3未经需方事先书面同意，供方部分转让和分包或全部转让和分包其应履行的政府采购合同义务。</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13.政府采购法对政府采购合同变更终止的规定</w:t>
      </w:r>
    </w:p>
    <w:p>
      <w:pPr>
        <w:spacing w:line="360" w:lineRule="auto"/>
        <w:ind w:firstLine="411" w:firstLineChars="196"/>
        <w:rPr>
          <w:rFonts w:ascii="仿宋_GB2312" w:hAnsi="宋体" w:eastAsia="仿宋_GB2312" w:cs="Arial"/>
          <w:b/>
          <w:szCs w:val="21"/>
        </w:rPr>
      </w:pPr>
      <w:r>
        <w:rPr>
          <w:rFonts w:hint="eastAsia" w:ascii="仿宋_GB2312" w:hAnsi="宋体" w:eastAsia="仿宋_GB2312" w:cs="Arial"/>
          <w:szCs w:val="21"/>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14.政府采购合同转让和分包</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除招标文件规定,并经需方事先书面同意外，供方不得部分转让和分包或全部转让和分包其应履行的政府采购合同义务。</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b/>
          <w:szCs w:val="21"/>
        </w:rPr>
        <w:t>15.适用法律：</w:t>
      </w:r>
      <w:r>
        <w:rPr>
          <w:rFonts w:hint="eastAsia" w:ascii="仿宋_GB2312" w:hAnsi="宋体" w:eastAsia="仿宋_GB2312" w:cs="Arial"/>
          <w:szCs w:val="21"/>
        </w:rPr>
        <w:t>本政府采购合同按照中华人民共和国的现行法律进行解释。</w:t>
      </w:r>
    </w:p>
    <w:p>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16.政府采购合同生效</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16.1本政府采购合同在供需双方法定代表人或其授权代理人签字和加盖公章后生效。</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16.2本政府采购合同一式五份，需方执二份，供方、</w:t>
      </w:r>
      <w:r>
        <w:rPr>
          <w:rFonts w:hint="eastAsia" w:ascii="仿宋_GB2312" w:hAnsi="宋体" w:eastAsia="仿宋_GB2312" w:cs="Lucida Sans Unicode"/>
          <w:szCs w:val="21"/>
        </w:rPr>
        <w:t>采购代理机构</w:t>
      </w:r>
      <w:r>
        <w:rPr>
          <w:rFonts w:hint="eastAsia" w:ascii="仿宋_GB2312" w:hAnsi="宋体" w:eastAsia="仿宋_GB2312" w:cs="Arial"/>
          <w:szCs w:val="21"/>
        </w:rPr>
        <w:t xml:space="preserve">、财政部门各执一份。 </w:t>
      </w:r>
    </w:p>
    <w:p>
      <w:pPr>
        <w:spacing w:line="360" w:lineRule="auto"/>
        <w:ind w:firstLine="411" w:firstLineChars="196"/>
        <w:rPr>
          <w:rFonts w:ascii="仿宋_GB2312" w:hAnsi="宋体" w:eastAsia="仿宋_GB2312" w:cs="Arial"/>
          <w:b/>
          <w:szCs w:val="21"/>
        </w:rPr>
      </w:pPr>
      <w:r>
        <w:rPr>
          <w:rFonts w:hint="eastAsia" w:ascii="仿宋_GB2312" w:hAnsi="宋体" w:eastAsia="仿宋_GB2312" w:cs="Arial"/>
          <w:b/>
          <w:szCs w:val="21"/>
        </w:rPr>
        <w:t>17.政府采购合同附件</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下列文件构成本政府采购合同不可分割的组成部分，与本政府采购合同具有同等法律效力：</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17.1</w:t>
      </w:r>
      <w:r>
        <w:rPr>
          <w:rFonts w:hint="eastAsia" w:ascii="仿宋_GB2312" w:hAnsi="宋体" w:eastAsia="仿宋_GB2312"/>
          <w:szCs w:val="21"/>
        </w:rPr>
        <w:t>招标文件；</w:t>
      </w:r>
    </w:p>
    <w:p>
      <w:pPr>
        <w:spacing w:line="360" w:lineRule="auto"/>
        <w:ind w:firstLine="420" w:firstLineChars="200"/>
        <w:jc w:val="left"/>
        <w:rPr>
          <w:rFonts w:ascii="仿宋_GB2312" w:hAnsi="宋体" w:eastAsia="仿宋_GB2312" w:cs="Arial"/>
          <w:szCs w:val="21"/>
        </w:rPr>
      </w:pPr>
      <w:r>
        <w:rPr>
          <w:rFonts w:hint="eastAsia" w:ascii="仿宋_GB2312" w:hAnsi="宋体" w:eastAsia="仿宋_GB2312" w:cs="Arial"/>
          <w:szCs w:val="21"/>
        </w:rPr>
        <w:t>17.2招标文件的更正公告、变更公告；</w:t>
      </w:r>
    </w:p>
    <w:p>
      <w:pPr>
        <w:spacing w:line="360" w:lineRule="auto"/>
        <w:ind w:firstLine="420" w:firstLineChars="200"/>
        <w:jc w:val="left"/>
        <w:rPr>
          <w:rFonts w:ascii="仿宋_GB2312" w:hAnsi="宋体" w:eastAsia="仿宋_GB2312" w:cs="Arial"/>
          <w:szCs w:val="21"/>
        </w:rPr>
      </w:pPr>
      <w:r>
        <w:rPr>
          <w:rFonts w:hint="eastAsia" w:ascii="仿宋_GB2312" w:hAnsi="宋体" w:eastAsia="仿宋_GB2312" w:cs="Arial"/>
          <w:szCs w:val="21"/>
        </w:rPr>
        <w:t xml:space="preserve">17.3中标供应商提交的投标文件；        </w:t>
      </w:r>
    </w:p>
    <w:p>
      <w:pPr>
        <w:spacing w:line="360" w:lineRule="auto"/>
        <w:ind w:firstLine="420" w:firstLineChars="200"/>
        <w:jc w:val="left"/>
        <w:rPr>
          <w:rFonts w:ascii="仿宋_GB2312" w:hAnsi="宋体" w:eastAsia="仿宋_GB2312"/>
          <w:szCs w:val="21"/>
        </w:rPr>
      </w:pPr>
      <w:r>
        <w:rPr>
          <w:rFonts w:hint="eastAsia" w:ascii="仿宋_GB2312" w:hAnsi="宋体" w:eastAsia="仿宋_GB2312" w:cs="Arial"/>
          <w:szCs w:val="21"/>
        </w:rPr>
        <w:t>17.4</w:t>
      </w:r>
      <w:r>
        <w:rPr>
          <w:rFonts w:hint="eastAsia" w:ascii="仿宋_GB2312" w:hAnsi="宋体" w:eastAsia="仿宋_GB2312"/>
          <w:szCs w:val="21"/>
        </w:rPr>
        <w:t>政府采购合同条款；</w:t>
      </w:r>
    </w:p>
    <w:p>
      <w:pPr>
        <w:spacing w:line="360" w:lineRule="auto"/>
        <w:ind w:firstLine="411" w:firstLineChars="196"/>
        <w:rPr>
          <w:rFonts w:ascii="仿宋_GB2312" w:hAnsi="宋体" w:eastAsia="仿宋_GB2312" w:cs="Arial"/>
          <w:szCs w:val="21"/>
        </w:rPr>
      </w:pPr>
      <w:r>
        <w:rPr>
          <w:rFonts w:hint="eastAsia" w:ascii="仿宋_GB2312" w:hAnsi="宋体" w:eastAsia="仿宋_GB2312" w:cs="Arial"/>
          <w:szCs w:val="21"/>
        </w:rPr>
        <w:t>17.5中标通知书；</w:t>
      </w:r>
    </w:p>
    <w:p>
      <w:pPr>
        <w:spacing w:line="360" w:lineRule="auto"/>
        <w:ind w:firstLine="420" w:firstLineChars="200"/>
        <w:jc w:val="left"/>
        <w:rPr>
          <w:rFonts w:ascii="仿宋_GB2312" w:hAnsi="宋体" w:eastAsia="仿宋_GB2312"/>
          <w:szCs w:val="21"/>
        </w:rPr>
      </w:pPr>
      <w:r>
        <w:rPr>
          <w:rFonts w:hint="eastAsia" w:ascii="仿宋_GB2312" w:hAnsi="宋体" w:eastAsia="仿宋_GB2312" w:cs="Arial"/>
          <w:szCs w:val="21"/>
        </w:rPr>
        <w:t>17.6政府采购合同的其它附件。</w:t>
      </w:r>
    </w:p>
    <w:p>
      <w:pPr>
        <w:ind w:firstLine="470" w:firstLineChars="196"/>
        <w:rPr>
          <w:rFonts w:ascii="仿宋_GB2312" w:hAnsi="宋体" w:eastAsia="仿宋_GB2312"/>
          <w:sz w:val="24"/>
        </w:rPr>
      </w:pPr>
    </w:p>
    <w:p>
      <w:pPr>
        <w:ind w:firstLine="470" w:firstLineChars="196"/>
        <w:rPr>
          <w:rFonts w:ascii="仿宋_GB2312" w:hAnsi="宋体" w:eastAsia="仿宋_GB2312"/>
          <w:sz w:val="24"/>
        </w:rPr>
      </w:pPr>
    </w:p>
    <w:p>
      <w:pPr>
        <w:rPr>
          <w:rFonts w:ascii="仿宋_GB2312" w:hAnsi="宋体" w:eastAsia="仿宋_GB2312"/>
          <w:sz w:val="24"/>
        </w:rPr>
      </w:pPr>
      <w:r>
        <w:rPr>
          <w:rFonts w:ascii="仿宋_GB2312" w:hAnsi="宋体" w:eastAsia="仿宋_GB2312"/>
          <w:sz w:val="24"/>
        </w:rPr>
        <w:br w:type="page"/>
      </w:r>
    </w:p>
    <w:p>
      <w:pPr>
        <w:pStyle w:val="5"/>
        <w:adjustRightInd w:val="0"/>
        <w:snapToGrid w:val="0"/>
        <w:spacing w:line="240" w:lineRule="auto"/>
        <w:jc w:val="left"/>
        <w:rPr>
          <w:rFonts w:ascii="仿宋_GB2312" w:hAnsi="宋体" w:eastAsia="仿宋_GB2312"/>
          <w:sz w:val="21"/>
          <w:szCs w:val="21"/>
        </w:rPr>
      </w:pPr>
      <w:bookmarkStart w:id="139" w:name="_Toc3044_WPSOffice_Level1"/>
      <w:bookmarkStart w:id="140" w:name="_Toc7342_WPSOffice_Level1"/>
      <w:bookmarkStart w:id="141" w:name="_Toc372_WPSOffice_Level1"/>
      <w:r>
        <w:rPr>
          <w:rFonts w:hint="eastAsia" w:ascii="仿宋_GB2312" w:hAnsi="仿宋_GB2312" w:eastAsia="仿宋_GB2312" w:cs="仿宋_GB2312"/>
          <w:szCs w:val="28"/>
        </w:rPr>
        <w:t>合同格式</w:t>
      </w:r>
      <w:bookmarkEnd w:id="139"/>
      <w:bookmarkEnd w:id="140"/>
      <w:bookmarkEnd w:id="141"/>
    </w:p>
    <w:p>
      <w:pPr>
        <w:spacing w:before="319" w:beforeLines="100" w:after="319" w:afterLines="100" w:line="360" w:lineRule="auto"/>
        <w:jc w:val="center"/>
        <w:rPr>
          <w:rFonts w:ascii="宋体"/>
          <w:b/>
          <w:sz w:val="36"/>
          <w:szCs w:val="36"/>
        </w:rPr>
      </w:pPr>
      <w:r>
        <w:rPr>
          <w:rFonts w:hint="eastAsia" w:ascii="宋体" w:hAnsi="宋体"/>
          <w:b/>
          <w:sz w:val="36"/>
          <w:szCs w:val="36"/>
        </w:rPr>
        <w:t>政府采购合同格式</w:t>
      </w:r>
    </w:p>
    <w:p>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政府采购合同编号：</w:t>
      </w:r>
    </w:p>
    <w:p>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签订地点：</w:t>
      </w:r>
    </w:p>
    <w:p>
      <w:pPr>
        <w:spacing w:line="360" w:lineRule="auto"/>
        <w:ind w:firstLine="640"/>
        <w:jc w:val="left"/>
        <w:rPr>
          <w:rFonts w:ascii="仿宋_GB2312" w:hAnsi="宋体" w:eastAsia="仿宋_GB2312"/>
          <w:szCs w:val="21"/>
        </w:rPr>
      </w:pPr>
      <w:r>
        <w:rPr>
          <w:rFonts w:hint="eastAsia" w:ascii="仿宋_GB2312" w:hAnsi="宋体" w:eastAsia="仿宋_GB2312"/>
          <w:szCs w:val="21"/>
          <w:u w:val="single"/>
        </w:rPr>
        <w:t xml:space="preserve">    (需方名称</w:t>
      </w:r>
      <w:r>
        <w:rPr>
          <w:rFonts w:hint="eastAsia" w:ascii="仿宋_GB2312" w:hAnsi="宋体" w:eastAsia="仿宋_GB2312"/>
          <w:szCs w:val="21"/>
        </w:rPr>
        <w:t>)</w:t>
      </w:r>
      <w:r>
        <w:rPr>
          <w:rFonts w:hint="eastAsia" w:ascii="仿宋_GB2312" w:hAnsi="宋体" w:eastAsia="仿宋_GB2312"/>
          <w:szCs w:val="21"/>
          <w:u w:val="single"/>
        </w:rPr>
        <w:t xml:space="preserve">            </w:t>
      </w:r>
      <w:r>
        <w:rPr>
          <w:rFonts w:hint="eastAsia" w:ascii="仿宋_GB2312" w:hAnsi="宋体" w:eastAsia="仿宋_GB2312"/>
          <w:szCs w:val="21"/>
        </w:rPr>
        <w:t xml:space="preserve"> （以下简称需方）和</w:t>
      </w:r>
      <w:r>
        <w:rPr>
          <w:rFonts w:hint="eastAsia" w:ascii="仿宋_GB2312" w:hAnsi="宋体" w:eastAsia="仿宋_GB2312"/>
          <w:szCs w:val="21"/>
          <w:u w:val="single"/>
        </w:rPr>
        <w:t xml:space="preserve">   (供方名称)    </w:t>
      </w:r>
      <w:r>
        <w:rPr>
          <w:rFonts w:hint="eastAsia" w:ascii="仿宋_GB2312" w:hAnsi="宋体" w:eastAsia="仿宋_GB2312"/>
          <w:szCs w:val="21"/>
        </w:rPr>
        <w:t xml:space="preserve"> （以下简称供方）根据《</w:t>
      </w:r>
      <w:r>
        <w:rPr>
          <w:rFonts w:hint="eastAsia" w:ascii="仿宋_GB2312" w:hAnsi="宋体" w:eastAsia="仿宋_GB2312"/>
          <w:szCs w:val="21"/>
          <w:lang w:eastAsia="zh-CN"/>
        </w:rPr>
        <w:t>民法典</w:t>
      </w:r>
      <w:r>
        <w:rPr>
          <w:rFonts w:hint="eastAsia" w:ascii="仿宋_GB2312" w:hAnsi="宋体" w:eastAsia="仿宋_GB2312"/>
          <w:szCs w:val="21"/>
        </w:rPr>
        <w:t>》和有关法律法规，遵循平等、自愿、公平和诚实信用原则，同意按照下面的条款和条件订立本政府采购合同，共同信守。</w:t>
      </w:r>
    </w:p>
    <w:p>
      <w:pPr>
        <w:spacing w:line="360" w:lineRule="auto"/>
        <w:jc w:val="left"/>
        <w:rPr>
          <w:rFonts w:ascii="黑体" w:hAnsi="宋体" w:eastAsia="黑体"/>
          <w:b/>
          <w:szCs w:val="21"/>
        </w:rPr>
      </w:pPr>
      <w:r>
        <w:rPr>
          <w:rFonts w:hint="eastAsia" w:ascii="黑体" w:hAnsi="宋体" w:eastAsia="黑体"/>
          <w:b/>
          <w:szCs w:val="21"/>
        </w:rPr>
        <w:t>　　一、政府采购合同文件</w:t>
      </w:r>
    </w:p>
    <w:p>
      <w:pPr>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本政府采购合同所附下列文件是构成本政府采购合同不可分割的部分：</w:t>
      </w:r>
    </w:p>
    <w:p>
      <w:pPr>
        <w:spacing w:line="360" w:lineRule="auto"/>
        <w:ind w:firstLine="420" w:firstLineChars="200"/>
        <w:jc w:val="left"/>
        <w:rPr>
          <w:rFonts w:ascii="仿宋_GB2312" w:hAnsi="宋体" w:eastAsia="仿宋_GB2312"/>
          <w:szCs w:val="21"/>
        </w:rPr>
      </w:pPr>
      <w:r>
        <w:rPr>
          <w:rFonts w:hint="eastAsia" w:ascii="黑体" w:hAnsi="宋体" w:eastAsia="黑体"/>
          <w:szCs w:val="21"/>
        </w:rPr>
        <w:t>1.</w:t>
      </w:r>
      <w:r>
        <w:rPr>
          <w:rFonts w:hint="eastAsia" w:ascii="仿宋_GB2312" w:hAnsi="宋体" w:eastAsia="仿宋_GB2312"/>
          <w:szCs w:val="21"/>
        </w:rPr>
        <w:t>招标文件（招标文件编号</w:t>
      </w:r>
      <w:r>
        <w:rPr>
          <w:rFonts w:hint="eastAsia" w:ascii="仿宋_GB2312" w:hAnsi="宋体" w:eastAsia="仿宋_GB2312"/>
          <w:szCs w:val="21"/>
          <w:u w:val="single"/>
        </w:rPr>
        <w:t xml:space="preserve">           </w:t>
      </w:r>
      <w:r>
        <w:rPr>
          <w:rFonts w:hint="eastAsia" w:ascii="仿宋_GB2312" w:hAnsi="宋体" w:eastAsia="仿宋_GB2312"/>
          <w:szCs w:val="21"/>
        </w:rPr>
        <w:t>）；</w:t>
      </w:r>
    </w:p>
    <w:p>
      <w:pPr>
        <w:spacing w:line="360" w:lineRule="auto"/>
        <w:ind w:firstLine="420" w:firstLineChars="200"/>
        <w:jc w:val="left"/>
        <w:rPr>
          <w:rFonts w:ascii="仿宋_GB2312" w:hAnsi="宋体" w:eastAsia="仿宋_GB2312" w:cs="Arial"/>
          <w:szCs w:val="21"/>
        </w:rPr>
      </w:pPr>
      <w:r>
        <w:rPr>
          <w:rFonts w:hint="eastAsia" w:ascii="黑体" w:hAnsi="宋体" w:eastAsia="黑体"/>
          <w:szCs w:val="21"/>
        </w:rPr>
        <w:t>2.</w:t>
      </w:r>
      <w:r>
        <w:rPr>
          <w:rFonts w:hint="eastAsia" w:ascii="仿宋_GB2312" w:hAnsi="宋体" w:eastAsia="仿宋_GB2312" w:cs="Arial"/>
          <w:szCs w:val="21"/>
        </w:rPr>
        <w:t>招标文件的更正公告、变更公告；</w:t>
      </w:r>
    </w:p>
    <w:p>
      <w:pPr>
        <w:spacing w:line="360" w:lineRule="auto"/>
        <w:ind w:firstLine="420" w:firstLineChars="200"/>
        <w:jc w:val="left"/>
        <w:rPr>
          <w:rFonts w:ascii="仿宋_GB2312" w:hAnsi="宋体" w:eastAsia="仿宋_GB2312"/>
          <w:szCs w:val="21"/>
        </w:rPr>
      </w:pPr>
      <w:r>
        <w:rPr>
          <w:rFonts w:hint="eastAsia" w:ascii="黑体" w:hAnsi="宋体" w:eastAsia="黑体"/>
          <w:szCs w:val="21"/>
        </w:rPr>
        <w:t>3.</w:t>
      </w:r>
      <w:r>
        <w:rPr>
          <w:rFonts w:hint="eastAsia" w:ascii="仿宋_GB2312" w:hAnsi="宋体" w:eastAsia="仿宋_GB2312"/>
          <w:szCs w:val="21"/>
        </w:rPr>
        <w:t>中标供应商提交的投标文件；</w:t>
      </w:r>
    </w:p>
    <w:p>
      <w:pPr>
        <w:spacing w:line="360" w:lineRule="auto"/>
        <w:ind w:firstLine="420" w:firstLineChars="200"/>
        <w:jc w:val="left"/>
        <w:rPr>
          <w:rFonts w:ascii="仿宋_GB2312" w:hAnsi="宋体" w:eastAsia="仿宋_GB2312"/>
          <w:szCs w:val="21"/>
        </w:rPr>
      </w:pPr>
      <w:r>
        <w:rPr>
          <w:rFonts w:hint="eastAsia" w:ascii="黑体" w:hAnsi="宋体" w:eastAsia="黑体"/>
          <w:szCs w:val="21"/>
        </w:rPr>
        <w:t>4.</w:t>
      </w:r>
      <w:r>
        <w:rPr>
          <w:rFonts w:hint="eastAsia" w:ascii="仿宋_GB2312" w:hAnsi="宋体" w:eastAsia="仿宋_GB2312"/>
          <w:szCs w:val="21"/>
        </w:rPr>
        <w:t>政府采购合同条款；</w:t>
      </w:r>
    </w:p>
    <w:p>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5</w:t>
      </w:r>
      <w:r>
        <w:rPr>
          <w:rFonts w:hint="eastAsia" w:ascii="黑体" w:hAnsi="宋体" w:eastAsia="黑体"/>
          <w:szCs w:val="21"/>
        </w:rPr>
        <w:t>.</w:t>
      </w:r>
      <w:r>
        <w:rPr>
          <w:rFonts w:hint="eastAsia" w:ascii="仿宋_GB2312" w:hAnsi="宋体" w:eastAsia="仿宋_GB2312"/>
          <w:szCs w:val="21"/>
        </w:rPr>
        <w:t>中标通知书；</w:t>
      </w:r>
    </w:p>
    <w:p>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6</w:t>
      </w:r>
      <w:r>
        <w:rPr>
          <w:rFonts w:hint="eastAsia" w:ascii="黑体" w:hAnsi="宋体" w:eastAsia="黑体"/>
          <w:szCs w:val="21"/>
        </w:rPr>
        <w:t>.</w:t>
      </w:r>
      <w:r>
        <w:rPr>
          <w:rFonts w:hint="eastAsia" w:ascii="仿宋_GB2312" w:hAnsi="宋体" w:eastAsia="仿宋_GB2312" w:cs="Arial"/>
          <w:szCs w:val="21"/>
        </w:rPr>
        <w:t>政府采购合同的其它附件。</w:t>
      </w:r>
    </w:p>
    <w:p>
      <w:pPr>
        <w:spacing w:line="360" w:lineRule="auto"/>
        <w:jc w:val="left"/>
        <w:rPr>
          <w:rFonts w:ascii="黑体" w:hAnsi="宋体" w:eastAsia="黑体"/>
          <w:b/>
          <w:szCs w:val="21"/>
        </w:rPr>
      </w:pPr>
      <w:r>
        <w:rPr>
          <w:rFonts w:hint="eastAsia" w:ascii="黑体" w:hAnsi="宋体" w:eastAsia="黑体"/>
          <w:b/>
          <w:szCs w:val="21"/>
        </w:rPr>
        <w:t>　　二、政府采购合同范围和条件</w:t>
      </w:r>
    </w:p>
    <w:p>
      <w:pPr>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本政府采购合同的范围和条件与上述政府采购合同文件的规定相一致。</w:t>
      </w:r>
    </w:p>
    <w:p>
      <w:pPr>
        <w:spacing w:line="360" w:lineRule="auto"/>
        <w:jc w:val="left"/>
        <w:rPr>
          <w:rFonts w:ascii="黑体" w:hAnsi="宋体" w:eastAsia="黑体"/>
          <w:b/>
          <w:szCs w:val="21"/>
        </w:rPr>
      </w:pPr>
      <w:r>
        <w:rPr>
          <w:rFonts w:hint="eastAsia" w:ascii="黑体" w:hAnsi="宋体" w:eastAsia="黑体"/>
          <w:b/>
          <w:szCs w:val="21"/>
        </w:rPr>
        <w:t>　　三、政府采购合同标的</w:t>
      </w:r>
    </w:p>
    <w:p>
      <w:pPr>
        <w:spacing w:line="360" w:lineRule="auto"/>
        <w:jc w:val="left"/>
        <w:rPr>
          <w:rFonts w:ascii="仿宋_GB2312" w:hAnsi="宋体" w:eastAsia="仿宋_GB2312"/>
          <w:szCs w:val="21"/>
        </w:rPr>
      </w:pPr>
      <w:r>
        <w:rPr>
          <w:rFonts w:hint="eastAsia" w:ascii="仿宋_GB2312" w:hAnsi="宋体" w:eastAsia="仿宋_GB2312"/>
          <w:szCs w:val="21"/>
        </w:rPr>
        <w:t xml:space="preserve">    </w:t>
      </w:r>
      <w:r>
        <w:rPr>
          <w:rFonts w:hint="eastAsia" w:ascii="仿宋_GB2312" w:hAnsi="仿宋_GB2312" w:eastAsia="仿宋_GB2312" w:cs="仿宋_GB2312"/>
          <w:szCs w:val="21"/>
        </w:rPr>
        <w:t>本政府采购合同的标的为招标文件中所列相关服务。</w:t>
      </w:r>
      <w:r>
        <w:rPr>
          <w:rFonts w:hint="eastAsia" w:ascii="仿宋_GB2312" w:hAnsi="宋体" w:eastAsia="仿宋_GB2312"/>
          <w:szCs w:val="21"/>
        </w:rPr>
        <w:t>。</w:t>
      </w:r>
    </w:p>
    <w:p>
      <w:pPr>
        <w:spacing w:line="360" w:lineRule="auto"/>
        <w:jc w:val="left"/>
        <w:rPr>
          <w:rFonts w:ascii="黑体" w:hAnsi="宋体" w:eastAsia="黑体"/>
          <w:b/>
          <w:szCs w:val="21"/>
        </w:rPr>
      </w:pPr>
      <w:r>
        <w:rPr>
          <w:rFonts w:hint="eastAsia" w:ascii="黑体" w:hAnsi="宋体" w:eastAsia="黑体"/>
          <w:b/>
          <w:szCs w:val="21"/>
        </w:rPr>
        <w:t>　　四、政府采购合同金额</w:t>
      </w:r>
    </w:p>
    <w:p>
      <w:pPr>
        <w:spacing w:line="360" w:lineRule="auto"/>
        <w:jc w:val="left"/>
        <w:rPr>
          <w:rFonts w:ascii="仿宋_GB2312" w:hAnsi="宋体" w:eastAsia="仿宋_GB2312"/>
          <w:szCs w:val="21"/>
        </w:rPr>
      </w:pPr>
      <w:r>
        <w:rPr>
          <w:rFonts w:hint="eastAsia" w:ascii="仿宋_GB2312" w:hAnsi="宋体" w:eastAsia="仿宋_GB2312"/>
          <w:szCs w:val="21"/>
        </w:rPr>
        <w:t xml:space="preserve">    根据上述政府采购合同文件要求，政府采购合同的总金额为人民币</w:t>
      </w:r>
      <w:r>
        <w:rPr>
          <w:rFonts w:hint="eastAsia" w:ascii="仿宋_GB2312" w:hAnsi="宋体" w:eastAsia="仿宋_GB2312"/>
          <w:szCs w:val="21"/>
          <w:u w:val="single"/>
        </w:rPr>
        <w:t xml:space="preserve">  （大写）                </w:t>
      </w:r>
      <w:r>
        <w:rPr>
          <w:rFonts w:hint="eastAsia" w:ascii="仿宋_GB2312" w:hAnsi="宋体" w:eastAsia="仿宋_GB2312"/>
          <w:szCs w:val="21"/>
        </w:rPr>
        <w:t xml:space="preserve"> 元。</w:t>
      </w:r>
    </w:p>
    <w:p>
      <w:pPr>
        <w:spacing w:line="360" w:lineRule="auto"/>
        <w:jc w:val="left"/>
        <w:rPr>
          <w:rFonts w:ascii="黑体" w:hAnsi="宋体" w:eastAsia="黑体"/>
          <w:b/>
          <w:szCs w:val="21"/>
        </w:rPr>
      </w:pPr>
      <w:r>
        <w:rPr>
          <w:rFonts w:hint="eastAsia" w:ascii="黑体" w:hAnsi="宋体" w:eastAsia="黑体"/>
          <w:b/>
          <w:szCs w:val="21"/>
        </w:rPr>
        <w:t>　  五、付款方式及条件</w:t>
      </w:r>
    </w:p>
    <w:p>
      <w:pPr>
        <w:spacing w:line="360" w:lineRule="auto"/>
        <w:jc w:val="left"/>
        <w:rPr>
          <w:rFonts w:hint="eastAsia" w:ascii="黑体" w:hAnsi="宋体" w:eastAsia="黑体"/>
          <w:b/>
          <w:szCs w:val="21"/>
        </w:rPr>
      </w:pPr>
    </w:p>
    <w:p>
      <w:pPr>
        <w:spacing w:line="360" w:lineRule="auto"/>
        <w:jc w:val="left"/>
        <w:rPr>
          <w:rFonts w:ascii="仿宋_GB2312" w:hAnsi="宋体" w:eastAsia="仿宋_GB2312"/>
          <w:szCs w:val="21"/>
        </w:rPr>
      </w:pPr>
      <w:r>
        <w:rPr>
          <w:rFonts w:hint="eastAsia" w:ascii="黑体" w:hAnsi="宋体" w:eastAsia="黑体"/>
          <w:b/>
          <w:szCs w:val="21"/>
        </w:rPr>
        <w:t>　　六、服务时间和服务地点</w:t>
      </w:r>
      <w:r>
        <w:rPr>
          <w:rFonts w:hint="eastAsia" w:ascii="仿宋_GB2312" w:hAnsi="宋体" w:eastAsia="仿宋_GB2312"/>
          <w:szCs w:val="21"/>
        </w:rPr>
        <w:t xml:space="preserve">   </w:t>
      </w:r>
    </w:p>
    <w:p>
      <w:pPr>
        <w:spacing w:line="360" w:lineRule="auto"/>
        <w:jc w:val="left"/>
        <w:rPr>
          <w:rFonts w:ascii="仿宋_GB2312" w:hAnsi="宋体" w:eastAsia="仿宋_GB2312"/>
          <w:szCs w:val="21"/>
          <w:u w:val="single"/>
        </w:rPr>
      </w:pPr>
      <w:r>
        <w:rPr>
          <w:rFonts w:hint="eastAsia" w:ascii="仿宋_GB2312" w:hAnsi="宋体" w:eastAsia="仿宋_GB2312"/>
          <w:szCs w:val="21"/>
        </w:rPr>
        <w:t xml:space="preserve">    1.服务时间：</w:t>
      </w:r>
      <w:r>
        <w:rPr>
          <w:rFonts w:hint="eastAsia" w:ascii="仿宋_GB2312" w:hAnsi="宋体" w:eastAsia="仿宋_GB2312"/>
          <w:szCs w:val="21"/>
          <w:u w:val="single"/>
        </w:rPr>
        <w:t xml:space="preserve">        </w:t>
      </w:r>
    </w:p>
    <w:p>
      <w:pPr>
        <w:spacing w:line="360" w:lineRule="auto"/>
        <w:jc w:val="left"/>
        <w:rPr>
          <w:rFonts w:ascii="仿宋_GB2312" w:hAnsi="宋体" w:eastAsia="仿宋_GB2312"/>
          <w:szCs w:val="21"/>
          <w:u w:val="single"/>
        </w:rPr>
      </w:pPr>
      <w:r>
        <w:rPr>
          <w:rFonts w:hint="eastAsia" w:ascii="仿宋_GB2312" w:hAnsi="宋体" w:eastAsia="仿宋_GB2312"/>
          <w:szCs w:val="21"/>
        </w:rPr>
        <w:t xml:space="preserve">    2.服务地点：</w:t>
      </w:r>
      <w:r>
        <w:rPr>
          <w:rFonts w:hint="eastAsia" w:ascii="仿宋_GB2312" w:hAnsi="宋体" w:eastAsia="仿宋_GB2312"/>
          <w:szCs w:val="21"/>
          <w:u w:val="single"/>
        </w:rPr>
        <w:t xml:space="preserve">        </w:t>
      </w:r>
    </w:p>
    <w:p>
      <w:pPr>
        <w:spacing w:line="360" w:lineRule="auto"/>
        <w:jc w:val="left"/>
        <w:rPr>
          <w:rFonts w:ascii="黑体" w:hAnsi="宋体" w:eastAsia="黑体"/>
          <w:b/>
          <w:szCs w:val="21"/>
        </w:rPr>
      </w:pPr>
      <w:r>
        <w:rPr>
          <w:rFonts w:hint="eastAsia" w:ascii="黑体" w:hAnsi="宋体" w:eastAsia="黑体"/>
          <w:b/>
          <w:szCs w:val="21"/>
        </w:rPr>
        <w:t>　　七、验收要求</w:t>
      </w:r>
    </w:p>
    <w:p>
      <w:pPr>
        <w:spacing w:line="360" w:lineRule="auto"/>
        <w:jc w:val="left"/>
        <w:rPr>
          <w:rFonts w:ascii="仿宋_GB2312" w:hAnsi="宋体" w:eastAsia="仿宋_GB2312"/>
          <w:szCs w:val="21"/>
          <w:u w:val="single"/>
        </w:rPr>
      </w:pPr>
      <w:r>
        <w:rPr>
          <w:rFonts w:hint="eastAsia" w:ascii="黑体" w:hAnsi="宋体" w:eastAsia="黑体"/>
          <w:b/>
          <w:szCs w:val="21"/>
        </w:rPr>
        <w:t xml:space="preserve">    </w:t>
      </w:r>
      <w:r>
        <w:rPr>
          <w:rFonts w:hint="eastAsia" w:ascii="仿宋_GB2312" w:hAnsi="宋体" w:eastAsia="仿宋_GB2312"/>
          <w:szCs w:val="21"/>
        </w:rPr>
        <w:t>供方完全履行合同义务后，需方或需方的最终用户按照上述政府采购合同文件列明的标准进行验收，验收不合格的，供方需按照第八条的约定承担相应违约责任。</w:t>
      </w:r>
    </w:p>
    <w:p>
      <w:pPr>
        <w:spacing w:line="360" w:lineRule="auto"/>
        <w:jc w:val="left"/>
        <w:rPr>
          <w:rFonts w:ascii="黑体" w:hAnsi="宋体" w:eastAsia="黑体"/>
          <w:b/>
          <w:szCs w:val="21"/>
        </w:rPr>
      </w:pPr>
      <w:r>
        <w:rPr>
          <w:rFonts w:hint="eastAsia" w:ascii="黑体" w:hAnsi="宋体" w:eastAsia="黑体"/>
          <w:b/>
          <w:szCs w:val="21"/>
        </w:rPr>
        <w:t xml:space="preserve">    八、违约责任</w:t>
      </w:r>
    </w:p>
    <w:p>
      <w:pPr>
        <w:spacing w:line="360" w:lineRule="auto"/>
        <w:jc w:val="left"/>
        <w:rPr>
          <w:rFonts w:ascii="仿宋_GB2312" w:hAnsi="宋体" w:eastAsia="仿宋_GB2312"/>
          <w:szCs w:val="21"/>
        </w:rPr>
      </w:pPr>
      <w:r>
        <w:rPr>
          <w:rFonts w:hint="eastAsia" w:ascii="仿宋_GB2312" w:hAnsi="宋体" w:eastAsia="仿宋_GB2312"/>
          <w:szCs w:val="21"/>
        </w:rPr>
        <w:t xml:space="preserve">    1.供方逾期提供服务的，每逾期一天向需方支付合同金额</w:t>
      </w:r>
      <w:r>
        <w:rPr>
          <w:rFonts w:hint="eastAsia" w:ascii="仿宋_GB2312" w:hAnsi="宋体" w:eastAsia="仿宋_GB2312"/>
          <w:szCs w:val="21"/>
          <w:u w:val="single"/>
        </w:rPr>
        <w:t xml:space="preserve">  </w:t>
      </w:r>
      <w:r>
        <w:rPr>
          <w:rFonts w:hint="eastAsia" w:ascii="仿宋_GB2312" w:hAnsi="宋体" w:eastAsia="仿宋_GB2312"/>
          <w:szCs w:val="21"/>
        </w:rPr>
        <w:t>%的违约金。</w:t>
      </w:r>
    </w:p>
    <w:p>
      <w:pPr>
        <w:spacing w:line="360" w:lineRule="auto"/>
        <w:jc w:val="left"/>
        <w:rPr>
          <w:rFonts w:ascii="仿宋_GB2312" w:hAnsi="宋体" w:eastAsia="仿宋_GB2312"/>
          <w:szCs w:val="21"/>
        </w:rPr>
      </w:pPr>
      <w:r>
        <w:rPr>
          <w:rFonts w:hint="eastAsia" w:ascii="仿宋_GB2312" w:hAnsi="宋体" w:eastAsia="仿宋_GB2312"/>
          <w:szCs w:val="21"/>
        </w:rPr>
        <w:t xml:space="preserve">    2.供方提供的服务不符合约定的，需方有权向供方书面提出整改意见，供方需无条件整改至符合约定，自需方向供方提出书面意见之日起</w:t>
      </w:r>
      <w:r>
        <w:rPr>
          <w:rFonts w:hint="eastAsia" w:ascii="仿宋_GB2312" w:hAnsi="宋体" w:eastAsia="仿宋_GB2312"/>
          <w:szCs w:val="21"/>
          <w:u w:val="single"/>
        </w:rPr>
        <w:t xml:space="preserve">  </w:t>
      </w:r>
      <w:r>
        <w:rPr>
          <w:rFonts w:hint="eastAsia" w:ascii="仿宋_GB2312" w:hAnsi="宋体" w:eastAsia="仿宋_GB2312"/>
          <w:szCs w:val="21"/>
        </w:rPr>
        <w:t>日内，供方仍未整改或整改后服务仍不符合约定的，需方有权单方面解除本协议。</w:t>
      </w:r>
    </w:p>
    <w:p>
      <w:pPr>
        <w:spacing w:line="360" w:lineRule="auto"/>
        <w:jc w:val="left"/>
        <w:rPr>
          <w:rFonts w:ascii="仿宋_GB2312" w:hAnsi="宋体" w:eastAsia="仿宋_GB2312"/>
          <w:szCs w:val="21"/>
        </w:rPr>
      </w:pPr>
      <w:r>
        <w:rPr>
          <w:rFonts w:hint="eastAsia" w:ascii="仿宋_GB2312" w:hAnsi="宋体" w:eastAsia="仿宋_GB2312"/>
          <w:szCs w:val="21"/>
        </w:rPr>
        <w:t xml:space="preserve">    3.需方逾期付款的，每逾期一天向供方支付逾期金额</w:t>
      </w:r>
      <w:r>
        <w:rPr>
          <w:rFonts w:hint="eastAsia" w:ascii="仿宋_GB2312" w:hAnsi="宋体" w:eastAsia="仿宋_GB2312"/>
          <w:szCs w:val="21"/>
          <w:u w:val="single"/>
        </w:rPr>
        <w:t xml:space="preserve">  </w:t>
      </w:r>
      <w:r>
        <w:rPr>
          <w:rFonts w:hint="eastAsia" w:ascii="仿宋_GB2312" w:hAnsi="宋体" w:eastAsia="仿宋_GB2312"/>
          <w:szCs w:val="21"/>
        </w:rPr>
        <w:t>%的违约金。</w:t>
      </w:r>
    </w:p>
    <w:p>
      <w:pPr>
        <w:spacing w:line="360" w:lineRule="auto"/>
        <w:jc w:val="left"/>
        <w:rPr>
          <w:rFonts w:ascii="黑体" w:hAnsi="宋体" w:eastAsia="黑体"/>
          <w:b/>
          <w:szCs w:val="21"/>
        </w:rPr>
      </w:pPr>
      <w:r>
        <w:rPr>
          <w:rFonts w:hint="eastAsia" w:ascii="黑体" w:hAnsi="宋体" w:eastAsia="黑体"/>
          <w:b/>
          <w:szCs w:val="21"/>
        </w:rPr>
        <w:t xml:space="preserve">    九、争议解决</w:t>
      </w:r>
    </w:p>
    <w:p>
      <w:pPr>
        <w:spacing w:line="360" w:lineRule="auto"/>
        <w:jc w:val="left"/>
        <w:rPr>
          <w:rFonts w:ascii="仿宋_GB2312" w:hAnsi="宋体" w:eastAsia="仿宋_GB2312"/>
          <w:szCs w:val="21"/>
        </w:rPr>
      </w:pPr>
      <w:r>
        <w:rPr>
          <w:rFonts w:hint="eastAsia" w:ascii="仿宋_GB2312" w:hAnsi="宋体" w:eastAsia="仿宋_GB2312"/>
          <w:szCs w:val="21"/>
        </w:rPr>
        <w:t xml:space="preserve">    双方因履行本协议而产生的争议，应友好协商解决，协商不成的，任何一方可向需方所在地的人民法院提起诉讼。</w:t>
      </w:r>
    </w:p>
    <w:p>
      <w:pPr>
        <w:spacing w:line="360" w:lineRule="auto"/>
        <w:jc w:val="left"/>
        <w:rPr>
          <w:rFonts w:ascii="黑体" w:hAnsi="宋体" w:eastAsia="黑体"/>
          <w:b/>
          <w:szCs w:val="21"/>
        </w:rPr>
      </w:pPr>
      <w:r>
        <w:rPr>
          <w:rFonts w:hint="eastAsia" w:ascii="黑体" w:hAnsi="宋体" w:eastAsia="黑体"/>
          <w:b/>
          <w:szCs w:val="21"/>
        </w:rPr>
        <w:t xml:space="preserve">    十、合同生效</w:t>
      </w:r>
    </w:p>
    <w:p>
      <w:pPr>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本政府采购合同经双方授权代表签字盖章后生效。</w:t>
      </w:r>
    </w:p>
    <w:p>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需方（公章）:                       供方(公章):</w:t>
      </w:r>
    </w:p>
    <w:p>
      <w:pPr>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法定代表人或授权代表人(签字):         法定代表人或授权代表人(签字):</w:t>
      </w:r>
    </w:p>
    <w:p>
      <w:pPr>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地址：</w:t>
      </w:r>
      <w:r>
        <w:rPr>
          <w:rFonts w:hint="eastAsia" w:ascii="仿宋_GB2312" w:hAnsi="Lucida Sans Unicode" w:eastAsia="仿宋_GB2312" w:cs="Lucida Sans Unicode"/>
          <w:szCs w:val="21"/>
          <w:u w:val="single"/>
        </w:rPr>
        <w:t xml:space="preserve">                        </w:t>
      </w:r>
      <w:r>
        <w:rPr>
          <w:rFonts w:hint="eastAsia" w:ascii="仿宋_GB2312" w:hAnsi="Lucida Sans Unicode" w:eastAsia="仿宋_GB2312" w:cs="Lucida Sans Unicode"/>
          <w:szCs w:val="21"/>
        </w:rPr>
        <w:t xml:space="preserve">      地址：</w:t>
      </w:r>
      <w:r>
        <w:rPr>
          <w:rFonts w:hint="eastAsia" w:ascii="仿宋_GB2312" w:hAnsi="Lucida Sans Unicode" w:eastAsia="仿宋_GB2312" w:cs="Lucida Sans Unicode"/>
          <w:szCs w:val="21"/>
          <w:u w:val="single"/>
        </w:rPr>
        <w:t xml:space="preserve">                          </w:t>
      </w:r>
    </w:p>
    <w:p>
      <w:pPr>
        <w:spacing w:line="360" w:lineRule="auto"/>
        <w:ind w:firstLine="420" w:firstLineChars="200"/>
        <w:rPr>
          <w:rFonts w:ascii="仿宋_GB2312" w:hAnsi="Lucida Sans Unicode" w:eastAsia="仿宋_GB2312" w:cs="Lucida Sans Unicode"/>
          <w:szCs w:val="21"/>
        </w:rPr>
      </w:pPr>
      <w:r>
        <w:rPr>
          <w:rFonts w:hint="eastAsia" w:ascii="仿宋_GB2312" w:hAnsi="Lucida Sans Unicode" w:eastAsia="仿宋_GB2312" w:cs="Lucida Sans Unicode"/>
          <w:szCs w:val="21"/>
        </w:rPr>
        <w:t>联系人：</w:t>
      </w:r>
      <w:r>
        <w:rPr>
          <w:rFonts w:hint="eastAsia" w:ascii="仿宋_GB2312" w:hAnsi="Lucida Sans Unicode" w:eastAsia="仿宋_GB2312" w:cs="Lucida Sans Unicode"/>
          <w:szCs w:val="21"/>
          <w:u w:val="single"/>
        </w:rPr>
        <w:t xml:space="preserve">                      </w:t>
      </w:r>
      <w:r>
        <w:rPr>
          <w:rFonts w:hint="eastAsia" w:ascii="仿宋_GB2312" w:hAnsi="Lucida Sans Unicode" w:eastAsia="仿宋_GB2312" w:cs="Lucida Sans Unicode"/>
          <w:szCs w:val="21"/>
        </w:rPr>
        <w:t xml:space="preserve">      联系人：</w:t>
      </w:r>
      <w:r>
        <w:rPr>
          <w:rFonts w:hint="eastAsia" w:ascii="仿宋_GB2312" w:hAnsi="Lucida Sans Unicode" w:eastAsia="仿宋_GB2312" w:cs="Lucida Sans Unicode"/>
          <w:szCs w:val="21"/>
          <w:u w:val="single"/>
        </w:rPr>
        <w:t xml:space="preserve">                        </w:t>
      </w:r>
    </w:p>
    <w:p>
      <w:pPr>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电话：</w:t>
      </w:r>
      <w:r>
        <w:rPr>
          <w:rFonts w:hint="eastAsia" w:ascii="仿宋_GB2312" w:hAnsi="Lucida Sans Unicode" w:eastAsia="仿宋_GB2312" w:cs="Lucida Sans Unicode"/>
          <w:szCs w:val="21"/>
          <w:u w:val="single"/>
        </w:rPr>
        <w:t xml:space="preserve">                        </w:t>
      </w:r>
      <w:r>
        <w:rPr>
          <w:rFonts w:hint="eastAsia" w:ascii="仿宋_GB2312" w:hAnsi="Lucida Sans Unicode" w:eastAsia="仿宋_GB2312" w:cs="Lucida Sans Unicode"/>
          <w:szCs w:val="21"/>
        </w:rPr>
        <w:t xml:space="preserve">      电话：</w:t>
      </w:r>
      <w:r>
        <w:rPr>
          <w:rFonts w:hint="eastAsia" w:ascii="仿宋_GB2312" w:hAnsi="Lucida Sans Unicode" w:eastAsia="仿宋_GB2312" w:cs="Lucida Sans Unicode"/>
          <w:szCs w:val="21"/>
          <w:u w:val="single"/>
        </w:rPr>
        <w:t xml:space="preserve">                          </w:t>
      </w:r>
    </w:p>
    <w:p>
      <w:pPr>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传真：</w:t>
      </w:r>
      <w:r>
        <w:rPr>
          <w:rFonts w:hint="eastAsia" w:ascii="仿宋_GB2312" w:hAnsi="Lucida Sans Unicode" w:eastAsia="仿宋_GB2312" w:cs="Lucida Sans Unicode"/>
          <w:szCs w:val="21"/>
          <w:u w:val="single"/>
        </w:rPr>
        <w:t xml:space="preserve">                        </w:t>
      </w:r>
      <w:r>
        <w:rPr>
          <w:rFonts w:hint="eastAsia" w:ascii="仿宋_GB2312" w:hAnsi="Lucida Sans Unicode" w:eastAsia="仿宋_GB2312" w:cs="Lucida Sans Unicode"/>
          <w:szCs w:val="21"/>
        </w:rPr>
        <w:t xml:space="preserve">      传真：</w:t>
      </w:r>
      <w:r>
        <w:rPr>
          <w:rFonts w:hint="eastAsia" w:ascii="仿宋_GB2312" w:hAnsi="Lucida Sans Unicode" w:eastAsia="仿宋_GB2312" w:cs="Lucida Sans Unicode"/>
          <w:szCs w:val="21"/>
          <w:u w:val="single"/>
        </w:rPr>
        <w:t xml:space="preserve">                          </w:t>
      </w:r>
    </w:p>
    <w:p>
      <w:pPr>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邮编：</w:t>
      </w:r>
      <w:r>
        <w:rPr>
          <w:rFonts w:hint="eastAsia" w:ascii="仿宋_GB2312" w:hAnsi="Lucida Sans Unicode" w:eastAsia="仿宋_GB2312" w:cs="Lucida Sans Unicode"/>
          <w:szCs w:val="21"/>
          <w:u w:val="single"/>
        </w:rPr>
        <w:t xml:space="preserve">                        </w:t>
      </w:r>
      <w:r>
        <w:rPr>
          <w:rFonts w:hint="eastAsia" w:ascii="仿宋_GB2312" w:hAnsi="Lucida Sans Unicode" w:eastAsia="仿宋_GB2312" w:cs="Lucida Sans Unicode"/>
          <w:szCs w:val="21"/>
        </w:rPr>
        <w:t xml:space="preserve">      邮编：</w:t>
      </w:r>
      <w:r>
        <w:rPr>
          <w:rFonts w:hint="eastAsia" w:ascii="仿宋_GB2312" w:hAnsi="Lucida Sans Unicode" w:eastAsia="仿宋_GB2312" w:cs="Lucida Sans Unicode"/>
          <w:szCs w:val="21"/>
          <w:u w:val="single"/>
        </w:rPr>
        <w:t xml:space="preserve">                          </w:t>
      </w:r>
    </w:p>
    <w:p>
      <w:pPr>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日期：</w:t>
      </w:r>
      <w:r>
        <w:rPr>
          <w:rFonts w:hint="eastAsia" w:ascii="仿宋_GB2312" w:hAnsi="Lucida Sans Unicode" w:eastAsia="仿宋_GB2312" w:cs="Lucida Sans Unicode"/>
          <w:szCs w:val="21"/>
          <w:u w:val="single"/>
        </w:rPr>
        <w:t xml:space="preserve">      年      月      日</w:t>
      </w:r>
      <w:r>
        <w:rPr>
          <w:rFonts w:hint="eastAsia" w:ascii="仿宋_GB2312" w:hAnsi="Lucida Sans Unicode" w:eastAsia="仿宋_GB2312" w:cs="Lucida Sans Unicode"/>
          <w:szCs w:val="21"/>
        </w:rPr>
        <w:t xml:space="preserve">      日期：</w:t>
      </w:r>
      <w:r>
        <w:rPr>
          <w:rFonts w:hint="eastAsia" w:ascii="仿宋_GB2312" w:hAnsi="Lucida Sans Unicode" w:eastAsia="仿宋_GB2312" w:cs="Lucida Sans Unicode"/>
          <w:szCs w:val="21"/>
          <w:u w:val="single"/>
        </w:rPr>
        <w:t xml:space="preserve">       年      月     日</w:t>
      </w:r>
    </w:p>
    <w:p/>
    <w:p>
      <w:pPr>
        <w:adjustRightInd w:val="0"/>
        <w:snapToGrid w:val="0"/>
        <w:spacing w:line="360" w:lineRule="auto"/>
        <w:rPr>
          <w:rFonts w:ascii="仿宋_GB2312" w:hAnsi="仿宋_GB2312" w:eastAsia="仿宋_GB2312" w:cs="仿宋_GB2312"/>
          <w:szCs w:val="21"/>
          <w:u w:val="single"/>
        </w:rPr>
      </w:pPr>
    </w:p>
    <w:p>
      <w:pPr>
        <w:wordWrap w:val="0"/>
        <w:adjustRightInd w:val="0"/>
        <w:snapToGrid w:val="0"/>
        <w:spacing w:line="360" w:lineRule="auto"/>
        <w:jc w:val="right"/>
        <w:rPr>
          <w:rFonts w:ascii="仿宋_GB2312" w:hAnsi="仿宋_GB2312" w:eastAsia="仿宋_GB2312" w:cs="仿宋_GB2312"/>
          <w:szCs w:val="21"/>
        </w:rPr>
      </w:pPr>
    </w:p>
    <w:p>
      <w:pPr>
        <w:wordWrap w:val="0"/>
        <w:adjustRightInd w:val="0"/>
        <w:snapToGrid w:val="0"/>
        <w:spacing w:line="360" w:lineRule="auto"/>
        <w:jc w:val="right"/>
        <w:rPr>
          <w:rFonts w:ascii="仿宋_GB2312" w:hAnsi="仿宋_GB2312" w:eastAsia="仿宋_GB2312" w:cs="仿宋_GB2312"/>
          <w:szCs w:val="21"/>
        </w:rPr>
      </w:pPr>
    </w:p>
    <w:sectPr>
      <w:pgSz w:w="11906" w:h="16838"/>
      <w:pgMar w:top="1440" w:right="1803" w:bottom="1440" w:left="96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86"/>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CESI黑体-GB2312">
    <w:panose1 w:val="02000500000000000000"/>
    <w:charset w:val="86"/>
    <w:family w:val="auto"/>
    <w:pitch w:val="default"/>
    <w:sig w:usb0="800002BF" w:usb1="184F6CF8" w:usb2="00000012" w:usb3="00000000" w:csb0="0004000F" w:csb1="00000000"/>
  </w:font>
  <w:font w:name="CESI楷体-GB2312">
    <w:panose1 w:val="02000500000000000000"/>
    <w:charset w:val="86"/>
    <w:family w:val="auto"/>
    <w:pitch w:val="default"/>
    <w:sig w:usb0="800002BF" w:usb1="184F6CF8" w:usb2="00000012" w:usb3="00000000" w:csb0="0004000F" w:csb1="00000000"/>
  </w:font>
  <w:font w:name="仿宋">
    <w:panose1 w:val="02010609060101010101"/>
    <w:charset w:val="86"/>
    <w:family w:val="modern"/>
    <w:pitch w:val="default"/>
    <w:sig w:usb0="800002BF" w:usb1="38CF7CFA" w:usb2="00000016" w:usb3="00000000" w:csb0="00040001" w:csb1="00000000"/>
  </w:font>
  <w:font w:name="华文楷体">
    <w:altName w:val="方正楷体_GBK"/>
    <w:panose1 w:val="02010600040101010101"/>
    <w:charset w:val="00"/>
    <w:family w:val="auto"/>
    <w:pitch w:val="default"/>
    <w:sig w:usb0="00000000" w:usb1="00000000" w:usb2="00000010" w:usb3="00000000" w:csb0="0004009F" w:csb1="00000000"/>
  </w:font>
  <w:font w:name="Wingdings 2">
    <w:panose1 w:val="05020102010507070707"/>
    <w:charset w:val="00"/>
    <w:family w:val="decorative"/>
    <w:pitch w:val="default"/>
    <w:sig w:usb0="00000000" w:usb1="00000000" w:usb2="00000000" w:usb3="00000000" w:csb0="80000000" w:csb1="00000000"/>
  </w:font>
  <w:font w:name="CESI仿宋-GB2312">
    <w:panose1 w:val="02000500000000000000"/>
    <w:charset w:val="86"/>
    <w:family w:val="auto"/>
    <w:pitch w:val="default"/>
    <w:sig w:usb0="800002AF" w:usb1="084F6CF8" w:usb2="00000010" w:usb3="00000000" w:csb0="0004000F" w:csb1="00000000"/>
  </w:font>
  <w:font w:name="Nimbus Roman No9 L">
    <w:panose1 w:val="00000000000000000000"/>
    <w:charset w:val="00"/>
    <w:family w:val="auto"/>
    <w:pitch w:val="default"/>
    <w:sig w:usb0="00000000" w:usb1="00000000" w:usb2="00000000" w:usb3="00000000" w:csb0="00000000" w:csb1="00000000"/>
  </w:font>
  <w:font w:name="Lucida Sans Unicode">
    <w:altName w:val="Noto Naskh Arabic"/>
    <w:panose1 w:val="020B0602030504020204"/>
    <w:charset w:val="00"/>
    <w:family w:val="swiss"/>
    <w:pitch w:val="default"/>
    <w:sig w:usb0="00000000" w:usb1="00000000" w:usb2="00000000" w:usb3="00000000" w:csb0="200000BF" w:csb1="D7F7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Microsoft YaHei">
    <w:altName w:val="黑体"/>
    <w:panose1 w:val="00000000000000000000"/>
    <w:charset w:val="00"/>
    <w:family w:val="auto"/>
    <w:pitch w:val="default"/>
    <w:sig w:usb0="00000000" w:usb1="00000000" w:usb2="00000000" w:usb3="00000000" w:csb0="00000000" w:csb1="00000000"/>
  </w:font>
  <w:font w:name="Tahoma">
    <w:altName w:val="Droid Sans"/>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Noto Naskh Arabic">
    <w:panose1 w:val="020B0502040504020204"/>
    <w:charset w:val="00"/>
    <w:family w:val="auto"/>
    <w:pitch w:val="default"/>
    <w:sig w:usb0="00002000" w:usb1="80000000" w:usb2="00000008" w:usb3="00000000" w:csb0="00000041" w:csb1="00080000"/>
  </w:font>
  <w:font w:name="Droid Sans">
    <w:panose1 w:val="020B0606030804020204"/>
    <w:charset w:val="00"/>
    <w:family w:val="auto"/>
    <w:pitch w:val="default"/>
    <w:sig w:usb0="E00002EF" w:usb1="4000205B" w:usb2="00000028"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fldChar w:fldCharType="begin"/>
    </w:r>
    <w:r>
      <w:instrText xml:space="preserve">PAGE   \* MERGEFORMAT</w:instrText>
    </w:r>
    <w:r>
      <w:fldChar w:fldCharType="separate"/>
    </w:r>
    <w:r>
      <w:rPr>
        <w:lang w:val="zh-CN"/>
      </w:rPr>
      <w:t>2</w:t>
    </w:r>
    <w:r>
      <w:fldChar w:fldCharType="end"/>
    </w:r>
  </w:p>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fldChar w:fldCharType="begin"/>
    </w:r>
    <w:r>
      <w:instrText xml:space="preserve">PAGE   \* MERGEFORMAT</w:instrText>
    </w:r>
    <w:r>
      <w:fldChar w:fldCharType="separate"/>
    </w:r>
    <w:r>
      <w:rPr>
        <w:lang w:val="zh-CN"/>
      </w:rPr>
      <w:t>2</w:t>
    </w:r>
    <w:r>
      <w:fldChar w:fldCharType="end"/>
    </w:r>
  </w:p>
  <w:p>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EE8E3184"/>
    <w:multiLevelType w:val="singleLevel"/>
    <w:tmpl w:val="EE8E3184"/>
    <w:lvl w:ilvl="0" w:tentative="0">
      <w:start w:val="1"/>
      <w:numFmt w:val="decimal"/>
      <w:suff w:val="nothing"/>
      <w:lvlText w:val="（%1）"/>
      <w:lvlJc w:val="left"/>
    </w:lvl>
  </w:abstractNum>
  <w:abstractNum w:abstractNumId="4">
    <w:nsid w:val="FFFC719C"/>
    <w:multiLevelType w:val="singleLevel"/>
    <w:tmpl w:val="FFFC719C"/>
    <w:lvl w:ilvl="0" w:tentative="0">
      <w:start w:val="2"/>
      <w:numFmt w:val="chineseCounting"/>
      <w:suff w:val="nothing"/>
      <w:lvlText w:val="%1、"/>
      <w:lvlJc w:val="left"/>
      <w:rPr>
        <w:rFonts w:hint="eastAsia"/>
      </w:rPr>
    </w:lvl>
  </w:abstractNum>
  <w:abstractNum w:abstractNumId="5">
    <w:nsid w:val="1DB97808"/>
    <w:multiLevelType w:val="multilevel"/>
    <w:tmpl w:val="1DB97808"/>
    <w:lvl w:ilvl="0" w:tentative="0">
      <w:start w:val="1"/>
      <w:numFmt w:val="chineseCountingThousand"/>
      <w:suff w:val="space"/>
      <w:lvlText w:val="第%1章"/>
      <w:lvlJc w:val="left"/>
      <w:pPr>
        <w:ind w:left="0"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isLgl/>
      <w:suff w:val="space"/>
      <w:lvlText w:val="%1.%2.%3"/>
      <w:lvlJc w:val="left"/>
      <w:pPr>
        <w:ind w:left="0" w:firstLine="0"/>
      </w:pPr>
      <w:rPr>
        <w:rFonts w:hint="eastAsia"/>
      </w:rPr>
    </w:lvl>
    <w:lvl w:ilvl="3" w:tentative="0">
      <w:start w:val="1"/>
      <w:numFmt w:val="decimal"/>
      <w:pStyle w:val="47"/>
      <w:isLgl/>
      <w:suff w:val="space"/>
      <w:lvlText w:val="%1.%2.%3.%4"/>
      <w:lvlJc w:val="left"/>
      <w:pPr>
        <w:ind w:left="0" w:firstLine="0"/>
      </w:pPr>
      <w:rPr>
        <w:rFonts w:hint="eastAsia"/>
      </w:rPr>
    </w:lvl>
    <w:lvl w:ilvl="4" w:tentative="0">
      <w:start w:val="1"/>
      <w:numFmt w:val="decimal"/>
      <w:isLgl/>
      <w:suff w:val="space"/>
      <w:lvlText w:val="%1.%2.%3.%4.%5"/>
      <w:lvlJc w:val="left"/>
      <w:pPr>
        <w:ind w:left="0" w:firstLine="0"/>
      </w:pPr>
      <w:rPr>
        <w:rFonts w:hint="eastAsia"/>
      </w:rPr>
    </w:lvl>
    <w:lvl w:ilvl="5" w:tentative="0">
      <w:start w:val="1"/>
      <w:numFmt w:val="decimal"/>
      <w:isLgl/>
      <w:suff w:val="space"/>
      <w:lvlText w:val="%1.%2.%3.%4.%5.%6"/>
      <w:lvlJc w:val="left"/>
      <w:pPr>
        <w:ind w:left="0" w:firstLine="0"/>
      </w:pPr>
      <w:rPr>
        <w:rFonts w:hint="eastAsia"/>
      </w:rPr>
    </w:lvl>
    <w:lvl w:ilvl="6" w:tentative="0">
      <w:start w:val="1"/>
      <w:numFmt w:val="decimal"/>
      <w:isLgl/>
      <w:suff w:val="space"/>
      <w:lvlText w:val="%1.%2.%3.%4.%5.%6.%7"/>
      <w:lvlJc w:val="left"/>
      <w:pPr>
        <w:ind w:left="0" w:firstLine="0"/>
      </w:pPr>
      <w:rPr>
        <w:rFonts w:hint="eastAsia"/>
      </w:rPr>
    </w:lvl>
    <w:lvl w:ilvl="7" w:tentative="0">
      <w:start w:val="1"/>
      <w:numFmt w:val="decimal"/>
      <w:isLgl/>
      <w:suff w:val="space"/>
      <w:lvlText w:val="%1.%2.%3.%4.%5.%6.%7.%8"/>
      <w:lvlJc w:val="left"/>
      <w:pPr>
        <w:ind w:left="0" w:firstLine="0"/>
      </w:pPr>
      <w:rPr>
        <w:rFonts w:hint="eastAsia"/>
      </w:rPr>
    </w:lvl>
    <w:lvl w:ilvl="8" w:tentative="0">
      <w:start w:val="1"/>
      <w:numFmt w:val="decimal"/>
      <w:isLgl/>
      <w:suff w:val="space"/>
      <w:lvlText w:val="%1.%2.%3.%4.%5.%6.%7.%8.%9"/>
      <w:lvlJc w:val="left"/>
      <w:pPr>
        <w:ind w:left="0" w:firstLine="0"/>
      </w:pPr>
      <w:rPr>
        <w:rFonts w:hint="eastAsia"/>
      </w:rPr>
    </w:lvl>
  </w:abstractNum>
  <w:abstractNum w:abstractNumId="6">
    <w:nsid w:val="27E8E525"/>
    <w:multiLevelType w:val="singleLevel"/>
    <w:tmpl w:val="27E8E525"/>
    <w:lvl w:ilvl="0" w:tentative="0">
      <w:start w:val="1"/>
      <w:numFmt w:val="decimal"/>
      <w:suff w:val="nothing"/>
      <w:lvlText w:val="（%1）"/>
      <w:lvlJc w:val="left"/>
    </w:lvl>
  </w:abstractNum>
  <w:abstractNum w:abstractNumId="7">
    <w:nsid w:val="420C153B"/>
    <w:multiLevelType w:val="multilevel"/>
    <w:tmpl w:val="420C153B"/>
    <w:lvl w:ilvl="0" w:tentative="0">
      <w:start w:val="1"/>
      <w:numFmt w:val="decimal"/>
      <w:pStyle w:val="3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9">
    <w:nsid w:val="7B4156D0"/>
    <w:multiLevelType w:val="singleLevel"/>
    <w:tmpl w:val="7B4156D0"/>
    <w:lvl w:ilvl="0" w:tentative="0">
      <w:start w:val="1"/>
      <w:numFmt w:val="decimal"/>
      <w:suff w:val="nothing"/>
      <w:lvlText w:val="（%1）"/>
      <w:lvlJc w:val="left"/>
    </w:lvl>
  </w:abstractNum>
  <w:abstractNum w:abstractNumId="10">
    <w:nsid w:val="7FCA64AF"/>
    <w:multiLevelType w:val="singleLevel"/>
    <w:tmpl w:val="7FCA64AF"/>
    <w:lvl w:ilvl="0" w:tentative="0">
      <w:start w:val="1"/>
      <w:numFmt w:val="decimal"/>
      <w:suff w:val="nothing"/>
      <w:lvlText w:val="（%1）"/>
      <w:lvlJc w:val="left"/>
    </w:lvl>
  </w:abstractNum>
  <w:num w:numId="1">
    <w:abstractNumId w:val="7"/>
  </w:num>
  <w:num w:numId="2">
    <w:abstractNumId w:val="5"/>
  </w:num>
  <w:num w:numId="3">
    <w:abstractNumId w:val="4"/>
  </w:num>
  <w:num w:numId="4">
    <w:abstractNumId w:val="0"/>
  </w:num>
  <w:num w:numId="5">
    <w:abstractNumId w:val="10"/>
  </w:num>
  <w:num w:numId="6">
    <w:abstractNumId w:val="2"/>
  </w:num>
  <w:num w:numId="7">
    <w:abstractNumId w:val="1"/>
  </w:num>
  <w:num w:numId="8">
    <w:abstractNumId w:val="6"/>
  </w:num>
  <w:num w:numId="9">
    <w:abstractNumId w:val="3"/>
  </w:num>
  <w:num w:numId="10">
    <w:abstractNumId w:val="9"/>
  </w:num>
  <w:num w:numId="11">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hyphenationZone w:val="360"/>
  <w:drawingGridVerticalSpacing w:val="159"/>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AB3B2B"/>
    <w:rsid w:val="000112BA"/>
    <w:rsid w:val="000268C8"/>
    <w:rsid w:val="00031AC7"/>
    <w:rsid w:val="00063356"/>
    <w:rsid w:val="0007057C"/>
    <w:rsid w:val="00084E5A"/>
    <w:rsid w:val="00096E47"/>
    <w:rsid w:val="0009731D"/>
    <w:rsid w:val="000B13E4"/>
    <w:rsid w:val="000C0E37"/>
    <w:rsid w:val="000D1063"/>
    <w:rsid w:val="000E6314"/>
    <w:rsid w:val="000F5EC2"/>
    <w:rsid w:val="000F6EAA"/>
    <w:rsid w:val="001015DF"/>
    <w:rsid w:val="00110B2A"/>
    <w:rsid w:val="00124CB1"/>
    <w:rsid w:val="0013522F"/>
    <w:rsid w:val="001612AD"/>
    <w:rsid w:val="001706A3"/>
    <w:rsid w:val="00170858"/>
    <w:rsid w:val="0018626B"/>
    <w:rsid w:val="00186430"/>
    <w:rsid w:val="00193BD6"/>
    <w:rsid w:val="001966CB"/>
    <w:rsid w:val="001D014E"/>
    <w:rsid w:val="001D74B3"/>
    <w:rsid w:val="001E311A"/>
    <w:rsid w:val="001E710F"/>
    <w:rsid w:val="001F33B0"/>
    <w:rsid w:val="00210A2E"/>
    <w:rsid w:val="00213645"/>
    <w:rsid w:val="0022058A"/>
    <w:rsid w:val="002267F4"/>
    <w:rsid w:val="00234505"/>
    <w:rsid w:val="0025299C"/>
    <w:rsid w:val="00254496"/>
    <w:rsid w:val="002664FC"/>
    <w:rsid w:val="0026766D"/>
    <w:rsid w:val="002759FF"/>
    <w:rsid w:val="00282DFB"/>
    <w:rsid w:val="002E464C"/>
    <w:rsid w:val="002F1EE1"/>
    <w:rsid w:val="003074CB"/>
    <w:rsid w:val="00331217"/>
    <w:rsid w:val="00334518"/>
    <w:rsid w:val="00341F18"/>
    <w:rsid w:val="00346265"/>
    <w:rsid w:val="003574AB"/>
    <w:rsid w:val="00362F2A"/>
    <w:rsid w:val="00363498"/>
    <w:rsid w:val="003678C9"/>
    <w:rsid w:val="00382F03"/>
    <w:rsid w:val="0039123C"/>
    <w:rsid w:val="003F5979"/>
    <w:rsid w:val="00403FF0"/>
    <w:rsid w:val="00440750"/>
    <w:rsid w:val="00453668"/>
    <w:rsid w:val="00462999"/>
    <w:rsid w:val="00465F3E"/>
    <w:rsid w:val="0047528E"/>
    <w:rsid w:val="004E3769"/>
    <w:rsid w:val="005063EE"/>
    <w:rsid w:val="005378A0"/>
    <w:rsid w:val="00543C32"/>
    <w:rsid w:val="00543F74"/>
    <w:rsid w:val="0057540F"/>
    <w:rsid w:val="00580B35"/>
    <w:rsid w:val="00592BFE"/>
    <w:rsid w:val="005A112A"/>
    <w:rsid w:val="00620B1E"/>
    <w:rsid w:val="006358C4"/>
    <w:rsid w:val="00640FCC"/>
    <w:rsid w:val="00647AB6"/>
    <w:rsid w:val="00647C31"/>
    <w:rsid w:val="00650E82"/>
    <w:rsid w:val="00664A63"/>
    <w:rsid w:val="00665B62"/>
    <w:rsid w:val="00675EBF"/>
    <w:rsid w:val="00681AA3"/>
    <w:rsid w:val="00684E56"/>
    <w:rsid w:val="00694FB3"/>
    <w:rsid w:val="006C44B1"/>
    <w:rsid w:val="006E3FA8"/>
    <w:rsid w:val="006E4228"/>
    <w:rsid w:val="00702A69"/>
    <w:rsid w:val="007108AF"/>
    <w:rsid w:val="007307D9"/>
    <w:rsid w:val="007358B6"/>
    <w:rsid w:val="00772CBE"/>
    <w:rsid w:val="00777049"/>
    <w:rsid w:val="0077749F"/>
    <w:rsid w:val="00786C98"/>
    <w:rsid w:val="007A2A67"/>
    <w:rsid w:val="007C439F"/>
    <w:rsid w:val="007D1608"/>
    <w:rsid w:val="007D2BE2"/>
    <w:rsid w:val="00816BC1"/>
    <w:rsid w:val="008227F0"/>
    <w:rsid w:val="008348F9"/>
    <w:rsid w:val="008730D3"/>
    <w:rsid w:val="008A4B74"/>
    <w:rsid w:val="008C16CF"/>
    <w:rsid w:val="0090354B"/>
    <w:rsid w:val="00922894"/>
    <w:rsid w:val="00952514"/>
    <w:rsid w:val="00996FA8"/>
    <w:rsid w:val="009C3508"/>
    <w:rsid w:val="009C3AA5"/>
    <w:rsid w:val="009C559E"/>
    <w:rsid w:val="009D4893"/>
    <w:rsid w:val="00A1544B"/>
    <w:rsid w:val="00A17D78"/>
    <w:rsid w:val="00A231BF"/>
    <w:rsid w:val="00A33BC1"/>
    <w:rsid w:val="00A42E88"/>
    <w:rsid w:val="00A6581E"/>
    <w:rsid w:val="00A87EA9"/>
    <w:rsid w:val="00A963CF"/>
    <w:rsid w:val="00AA6028"/>
    <w:rsid w:val="00AA67B4"/>
    <w:rsid w:val="00AB6187"/>
    <w:rsid w:val="00AF165E"/>
    <w:rsid w:val="00AF263F"/>
    <w:rsid w:val="00AF42CF"/>
    <w:rsid w:val="00B15A2D"/>
    <w:rsid w:val="00B41AFA"/>
    <w:rsid w:val="00B56F43"/>
    <w:rsid w:val="00B57337"/>
    <w:rsid w:val="00B825B8"/>
    <w:rsid w:val="00B85916"/>
    <w:rsid w:val="00B915DB"/>
    <w:rsid w:val="00BA564F"/>
    <w:rsid w:val="00BB7DB0"/>
    <w:rsid w:val="00BC054B"/>
    <w:rsid w:val="00BC12D7"/>
    <w:rsid w:val="00BD7B34"/>
    <w:rsid w:val="00C01B5F"/>
    <w:rsid w:val="00C114CA"/>
    <w:rsid w:val="00C1167D"/>
    <w:rsid w:val="00C1525D"/>
    <w:rsid w:val="00C36FAC"/>
    <w:rsid w:val="00C44A20"/>
    <w:rsid w:val="00C75300"/>
    <w:rsid w:val="00C90727"/>
    <w:rsid w:val="00CF17C7"/>
    <w:rsid w:val="00D06610"/>
    <w:rsid w:val="00D2136C"/>
    <w:rsid w:val="00D4010D"/>
    <w:rsid w:val="00D67E77"/>
    <w:rsid w:val="00D942B1"/>
    <w:rsid w:val="00DA6197"/>
    <w:rsid w:val="00DA65A0"/>
    <w:rsid w:val="00DA7474"/>
    <w:rsid w:val="00DB10A5"/>
    <w:rsid w:val="00DB41F3"/>
    <w:rsid w:val="00DC5BC4"/>
    <w:rsid w:val="00DE4330"/>
    <w:rsid w:val="00DE58B1"/>
    <w:rsid w:val="00DF2F6E"/>
    <w:rsid w:val="00E27986"/>
    <w:rsid w:val="00E34C56"/>
    <w:rsid w:val="00E418E9"/>
    <w:rsid w:val="00E542C7"/>
    <w:rsid w:val="00E55B1C"/>
    <w:rsid w:val="00E67AE6"/>
    <w:rsid w:val="00E84E0C"/>
    <w:rsid w:val="00E90E2F"/>
    <w:rsid w:val="00ED6C37"/>
    <w:rsid w:val="00F20EC2"/>
    <w:rsid w:val="00F21271"/>
    <w:rsid w:val="00F31CE7"/>
    <w:rsid w:val="00F357FC"/>
    <w:rsid w:val="00FA3A95"/>
    <w:rsid w:val="00FC6375"/>
    <w:rsid w:val="00FD0881"/>
    <w:rsid w:val="00FD52C9"/>
    <w:rsid w:val="00FE51B6"/>
    <w:rsid w:val="00FF1CBA"/>
    <w:rsid w:val="01007E42"/>
    <w:rsid w:val="01026223"/>
    <w:rsid w:val="01275D20"/>
    <w:rsid w:val="01466A33"/>
    <w:rsid w:val="01583385"/>
    <w:rsid w:val="017734C4"/>
    <w:rsid w:val="01864D83"/>
    <w:rsid w:val="019A5532"/>
    <w:rsid w:val="019B685C"/>
    <w:rsid w:val="02044F27"/>
    <w:rsid w:val="0238643A"/>
    <w:rsid w:val="024A2175"/>
    <w:rsid w:val="028D3811"/>
    <w:rsid w:val="029E7AD0"/>
    <w:rsid w:val="02F545EC"/>
    <w:rsid w:val="02FA30D3"/>
    <w:rsid w:val="03083570"/>
    <w:rsid w:val="03090322"/>
    <w:rsid w:val="032759B1"/>
    <w:rsid w:val="035C57FE"/>
    <w:rsid w:val="03A07AD7"/>
    <w:rsid w:val="03AF2015"/>
    <w:rsid w:val="03BF5C9E"/>
    <w:rsid w:val="0439713F"/>
    <w:rsid w:val="04773980"/>
    <w:rsid w:val="047A0AE3"/>
    <w:rsid w:val="04AC72EC"/>
    <w:rsid w:val="05147E7D"/>
    <w:rsid w:val="05190704"/>
    <w:rsid w:val="054B658A"/>
    <w:rsid w:val="057B7AFF"/>
    <w:rsid w:val="0580226C"/>
    <w:rsid w:val="05AA531D"/>
    <w:rsid w:val="05CD3179"/>
    <w:rsid w:val="05D067D9"/>
    <w:rsid w:val="06457B91"/>
    <w:rsid w:val="06750C66"/>
    <w:rsid w:val="06C35F8E"/>
    <w:rsid w:val="06DB7470"/>
    <w:rsid w:val="06E51B6B"/>
    <w:rsid w:val="06EF58D3"/>
    <w:rsid w:val="07116147"/>
    <w:rsid w:val="07445F64"/>
    <w:rsid w:val="075E76FE"/>
    <w:rsid w:val="079B0BC0"/>
    <w:rsid w:val="07A969AB"/>
    <w:rsid w:val="07F90A4B"/>
    <w:rsid w:val="080659C7"/>
    <w:rsid w:val="085241F0"/>
    <w:rsid w:val="0855720F"/>
    <w:rsid w:val="085B4F44"/>
    <w:rsid w:val="08603605"/>
    <w:rsid w:val="088D5F5C"/>
    <w:rsid w:val="08C005A2"/>
    <w:rsid w:val="08EB30F4"/>
    <w:rsid w:val="09037F14"/>
    <w:rsid w:val="090833CC"/>
    <w:rsid w:val="096D5AA7"/>
    <w:rsid w:val="0997077C"/>
    <w:rsid w:val="09BE2B2E"/>
    <w:rsid w:val="09D36BE4"/>
    <w:rsid w:val="09E0143B"/>
    <w:rsid w:val="09FD11BF"/>
    <w:rsid w:val="0A260FC3"/>
    <w:rsid w:val="0A2B6A3F"/>
    <w:rsid w:val="0A540B39"/>
    <w:rsid w:val="0A611299"/>
    <w:rsid w:val="0AB823C4"/>
    <w:rsid w:val="0ACA4546"/>
    <w:rsid w:val="0ADE3B76"/>
    <w:rsid w:val="0AE57E5E"/>
    <w:rsid w:val="0B4278E4"/>
    <w:rsid w:val="0BA525D8"/>
    <w:rsid w:val="0BD10048"/>
    <w:rsid w:val="0BD50CE3"/>
    <w:rsid w:val="0BF6D0AF"/>
    <w:rsid w:val="0C2F6006"/>
    <w:rsid w:val="0C392C1F"/>
    <w:rsid w:val="0C426CB3"/>
    <w:rsid w:val="0C5056AF"/>
    <w:rsid w:val="0C5B37C6"/>
    <w:rsid w:val="0C5B3F21"/>
    <w:rsid w:val="0C602928"/>
    <w:rsid w:val="0C75665B"/>
    <w:rsid w:val="0C8352C9"/>
    <w:rsid w:val="0C88726E"/>
    <w:rsid w:val="0CC03673"/>
    <w:rsid w:val="0CC9268B"/>
    <w:rsid w:val="0CCB7B51"/>
    <w:rsid w:val="0CD83AA7"/>
    <w:rsid w:val="0D08638B"/>
    <w:rsid w:val="0D7C6716"/>
    <w:rsid w:val="0DC134A7"/>
    <w:rsid w:val="0E014932"/>
    <w:rsid w:val="0E155B5A"/>
    <w:rsid w:val="0E4D03C4"/>
    <w:rsid w:val="0E512BF8"/>
    <w:rsid w:val="0EB56011"/>
    <w:rsid w:val="0EC73947"/>
    <w:rsid w:val="0ED53347"/>
    <w:rsid w:val="0EEF4264"/>
    <w:rsid w:val="0EF20E9B"/>
    <w:rsid w:val="0EF46240"/>
    <w:rsid w:val="0EFA5499"/>
    <w:rsid w:val="0F296557"/>
    <w:rsid w:val="0F465E03"/>
    <w:rsid w:val="0F681E22"/>
    <w:rsid w:val="0F6C20F8"/>
    <w:rsid w:val="0F7A92C5"/>
    <w:rsid w:val="0F7DDE67"/>
    <w:rsid w:val="0F7F1EE3"/>
    <w:rsid w:val="0F9262E5"/>
    <w:rsid w:val="0FEE60A0"/>
    <w:rsid w:val="100B5B75"/>
    <w:rsid w:val="101866A7"/>
    <w:rsid w:val="103179A1"/>
    <w:rsid w:val="10390CED"/>
    <w:rsid w:val="10523A58"/>
    <w:rsid w:val="108D7FEC"/>
    <w:rsid w:val="10A15F20"/>
    <w:rsid w:val="10C34A85"/>
    <w:rsid w:val="10DD3E24"/>
    <w:rsid w:val="10EB0A61"/>
    <w:rsid w:val="10F96CD3"/>
    <w:rsid w:val="110D477C"/>
    <w:rsid w:val="11230728"/>
    <w:rsid w:val="11301804"/>
    <w:rsid w:val="117BDBC7"/>
    <w:rsid w:val="117E3EBF"/>
    <w:rsid w:val="11A172F2"/>
    <w:rsid w:val="11A63895"/>
    <w:rsid w:val="11AA0E33"/>
    <w:rsid w:val="11B7DCE0"/>
    <w:rsid w:val="11D465DE"/>
    <w:rsid w:val="11DE5C6A"/>
    <w:rsid w:val="11F35E10"/>
    <w:rsid w:val="121E003E"/>
    <w:rsid w:val="123238F4"/>
    <w:rsid w:val="124E6914"/>
    <w:rsid w:val="12545C6B"/>
    <w:rsid w:val="127A62D0"/>
    <w:rsid w:val="12BA51F9"/>
    <w:rsid w:val="12D84CD4"/>
    <w:rsid w:val="12F51579"/>
    <w:rsid w:val="12FD7CCA"/>
    <w:rsid w:val="13042B7A"/>
    <w:rsid w:val="13064FD7"/>
    <w:rsid w:val="131909C4"/>
    <w:rsid w:val="137139DD"/>
    <w:rsid w:val="13C139AF"/>
    <w:rsid w:val="13E01C4A"/>
    <w:rsid w:val="13E11B6F"/>
    <w:rsid w:val="13F761E0"/>
    <w:rsid w:val="14333776"/>
    <w:rsid w:val="143A679C"/>
    <w:rsid w:val="144E16AB"/>
    <w:rsid w:val="144F6715"/>
    <w:rsid w:val="145843FC"/>
    <w:rsid w:val="147A16BB"/>
    <w:rsid w:val="149B6817"/>
    <w:rsid w:val="14AA5797"/>
    <w:rsid w:val="14E7C3F3"/>
    <w:rsid w:val="14FCF62A"/>
    <w:rsid w:val="156600AB"/>
    <w:rsid w:val="15667555"/>
    <w:rsid w:val="156E528F"/>
    <w:rsid w:val="157E011E"/>
    <w:rsid w:val="157E3E54"/>
    <w:rsid w:val="15A97268"/>
    <w:rsid w:val="15CF1DD7"/>
    <w:rsid w:val="15D62A35"/>
    <w:rsid w:val="15E224A7"/>
    <w:rsid w:val="16150220"/>
    <w:rsid w:val="164342FA"/>
    <w:rsid w:val="165770B0"/>
    <w:rsid w:val="16635F8A"/>
    <w:rsid w:val="16715AE8"/>
    <w:rsid w:val="167B4875"/>
    <w:rsid w:val="169F2D5D"/>
    <w:rsid w:val="16A22BEB"/>
    <w:rsid w:val="16A7711C"/>
    <w:rsid w:val="16CB645F"/>
    <w:rsid w:val="16D51CFA"/>
    <w:rsid w:val="16D743AB"/>
    <w:rsid w:val="16D904DF"/>
    <w:rsid w:val="16EC46E3"/>
    <w:rsid w:val="16FA6744"/>
    <w:rsid w:val="171149C7"/>
    <w:rsid w:val="171820A2"/>
    <w:rsid w:val="1754181D"/>
    <w:rsid w:val="17571001"/>
    <w:rsid w:val="17707BBF"/>
    <w:rsid w:val="17776970"/>
    <w:rsid w:val="179E6119"/>
    <w:rsid w:val="17BA1FA3"/>
    <w:rsid w:val="17CF624F"/>
    <w:rsid w:val="17ED6608"/>
    <w:rsid w:val="17FF7094"/>
    <w:rsid w:val="18106EC5"/>
    <w:rsid w:val="181270D8"/>
    <w:rsid w:val="183A7AB3"/>
    <w:rsid w:val="18402742"/>
    <w:rsid w:val="185C4B83"/>
    <w:rsid w:val="18661ADF"/>
    <w:rsid w:val="18B7096E"/>
    <w:rsid w:val="190136C6"/>
    <w:rsid w:val="190C0B53"/>
    <w:rsid w:val="19406B43"/>
    <w:rsid w:val="195924DA"/>
    <w:rsid w:val="19AD3DF7"/>
    <w:rsid w:val="19B50D0C"/>
    <w:rsid w:val="19F74583"/>
    <w:rsid w:val="1A312855"/>
    <w:rsid w:val="1A40548D"/>
    <w:rsid w:val="1A507D6B"/>
    <w:rsid w:val="1ACA77FB"/>
    <w:rsid w:val="1ACC5BF8"/>
    <w:rsid w:val="1AD774CB"/>
    <w:rsid w:val="1B1E67F8"/>
    <w:rsid w:val="1B200CF6"/>
    <w:rsid w:val="1B390BDC"/>
    <w:rsid w:val="1B8E7170"/>
    <w:rsid w:val="1B9952B1"/>
    <w:rsid w:val="1BC73E1F"/>
    <w:rsid w:val="1BE0443F"/>
    <w:rsid w:val="1C047FD1"/>
    <w:rsid w:val="1C471722"/>
    <w:rsid w:val="1C5C588F"/>
    <w:rsid w:val="1C970C7C"/>
    <w:rsid w:val="1C983F97"/>
    <w:rsid w:val="1CB1569A"/>
    <w:rsid w:val="1CB26CE8"/>
    <w:rsid w:val="1CB313F6"/>
    <w:rsid w:val="1CBE4B4B"/>
    <w:rsid w:val="1CEF0D6A"/>
    <w:rsid w:val="1CF26A5C"/>
    <w:rsid w:val="1CFB6B14"/>
    <w:rsid w:val="1CFF55B8"/>
    <w:rsid w:val="1CFFBD41"/>
    <w:rsid w:val="1D3C45B0"/>
    <w:rsid w:val="1D4028B0"/>
    <w:rsid w:val="1D8A35A8"/>
    <w:rsid w:val="1DC47E88"/>
    <w:rsid w:val="1DD30301"/>
    <w:rsid w:val="1DDD1DE6"/>
    <w:rsid w:val="1DE41500"/>
    <w:rsid w:val="1DFB1376"/>
    <w:rsid w:val="1DFF559C"/>
    <w:rsid w:val="1E00462C"/>
    <w:rsid w:val="1E1C5E73"/>
    <w:rsid w:val="1E282FF3"/>
    <w:rsid w:val="1E2B39B6"/>
    <w:rsid w:val="1E3D5BFF"/>
    <w:rsid w:val="1E3F5B0A"/>
    <w:rsid w:val="1E402DD2"/>
    <w:rsid w:val="1E5B585E"/>
    <w:rsid w:val="1E703E54"/>
    <w:rsid w:val="1E8303B8"/>
    <w:rsid w:val="1EA0459D"/>
    <w:rsid w:val="1EA62DBC"/>
    <w:rsid w:val="1EB21D4C"/>
    <w:rsid w:val="1ECC5D06"/>
    <w:rsid w:val="1ED42809"/>
    <w:rsid w:val="1F384EA1"/>
    <w:rsid w:val="1F3EB06C"/>
    <w:rsid w:val="1F6A2CF4"/>
    <w:rsid w:val="1F867121"/>
    <w:rsid w:val="1F9853E2"/>
    <w:rsid w:val="1F9F2549"/>
    <w:rsid w:val="1FA232C4"/>
    <w:rsid w:val="1FB42F8C"/>
    <w:rsid w:val="1FB7468F"/>
    <w:rsid w:val="1FC374ED"/>
    <w:rsid w:val="1FCC5382"/>
    <w:rsid w:val="1FCC66B2"/>
    <w:rsid w:val="1FCF5BD7"/>
    <w:rsid w:val="1FF31A07"/>
    <w:rsid w:val="1FF71BD2"/>
    <w:rsid w:val="1FFD6FC8"/>
    <w:rsid w:val="201200DF"/>
    <w:rsid w:val="202279CC"/>
    <w:rsid w:val="20441B19"/>
    <w:rsid w:val="20520281"/>
    <w:rsid w:val="20663493"/>
    <w:rsid w:val="2069018D"/>
    <w:rsid w:val="208845E3"/>
    <w:rsid w:val="20940B18"/>
    <w:rsid w:val="20A0219D"/>
    <w:rsid w:val="20A14314"/>
    <w:rsid w:val="20B87A68"/>
    <w:rsid w:val="20BF45FE"/>
    <w:rsid w:val="20C6666F"/>
    <w:rsid w:val="20C70459"/>
    <w:rsid w:val="20D34E96"/>
    <w:rsid w:val="20EF0E4F"/>
    <w:rsid w:val="2102069D"/>
    <w:rsid w:val="21082292"/>
    <w:rsid w:val="213E3E63"/>
    <w:rsid w:val="214C6062"/>
    <w:rsid w:val="217F6F47"/>
    <w:rsid w:val="217F7DC8"/>
    <w:rsid w:val="21C9221A"/>
    <w:rsid w:val="21F5F2EC"/>
    <w:rsid w:val="220D43E3"/>
    <w:rsid w:val="22160B82"/>
    <w:rsid w:val="223F3F77"/>
    <w:rsid w:val="2297314D"/>
    <w:rsid w:val="229F23A9"/>
    <w:rsid w:val="22A279E3"/>
    <w:rsid w:val="22BA2B41"/>
    <w:rsid w:val="22BF0053"/>
    <w:rsid w:val="22D26F9A"/>
    <w:rsid w:val="23561695"/>
    <w:rsid w:val="23886FC3"/>
    <w:rsid w:val="23AE29F3"/>
    <w:rsid w:val="23B12896"/>
    <w:rsid w:val="23CB0902"/>
    <w:rsid w:val="23F316BB"/>
    <w:rsid w:val="24763848"/>
    <w:rsid w:val="247C12B5"/>
    <w:rsid w:val="24827E18"/>
    <w:rsid w:val="24880FB1"/>
    <w:rsid w:val="24963225"/>
    <w:rsid w:val="24DF6949"/>
    <w:rsid w:val="2513393D"/>
    <w:rsid w:val="253353F5"/>
    <w:rsid w:val="25377C12"/>
    <w:rsid w:val="25693F02"/>
    <w:rsid w:val="25902E9C"/>
    <w:rsid w:val="25B0273C"/>
    <w:rsid w:val="25D45C3E"/>
    <w:rsid w:val="25DD61F7"/>
    <w:rsid w:val="25E81861"/>
    <w:rsid w:val="25F66DEB"/>
    <w:rsid w:val="26034EF6"/>
    <w:rsid w:val="260E6047"/>
    <w:rsid w:val="261875AF"/>
    <w:rsid w:val="26195E0C"/>
    <w:rsid w:val="263D5C2C"/>
    <w:rsid w:val="26AF716B"/>
    <w:rsid w:val="26D4301E"/>
    <w:rsid w:val="26E17A5C"/>
    <w:rsid w:val="27206942"/>
    <w:rsid w:val="273C76A0"/>
    <w:rsid w:val="27437FDF"/>
    <w:rsid w:val="2758774E"/>
    <w:rsid w:val="276E7580"/>
    <w:rsid w:val="277D8397"/>
    <w:rsid w:val="279E1806"/>
    <w:rsid w:val="279F27E3"/>
    <w:rsid w:val="27AF28A1"/>
    <w:rsid w:val="27D67955"/>
    <w:rsid w:val="281E11E4"/>
    <w:rsid w:val="284D1502"/>
    <w:rsid w:val="28B92147"/>
    <w:rsid w:val="28F321E9"/>
    <w:rsid w:val="293624BD"/>
    <w:rsid w:val="294D49C5"/>
    <w:rsid w:val="29BA0A21"/>
    <w:rsid w:val="29BE1781"/>
    <w:rsid w:val="29CA5323"/>
    <w:rsid w:val="29D95377"/>
    <w:rsid w:val="2A19597B"/>
    <w:rsid w:val="2A23324E"/>
    <w:rsid w:val="2A346F0B"/>
    <w:rsid w:val="2A5A438A"/>
    <w:rsid w:val="2A6C2D68"/>
    <w:rsid w:val="2A7439F6"/>
    <w:rsid w:val="2A857E6C"/>
    <w:rsid w:val="2AFD4EC5"/>
    <w:rsid w:val="2AFF1738"/>
    <w:rsid w:val="2B046437"/>
    <w:rsid w:val="2B1B420B"/>
    <w:rsid w:val="2B1C14AB"/>
    <w:rsid w:val="2B376F2C"/>
    <w:rsid w:val="2B417276"/>
    <w:rsid w:val="2B5A5895"/>
    <w:rsid w:val="2BBFCE6A"/>
    <w:rsid w:val="2BCA5B56"/>
    <w:rsid w:val="2C4D60B7"/>
    <w:rsid w:val="2C852F06"/>
    <w:rsid w:val="2C8774D1"/>
    <w:rsid w:val="2C981CCD"/>
    <w:rsid w:val="2C9F53AF"/>
    <w:rsid w:val="2CBA641B"/>
    <w:rsid w:val="2CF525C3"/>
    <w:rsid w:val="2D040C32"/>
    <w:rsid w:val="2D0757A6"/>
    <w:rsid w:val="2D173B3F"/>
    <w:rsid w:val="2D2FE07B"/>
    <w:rsid w:val="2D982E0B"/>
    <w:rsid w:val="2DB53B3B"/>
    <w:rsid w:val="2DCC44FF"/>
    <w:rsid w:val="2DDC35D6"/>
    <w:rsid w:val="2DF6369B"/>
    <w:rsid w:val="2E072654"/>
    <w:rsid w:val="2E3B239C"/>
    <w:rsid w:val="2E6F38EF"/>
    <w:rsid w:val="2EBD870D"/>
    <w:rsid w:val="2EC24EAE"/>
    <w:rsid w:val="2ECF2473"/>
    <w:rsid w:val="2EDFA2F1"/>
    <w:rsid w:val="2EEF4340"/>
    <w:rsid w:val="2F156763"/>
    <w:rsid w:val="2F1F38B6"/>
    <w:rsid w:val="2F8F6167"/>
    <w:rsid w:val="2F9075F6"/>
    <w:rsid w:val="2F9604D9"/>
    <w:rsid w:val="2F9A594D"/>
    <w:rsid w:val="2FBCA5C5"/>
    <w:rsid w:val="2FBD1A87"/>
    <w:rsid w:val="2FBFAFEB"/>
    <w:rsid w:val="2FD61B58"/>
    <w:rsid w:val="2FDB3859"/>
    <w:rsid w:val="2FDD75D7"/>
    <w:rsid w:val="2FF3519E"/>
    <w:rsid w:val="302F5754"/>
    <w:rsid w:val="305B3E03"/>
    <w:rsid w:val="307B4A76"/>
    <w:rsid w:val="30AE4FB6"/>
    <w:rsid w:val="30B412FA"/>
    <w:rsid w:val="31003851"/>
    <w:rsid w:val="311145A1"/>
    <w:rsid w:val="313279B0"/>
    <w:rsid w:val="31754A73"/>
    <w:rsid w:val="317F3D7D"/>
    <w:rsid w:val="31960D20"/>
    <w:rsid w:val="31A0687C"/>
    <w:rsid w:val="31BB59BE"/>
    <w:rsid w:val="31CD0C24"/>
    <w:rsid w:val="31F0559B"/>
    <w:rsid w:val="31FF60CF"/>
    <w:rsid w:val="32053742"/>
    <w:rsid w:val="32142260"/>
    <w:rsid w:val="322963D4"/>
    <w:rsid w:val="32642296"/>
    <w:rsid w:val="32A01606"/>
    <w:rsid w:val="32C94A9C"/>
    <w:rsid w:val="32D22F36"/>
    <w:rsid w:val="32E120A3"/>
    <w:rsid w:val="32E5656B"/>
    <w:rsid w:val="33026E10"/>
    <w:rsid w:val="332D454F"/>
    <w:rsid w:val="333C1398"/>
    <w:rsid w:val="334E1463"/>
    <w:rsid w:val="335245FC"/>
    <w:rsid w:val="33D70BAE"/>
    <w:rsid w:val="344016F8"/>
    <w:rsid w:val="346E1273"/>
    <w:rsid w:val="348E3F5F"/>
    <w:rsid w:val="348E77D1"/>
    <w:rsid w:val="34A07D70"/>
    <w:rsid w:val="34AB5D51"/>
    <w:rsid w:val="34AE125F"/>
    <w:rsid w:val="34D84426"/>
    <w:rsid w:val="34D85063"/>
    <w:rsid w:val="34DA0634"/>
    <w:rsid w:val="35537D97"/>
    <w:rsid w:val="359B5E22"/>
    <w:rsid w:val="359C1AAB"/>
    <w:rsid w:val="35A63D95"/>
    <w:rsid w:val="35AB3B2B"/>
    <w:rsid w:val="35B06007"/>
    <w:rsid w:val="35B11597"/>
    <w:rsid w:val="35F0133B"/>
    <w:rsid w:val="35FC0397"/>
    <w:rsid w:val="35FF005B"/>
    <w:rsid w:val="360B3E62"/>
    <w:rsid w:val="361E79C6"/>
    <w:rsid w:val="364E1FAC"/>
    <w:rsid w:val="367A2858"/>
    <w:rsid w:val="367F29FE"/>
    <w:rsid w:val="36863A20"/>
    <w:rsid w:val="36BC0BCE"/>
    <w:rsid w:val="36C26B8E"/>
    <w:rsid w:val="36DB79D9"/>
    <w:rsid w:val="36E1E118"/>
    <w:rsid w:val="36E41E01"/>
    <w:rsid w:val="36E548BA"/>
    <w:rsid w:val="36F338D4"/>
    <w:rsid w:val="36F452A3"/>
    <w:rsid w:val="36FC8E9B"/>
    <w:rsid w:val="36FE13BB"/>
    <w:rsid w:val="36FED355"/>
    <w:rsid w:val="374455DA"/>
    <w:rsid w:val="3744619F"/>
    <w:rsid w:val="374D3D38"/>
    <w:rsid w:val="37513218"/>
    <w:rsid w:val="376BDB75"/>
    <w:rsid w:val="37770191"/>
    <w:rsid w:val="37797AAB"/>
    <w:rsid w:val="37965565"/>
    <w:rsid w:val="37BE190F"/>
    <w:rsid w:val="37DEA6DD"/>
    <w:rsid w:val="37EF1370"/>
    <w:rsid w:val="37F69D01"/>
    <w:rsid w:val="37F70ACC"/>
    <w:rsid w:val="37F95A5C"/>
    <w:rsid w:val="37F98952"/>
    <w:rsid w:val="39525955"/>
    <w:rsid w:val="39535017"/>
    <w:rsid w:val="39681137"/>
    <w:rsid w:val="3971655D"/>
    <w:rsid w:val="39AD71EC"/>
    <w:rsid w:val="39B56A76"/>
    <w:rsid w:val="39BA1ADC"/>
    <w:rsid w:val="39F38F1E"/>
    <w:rsid w:val="39FBDF5F"/>
    <w:rsid w:val="3A575933"/>
    <w:rsid w:val="3A5A62B8"/>
    <w:rsid w:val="3A735F50"/>
    <w:rsid w:val="3A8D08BE"/>
    <w:rsid w:val="3A946615"/>
    <w:rsid w:val="3ABE36D8"/>
    <w:rsid w:val="3AC59EBE"/>
    <w:rsid w:val="3ADE6278"/>
    <w:rsid w:val="3AE83416"/>
    <w:rsid w:val="3AEF4534"/>
    <w:rsid w:val="3B1E1277"/>
    <w:rsid w:val="3B241639"/>
    <w:rsid w:val="3B2958E9"/>
    <w:rsid w:val="3B4342F2"/>
    <w:rsid w:val="3B484618"/>
    <w:rsid w:val="3B575B0D"/>
    <w:rsid w:val="3BAC54A0"/>
    <w:rsid w:val="3BB450D2"/>
    <w:rsid w:val="3BB83A55"/>
    <w:rsid w:val="3BBD42E3"/>
    <w:rsid w:val="3BBD553A"/>
    <w:rsid w:val="3BD61FA9"/>
    <w:rsid w:val="3BF3FA23"/>
    <w:rsid w:val="3BFE2ABE"/>
    <w:rsid w:val="3BFF3481"/>
    <w:rsid w:val="3BFFACF1"/>
    <w:rsid w:val="3C000D38"/>
    <w:rsid w:val="3C016259"/>
    <w:rsid w:val="3C5B2550"/>
    <w:rsid w:val="3C5D5296"/>
    <w:rsid w:val="3C70334F"/>
    <w:rsid w:val="3C712927"/>
    <w:rsid w:val="3C797D13"/>
    <w:rsid w:val="3C806348"/>
    <w:rsid w:val="3C815D51"/>
    <w:rsid w:val="3CD2615F"/>
    <w:rsid w:val="3CEF5D68"/>
    <w:rsid w:val="3D11205B"/>
    <w:rsid w:val="3D364B3C"/>
    <w:rsid w:val="3D3D55B3"/>
    <w:rsid w:val="3D50398D"/>
    <w:rsid w:val="3D5619DA"/>
    <w:rsid w:val="3D5D0F6E"/>
    <w:rsid w:val="3D6B7BF1"/>
    <w:rsid w:val="3D755874"/>
    <w:rsid w:val="3D92AE42"/>
    <w:rsid w:val="3D9F94B5"/>
    <w:rsid w:val="3DAC46D3"/>
    <w:rsid w:val="3DB793B8"/>
    <w:rsid w:val="3DD90F29"/>
    <w:rsid w:val="3DE25DB3"/>
    <w:rsid w:val="3DE6670E"/>
    <w:rsid w:val="3DFB528F"/>
    <w:rsid w:val="3E4B156F"/>
    <w:rsid w:val="3E4E5EF2"/>
    <w:rsid w:val="3E7A463F"/>
    <w:rsid w:val="3E7FF58B"/>
    <w:rsid w:val="3E895566"/>
    <w:rsid w:val="3E925B12"/>
    <w:rsid w:val="3EB714FE"/>
    <w:rsid w:val="3EDC1BB0"/>
    <w:rsid w:val="3EE1564E"/>
    <w:rsid w:val="3EFFBB92"/>
    <w:rsid w:val="3EFFC58B"/>
    <w:rsid w:val="3F0128C7"/>
    <w:rsid w:val="3F12480E"/>
    <w:rsid w:val="3F232056"/>
    <w:rsid w:val="3F2F84D8"/>
    <w:rsid w:val="3F3D0B2C"/>
    <w:rsid w:val="3F50722A"/>
    <w:rsid w:val="3F5D7355"/>
    <w:rsid w:val="3F5ED2E2"/>
    <w:rsid w:val="3F645D9C"/>
    <w:rsid w:val="3F6F8BEC"/>
    <w:rsid w:val="3F8E1AF4"/>
    <w:rsid w:val="3F9F3FC0"/>
    <w:rsid w:val="3F9F8CF2"/>
    <w:rsid w:val="3FA35235"/>
    <w:rsid w:val="3FBF876E"/>
    <w:rsid w:val="3FBFFE97"/>
    <w:rsid w:val="3FD78847"/>
    <w:rsid w:val="3FDD1DAA"/>
    <w:rsid w:val="3FDF385B"/>
    <w:rsid w:val="3FE2FA82"/>
    <w:rsid w:val="3FE62824"/>
    <w:rsid w:val="3FECEB04"/>
    <w:rsid w:val="3FEFED66"/>
    <w:rsid w:val="3FF5EB94"/>
    <w:rsid w:val="3FF5FB62"/>
    <w:rsid w:val="3FF693F9"/>
    <w:rsid w:val="3FF77D4F"/>
    <w:rsid w:val="3FF7B675"/>
    <w:rsid w:val="3FFB874E"/>
    <w:rsid w:val="3FFD4490"/>
    <w:rsid w:val="3FFF5DE1"/>
    <w:rsid w:val="3FFF9221"/>
    <w:rsid w:val="40186353"/>
    <w:rsid w:val="405A34BE"/>
    <w:rsid w:val="40650AB8"/>
    <w:rsid w:val="40D50F73"/>
    <w:rsid w:val="40E765BD"/>
    <w:rsid w:val="410D6E30"/>
    <w:rsid w:val="41412351"/>
    <w:rsid w:val="414E6719"/>
    <w:rsid w:val="416D4D8C"/>
    <w:rsid w:val="417A46D4"/>
    <w:rsid w:val="419345E1"/>
    <w:rsid w:val="41940CDA"/>
    <w:rsid w:val="41AA2509"/>
    <w:rsid w:val="41C61D98"/>
    <w:rsid w:val="41CF0BCF"/>
    <w:rsid w:val="41D427C4"/>
    <w:rsid w:val="41E04248"/>
    <w:rsid w:val="41EB7B73"/>
    <w:rsid w:val="42042CCA"/>
    <w:rsid w:val="422C2364"/>
    <w:rsid w:val="42696552"/>
    <w:rsid w:val="42812A86"/>
    <w:rsid w:val="42B56350"/>
    <w:rsid w:val="432C5504"/>
    <w:rsid w:val="43365770"/>
    <w:rsid w:val="433F05BE"/>
    <w:rsid w:val="43482809"/>
    <w:rsid w:val="43727FC7"/>
    <w:rsid w:val="43794BD1"/>
    <w:rsid w:val="43876CC6"/>
    <w:rsid w:val="43A35E64"/>
    <w:rsid w:val="43FF03DB"/>
    <w:rsid w:val="4402491B"/>
    <w:rsid w:val="447629D7"/>
    <w:rsid w:val="44A703E9"/>
    <w:rsid w:val="44C409AF"/>
    <w:rsid w:val="44CB6471"/>
    <w:rsid w:val="44D70159"/>
    <w:rsid w:val="44DF0223"/>
    <w:rsid w:val="4504471C"/>
    <w:rsid w:val="451C15F2"/>
    <w:rsid w:val="45203230"/>
    <w:rsid w:val="452F387D"/>
    <w:rsid w:val="4531760B"/>
    <w:rsid w:val="45603002"/>
    <w:rsid w:val="4567448A"/>
    <w:rsid w:val="45F3F7AE"/>
    <w:rsid w:val="460008CE"/>
    <w:rsid w:val="46212412"/>
    <w:rsid w:val="46767AA6"/>
    <w:rsid w:val="46A301C2"/>
    <w:rsid w:val="46A6408A"/>
    <w:rsid w:val="46A83331"/>
    <w:rsid w:val="46B215A3"/>
    <w:rsid w:val="46C22DD5"/>
    <w:rsid w:val="46C36755"/>
    <w:rsid w:val="46D027AA"/>
    <w:rsid w:val="46DC5D92"/>
    <w:rsid w:val="46E27E0C"/>
    <w:rsid w:val="471E24F5"/>
    <w:rsid w:val="47396823"/>
    <w:rsid w:val="47711558"/>
    <w:rsid w:val="47723768"/>
    <w:rsid w:val="4774496F"/>
    <w:rsid w:val="47D9353C"/>
    <w:rsid w:val="47DF9FA0"/>
    <w:rsid w:val="47E54F55"/>
    <w:rsid w:val="47EB6523"/>
    <w:rsid w:val="47EE423B"/>
    <w:rsid w:val="47FBECD3"/>
    <w:rsid w:val="480005CF"/>
    <w:rsid w:val="483C05D9"/>
    <w:rsid w:val="48A25DD0"/>
    <w:rsid w:val="48C72033"/>
    <w:rsid w:val="48C81937"/>
    <w:rsid w:val="48D73DAB"/>
    <w:rsid w:val="48DD2962"/>
    <w:rsid w:val="48E734B9"/>
    <w:rsid w:val="48F810C5"/>
    <w:rsid w:val="48FD768B"/>
    <w:rsid w:val="49160A8D"/>
    <w:rsid w:val="49490BB1"/>
    <w:rsid w:val="494B36B3"/>
    <w:rsid w:val="49692915"/>
    <w:rsid w:val="49FB144B"/>
    <w:rsid w:val="4A1001FC"/>
    <w:rsid w:val="4A3847B0"/>
    <w:rsid w:val="4A3F772C"/>
    <w:rsid w:val="4A492B02"/>
    <w:rsid w:val="4A525AF7"/>
    <w:rsid w:val="4A584C12"/>
    <w:rsid w:val="4A6603DD"/>
    <w:rsid w:val="4A6E7668"/>
    <w:rsid w:val="4A9876F1"/>
    <w:rsid w:val="4AB4238D"/>
    <w:rsid w:val="4ABC719B"/>
    <w:rsid w:val="4ADA3BA5"/>
    <w:rsid w:val="4B054806"/>
    <w:rsid w:val="4B1413A3"/>
    <w:rsid w:val="4B1C763E"/>
    <w:rsid w:val="4B4053AF"/>
    <w:rsid w:val="4B4A5D28"/>
    <w:rsid w:val="4B6C0448"/>
    <w:rsid w:val="4B992729"/>
    <w:rsid w:val="4BC54AFC"/>
    <w:rsid w:val="4BEB586B"/>
    <w:rsid w:val="4BF14E5C"/>
    <w:rsid w:val="4BF6455A"/>
    <w:rsid w:val="4BFE3ED9"/>
    <w:rsid w:val="4C2A6C7A"/>
    <w:rsid w:val="4C2C72E7"/>
    <w:rsid w:val="4C7E3A93"/>
    <w:rsid w:val="4CB2203E"/>
    <w:rsid w:val="4CEF26AD"/>
    <w:rsid w:val="4D2F1ADF"/>
    <w:rsid w:val="4D397E04"/>
    <w:rsid w:val="4D5B3007"/>
    <w:rsid w:val="4D693855"/>
    <w:rsid w:val="4D83282D"/>
    <w:rsid w:val="4DB91463"/>
    <w:rsid w:val="4DE964F2"/>
    <w:rsid w:val="4E2C33DD"/>
    <w:rsid w:val="4E3516A9"/>
    <w:rsid w:val="4E663FE6"/>
    <w:rsid w:val="4E982F17"/>
    <w:rsid w:val="4EB5EACD"/>
    <w:rsid w:val="4EBC4081"/>
    <w:rsid w:val="4ED43E85"/>
    <w:rsid w:val="4EEB7681"/>
    <w:rsid w:val="4EED8189"/>
    <w:rsid w:val="4F050D50"/>
    <w:rsid w:val="4F1BB345"/>
    <w:rsid w:val="4F377CE8"/>
    <w:rsid w:val="4F48599F"/>
    <w:rsid w:val="4F604C84"/>
    <w:rsid w:val="4F687B14"/>
    <w:rsid w:val="4F7B4C53"/>
    <w:rsid w:val="4F96706C"/>
    <w:rsid w:val="4FA060F5"/>
    <w:rsid w:val="4FA635AF"/>
    <w:rsid w:val="4FB74B82"/>
    <w:rsid w:val="4FC39DA5"/>
    <w:rsid w:val="4FC915F8"/>
    <w:rsid w:val="4FCE55E2"/>
    <w:rsid w:val="4FD52903"/>
    <w:rsid w:val="4FDA6341"/>
    <w:rsid w:val="4FDDD933"/>
    <w:rsid w:val="4FDF17D6"/>
    <w:rsid w:val="4FDF37B6"/>
    <w:rsid w:val="4FECEB12"/>
    <w:rsid w:val="4FF66C37"/>
    <w:rsid w:val="4FFBF419"/>
    <w:rsid w:val="4FFDE3C9"/>
    <w:rsid w:val="4FFDFF7D"/>
    <w:rsid w:val="50421741"/>
    <w:rsid w:val="504E4277"/>
    <w:rsid w:val="5050261D"/>
    <w:rsid w:val="506A4669"/>
    <w:rsid w:val="506F3038"/>
    <w:rsid w:val="50BB78A8"/>
    <w:rsid w:val="50F07683"/>
    <w:rsid w:val="51316332"/>
    <w:rsid w:val="5143165E"/>
    <w:rsid w:val="5152292F"/>
    <w:rsid w:val="516C70A1"/>
    <w:rsid w:val="524B2109"/>
    <w:rsid w:val="52725570"/>
    <w:rsid w:val="52D25198"/>
    <w:rsid w:val="52D8509C"/>
    <w:rsid w:val="52DF7655"/>
    <w:rsid w:val="52F21B43"/>
    <w:rsid w:val="52F92CD2"/>
    <w:rsid w:val="52FC20E7"/>
    <w:rsid w:val="5321235A"/>
    <w:rsid w:val="53315390"/>
    <w:rsid w:val="534B0C47"/>
    <w:rsid w:val="535B4FE4"/>
    <w:rsid w:val="5360776D"/>
    <w:rsid w:val="53682721"/>
    <w:rsid w:val="537261AA"/>
    <w:rsid w:val="537B3490"/>
    <w:rsid w:val="53BAA72D"/>
    <w:rsid w:val="53D23FEF"/>
    <w:rsid w:val="53DADB65"/>
    <w:rsid w:val="53E411F3"/>
    <w:rsid w:val="53FE0393"/>
    <w:rsid w:val="53FF5BB0"/>
    <w:rsid w:val="53FF5CAC"/>
    <w:rsid w:val="544534B4"/>
    <w:rsid w:val="544A095C"/>
    <w:rsid w:val="544D59FD"/>
    <w:rsid w:val="550479F9"/>
    <w:rsid w:val="55231B08"/>
    <w:rsid w:val="5537B47B"/>
    <w:rsid w:val="553F14C0"/>
    <w:rsid w:val="554054D5"/>
    <w:rsid w:val="5565242B"/>
    <w:rsid w:val="557D432D"/>
    <w:rsid w:val="558B0EF2"/>
    <w:rsid w:val="55A74D06"/>
    <w:rsid w:val="55A75A83"/>
    <w:rsid w:val="55BE4847"/>
    <w:rsid w:val="55C839DA"/>
    <w:rsid w:val="55FD6E89"/>
    <w:rsid w:val="56195DC5"/>
    <w:rsid w:val="561D69C4"/>
    <w:rsid w:val="562079EA"/>
    <w:rsid w:val="565A09B0"/>
    <w:rsid w:val="5671771B"/>
    <w:rsid w:val="569F5204"/>
    <w:rsid w:val="56A40F80"/>
    <w:rsid w:val="56E30A23"/>
    <w:rsid w:val="56F805D3"/>
    <w:rsid w:val="56FB6AB2"/>
    <w:rsid w:val="572F2122"/>
    <w:rsid w:val="5732282D"/>
    <w:rsid w:val="57513E3C"/>
    <w:rsid w:val="575AA09C"/>
    <w:rsid w:val="575E71D1"/>
    <w:rsid w:val="57656AAF"/>
    <w:rsid w:val="57780285"/>
    <w:rsid w:val="57895841"/>
    <w:rsid w:val="579C387F"/>
    <w:rsid w:val="57A978BB"/>
    <w:rsid w:val="57B36D1A"/>
    <w:rsid w:val="57BA3B46"/>
    <w:rsid w:val="57C279AA"/>
    <w:rsid w:val="57CB7122"/>
    <w:rsid w:val="57D12C5A"/>
    <w:rsid w:val="57DA3D0C"/>
    <w:rsid w:val="57EA0885"/>
    <w:rsid w:val="57EA2C86"/>
    <w:rsid w:val="57FB2C4A"/>
    <w:rsid w:val="57FFCFD5"/>
    <w:rsid w:val="57FFED91"/>
    <w:rsid w:val="580F49BF"/>
    <w:rsid w:val="583B5480"/>
    <w:rsid w:val="58AF37F5"/>
    <w:rsid w:val="58C67724"/>
    <w:rsid w:val="58F74373"/>
    <w:rsid w:val="58FB6986"/>
    <w:rsid w:val="59087308"/>
    <w:rsid w:val="592B2BC8"/>
    <w:rsid w:val="5932697F"/>
    <w:rsid w:val="5945570A"/>
    <w:rsid w:val="596FDDE5"/>
    <w:rsid w:val="59843CBF"/>
    <w:rsid w:val="598624F2"/>
    <w:rsid w:val="598A1022"/>
    <w:rsid w:val="59B93578"/>
    <w:rsid w:val="59BFCDB8"/>
    <w:rsid w:val="59C60319"/>
    <w:rsid w:val="59CF75BB"/>
    <w:rsid w:val="5A331472"/>
    <w:rsid w:val="5A67998B"/>
    <w:rsid w:val="5A713E12"/>
    <w:rsid w:val="5AC015B8"/>
    <w:rsid w:val="5AE2690A"/>
    <w:rsid w:val="5AF16743"/>
    <w:rsid w:val="5B021D04"/>
    <w:rsid w:val="5B365BD0"/>
    <w:rsid w:val="5B5267B9"/>
    <w:rsid w:val="5B5F034D"/>
    <w:rsid w:val="5B5FB301"/>
    <w:rsid w:val="5B64318C"/>
    <w:rsid w:val="5B7A2A80"/>
    <w:rsid w:val="5B7B39E8"/>
    <w:rsid w:val="5B903856"/>
    <w:rsid w:val="5BC05588"/>
    <w:rsid w:val="5BD42E24"/>
    <w:rsid w:val="5BDF8D74"/>
    <w:rsid w:val="5BE21F66"/>
    <w:rsid w:val="5BEF4406"/>
    <w:rsid w:val="5BFB37A6"/>
    <w:rsid w:val="5BFBEE34"/>
    <w:rsid w:val="5BFD7F8A"/>
    <w:rsid w:val="5C157F43"/>
    <w:rsid w:val="5C240C7B"/>
    <w:rsid w:val="5C8D51F6"/>
    <w:rsid w:val="5C9B08F9"/>
    <w:rsid w:val="5CA52AF5"/>
    <w:rsid w:val="5CB963A2"/>
    <w:rsid w:val="5CC41C0D"/>
    <w:rsid w:val="5CCE1A7B"/>
    <w:rsid w:val="5CE42D12"/>
    <w:rsid w:val="5CF7962A"/>
    <w:rsid w:val="5CFFE21E"/>
    <w:rsid w:val="5D2915E4"/>
    <w:rsid w:val="5D3736C2"/>
    <w:rsid w:val="5D3B71FE"/>
    <w:rsid w:val="5D495440"/>
    <w:rsid w:val="5D5D7AEC"/>
    <w:rsid w:val="5D6A3C9B"/>
    <w:rsid w:val="5D7EB026"/>
    <w:rsid w:val="5D7FFD1A"/>
    <w:rsid w:val="5D912C18"/>
    <w:rsid w:val="5DAE0785"/>
    <w:rsid w:val="5DB07B64"/>
    <w:rsid w:val="5DB7265E"/>
    <w:rsid w:val="5DB9E0FC"/>
    <w:rsid w:val="5DDE2965"/>
    <w:rsid w:val="5DDF862A"/>
    <w:rsid w:val="5DE55D4F"/>
    <w:rsid w:val="5DEB7E96"/>
    <w:rsid w:val="5DFF6F0C"/>
    <w:rsid w:val="5E0B635A"/>
    <w:rsid w:val="5E166E7A"/>
    <w:rsid w:val="5E1EACF9"/>
    <w:rsid w:val="5E24914A"/>
    <w:rsid w:val="5E692EB7"/>
    <w:rsid w:val="5E71B0F8"/>
    <w:rsid w:val="5E7E476A"/>
    <w:rsid w:val="5E874794"/>
    <w:rsid w:val="5EA11D24"/>
    <w:rsid w:val="5EB9169C"/>
    <w:rsid w:val="5EBF5D55"/>
    <w:rsid w:val="5ECFB2B1"/>
    <w:rsid w:val="5ED02091"/>
    <w:rsid w:val="5EF207A8"/>
    <w:rsid w:val="5EF54261"/>
    <w:rsid w:val="5EF66F80"/>
    <w:rsid w:val="5EFA6C55"/>
    <w:rsid w:val="5EFD3DCB"/>
    <w:rsid w:val="5EFF7D23"/>
    <w:rsid w:val="5F287DF1"/>
    <w:rsid w:val="5F323D85"/>
    <w:rsid w:val="5F493586"/>
    <w:rsid w:val="5F5919A6"/>
    <w:rsid w:val="5F5D0780"/>
    <w:rsid w:val="5F5F5AEE"/>
    <w:rsid w:val="5F7496BB"/>
    <w:rsid w:val="5F7B7522"/>
    <w:rsid w:val="5F7DAFFB"/>
    <w:rsid w:val="5F82440E"/>
    <w:rsid w:val="5F925DFC"/>
    <w:rsid w:val="5F9D6970"/>
    <w:rsid w:val="5FB7111C"/>
    <w:rsid w:val="5FB87095"/>
    <w:rsid w:val="5FBF70B5"/>
    <w:rsid w:val="5FDDCBB2"/>
    <w:rsid w:val="5FDF3E39"/>
    <w:rsid w:val="5FE408D5"/>
    <w:rsid w:val="5FE527D8"/>
    <w:rsid w:val="5FE78266"/>
    <w:rsid w:val="5FF6637B"/>
    <w:rsid w:val="5FF71C26"/>
    <w:rsid w:val="5FFA2B3C"/>
    <w:rsid w:val="5FFD2F05"/>
    <w:rsid w:val="5FFF685E"/>
    <w:rsid w:val="5FFF8584"/>
    <w:rsid w:val="600A0DD5"/>
    <w:rsid w:val="601A0E99"/>
    <w:rsid w:val="60210B27"/>
    <w:rsid w:val="60675970"/>
    <w:rsid w:val="607F78F5"/>
    <w:rsid w:val="60992FAF"/>
    <w:rsid w:val="60C02F54"/>
    <w:rsid w:val="60C7316A"/>
    <w:rsid w:val="60CE3883"/>
    <w:rsid w:val="60F316ED"/>
    <w:rsid w:val="610B3038"/>
    <w:rsid w:val="613C44A6"/>
    <w:rsid w:val="6157463B"/>
    <w:rsid w:val="617E4947"/>
    <w:rsid w:val="618C3680"/>
    <w:rsid w:val="619157A0"/>
    <w:rsid w:val="619A090F"/>
    <w:rsid w:val="61AD7FAC"/>
    <w:rsid w:val="61B43DF7"/>
    <w:rsid w:val="61C869B2"/>
    <w:rsid w:val="61CD7939"/>
    <w:rsid w:val="61F66B41"/>
    <w:rsid w:val="62012E19"/>
    <w:rsid w:val="620432C5"/>
    <w:rsid w:val="620C4DF8"/>
    <w:rsid w:val="622F6D22"/>
    <w:rsid w:val="62552691"/>
    <w:rsid w:val="627E0359"/>
    <w:rsid w:val="62943E11"/>
    <w:rsid w:val="62E65330"/>
    <w:rsid w:val="62EFCEDA"/>
    <w:rsid w:val="62FE72D8"/>
    <w:rsid w:val="631D6B30"/>
    <w:rsid w:val="632259C4"/>
    <w:rsid w:val="63263D0D"/>
    <w:rsid w:val="634D2D5C"/>
    <w:rsid w:val="6373260F"/>
    <w:rsid w:val="63856413"/>
    <w:rsid w:val="63D201A3"/>
    <w:rsid w:val="63D660C0"/>
    <w:rsid w:val="63DDFD19"/>
    <w:rsid w:val="63E43042"/>
    <w:rsid w:val="63E92613"/>
    <w:rsid w:val="63F35ED2"/>
    <w:rsid w:val="64003D27"/>
    <w:rsid w:val="644763D7"/>
    <w:rsid w:val="646E04C5"/>
    <w:rsid w:val="646E7C7A"/>
    <w:rsid w:val="64757F56"/>
    <w:rsid w:val="64774252"/>
    <w:rsid w:val="64823B69"/>
    <w:rsid w:val="649548FB"/>
    <w:rsid w:val="64AD388C"/>
    <w:rsid w:val="64B60830"/>
    <w:rsid w:val="64D54F3F"/>
    <w:rsid w:val="64E7038F"/>
    <w:rsid w:val="655ECFC6"/>
    <w:rsid w:val="65767A7B"/>
    <w:rsid w:val="65922283"/>
    <w:rsid w:val="65956809"/>
    <w:rsid w:val="65A45561"/>
    <w:rsid w:val="65B5B3EE"/>
    <w:rsid w:val="65B71005"/>
    <w:rsid w:val="65CA5B5D"/>
    <w:rsid w:val="65E348C1"/>
    <w:rsid w:val="660451B0"/>
    <w:rsid w:val="66481318"/>
    <w:rsid w:val="66582833"/>
    <w:rsid w:val="666C6E5A"/>
    <w:rsid w:val="667557A4"/>
    <w:rsid w:val="668E5B14"/>
    <w:rsid w:val="66A11D77"/>
    <w:rsid w:val="66B6528F"/>
    <w:rsid w:val="66C66E69"/>
    <w:rsid w:val="66F70DB3"/>
    <w:rsid w:val="673D3AD3"/>
    <w:rsid w:val="676B6716"/>
    <w:rsid w:val="677FD0B8"/>
    <w:rsid w:val="67AA791C"/>
    <w:rsid w:val="67C522E5"/>
    <w:rsid w:val="67DBDE28"/>
    <w:rsid w:val="67DD2977"/>
    <w:rsid w:val="67DF9FD8"/>
    <w:rsid w:val="67EB5FA1"/>
    <w:rsid w:val="67FF1C09"/>
    <w:rsid w:val="681253D0"/>
    <w:rsid w:val="68464F3B"/>
    <w:rsid w:val="684A64D9"/>
    <w:rsid w:val="685A6D95"/>
    <w:rsid w:val="68853C42"/>
    <w:rsid w:val="68A32F09"/>
    <w:rsid w:val="68AB5EFC"/>
    <w:rsid w:val="68B94F59"/>
    <w:rsid w:val="68F2680E"/>
    <w:rsid w:val="6914700F"/>
    <w:rsid w:val="6924250F"/>
    <w:rsid w:val="69271690"/>
    <w:rsid w:val="693D2E64"/>
    <w:rsid w:val="693F09FD"/>
    <w:rsid w:val="694C0E55"/>
    <w:rsid w:val="696033A5"/>
    <w:rsid w:val="697FCCB5"/>
    <w:rsid w:val="698E4AF7"/>
    <w:rsid w:val="69A16F46"/>
    <w:rsid w:val="69C55233"/>
    <w:rsid w:val="69EB0D20"/>
    <w:rsid w:val="69EE5273"/>
    <w:rsid w:val="69F98B84"/>
    <w:rsid w:val="69FF21D3"/>
    <w:rsid w:val="69FFD63D"/>
    <w:rsid w:val="6A1C474A"/>
    <w:rsid w:val="6A7FAE96"/>
    <w:rsid w:val="6A932B4B"/>
    <w:rsid w:val="6AB793E3"/>
    <w:rsid w:val="6AE42A3F"/>
    <w:rsid w:val="6AE866A8"/>
    <w:rsid w:val="6AF619D0"/>
    <w:rsid w:val="6B051D29"/>
    <w:rsid w:val="6B1E859C"/>
    <w:rsid w:val="6B2245BB"/>
    <w:rsid w:val="6B6D718E"/>
    <w:rsid w:val="6B711B7A"/>
    <w:rsid w:val="6B71389F"/>
    <w:rsid w:val="6B7BF721"/>
    <w:rsid w:val="6B9B2A30"/>
    <w:rsid w:val="6BA8134E"/>
    <w:rsid w:val="6BBE7F66"/>
    <w:rsid w:val="6BD43669"/>
    <w:rsid w:val="6BE8725E"/>
    <w:rsid w:val="6BEE2D6F"/>
    <w:rsid w:val="6BF397AF"/>
    <w:rsid w:val="6BF3FDC9"/>
    <w:rsid w:val="6BFC0C8F"/>
    <w:rsid w:val="6BFDAA15"/>
    <w:rsid w:val="6C152647"/>
    <w:rsid w:val="6C255D33"/>
    <w:rsid w:val="6C2F6077"/>
    <w:rsid w:val="6C4D7600"/>
    <w:rsid w:val="6C5F1937"/>
    <w:rsid w:val="6C6608D6"/>
    <w:rsid w:val="6C6F6ACC"/>
    <w:rsid w:val="6C7D5484"/>
    <w:rsid w:val="6C9852E5"/>
    <w:rsid w:val="6CD338C5"/>
    <w:rsid w:val="6CD858AC"/>
    <w:rsid w:val="6CEFFA51"/>
    <w:rsid w:val="6CFA7D7F"/>
    <w:rsid w:val="6D572F0C"/>
    <w:rsid w:val="6D57FB47"/>
    <w:rsid w:val="6D8348CB"/>
    <w:rsid w:val="6D840003"/>
    <w:rsid w:val="6D8D7A35"/>
    <w:rsid w:val="6DBCCD52"/>
    <w:rsid w:val="6DC85167"/>
    <w:rsid w:val="6DD787F9"/>
    <w:rsid w:val="6DDBCD2A"/>
    <w:rsid w:val="6DDF4F5E"/>
    <w:rsid w:val="6DEFEDFB"/>
    <w:rsid w:val="6DFC1DE2"/>
    <w:rsid w:val="6DFC2150"/>
    <w:rsid w:val="6DFD2CE9"/>
    <w:rsid w:val="6E35AE14"/>
    <w:rsid w:val="6E4002B9"/>
    <w:rsid w:val="6E4F523E"/>
    <w:rsid w:val="6E5729A2"/>
    <w:rsid w:val="6E583A1F"/>
    <w:rsid w:val="6E6218E2"/>
    <w:rsid w:val="6E7FE68B"/>
    <w:rsid w:val="6EAA495D"/>
    <w:rsid w:val="6EAB742B"/>
    <w:rsid w:val="6EB0558D"/>
    <w:rsid w:val="6EC6113E"/>
    <w:rsid w:val="6EC97476"/>
    <w:rsid w:val="6EDEED67"/>
    <w:rsid w:val="6EE763A5"/>
    <w:rsid w:val="6EF22B0C"/>
    <w:rsid w:val="6EFF1080"/>
    <w:rsid w:val="6F170E2C"/>
    <w:rsid w:val="6F1C670B"/>
    <w:rsid w:val="6F1EDE27"/>
    <w:rsid w:val="6F45287E"/>
    <w:rsid w:val="6F454DAF"/>
    <w:rsid w:val="6F6E295B"/>
    <w:rsid w:val="6F6F261C"/>
    <w:rsid w:val="6F77792A"/>
    <w:rsid w:val="6F77A5F6"/>
    <w:rsid w:val="6F7E02AD"/>
    <w:rsid w:val="6F7F778A"/>
    <w:rsid w:val="6F7F93B8"/>
    <w:rsid w:val="6F7FAB68"/>
    <w:rsid w:val="6F9E1E69"/>
    <w:rsid w:val="6FAB2C81"/>
    <w:rsid w:val="6FCD32CC"/>
    <w:rsid w:val="6FD821D4"/>
    <w:rsid w:val="6FDF8209"/>
    <w:rsid w:val="6FE65018"/>
    <w:rsid w:val="6FE7C70C"/>
    <w:rsid w:val="6FEB2978"/>
    <w:rsid w:val="6FEF661E"/>
    <w:rsid w:val="6FFDA9BD"/>
    <w:rsid w:val="6FFF15D4"/>
    <w:rsid w:val="70531535"/>
    <w:rsid w:val="7056093E"/>
    <w:rsid w:val="7077272B"/>
    <w:rsid w:val="70BF0D6E"/>
    <w:rsid w:val="70D40CC6"/>
    <w:rsid w:val="70E01DD1"/>
    <w:rsid w:val="710979AC"/>
    <w:rsid w:val="71146B51"/>
    <w:rsid w:val="71161C74"/>
    <w:rsid w:val="713F4A4C"/>
    <w:rsid w:val="71597165"/>
    <w:rsid w:val="717256AD"/>
    <w:rsid w:val="718544F1"/>
    <w:rsid w:val="71BF79B2"/>
    <w:rsid w:val="71DE2066"/>
    <w:rsid w:val="720A152D"/>
    <w:rsid w:val="721F1D01"/>
    <w:rsid w:val="7222649A"/>
    <w:rsid w:val="7279E103"/>
    <w:rsid w:val="72BF6B71"/>
    <w:rsid w:val="72CD5D1C"/>
    <w:rsid w:val="72D11304"/>
    <w:rsid w:val="730C4186"/>
    <w:rsid w:val="733D2985"/>
    <w:rsid w:val="7341102A"/>
    <w:rsid w:val="73451F7C"/>
    <w:rsid w:val="737974C3"/>
    <w:rsid w:val="738F495A"/>
    <w:rsid w:val="73A17E6A"/>
    <w:rsid w:val="73A2551B"/>
    <w:rsid w:val="73BFC754"/>
    <w:rsid w:val="73E16D57"/>
    <w:rsid w:val="73EE0AE6"/>
    <w:rsid w:val="73FF3E62"/>
    <w:rsid w:val="73FF3FBF"/>
    <w:rsid w:val="741F752E"/>
    <w:rsid w:val="743C60DA"/>
    <w:rsid w:val="74445294"/>
    <w:rsid w:val="7453624B"/>
    <w:rsid w:val="746049BA"/>
    <w:rsid w:val="74874E5A"/>
    <w:rsid w:val="749EFD3E"/>
    <w:rsid w:val="74A14939"/>
    <w:rsid w:val="74A227F4"/>
    <w:rsid w:val="74A2568B"/>
    <w:rsid w:val="74B50B84"/>
    <w:rsid w:val="74C47F76"/>
    <w:rsid w:val="74FA7BAC"/>
    <w:rsid w:val="74FCAD0C"/>
    <w:rsid w:val="74FDE0AD"/>
    <w:rsid w:val="74FF8752"/>
    <w:rsid w:val="75101898"/>
    <w:rsid w:val="751D9E36"/>
    <w:rsid w:val="751E7598"/>
    <w:rsid w:val="752455E6"/>
    <w:rsid w:val="754E3DD7"/>
    <w:rsid w:val="755E7CBE"/>
    <w:rsid w:val="7573132B"/>
    <w:rsid w:val="759DD628"/>
    <w:rsid w:val="75A62194"/>
    <w:rsid w:val="75DC3A8B"/>
    <w:rsid w:val="75F0787C"/>
    <w:rsid w:val="75F47E3F"/>
    <w:rsid w:val="76021882"/>
    <w:rsid w:val="761715C6"/>
    <w:rsid w:val="76382B60"/>
    <w:rsid w:val="7655794C"/>
    <w:rsid w:val="766574D1"/>
    <w:rsid w:val="7671688D"/>
    <w:rsid w:val="767B6B33"/>
    <w:rsid w:val="767C3DB4"/>
    <w:rsid w:val="76846949"/>
    <w:rsid w:val="76AC50BB"/>
    <w:rsid w:val="76BE493D"/>
    <w:rsid w:val="76DE1045"/>
    <w:rsid w:val="76E3ED5B"/>
    <w:rsid w:val="76E44A81"/>
    <w:rsid w:val="76F2576D"/>
    <w:rsid w:val="76F8DA52"/>
    <w:rsid w:val="76FD98FC"/>
    <w:rsid w:val="770E2E0E"/>
    <w:rsid w:val="771463D1"/>
    <w:rsid w:val="77335645"/>
    <w:rsid w:val="773FC60F"/>
    <w:rsid w:val="773FCBAF"/>
    <w:rsid w:val="774A39DA"/>
    <w:rsid w:val="774F6B0D"/>
    <w:rsid w:val="77543EAD"/>
    <w:rsid w:val="775C0566"/>
    <w:rsid w:val="775ED869"/>
    <w:rsid w:val="77777CEB"/>
    <w:rsid w:val="779B02BA"/>
    <w:rsid w:val="779FEE06"/>
    <w:rsid w:val="77AF5DA9"/>
    <w:rsid w:val="77BB452E"/>
    <w:rsid w:val="77BB5393"/>
    <w:rsid w:val="77BFA785"/>
    <w:rsid w:val="77CA4292"/>
    <w:rsid w:val="77CBF037"/>
    <w:rsid w:val="77CFC703"/>
    <w:rsid w:val="77D64484"/>
    <w:rsid w:val="77D9CE26"/>
    <w:rsid w:val="77DE97E5"/>
    <w:rsid w:val="77DFA144"/>
    <w:rsid w:val="77E922B4"/>
    <w:rsid w:val="77EDA65D"/>
    <w:rsid w:val="77EF4EC6"/>
    <w:rsid w:val="77EFB82D"/>
    <w:rsid w:val="77F31A5B"/>
    <w:rsid w:val="781617CA"/>
    <w:rsid w:val="786258A4"/>
    <w:rsid w:val="7869DAC1"/>
    <w:rsid w:val="789C5683"/>
    <w:rsid w:val="78BF1001"/>
    <w:rsid w:val="78D0463B"/>
    <w:rsid w:val="78F7B659"/>
    <w:rsid w:val="7906595E"/>
    <w:rsid w:val="792B000D"/>
    <w:rsid w:val="796F5E2B"/>
    <w:rsid w:val="798B1783"/>
    <w:rsid w:val="798B5582"/>
    <w:rsid w:val="799512A8"/>
    <w:rsid w:val="799E81D2"/>
    <w:rsid w:val="79A447F7"/>
    <w:rsid w:val="79B2108A"/>
    <w:rsid w:val="79D31950"/>
    <w:rsid w:val="79D326AB"/>
    <w:rsid w:val="79DE23D5"/>
    <w:rsid w:val="79F350D4"/>
    <w:rsid w:val="79FB8288"/>
    <w:rsid w:val="79FF2539"/>
    <w:rsid w:val="7A182237"/>
    <w:rsid w:val="7A334755"/>
    <w:rsid w:val="7A417E6A"/>
    <w:rsid w:val="7A464BD2"/>
    <w:rsid w:val="7A7EC0A2"/>
    <w:rsid w:val="7A805859"/>
    <w:rsid w:val="7A92024C"/>
    <w:rsid w:val="7A98347A"/>
    <w:rsid w:val="7AA222D1"/>
    <w:rsid w:val="7AC822B7"/>
    <w:rsid w:val="7ADDA4A3"/>
    <w:rsid w:val="7ADFE4E6"/>
    <w:rsid w:val="7AFDA996"/>
    <w:rsid w:val="7AFFEA17"/>
    <w:rsid w:val="7B0B5BD1"/>
    <w:rsid w:val="7B2776C8"/>
    <w:rsid w:val="7B31044C"/>
    <w:rsid w:val="7B5B14E6"/>
    <w:rsid w:val="7B72F35B"/>
    <w:rsid w:val="7B7C1AE5"/>
    <w:rsid w:val="7BA53398"/>
    <w:rsid w:val="7BBEE326"/>
    <w:rsid w:val="7BC71689"/>
    <w:rsid w:val="7BDF73DC"/>
    <w:rsid w:val="7BE03490"/>
    <w:rsid w:val="7BE20360"/>
    <w:rsid w:val="7BEF503A"/>
    <w:rsid w:val="7BEFE0FC"/>
    <w:rsid w:val="7BF5408D"/>
    <w:rsid w:val="7BF657C8"/>
    <w:rsid w:val="7BF78E24"/>
    <w:rsid w:val="7BF80ED8"/>
    <w:rsid w:val="7BF83CE2"/>
    <w:rsid w:val="7BFB4114"/>
    <w:rsid w:val="7BFB92F6"/>
    <w:rsid w:val="7BFE0BED"/>
    <w:rsid w:val="7BFFB958"/>
    <w:rsid w:val="7C056D1C"/>
    <w:rsid w:val="7C15F216"/>
    <w:rsid w:val="7C1A1A2B"/>
    <w:rsid w:val="7C571BAE"/>
    <w:rsid w:val="7C650588"/>
    <w:rsid w:val="7C7108D9"/>
    <w:rsid w:val="7C731595"/>
    <w:rsid w:val="7C78688F"/>
    <w:rsid w:val="7C867510"/>
    <w:rsid w:val="7CB11006"/>
    <w:rsid w:val="7CD70C0F"/>
    <w:rsid w:val="7CDF8323"/>
    <w:rsid w:val="7CF01DBB"/>
    <w:rsid w:val="7CF45E15"/>
    <w:rsid w:val="7CF72336"/>
    <w:rsid w:val="7CF9571E"/>
    <w:rsid w:val="7CFF4BBC"/>
    <w:rsid w:val="7D21376C"/>
    <w:rsid w:val="7D36674C"/>
    <w:rsid w:val="7D509D60"/>
    <w:rsid w:val="7D7E17C8"/>
    <w:rsid w:val="7D7E81F4"/>
    <w:rsid w:val="7D8B198E"/>
    <w:rsid w:val="7D934831"/>
    <w:rsid w:val="7DAA301B"/>
    <w:rsid w:val="7DB72225"/>
    <w:rsid w:val="7DC554D8"/>
    <w:rsid w:val="7DD75B87"/>
    <w:rsid w:val="7DDEED6A"/>
    <w:rsid w:val="7DDF7BCC"/>
    <w:rsid w:val="7DEBB1C8"/>
    <w:rsid w:val="7DF3F765"/>
    <w:rsid w:val="7DF5777D"/>
    <w:rsid w:val="7DF58D38"/>
    <w:rsid w:val="7DF5F7E0"/>
    <w:rsid w:val="7DFC7E2B"/>
    <w:rsid w:val="7DFFA325"/>
    <w:rsid w:val="7DFFC30E"/>
    <w:rsid w:val="7E122B46"/>
    <w:rsid w:val="7E2676D0"/>
    <w:rsid w:val="7E350722"/>
    <w:rsid w:val="7E4F73AA"/>
    <w:rsid w:val="7E74200D"/>
    <w:rsid w:val="7E767768"/>
    <w:rsid w:val="7E77BE0A"/>
    <w:rsid w:val="7E7A20A2"/>
    <w:rsid w:val="7E7B6F9A"/>
    <w:rsid w:val="7E7CC661"/>
    <w:rsid w:val="7E94440E"/>
    <w:rsid w:val="7E9716ED"/>
    <w:rsid w:val="7EA22277"/>
    <w:rsid w:val="7EA79C6F"/>
    <w:rsid w:val="7EABF736"/>
    <w:rsid w:val="7EAE60EF"/>
    <w:rsid w:val="7EBFA0D5"/>
    <w:rsid w:val="7EC63541"/>
    <w:rsid w:val="7ECB3A38"/>
    <w:rsid w:val="7ED71367"/>
    <w:rsid w:val="7ED72450"/>
    <w:rsid w:val="7EDF99F8"/>
    <w:rsid w:val="7EE2BBBF"/>
    <w:rsid w:val="7EE93115"/>
    <w:rsid w:val="7EEA0685"/>
    <w:rsid w:val="7EED4B13"/>
    <w:rsid w:val="7EF5AC08"/>
    <w:rsid w:val="7EFEF8E0"/>
    <w:rsid w:val="7EFF0B97"/>
    <w:rsid w:val="7EFF1462"/>
    <w:rsid w:val="7EFF4EA6"/>
    <w:rsid w:val="7F1C1E8D"/>
    <w:rsid w:val="7F1F6130"/>
    <w:rsid w:val="7F2F9E86"/>
    <w:rsid w:val="7F3B72C7"/>
    <w:rsid w:val="7F5FCEC4"/>
    <w:rsid w:val="7F636639"/>
    <w:rsid w:val="7F6BB0F5"/>
    <w:rsid w:val="7F6DDD84"/>
    <w:rsid w:val="7F6F17D4"/>
    <w:rsid w:val="7F6FCF13"/>
    <w:rsid w:val="7F75F421"/>
    <w:rsid w:val="7F75FB55"/>
    <w:rsid w:val="7F7B0F7C"/>
    <w:rsid w:val="7F7B289E"/>
    <w:rsid w:val="7F7BEDB2"/>
    <w:rsid w:val="7F7D681A"/>
    <w:rsid w:val="7F7EF3B7"/>
    <w:rsid w:val="7F7F53D3"/>
    <w:rsid w:val="7F8B1A78"/>
    <w:rsid w:val="7F978923"/>
    <w:rsid w:val="7F9EAFBA"/>
    <w:rsid w:val="7F9F7D49"/>
    <w:rsid w:val="7FA418D8"/>
    <w:rsid w:val="7FA92784"/>
    <w:rsid w:val="7FAD7F21"/>
    <w:rsid w:val="7FAE2E5A"/>
    <w:rsid w:val="7FB5D1A9"/>
    <w:rsid w:val="7FB7C5A2"/>
    <w:rsid w:val="7FBB6E6F"/>
    <w:rsid w:val="7FBBF6CA"/>
    <w:rsid w:val="7FBF0823"/>
    <w:rsid w:val="7FBFE63F"/>
    <w:rsid w:val="7FBFF974"/>
    <w:rsid w:val="7FC1EDDA"/>
    <w:rsid w:val="7FD3571C"/>
    <w:rsid w:val="7FD5CA9B"/>
    <w:rsid w:val="7FD74E88"/>
    <w:rsid w:val="7FD75584"/>
    <w:rsid w:val="7FDB74B6"/>
    <w:rsid w:val="7FDD570F"/>
    <w:rsid w:val="7FDD764C"/>
    <w:rsid w:val="7FDDCC6C"/>
    <w:rsid w:val="7FDEF09F"/>
    <w:rsid w:val="7FDF85E1"/>
    <w:rsid w:val="7FDF8983"/>
    <w:rsid w:val="7FDFBC2A"/>
    <w:rsid w:val="7FDFDA62"/>
    <w:rsid w:val="7FE36611"/>
    <w:rsid w:val="7FE55803"/>
    <w:rsid w:val="7FE824D7"/>
    <w:rsid w:val="7FE95D1C"/>
    <w:rsid w:val="7FEAC67B"/>
    <w:rsid w:val="7FEBE49C"/>
    <w:rsid w:val="7FEE02FA"/>
    <w:rsid w:val="7FEF7AFF"/>
    <w:rsid w:val="7FEF84D2"/>
    <w:rsid w:val="7FF615FD"/>
    <w:rsid w:val="7FF6CA97"/>
    <w:rsid w:val="7FF78989"/>
    <w:rsid w:val="7FF7C25E"/>
    <w:rsid w:val="7FF828EE"/>
    <w:rsid w:val="7FFAB6A7"/>
    <w:rsid w:val="7FFBB0CA"/>
    <w:rsid w:val="7FFBD62E"/>
    <w:rsid w:val="7FFD2A9B"/>
    <w:rsid w:val="7FFD7B50"/>
    <w:rsid w:val="7FFDAE5E"/>
    <w:rsid w:val="7FFDAEB9"/>
    <w:rsid w:val="7FFDB8CF"/>
    <w:rsid w:val="7FFEE921"/>
    <w:rsid w:val="7FFF4472"/>
    <w:rsid w:val="7FFF8423"/>
    <w:rsid w:val="7FFFB565"/>
    <w:rsid w:val="7FFFC97D"/>
    <w:rsid w:val="85FF1A3E"/>
    <w:rsid w:val="87A6B7AE"/>
    <w:rsid w:val="87FF95F7"/>
    <w:rsid w:val="8BEBC1BD"/>
    <w:rsid w:val="8EBF160A"/>
    <w:rsid w:val="8FFB07BE"/>
    <w:rsid w:val="8FFFF679"/>
    <w:rsid w:val="92F365E3"/>
    <w:rsid w:val="957BF46B"/>
    <w:rsid w:val="96DCE7B1"/>
    <w:rsid w:val="971F332E"/>
    <w:rsid w:val="973FBCD6"/>
    <w:rsid w:val="97FD51E2"/>
    <w:rsid w:val="97FF320F"/>
    <w:rsid w:val="99FBE2DE"/>
    <w:rsid w:val="9B37067A"/>
    <w:rsid w:val="9BB53497"/>
    <w:rsid w:val="9BBF785E"/>
    <w:rsid w:val="9DDDA28A"/>
    <w:rsid w:val="9DF7EFC5"/>
    <w:rsid w:val="9E6E6A08"/>
    <w:rsid w:val="9EF669A6"/>
    <w:rsid w:val="9F5F6FF9"/>
    <w:rsid w:val="9F5F7404"/>
    <w:rsid w:val="9F790E92"/>
    <w:rsid w:val="9FBDB583"/>
    <w:rsid w:val="9FDFECFC"/>
    <w:rsid w:val="9FEF45A3"/>
    <w:rsid w:val="9FFFDE95"/>
    <w:rsid w:val="A32F5AC6"/>
    <w:rsid w:val="A53FF386"/>
    <w:rsid w:val="A77D47B4"/>
    <w:rsid w:val="A7B9754D"/>
    <w:rsid w:val="A7FFCF0E"/>
    <w:rsid w:val="AAF7DBF8"/>
    <w:rsid w:val="ABCF4B8E"/>
    <w:rsid w:val="ABFDC770"/>
    <w:rsid w:val="ADFF73E6"/>
    <w:rsid w:val="ADFFAD52"/>
    <w:rsid w:val="AF37DBF2"/>
    <w:rsid w:val="AF75BFF2"/>
    <w:rsid w:val="AFB78929"/>
    <w:rsid w:val="AFEF857C"/>
    <w:rsid w:val="AFF75F6A"/>
    <w:rsid w:val="AFF907E5"/>
    <w:rsid w:val="AFFB7189"/>
    <w:rsid w:val="AFFE2C24"/>
    <w:rsid w:val="B0E6CD7C"/>
    <w:rsid w:val="B2F31E2B"/>
    <w:rsid w:val="B377FD3F"/>
    <w:rsid w:val="B37FC8C7"/>
    <w:rsid w:val="B3BFFCAF"/>
    <w:rsid w:val="B3F6A76C"/>
    <w:rsid w:val="B4BA05BB"/>
    <w:rsid w:val="B5D5D16F"/>
    <w:rsid w:val="B6E717B5"/>
    <w:rsid w:val="B73DF11F"/>
    <w:rsid w:val="B75FFA25"/>
    <w:rsid w:val="B7756830"/>
    <w:rsid w:val="B775DCF7"/>
    <w:rsid w:val="B7B7CC08"/>
    <w:rsid w:val="B7DB7FA0"/>
    <w:rsid w:val="B7DF282D"/>
    <w:rsid w:val="B7EFC567"/>
    <w:rsid w:val="B7F74BD8"/>
    <w:rsid w:val="B7F7A820"/>
    <w:rsid w:val="B7FFA087"/>
    <w:rsid w:val="B87FF501"/>
    <w:rsid w:val="B8AF6A63"/>
    <w:rsid w:val="B8BBEBD8"/>
    <w:rsid w:val="B8FB4C0C"/>
    <w:rsid w:val="B9F3CDAE"/>
    <w:rsid w:val="B9FE1851"/>
    <w:rsid w:val="BA77BF0C"/>
    <w:rsid w:val="BAFBEB1D"/>
    <w:rsid w:val="BAFF313C"/>
    <w:rsid w:val="BB36466E"/>
    <w:rsid w:val="BB5F0DF7"/>
    <w:rsid w:val="BBDB0098"/>
    <w:rsid w:val="BBF55545"/>
    <w:rsid w:val="BBFE1AD5"/>
    <w:rsid w:val="BCB5CF4C"/>
    <w:rsid w:val="BCFF9074"/>
    <w:rsid w:val="BD57A433"/>
    <w:rsid w:val="BD72A240"/>
    <w:rsid w:val="BD7FE489"/>
    <w:rsid w:val="BD8AFD38"/>
    <w:rsid w:val="BDAA305C"/>
    <w:rsid w:val="BDB7AD52"/>
    <w:rsid w:val="BDD3B869"/>
    <w:rsid w:val="BDD8A5DB"/>
    <w:rsid w:val="BDE8E9FD"/>
    <w:rsid w:val="BDF71A5C"/>
    <w:rsid w:val="BDF7683D"/>
    <w:rsid w:val="BDF79C50"/>
    <w:rsid w:val="BDFFA7D7"/>
    <w:rsid w:val="BE7A4866"/>
    <w:rsid w:val="BE7CDC09"/>
    <w:rsid w:val="BE9A8644"/>
    <w:rsid w:val="BEFF565B"/>
    <w:rsid w:val="BF0ED069"/>
    <w:rsid w:val="BF3F1A1A"/>
    <w:rsid w:val="BF5D4615"/>
    <w:rsid w:val="BF785FD0"/>
    <w:rsid w:val="BF7D4171"/>
    <w:rsid w:val="BF7D822B"/>
    <w:rsid w:val="BF7F0B35"/>
    <w:rsid w:val="BF7F1894"/>
    <w:rsid w:val="BF7F9503"/>
    <w:rsid w:val="BFAD5EE8"/>
    <w:rsid w:val="BFBD12AE"/>
    <w:rsid w:val="BFBD2381"/>
    <w:rsid w:val="BFBEBF58"/>
    <w:rsid w:val="BFBF49FF"/>
    <w:rsid w:val="BFBF6204"/>
    <w:rsid w:val="BFC32A13"/>
    <w:rsid w:val="BFD62F32"/>
    <w:rsid w:val="BFDFACE9"/>
    <w:rsid w:val="BFDFE6C3"/>
    <w:rsid w:val="BFEF3D84"/>
    <w:rsid w:val="BFF72005"/>
    <w:rsid w:val="BFF73A60"/>
    <w:rsid w:val="BFFBBADB"/>
    <w:rsid w:val="BFFDB312"/>
    <w:rsid w:val="BFFF4676"/>
    <w:rsid w:val="BFFF52F8"/>
    <w:rsid w:val="BFFF74FA"/>
    <w:rsid w:val="C1CB283A"/>
    <w:rsid w:val="C36D97EB"/>
    <w:rsid w:val="C7FD1B2F"/>
    <w:rsid w:val="C8DF615A"/>
    <w:rsid w:val="CBBF882F"/>
    <w:rsid w:val="CBC71F12"/>
    <w:rsid w:val="CBFD4E3E"/>
    <w:rsid w:val="CC7FF0BF"/>
    <w:rsid w:val="CDCB44E5"/>
    <w:rsid w:val="CE7B84FA"/>
    <w:rsid w:val="CF6D2F11"/>
    <w:rsid w:val="CF7A7CAB"/>
    <w:rsid w:val="CF7DD3B1"/>
    <w:rsid w:val="CF7F9178"/>
    <w:rsid w:val="CFCF8388"/>
    <w:rsid w:val="CFD0BA8A"/>
    <w:rsid w:val="CFE346DA"/>
    <w:rsid w:val="CFFD5955"/>
    <w:rsid w:val="D12CC0F6"/>
    <w:rsid w:val="D1FF53C2"/>
    <w:rsid w:val="D2DE19FA"/>
    <w:rsid w:val="D3072087"/>
    <w:rsid w:val="D3C47EAA"/>
    <w:rsid w:val="D3F95719"/>
    <w:rsid w:val="D4FC1E55"/>
    <w:rsid w:val="D57E1126"/>
    <w:rsid w:val="D6BDEAF4"/>
    <w:rsid w:val="D6ED2160"/>
    <w:rsid w:val="D6FBE62C"/>
    <w:rsid w:val="D6FF5208"/>
    <w:rsid w:val="D76F3A93"/>
    <w:rsid w:val="D7771BAD"/>
    <w:rsid w:val="D77FF1E9"/>
    <w:rsid w:val="D79F269B"/>
    <w:rsid w:val="D7AB9D6A"/>
    <w:rsid w:val="D7DF1DCA"/>
    <w:rsid w:val="D7EBFA09"/>
    <w:rsid w:val="D7EFD04E"/>
    <w:rsid w:val="D7F5E040"/>
    <w:rsid w:val="D7FABBFB"/>
    <w:rsid w:val="D7FB3902"/>
    <w:rsid w:val="D7FD1230"/>
    <w:rsid w:val="D87EF2B8"/>
    <w:rsid w:val="D8DD6870"/>
    <w:rsid w:val="D8EF31E9"/>
    <w:rsid w:val="D8FFBA44"/>
    <w:rsid w:val="D95D730F"/>
    <w:rsid w:val="DAB70DD1"/>
    <w:rsid w:val="DAE7BDBA"/>
    <w:rsid w:val="DAF7E071"/>
    <w:rsid w:val="DBD2C74B"/>
    <w:rsid w:val="DBDF157F"/>
    <w:rsid w:val="DBE310E7"/>
    <w:rsid w:val="DBF701F9"/>
    <w:rsid w:val="DBFBBF97"/>
    <w:rsid w:val="DCBFCB17"/>
    <w:rsid w:val="DD2D43A9"/>
    <w:rsid w:val="DD4F6C52"/>
    <w:rsid w:val="DD598840"/>
    <w:rsid w:val="DDBEA7BA"/>
    <w:rsid w:val="DDEBC871"/>
    <w:rsid w:val="DDF881E1"/>
    <w:rsid w:val="DDFBA4C3"/>
    <w:rsid w:val="DDFF01A5"/>
    <w:rsid w:val="DEED6380"/>
    <w:rsid w:val="DEEF10E1"/>
    <w:rsid w:val="DEF59465"/>
    <w:rsid w:val="DEF7D5E5"/>
    <w:rsid w:val="DEFF0EF6"/>
    <w:rsid w:val="DEFF7708"/>
    <w:rsid w:val="DEFFDE1B"/>
    <w:rsid w:val="DF1F1EC4"/>
    <w:rsid w:val="DF4E1C06"/>
    <w:rsid w:val="DF53215A"/>
    <w:rsid w:val="DF5F1450"/>
    <w:rsid w:val="DF5F8E56"/>
    <w:rsid w:val="DF63BC5A"/>
    <w:rsid w:val="DF76EE6A"/>
    <w:rsid w:val="DF7F6853"/>
    <w:rsid w:val="DF8B7DF1"/>
    <w:rsid w:val="DF96E04A"/>
    <w:rsid w:val="DF9DF723"/>
    <w:rsid w:val="DFA75CBA"/>
    <w:rsid w:val="DFB339D1"/>
    <w:rsid w:val="DFBF7E52"/>
    <w:rsid w:val="DFBF9C04"/>
    <w:rsid w:val="DFD6A055"/>
    <w:rsid w:val="DFDB50A6"/>
    <w:rsid w:val="DFDDA964"/>
    <w:rsid w:val="DFDF7E7E"/>
    <w:rsid w:val="DFDFBFBE"/>
    <w:rsid w:val="DFDFEF3A"/>
    <w:rsid w:val="DFE67D4E"/>
    <w:rsid w:val="DFF31E2D"/>
    <w:rsid w:val="DFF90260"/>
    <w:rsid w:val="DFF9593D"/>
    <w:rsid w:val="DFFAEBE5"/>
    <w:rsid w:val="DFFB1DA1"/>
    <w:rsid w:val="DFFF646C"/>
    <w:rsid w:val="DFFFC762"/>
    <w:rsid w:val="E3850378"/>
    <w:rsid w:val="E3858E1C"/>
    <w:rsid w:val="E3BF0B03"/>
    <w:rsid w:val="E3DE6E9E"/>
    <w:rsid w:val="E3FF1934"/>
    <w:rsid w:val="E5CF0714"/>
    <w:rsid w:val="E77B0F09"/>
    <w:rsid w:val="E77CC72D"/>
    <w:rsid w:val="E79EA264"/>
    <w:rsid w:val="E7DD11D8"/>
    <w:rsid w:val="E7FFEE18"/>
    <w:rsid w:val="E96C6BE7"/>
    <w:rsid w:val="E97E5442"/>
    <w:rsid w:val="E99E1E4D"/>
    <w:rsid w:val="E9F4B7FB"/>
    <w:rsid w:val="EAC3C551"/>
    <w:rsid w:val="EAFF3EC1"/>
    <w:rsid w:val="EB6BEF9B"/>
    <w:rsid w:val="EB7FBF64"/>
    <w:rsid w:val="EBAC0A9F"/>
    <w:rsid w:val="EBB7E20A"/>
    <w:rsid w:val="EBBE1525"/>
    <w:rsid w:val="EBF5DF1F"/>
    <w:rsid w:val="EBF757CC"/>
    <w:rsid w:val="EBFB9663"/>
    <w:rsid w:val="EBFF2EE6"/>
    <w:rsid w:val="EBFF487C"/>
    <w:rsid w:val="EC154A62"/>
    <w:rsid w:val="EC7F5628"/>
    <w:rsid w:val="ECDF5729"/>
    <w:rsid w:val="ED552C3C"/>
    <w:rsid w:val="ED578315"/>
    <w:rsid w:val="ED6A7BC0"/>
    <w:rsid w:val="ED6D5383"/>
    <w:rsid w:val="ED7F1BC0"/>
    <w:rsid w:val="EDD61369"/>
    <w:rsid w:val="EDDB0AAE"/>
    <w:rsid w:val="EDDD0790"/>
    <w:rsid w:val="EDDD4938"/>
    <w:rsid w:val="EDFF14E7"/>
    <w:rsid w:val="EDFF94BF"/>
    <w:rsid w:val="EEBC8DC6"/>
    <w:rsid w:val="EEBFD1AC"/>
    <w:rsid w:val="EECF86CD"/>
    <w:rsid w:val="EEE4B8B6"/>
    <w:rsid w:val="EEFE62E0"/>
    <w:rsid w:val="EF3B49FF"/>
    <w:rsid w:val="EF3E905A"/>
    <w:rsid w:val="EF3F9DCC"/>
    <w:rsid w:val="EF4E399D"/>
    <w:rsid w:val="EF7AA135"/>
    <w:rsid w:val="EF7B95AE"/>
    <w:rsid w:val="EF7DCDA1"/>
    <w:rsid w:val="EF7E608A"/>
    <w:rsid w:val="EF7E86C3"/>
    <w:rsid w:val="EF7FD667"/>
    <w:rsid w:val="EFD74863"/>
    <w:rsid w:val="EFF6F6A4"/>
    <w:rsid w:val="EFF97D09"/>
    <w:rsid w:val="EFFA3891"/>
    <w:rsid w:val="EFFB0924"/>
    <w:rsid w:val="EFFBC16D"/>
    <w:rsid w:val="EFFD9FCF"/>
    <w:rsid w:val="EFFFAFD1"/>
    <w:rsid w:val="EFFFC86E"/>
    <w:rsid w:val="EFFFF347"/>
    <w:rsid w:val="F0BFE5ED"/>
    <w:rsid w:val="F0F10955"/>
    <w:rsid w:val="F0FFCDA1"/>
    <w:rsid w:val="F1E70E4D"/>
    <w:rsid w:val="F2461A66"/>
    <w:rsid w:val="F27DD59C"/>
    <w:rsid w:val="F2C2C2F6"/>
    <w:rsid w:val="F2FE56BE"/>
    <w:rsid w:val="F33491C3"/>
    <w:rsid w:val="F3DF31F0"/>
    <w:rsid w:val="F4F90B58"/>
    <w:rsid w:val="F52FB488"/>
    <w:rsid w:val="F57D0BBD"/>
    <w:rsid w:val="F59FDF1F"/>
    <w:rsid w:val="F5CB4D92"/>
    <w:rsid w:val="F5F5CC2F"/>
    <w:rsid w:val="F5FFFAA3"/>
    <w:rsid w:val="F62D5EAB"/>
    <w:rsid w:val="F64FCD88"/>
    <w:rsid w:val="F66E94F1"/>
    <w:rsid w:val="F66FA243"/>
    <w:rsid w:val="F67F179F"/>
    <w:rsid w:val="F68E2065"/>
    <w:rsid w:val="F6B7EF19"/>
    <w:rsid w:val="F6D727F7"/>
    <w:rsid w:val="F6D7A9F5"/>
    <w:rsid w:val="F6FE7276"/>
    <w:rsid w:val="F7549099"/>
    <w:rsid w:val="F75FF7D9"/>
    <w:rsid w:val="F77C1813"/>
    <w:rsid w:val="F77FC481"/>
    <w:rsid w:val="F7BB4A9B"/>
    <w:rsid w:val="F7BD0D96"/>
    <w:rsid w:val="F7D7E4EE"/>
    <w:rsid w:val="F7DDE263"/>
    <w:rsid w:val="F7ECA1FC"/>
    <w:rsid w:val="F7ED931D"/>
    <w:rsid w:val="F7EF1701"/>
    <w:rsid w:val="F7F74229"/>
    <w:rsid w:val="F7FAB847"/>
    <w:rsid w:val="F7FDA4E2"/>
    <w:rsid w:val="F7FF3AD5"/>
    <w:rsid w:val="F7FFE1E1"/>
    <w:rsid w:val="F86E9C93"/>
    <w:rsid w:val="F8DFFA23"/>
    <w:rsid w:val="F9DD4747"/>
    <w:rsid w:val="F9DFFB8D"/>
    <w:rsid w:val="F9F5FC49"/>
    <w:rsid w:val="F9FB7D92"/>
    <w:rsid w:val="F9FD0B2D"/>
    <w:rsid w:val="FA5DE0EE"/>
    <w:rsid w:val="FA65A531"/>
    <w:rsid w:val="FA7D53C5"/>
    <w:rsid w:val="FA9F7392"/>
    <w:rsid w:val="FAA5149F"/>
    <w:rsid w:val="FAEE27DE"/>
    <w:rsid w:val="FAFC6C7E"/>
    <w:rsid w:val="FAFF5B56"/>
    <w:rsid w:val="FB3BD2B7"/>
    <w:rsid w:val="FB4FD6F9"/>
    <w:rsid w:val="FB5D1630"/>
    <w:rsid w:val="FB676498"/>
    <w:rsid w:val="FB77D405"/>
    <w:rsid w:val="FB7F7CFE"/>
    <w:rsid w:val="FB95D9E3"/>
    <w:rsid w:val="FBBBC011"/>
    <w:rsid w:val="FBCE891C"/>
    <w:rsid w:val="FBCFC7F0"/>
    <w:rsid w:val="FBD724DE"/>
    <w:rsid w:val="FBD99D72"/>
    <w:rsid w:val="FBECB875"/>
    <w:rsid w:val="FBF53BF7"/>
    <w:rsid w:val="FBFAE8A0"/>
    <w:rsid w:val="FBFE0CBA"/>
    <w:rsid w:val="FBFE372A"/>
    <w:rsid w:val="FBFEEC0A"/>
    <w:rsid w:val="FBFF2B9C"/>
    <w:rsid w:val="FBFF8ECF"/>
    <w:rsid w:val="FBFFE0D7"/>
    <w:rsid w:val="FC8B26AA"/>
    <w:rsid w:val="FC9DFB0F"/>
    <w:rsid w:val="FCA2BE8B"/>
    <w:rsid w:val="FCBF0098"/>
    <w:rsid w:val="FCC37AA0"/>
    <w:rsid w:val="FCDF26BE"/>
    <w:rsid w:val="FCDFF3B8"/>
    <w:rsid w:val="FCF188F7"/>
    <w:rsid w:val="FCFF0191"/>
    <w:rsid w:val="FD2F095D"/>
    <w:rsid w:val="FD5F8E06"/>
    <w:rsid w:val="FD7B16F9"/>
    <w:rsid w:val="FD7F7B40"/>
    <w:rsid w:val="FD7FFAE0"/>
    <w:rsid w:val="FD9725D1"/>
    <w:rsid w:val="FD9A8764"/>
    <w:rsid w:val="FDA734D9"/>
    <w:rsid w:val="FDBA374D"/>
    <w:rsid w:val="FDBD1D78"/>
    <w:rsid w:val="FDBFCCFB"/>
    <w:rsid w:val="FDDEB1A6"/>
    <w:rsid w:val="FDE388E5"/>
    <w:rsid w:val="FDE5DC66"/>
    <w:rsid w:val="FDEEEA8D"/>
    <w:rsid w:val="FDEF238F"/>
    <w:rsid w:val="FDF8A5CA"/>
    <w:rsid w:val="FDF9DFA5"/>
    <w:rsid w:val="FDFA800E"/>
    <w:rsid w:val="FDFB76E9"/>
    <w:rsid w:val="FDFF8882"/>
    <w:rsid w:val="FDFFB5E6"/>
    <w:rsid w:val="FE2F20C1"/>
    <w:rsid w:val="FE57ADEA"/>
    <w:rsid w:val="FE6FB7F7"/>
    <w:rsid w:val="FEA72AB0"/>
    <w:rsid w:val="FEBF1B8A"/>
    <w:rsid w:val="FEBF6FA8"/>
    <w:rsid w:val="FEC321EC"/>
    <w:rsid w:val="FED6A6E1"/>
    <w:rsid w:val="FEDF6F97"/>
    <w:rsid w:val="FEE7E24B"/>
    <w:rsid w:val="FEEB43BD"/>
    <w:rsid w:val="FEEF3C8A"/>
    <w:rsid w:val="FEEF4608"/>
    <w:rsid w:val="FEEFCE4D"/>
    <w:rsid w:val="FEF65CA6"/>
    <w:rsid w:val="FEF7810E"/>
    <w:rsid w:val="FEF7B65E"/>
    <w:rsid w:val="FEFA8F86"/>
    <w:rsid w:val="FEFD18A6"/>
    <w:rsid w:val="FEFDB5EB"/>
    <w:rsid w:val="FEFF64E3"/>
    <w:rsid w:val="FF1B610F"/>
    <w:rsid w:val="FF26CD0A"/>
    <w:rsid w:val="FF26EBF2"/>
    <w:rsid w:val="FF2790EC"/>
    <w:rsid w:val="FF37866E"/>
    <w:rsid w:val="FF470227"/>
    <w:rsid w:val="FF5F0EA9"/>
    <w:rsid w:val="FF5FA113"/>
    <w:rsid w:val="FF69C3CB"/>
    <w:rsid w:val="FF6DF2D2"/>
    <w:rsid w:val="FF73F46C"/>
    <w:rsid w:val="FF772458"/>
    <w:rsid w:val="FF777F5E"/>
    <w:rsid w:val="FF7A2E10"/>
    <w:rsid w:val="FF7B3499"/>
    <w:rsid w:val="FF7BAFA3"/>
    <w:rsid w:val="FF7D1D81"/>
    <w:rsid w:val="FF7DB3E5"/>
    <w:rsid w:val="FF7E348A"/>
    <w:rsid w:val="FF7EACED"/>
    <w:rsid w:val="FF7F140B"/>
    <w:rsid w:val="FF7F188E"/>
    <w:rsid w:val="FF7F9134"/>
    <w:rsid w:val="FF7FBB5E"/>
    <w:rsid w:val="FF7FC157"/>
    <w:rsid w:val="FF9B5CC3"/>
    <w:rsid w:val="FF9F2D0D"/>
    <w:rsid w:val="FF9F80AC"/>
    <w:rsid w:val="FF9F8911"/>
    <w:rsid w:val="FFB96EF6"/>
    <w:rsid w:val="FFBB898A"/>
    <w:rsid w:val="FFBBC2E3"/>
    <w:rsid w:val="FFBDCFD0"/>
    <w:rsid w:val="FFBE2215"/>
    <w:rsid w:val="FFBF290A"/>
    <w:rsid w:val="FFBF7138"/>
    <w:rsid w:val="FFBFD632"/>
    <w:rsid w:val="FFCB0A6B"/>
    <w:rsid w:val="FFCB1DE5"/>
    <w:rsid w:val="FFCE8C89"/>
    <w:rsid w:val="FFCF2875"/>
    <w:rsid w:val="FFCF7683"/>
    <w:rsid w:val="FFD98B43"/>
    <w:rsid w:val="FFDA5010"/>
    <w:rsid w:val="FFDC16F1"/>
    <w:rsid w:val="FFDD458B"/>
    <w:rsid w:val="FFDE265A"/>
    <w:rsid w:val="FFDFF0C6"/>
    <w:rsid w:val="FFEF0D0C"/>
    <w:rsid w:val="FFEFC5FB"/>
    <w:rsid w:val="FFF13C8B"/>
    <w:rsid w:val="FFF5229C"/>
    <w:rsid w:val="FFF7152C"/>
    <w:rsid w:val="FFF73527"/>
    <w:rsid w:val="FFFB5C43"/>
    <w:rsid w:val="FFFBDA68"/>
    <w:rsid w:val="FFFBFEC3"/>
    <w:rsid w:val="FFFDCAC6"/>
    <w:rsid w:val="FFFE4322"/>
    <w:rsid w:val="FFFEE673"/>
    <w:rsid w:val="FFFF490B"/>
    <w:rsid w:val="FFFF8F3D"/>
    <w:rsid w:val="FFFFC82D"/>
    <w:rsid w:val="FFFFD117"/>
    <w:rsid w:val="FFFFF77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4">
    <w:name w:val="heading 1"/>
    <w:basedOn w:val="1"/>
    <w:next w:val="1"/>
    <w:link w:val="28"/>
    <w:qFormat/>
    <w:uiPriority w:val="0"/>
    <w:pPr>
      <w:keepNext/>
      <w:keepLines/>
      <w:spacing w:before="120" w:after="120"/>
      <w:jc w:val="center"/>
      <w:outlineLvl w:val="0"/>
    </w:pPr>
    <w:rPr>
      <w:b/>
      <w:kern w:val="44"/>
      <w:sz w:val="44"/>
    </w:rPr>
  </w:style>
  <w:style w:type="paragraph" w:styleId="5">
    <w:name w:val="heading 2"/>
    <w:basedOn w:val="1"/>
    <w:next w:val="1"/>
    <w:qFormat/>
    <w:uiPriority w:val="0"/>
    <w:pPr>
      <w:keepNext/>
      <w:keepLines/>
      <w:spacing w:before="140" w:after="140" w:line="413" w:lineRule="auto"/>
      <w:jc w:val="center"/>
      <w:outlineLvl w:val="1"/>
    </w:pPr>
    <w:rPr>
      <w:rFonts w:ascii="Arial" w:hAnsi="Arial"/>
      <w:b/>
      <w:sz w:val="28"/>
    </w:rPr>
  </w:style>
  <w:style w:type="paragraph" w:styleId="6">
    <w:name w:val="heading 4"/>
    <w:basedOn w:val="1"/>
    <w:next w:val="1"/>
    <w:qFormat/>
    <w:uiPriority w:val="0"/>
    <w:pPr>
      <w:keepNext/>
      <w:keepLines/>
      <w:outlineLvl w:val="3"/>
    </w:pPr>
    <w:rPr>
      <w:rFonts w:ascii="Arial" w:hAnsi="Arial" w:eastAsia="黑体"/>
      <w:bCs/>
      <w:kern w:val="0"/>
      <w:sz w:val="24"/>
      <w:szCs w:val="28"/>
    </w:rPr>
  </w:style>
  <w:style w:type="character" w:default="1" w:styleId="22">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adjustRightInd w:val="0"/>
      <w:spacing w:beforeLines="0" w:line="260" w:lineRule="atLeast"/>
      <w:ind w:right="120" w:rightChars="50"/>
      <w:textAlignment w:val="baseline"/>
    </w:pPr>
    <w:rPr>
      <w:rFonts w:ascii="Calibri" w:hAnsi="Calibri" w:cs="Times New Roman"/>
      <w:bCs/>
      <w:color w:val="000000"/>
      <w:kern w:val="0"/>
      <w:sz w:val="24"/>
    </w:rPr>
  </w:style>
  <w:style w:type="paragraph" w:styleId="3">
    <w:name w:val="Date"/>
    <w:basedOn w:val="1"/>
    <w:next w:val="1"/>
    <w:qFormat/>
    <w:uiPriority w:val="0"/>
    <w:pPr>
      <w:ind w:left="100" w:leftChars="2500"/>
    </w:pPr>
  </w:style>
  <w:style w:type="paragraph" w:styleId="7">
    <w:name w:val="annotation text"/>
    <w:basedOn w:val="1"/>
    <w:link w:val="29"/>
    <w:unhideWhenUsed/>
    <w:qFormat/>
    <w:uiPriority w:val="99"/>
    <w:pPr>
      <w:jc w:val="left"/>
    </w:pPr>
  </w:style>
  <w:style w:type="paragraph" w:styleId="8">
    <w:name w:val="Body Text Indent"/>
    <w:basedOn w:val="1"/>
    <w:next w:val="9"/>
    <w:qFormat/>
    <w:uiPriority w:val="0"/>
    <w:pPr>
      <w:spacing w:line="360" w:lineRule="auto"/>
      <w:ind w:firstLine="480" w:firstLineChars="200"/>
    </w:pPr>
    <w:rPr>
      <w:rFonts w:ascii="宋体"/>
      <w:sz w:val="24"/>
      <w:szCs w:val="20"/>
    </w:rPr>
  </w:style>
  <w:style w:type="paragraph" w:styleId="9">
    <w:name w:val="Body Text First Indent 2"/>
    <w:basedOn w:val="8"/>
    <w:next w:val="1"/>
    <w:qFormat/>
    <w:uiPriority w:val="0"/>
    <w:pPr>
      <w:tabs>
        <w:tab w:val="left" w:pos="720"/>
      </w:tabs>
      <w:spacing w:after="120" w:afterLines="0" w:line="240" w:lineRule="auto"/>
      <w:ind w:left="420" w:leftChars="200" w:firstLine="420" w:firstLineChars="200"/>
    </w:pPr>
    <w:rPr>
      <w:rFonts w:ascii="Times New Roman"/>
      <w:sz w:val="21"/>
    </w:rPr>
  </w:style>
  <w:style w:type="paragraph" w:styleId="10">
    <w:name w:val="List 2"/>
    <w:basedOn w:val="1"/>
    <w:qFormat/>
    <w:uiPriority w:val="0"/>
    <w:pPr>
      <w:ind w:left="200" w:leftChars="200" w:hanging="200" w:hangingChars="200"/>
    </w:pPr>
  </w:style>
  <w:style w:type="paragraph" w:styleId="11">
    <w:name w:val="Plain Text"/>
    <w:basedOn w:val="1"/>
    <w:qFormat/>
    <w:uiPriority w:val="99"/>
    <w:rPr>
      <w:rFonts w:ascii="宋体" w:hAnsi="Courier New" w:cs="Courier New"/>
      <w:szCs w:val="21"/>
    </w:rPr>
  </w:style>
  <w:style w:type="paragraph" w:styleId="12">
    <w:name w:val="Balloon Text"/>
    <w:basedOn w:val="1"/>
    <w:link w:val="30"/>
    <w:qFormat/>
    <w:uiPriority w:val="0"/>
    <w:rPr>
      <w:sz w:val="18"/>
      <w:szCs w:val="18"/>
    </w:rPr>
  </w:style>
  <w:style w:type="paragraph" w:styleId="13">
    <w:name w:val="footer"/>
    <w:basedOn w:val="1"/>
    <w:link w:val="31"/>
    <w:qFormat/>
    <w:uiPriority w:val="99"/>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5">
    <w:name w:val="toc 1"/>
    <w:basedOn w:val="1"/>
    <w:next w:val="1"/>
    <w:qFormat/>
    <w:uiPriority w:val="0"/>
  </w:style>
  <w:style w:type="paragraph" w:styleId="16">
    <w:name w:val="toc 2"/>
    <w:basedOn w:val="1"/>
    <w:next w:val="1"/>
    <w:unhideWhenUsed/>
    <w:qFormat/>
    <w:uiPriority w:val="39"/>
    <w:pPr>
      <w:ind w:left="420" w:leftChars="200"/>
    </w:pPr>
  </w:style>
  <w:style w:type="paragraph" w:styleId="17">
    <w:name w:val="Body Text 2"/>
    <w:basedOn w:val="1"/>
    <w:unhideWhenUsed/>
    <w:qFormat/>
    <w:uiPriority w:val="99"/>
    <w:pPr>
      <w:jc w:val="left"/>
    </w:pPr>
    <w:rPr>
      <w:rFonts w:ascii="仿宋_GB2312" w:hAnsi="宋体"/>
    </w:rPr>
  </w:style>
  <w:style w:type="paragraph" w:styleId="18">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9">
    <w:name w:val="annotation subject"/>
    <w:basedOn w:val="7"/>
    <w:next w:val="7"/>
    <w:link w:val="32"/>
    <w:qFormat/>
    <w:uiPriority w:val="0"/>
    <w:rPr>
      <w:b/>
      <w:bCs/>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qFormat/>
    <w:uiPriority w:val="0"/>
    <w:rPr>
      <w:b/>
    </w:rPr>
  </w:style>
  <w:style w:type="character" w:styleId="24">
    <w:name w:val="Emphasis"/>
    <w:basedOn w:val="22"/>
    <w:qFormat/>
    <w:uiPriority w:val="0"/>
    <w:rPr>
      <w:i/>
    </w:rPr>
  </w:style>
  <w:style w:type="character" w:styleId="25">
    <w:name w:val="Hyperlink"/>
    <w:qFormat/>
    <w:uiPriority w:val="0"/>
    <w:rPr>
      <w:color w:val="0000FF"/>
      <w:u w:val="single"/>
    </w:rPr>
  </w:style>
  <w:style w:type="character" w:styleId="26">
    <w:name w:val="annotation reference"/>
    <w:unhideWhenUsed/>
    <w:qFormat/>
    <w:uiPriority w:val="99"/>
    <w:rPr>
      <w:sz w:val="21"/>
      <w:szCs w:val="21"/>
    </w:rPr>
  </w:style>
  <w:style w:type="paragraph" w:customStyle="1" w:styleId="27">
    <w:name w:val="正文文本首行缩进1"/>
    <w:basedOn w:val="2"/>
    <w:qFormat/>
    <w:uiPriority w:val="0"/>
    <w:pPr>
      <w:ind w:firstLine="420" w:firstLineChars="100"/>
    </w:pPr>
    <w:rPr>
      <w:kern w:val="2"/>
      <w:sz w:val="21"/>
    </w:rPr>
  </w:style>
  <w:style w:type="character" w:customStyle="1" w:styleId="28">
    <w:name w:val="标题 1 字符"/>
    <w:link w:val="4"/>
    <w:qFormat/>
    <w:uiPriority w:val="0"/>
    <w:rPr>
      <w:rFonts w:ascii="Calibri" w:hAnsi="Calibri" w:eastAsia="仿宋" w:cs="Times New Roman"/>
      <w:b/>
      <w:kern w:val="44"/>
      <w:sz w:val="44"/>
      <w:szCs w:val="24"/>
    </w:rPr>
  </w:style>
  <w:style w:type="character" w:customStyle="1" w:styleId="29">
    <w:name w:val="批注文字 字符"/>
    <w:link w:val="7"/>
    <w:qFormat/>
    <w:uiPriority w:val="99"/>
    <w:rPr>
      <w:rFonts w:ascii="Calibri" w:hAnsi="Calibri" w:eastAsia="仿宋" w:cs="Times New Roman"/>
      <w:kern w:val="2"/>
      <w:sz w:val="21"/>
      <w:szCs w:val="24"/>
    </w:rPr>
  </w:style>
  <w:style w:type="character" w:customStyle="1" w:styleId="30">
    <w:name w:val="批注框文本 字符"/>
    <w:link w:val="12"/>
    <w:qFormat/>
    <w:uiPriority w:val="0"/>
    <w:rPr>
      <w:rFonts w:ascii="Calibri" w:hAnsi="Calibri" w:eastAsia="仿宋" w:cs="Times New Roman"/>
      <w:kern w:val="2"/>
      <w:sz w:val="18"/>
      <w:szCs w:val="18"/>
    </w:rPr>
  </w:style>
  <w:style w:type="character" w:customStyle="1" w:styleId="31">
    <w:name w:val="页脚 字符"/>
    <w:link w:val="13"/>
    <w:qFormat/>
    <w:uiPriority w:val="99"/>
    <w:rPr>
      <w:rFonts w:eastAsia="仿宋"/>
      <w:kern w:val="2"/>
      <w:sz w:val="18"/>
      <w:szCs w:val="24"/>
    </w:rPr>
  </w:style>
  <w:style w:type="character" w:customStyle="1" w:styleId="32">
    <w:name w:val="批注主题 字符"/>
    <w:link w:val="19"/>
    <w:qFormat/>
    <w:uiPriority w:val="0"/>
    <w:rPr>
      <w:rFonts w:ascii="Calibri" w:hAnsi="Calibri" w:eastAsia="仿宋" w:cs="Times New Roman"/>
      <w:b/>
      <w:bCs/>
      <w:kern w:val="2"/>
      <w:sz w:val="21"/>
      <w:szCs w:val="24"/>
    </w:rPr>
  </w:style>
  <w:style w:type="paragraph" w:customStyle="1" w:styleId="33">
    <w:name w:val="Default"/>
    <w:next w:val="34"/>
    <w:qFormat/>
    <w:uiPriority w:val="0"/>
    <w:pPr>
      <w:widowControl w:val="0"/>
      <w:autoSpaceDE w:val="0"/>
      <w:autoSpaceDN w:val="0"/>
      <w:adjustRightInd w:val="0"/>
    </w:pPr>
    <w:rPr>
      <w:rFonts w:ascii="黑体" w:hAnsi="Calibri" w:eastAsia="黑体" w:cs="Times New Roman"/>
      <w:sz w:val="21"/>
      <w:szCs w:val="22"/>
      <w:lang w:val="en-US" w:eastAsia="zh-CN" w:bidi="ar-SA"/>
    </w:rPr>
  </w:style>
  <w:style w:type="paragraph" w:styleId="34">
    <w:name w:val="Intense Quote"/>
    <w:next w:val="1"/>
    <w:qFormat/>
    <w:uiPriority w:val="0"/>
    <w:pPr>
      <w:wordWrap w:val="0"/>
      <w:spacing w:before="360" w:after="360"/>
      <w:ind w:left="950" w:right="950"/>
      <w:jc w:val="center"/>
    </w:pPr>
    <w:rPr>
      <w:rFonts w:ascii="Times New Roman" w:hAnsi="Times New Roman" w:eastAsia="宋体" w:cs="Times New Roman"/>
      <w:i/>
      <w:sz w:val="21"/>
      <w:lang w:val="en-US" w:eastAsia="zh-CN" w:bidi="ar-SA"/>
    </w:rPr>
  </w:style>
  <w:style w:type="paragraph" w:customStyle="1" w:styleId="35">
    <w:name w:val="BodyText1I"/>
    <w:basedOn w:val="36"/>
    <w:qFormat/>
    <w:uiPriority w:val="0"/>
    <w:pPr>
      <w:spacing w:after="0"/>
    </w:pPr>
    <w:rPr>
      <w:rFonts w:eastAsia="仿宋"/>
      <w:sz w:val="24"/>
      <w:szCs w:val="24"/>
    </w:rPr>
  </w:style>
  <w:style w:type="paragraph" w:customStyle="1" w:styleId="36">
    <w:name w:val="BodyText"/>
    <w:basedOn w:val="1"/>
    <w:qFormat/>
    <w:uiPriority w:val="0"/>
    <w:pPr>
      <w:spacing w:after="120"/>
      <w:textAlignment w:val="baseline"/>
    </w:pPr>
  </w:style>
  <w:style w:type="paragraph" w:customStyle="1" w:styleId="3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8">
    <w:name w:val="样式H"/>
    <w:basedOn w:val="4"/>
    <w:next w:val="1"/>
    <w:qFormat/>
    <w:uiPriority w:val="0"/>
    <w:pPr>
      <w:spacing w:before="100" w:line="500" w:lineRule="exact"/>
    </w:pPr>
  </w:style>
  <w:style w:type="paragraph" w:customStyle="1" w:styleId="39">
    <w:name w:val="样式1"/>
    <w:basedOn w:val="1"/>
    <w:qFormat/>
    <w:uiPriority w:val="0"/>
    <w:pPr>
      <w:numPr>
        <w:ilvl w:val="0"/>
        <w:numId w:val="1"/>
      </w:numPr>
      <w:adjustRightInd w:val="0"/>
      <w:textAlignment w:val="baseline"/>
    </w:pPr>
    <w:rPr>
      <w:rFonts w:ascii="宋体" w:hAnsi="宋体"/>
      <w:kern w:val="0"/>
      <w:szCs w:val="21"/>
    </w:rPr>
  </w:style>
  <w:style w:type="paragraph" w:styleId="40">
    <w:name w:val="List Paragraph"/>
    <w:basedOn w:val="1"/>
    <w:qFormat/>
    <w:uiPriority w:val="34"/>
    <w:pPr>
      <w:ind w:firstLine="420" w:firstLineChars="200"/>
    </w:pPr>
  </w:style>
  <w:style w:type="paragraph" w:customStyle="1" w:styleId="41">
    <w:name w:val="样式N"/>
    <w:basedOn w:val="38"/>
    <w:qFormat/>
    <w:uiPriority w:val="0"/>
    <w:rPr>
      <w:sz w:val="30"/>
    </w:rPr>
  </w:style>
  <w:style w:type="paragraph" w:customStyle="1" w:styleId="42">
    <w:name w:val="列出段落11"/>
    <w:basedOn w:val="1"/>
    <w:qFormat/>
    <w:uiPriority w:val="34"/>
    <w:pPr>
      <w:ind w:firstLine="420" w:firstLineChars="200"/>
    </w:pPr>
    <w:rPr>
      <w:rFonts w:ascii="Calibri" w:hAnsi="Calibri" w:eastAsia="宋体" w:cs="Times New Roman"/>
      <w:szCs w:val="22"/>
      <w:lang w:val="zh-CN"/>
    </w:rPr>
  </w:style>
  <w:style w:type="paragraph" w:customStyle="1" w:styleId="43">
    <w:name w:val="WPSOffice手动目录 1"/>
    <w:qFormat/>
    <w:uiPriority w:val="0"/>
    <w:rPr>
      <w:rFonts w:ascii="Times New Roman" w:hAnsi="Times New Roman" w:eastAsia="宋体" w:cs="Times New Roman"/>
      <w:lang w:val="en-US" w:eastAsia="zh-CN" w:bidi="ar-SA"/>
    </w:rPr>
  </w:style>
  <w:style w:type="paragraph" w:customStyle="1" w:styleId="44">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4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6">
    <w:name w:val="Normal_4"/>
    <w:qFormat/>
    <w:uiPriority w:val="0"/>
    <w:rPr>
      <w:rFonts w:ascii="Times New Roman" w:hAnsi="Times New Roman" w:eastAsia="Times New Roman" w:cs="Times New Roman"/>
      <w:sz w:val="24"/>
      <w:szCs w:val="24"/>
      <w:lang w:val="en-US" w:eastAsia="zh-CN" w:bidi="ar-SA"/>
    </w:rPr>
  </w:style>
  <w:style w:type="paragraph" w:customStyle="1" w:styleId="47">
    <w:name w:val="4级"/>
    <w:basedOn w:val="48"/>
    <w:qFormat/>
    <w:uiPriority w:val="0"/>
    <w:pPr>
      <w:numPr>
        <w:ilvl w:val="3"/>
        <w:numId w:val="2"/>
      </w:numPr>
      <w:spacing w:before="156" w:beforeLines="50" w:after="156" w:afterLines="50" w:line="360" w:lineRule="auto"/>
      <w:outlineLvl w:val="3"/>
    </w:pPr>
    <w:rPr>
      <w:rFonts w:eastAsia="仿宋_GB2312"/>
      <w:b/>
      <w:sz w:val="28"/>
      <w:szCs w:val="24"/>
    </w:rPr>
  </w:style>
  <w:style w:type="paragraph" w:styleId="48">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49">
    <w:name w:val="段"/>
    <w:next w:val="1"/>
    <w:qFormat/>
    <w:uiPriority w:val="99"/>
    <w:pPr>
      <w:autoSpaceDE w:val="0"/>
      <w:autoSpaceDN w:val="0"/>
      <w:ind w:firstLine="200" w:firstLineChars="200"/>
      <w:jc w:val="both"/>
    </w:pPr>
    <w:rPr>
      <w:rFonts w:ascii="宋体" w:hAnsi="Times New Roman" w:eastAsia="宋体" w:cs="Times New Roman"/>
      <w:lang w:val="en-US" w:eastAsia="zh-CN" w:bidi="ar-SA"/>
    </w:rPr>
  </w:style>
  <w:style w:type="character" w:customStyle="1" w:styleId="50">
    <w:name w:val="fontstyle01"/>
    <w:basedOn w:val="22"/>
    <w:qFormat/>
    <w:uiPriority w:val="0"/>
    <w:rPr>
      <w:rFonts w:hint="eastAsia" w:ascii="黑体" w:hAnsi="黑体" w:eastAsia="黑体"/>
      <w:color w:val="000000"/>
      <w:sz w:val="32"/>
      <w:szCs w:val="32"/>
    </w:rPr>
  </w:style>
  <w:style w:type="paragraph" w:customStyle="1" w:styleId="51">
    <w:name w:val="Normal_3"/>
    <w:qFormat/>
    <w:uiPriority w:val="0"/>
    <w:pPr>
      <w:widowControl w:val="0"/>
      <w:jc w:val="both"/>
    </w:pPr>
    <w:rPr>
      <w:rFonts w:ascii="Courier New" w:hAnsi="Courier New" w:eastAsia="Courier New" w:cs="黑体"/>
      <w:lang w:val="en-US" w:eastAsia="zh-CN" w:bidi="ar-SA"/>
    </w:rPr>
  </w:style>
  <w:style w:type="paragraph" w:customStyle="1" w:styleId="52">
    <w:name w:val="Normal_1"/>
    <w:qFormat/>
    <w:uiPriority w:val="0"/>
    <w:pPr>
      <w:widowControl w:val="0"/>
      <w:jc w:val="both"/>
    </w:pPr>
    <w:rPr>
      <w:rFonts w:ascii="Calibri" w:hAnsi="Calibri" w:eastAsia="仿宋" w:cs="Calibri"/>
      <w:kern w:val="2"/>
      <w:sz w:val="21"/>
      <w:szCs w:val="24"/>
      <w:lang w:val="en-US" w:eastAsia="zh-CN" w:bidi="ar-SA"/>
    </w:rPr>
  </w:style>
  <w:style w:type="paragraph" w:customStyle="1" w:styleId="53">
    <w:name w:val="Normal_0"/>
    <w:qFormat/>
    <w:uiPriority w:val="0"/>
    <w:pPr>
      <w:widowControl w:val="0"/>
      <w:jc w:val="both"/>
    </w:pPr>
    <w:rPr>
      <w:rFonts w:ascii="Calibri" w:hAnsi="Calibri" w:eastAsia="仿宋" w:cs="Calibri"/>
      <w:kern w:val="2"/>
      <w:sz w:val="21"/>
      <w:szCs w:val="24"/>
      <w:lang w:val="en-US" w:eastAsia="zh-CN" w:bidi="ar-SA"/>
    </w:rPr>
  </w:style>
  <w:style w:type="paragraph" w:customStyle="1" w:styleId="5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55">
    <w:name w:val="Table Normal"/>
    <w:unhideWhenUsed/>
    <w:qFormat/>
    <w:uiPriority w:val="0"/>
    <w:tblPr>
      <w:tblCellMar>
        <w:top w:w="0" w:type="dxa"/>
        <w:left w:w="0" w:type="dxa"/>
        <w:bottom w:w="0" w:type="dxa"/>
        <w:right w:w="0" w:type="dxa"/>
      </w:tblCellMar>
    </w:tblPr>
  </w:style>
  <w:style w:type="paragraph" w:customStyle="1" w:styleId="56">
    <w:name w:val="Table Text"/>
    <w:basedOn w:val="1"/>
    <w:semiHidden/>
    <w:qFormat/>
    <w:uiPriority w:val="0"/>
    <w:rPr>
      <w:rFonts w:ascii="宋体" w:hAnsi="宋体" w:cs="宋体"/>
      <w:sz w:val="20"/>
      <w:szCs w:val="20"/>
      <w:lang w:eastAsia="en-US"/>
    </w:rPr>
  </w:style>
  <w:style w:type="character" w:customStyle="1" w:styleId="57">
    <w:name w:val="font21"/>
    <w:basedOn w:val="22"/>
    <w:qFormat/>
    <w:uiPriority w:val="0"/>
    <w:rPr>
      <w:rFonts w:hint="eastAsia" w:ascii="宋体" w:hAnsi="宋体" w:eastAsia="宋体" w:cs="宋体"/>
      <w:color w:val="800080"/>
      <w:sz w:val="20"/>
      <w:szCs w:val="20"/>
      <w:u w:val="none"/>
    </w:rPr>
  </w:style>
  <w:style w:type="character" w:customStyle="1" w:styleId="58">
    <w:name w:val="font11"/>
    <w:basedOn w:val="22"/>
    <w:qFormat/>
    <w:uiPriority w:val="0"/>
    <w:rPr>
      <w:rFonts w:hint="eastAsia" w:ascii="宋体" w:hAnsi="宋体" w:eastAsia="宋体" w:cs="宋体"/>
      <w:color w:val="000000"/>
      <w:sz w:val="20"/>
      <w:szCs w:val="20"/>
      <w:u w:val="none"/>
    </w:rPr>
  </w:style>
  <w:style w:type="character" w:customStyle="1" w:styleId="59">
    <w:name w:val="font61"/>
    <w:basedOn w:val="22"/>
    <w:qFormat/>
    <w:uiPriority w:val="0"/>
    <w:rPr>
      <w:rFonts w:hint="eastAsia" w:ascii="宋体" w:hAnsi="宋体" w:eastAsia="宋体" w:cs="宋体"/>
      <w:b/>
      <w:bCs/>
      <w:color w:val="800080"/>
      <w:sz w:val="20"/>
      <w:szCs w:val="20"/>
      <w:u w:val="none"/>
    </w:rPr>
  </w:style>
  <w:style w:type="character" w:customStyle="1" w:styleId="60">
    <w:name w:val="font71"/>
    <w:basedOn w:val="22"/>
    <w:qFormat/>
    <w:uiPriority w:val="0"/>
    <w:rPr>
      <w:rFonts w:ascii="Calibri" w:hAnsi="Calibri" w:cs="Calibri"/>
      <w:color w:val="000000"/>
      <w:sz w:val="21"/>
      <w:szCs w:val="21"/>
      <w:u w:val="none"/>
    </w:rPr>
  </w:style>
  <w:style w:type="character" w:customStyle="1" w:styleId="61">
    <w:name w:val="font51"/>
    <w:basedOn w:val="22"/>
    <w:qFormat/>
    <w:uiPriority w:val="0"/>
    <w:rPr>
      <w:rFonts w:hint="eastAsia" w:ascii="宋体" w:hAnsi="宋体" w:eastAsia="宋体" w:cs="宋体"/>
      <w:color w:val="000000"/>
      <w:sz w:val="21"/>
      <w:szCs w:val="21"/>
      <w:u w:val="none"/>
    </w:rPr>
  </w:style>
  <w:style w:type="paragraph" w:customStyle="1" w:styleId="62">
    <w:name w:val="Normal_42"/>
    <w:qFormat/>
    <w:uiPriority w:val="0"/>
    <w:rPr>
      <w:rFonts w:ascii="Times New Roman" w:hAnsi="Times New Roman" w:eastAsia="Times New Roman" w:cs="Times New Roman"/>
      <w:sz w:val="24"/>
      <w:szCs w:val="24"/>
      <w:lang w:val="en-US" w:eastAsia="zh-CN" w:bidi="ar-SA"/>
    </w:rPr>
  </w:style>
  <w:style w:type="character" w:customStyle="1" w:styleId="63">
    <w:name w:val="font31"/>
    <w:basedOn w:val="22"/>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xp</Company>
  <Pages>57</Pages>
  <Words>27162</Words>
  <Characters>28441</Characters>
  <Lines>243</Lines>
  <Paragraphs>68</Paragraphs>
  <TotalTime>15</TotalTime>
  <ScaleCrop>false</ScaleCrop>
  <LinksUpToDate>false</LinksUpToDate>
  <CharactersWithSpaces>31322</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2018-12-02T16:31:00Z</dcterms:created>
  <dc:creator>meimei</dc:creator>
  <cp:lastModifiedBy>ql</cp:lastModifiedBy>
  <cp:lastPrinted>2025-10-27T08:47:27Z</cp:lastPrinted>
  <dcterms:modified xsi:type="dcterms:W3CDTF">2025-10-27T09:01:24Z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090A971A0C3B42D2B6416CD8F61D15E0</vt:lpwstr>
  </property>
</Properties>
</file>