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51641B">
      <w:pPr>
        <w:jc w:val="center"/>
      </w:pPr>
      <w:r>
        <w:rPr>
          <w:rFonts w:ascii="宋体" w:hAnsi="宋体" w:eastAsia="宋体" w:cs="宋体"/>
          <w:sz w:val="24"/>
          <w:szCs w:val="24"/>
        </w:rPr>
        <w:t>实质性响应一览表</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3923"/>
        <w:gridCol w:w="2622"/>
        <w:gridCol w:w="1333"/>
      </w:tblGrid>
      <w:tr w14:paraId="3B4D9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3F7A2E1C">
            <w:pPr>
              <w:rPr>
                <w:lang w:eastAsia="zh-CN"/>
              </w:rPr>
            </w:pPr>
            <w:r>
              <w:rPr>
                <w:rFonts w:hint="eastAsia"/>
                <w:lang w:eastAsia="zh-CN"/>
              </w:rPr>
              <w:t>序号</w:t>
            </w:r>
          </w:p>
        </w:tc>
        <w:tc>
          <w:tcPr>
            <w:tcW w:w="2301" w:type="pct"/>
          </w:tcPr>
          <w:p w14:paraId="4D47BAE4">
            <w:pPr>
              <w:rPr>
                <w:lang w:eastAsia="zh-CN"/>
              </w:rPr>
            </w:pPr>
            <w:r>
              <w:rPr>
                <w:rFonts w:hint="eastAsia"/>
                <w:lang w:eastAsia="zh-CN"/>
              </w:rPr>
              <w:t>实质性响应条款</w:t>
            </w:r>
          </w:p>
        </w:tc>
        <w:tc>
          <w:tcPr>
            <w:tcW w:w="1538" w:type="pct"/>
          </w:tcPr>
          <w:p w14:paraId="53D9AB0C">
            <w:pPr>
              <w:rPr>
                <w:lang w:eastAsia="zh-CN"/>
              </w:rPr>
            </w:pPr>
            <w:r>
              <w:rPr>
                <w:rFonts w:hint="eastAsia"/>
                <w:lang w:eastAsia="zh-CN"/>
              </w:rPr>
              <w:t>投标人响应情况</w:t>
            </w:r>
          </w:p>
        </w:tc>
        <w:tc>
          <w:tcPr>
            <w:tcW w:w="782" w:type="pct"/>
          </w:tcPr>
          <w:p w14:paraId="6083CC9D">
            <w:pPr>
              <w:rPr>
                <w:lang w:eastAsia="zh-CN"/>
              </w:rPr>
            </w:pPr>
            <w:r>
              <w:rPr>
                <w:rFonts w:hint="eastAsia"/>
                <w:lang w:eastAsia="zh-CN"/>
              </w:rPr>
              <w:t>差异</w:t>
            </w:r>
          </w:p>
        </w:tc>
      </w:tr>
      <w:tr w14:paraId="59700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2B28FC18">
            <w:pPr>
              <w:jc w:val="center"/>
              <w:rPr>
                <w:lang w:eastAsia="zh-CN"/>
              </w:rPr>
            </w:pPr>
            <w:r>
              <w:rPr>
                <w:rFonts w:hint="eastAsia"/>
                <w:lang w:eastAsia="zh-CN"/>
              </w:rPr>
              <w:t>1</w:t>
            </w:r>
          </w:p>
        </w:tc>
        <w:tc>
          <w:tcPr>
            <w:tcW w:w="2301" w:type="pct"/>
          </w:tcPr>
          <w:p w14:paraId="133C19DE">
            <w:pPr>
              <w:autoSpaceDE w:val="0"/>
              <w:autoSpaceDN w:val="0"/>
              <w:adjustRightInd w:val="0"/>
              <w:snapToGrid w:val="0"/>
              <w:spacing w:line="360" w:lineRule="auto"/>
              <w:rPr>
                <w:lang w:eastAsia="zh-CN"/>
              </w:rPr>
            </w:pPr>
            <w:r>
              <w:rPr>
                <w:rFonts w:hint="eastAsia" w:ascii="宋体" w:hAnsi="宋体" w:cs="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本次采购产品为非进口产品（进口产品指通过中国海关报关验放进入中国境内且产自关境外的产品）。</w:t>
            </w:r>
            <w:bookmarkStart w:id="0" w:name="_GoBack"/>
            <w:bookmarkEnd w:id="0"/>
          </w:p>
        </w:tc>
        <w:tc>
          <w:tcPr>
            <w:tcW w:w="1538" w:type="pct"/>
          </w:tcPr>
          <w:p w14:paraId="08531BDE">
            <w:pPr>
              <w:rPr>
                <w:lang w:eastAsia="zh-CN"/>
              </w:rPr>
            </w:pPr>
          </w:p>
        </w:tc>
        <w:tc>
          <w:tcPr>
            <w:tcW w:w="782" w:type="pct"/>
          </w:tcPr>
          <w:p w14:paraId="7760D8F4">
            <w:pPr>
              <w:rPr>
                <w:lang w:eastAsia="zh-CN"/>
              </w:rPr>
            </w:pPr>
          </w:p>
        </w:tc>
      </w:tr>
      <w:tr w14:paraId="56FDF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3A29F6FA">
            <w:pPr>
              <w:jc w:val="center"/>
              <w:rPr>
                <w:lang w:eastAsia="zh-CN"/>
              </w:rPr>
            </w:pPr>
            <w:r>
              <w:rPr>
                <w:rFonts w:hint="eastAsia"/>
                <w:lang w:eastAsia="zh-CN"/>
              </w:rPr>
              <w:t>2</w:t>
            </w:r>
          </w:p>
        </w:tc>
        <w:tc>
          <w:tcPr>
            <w:tcW w:w="2301" w:type="pct"/>
          </w:tcPr>
          <w:p w14:paraId="116E41B5">
            <w:pPr>
              <w:pStyle w:val="16"/>
              <w:spacing w:line="360" w:lineRule="auto"/>
              <w:jc w:val="both"/>
            </w:pPr>
            <w:r>
              <w:rPr>
                <w:rFonts w:ascii="宋体" w:hAnsi="宋体"/>
                <w:color w:val="000000" w:themeColor="text1"/>
                <w:kern w:val="2"/>
                <w:sz w:val="21"/>
                <w:szCs w:val="21"/>
                <w:lang w:val="zh-CN"/>
                <w14:textFill>
                  <w14:solidFill>
                    <w14:schemeClr w14:val="tx1"/>
                  </w14:solidFill>
                </w14:textFill>
              </w:rPr>
              <w:t>★凡属于《中华人民共和国实施强制性产品认证的产品目录》的产品，请投标人在投标文件中承诺在交货时提供该产品的“中国强制性产品认证”（CCC认证）证书。</w:t>
            </w:r>
          </w:p>
        </w:tc>
        <w:tc>
          <w:tcPr>
            <w:tcW w:w="1538" w:type="pct"/>
          </w:tcPr>
          <w:p w14:paraId="23FCF9A5"/>
        </w:tc>
        <w:tc>
          <w:tcPr>
            <w:tcW w:w="782" w:type="pct"/>
          </w:tcPr>
          <w:p w14:paraId="3B020170"/>
        </w:tc>
      </w:tr>
      <w:tr w14:paraId="03631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43D82677">
            <w:pPr>
              <w:jc w:val="center"/>
              <w:rPr>
                <w:rFonts w:hint="default"/>
                <w:lang w:val="en-US" w:eastAsia="zh-CN"/>
              </w:rPr>
            </w:pPr>
            <w:r>
              <w:rPr>
                <w:rFonts w:hint="eastAsia"/>
                <w:lang w:val="en-US" w:eastAsia="zh-CN"/>
              </w:rPr>
              <w:t>3</w:t>
            </w:r>
          </w:p>
        </w:tc>
        <w:tc>
          <w:tcPr>
            <w:tcW w:w="2301" w:type="pct"/>
          </w:tcPr>
          <w:p w14:paraId="473B77B2">
            <w:pPr>
              <w:jc w:val="both"/>
              <w:rPr>
                <w:rFonts w:hint="eastAsia" w:ascii="宋体" w:hAnsi="宋体" w:eastAsiaTheme="minorEastAsia" w:cstheme="minorBidi"/>
                <w:color w:val="000000" w:themeColor="text1"/>
                <w:kern w:val="2"/>
                <w:sz w:val="21"/>
                <w:szCs w:val="21"/>
                <w:lang w:val="zh-CN" w:eastAsia="zh-CN" w:bidi="ar-SA"/>
                <w14:textFill>
                  <w14:solidFill>
                    <w14:schemeClr w14:val="tx1"/>
                  </w14:solidFill>
                </w14:textFill>
              </w:rPr>
            </w:pPr>
            <w:r>
              <w:rPr>
                <w:rFonts w:hint="eastAsia" w:ascii="宋体" w:hAnsi="宋体" w:eastAsiaTheme="minorEastAsia" w:cstheme="minorBidi"/>
                <w:color w:val="000000" w:themeColor="text1"/>
                <w:kern w:val="2"/>
                <w:sz w:val="21"/>
                <w:szCs w:val="21"/>
                <w:lang w:val="zh-CN" w:eastAsia="zh-CN" w:bidi="ar-SA"/>
                <w14:textFill>
                  <w14:solidFill>
                    <w14:schemeClr w14:val="tx1"/>
                  </w14:solidFill>
                </w14:textFill>
              </w:rPr>
              <w:t>★1.投标产品必须是在工业和信息化部装备工业发展中心—道路机动车辆生产企业及产品信息查询系统明确为新能源汽车，投标人应在投标文件中附上相关查询结果截图（系统网址https://service.miit-eidc.org.cn/miitxxgk/gonggao/xxgk/index）。</w:t>
            </w:r>
          </w:p>
        </w:tc>
        <w:tc>
          <w:tcPr>
            <w:tcW w:w="1538" w:type="pct"/>
          </w:tcPr>
          <w:p w14:paraId="3C268233"/>
        </w:tc>
        <w:tc>
          <w:tcPr>
            <w:tcW w:w="782" w:type="pct"/>
          </w:tcPr>
          <w:p w14:paraId="30FA3081"/>
        </w:tc>
      </w:tr>
      <w:tr w14:paraId="0C240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2366D00A">
            <w:pPr>
              <w:jc w:val="center"/>
              <w:rPr>
                <w:rFonts w:hint="default"/>
                <w:lang w:val="en-US" w:eastAsia="zh-CN"/>
              </w:rPr>
            </w:pPr>
            <w:r>
              <w:rPr>
                <w:rFonts w:hint="eastAsia"/>
                <w:lang w:val="en-US" w:eastAsia="zh-CN"/>
              </w:rPr>
              <w:t>4</w:t>
            </w:r>
          </w:p>
        </w:tc>
        <w:tc>
          <w:tcPr>
            <w:tcW w:w="2301" w:type="pct"/>
          </w:tcPr>
          <w:p w14:paraId="214216E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adjustRightInd w:val="0"/>
              <w:snapToGrid w:val="0"/>
              <w:spacing w:before="0" w:beforeAutospacing="0" w:after="0" w:afterAutospacing="0" w:line="360" w:lineRule="auto"/>
              <w:ind w:right="0" w:rightChars="0"/>
              <w:jc w:val="both"/>
              <w:rPr>
                <w:rFonts w:hint="eastAsia" w:ascii="宋体" w:hAnsi="宋体" w:eastAsiaTheme="minorEastAsia" w:cstheme="minorBidi"/>
                <w:color w:val="000000" w:themeColor="text1"/>
                <w:kern w:val="2"/>
                <w:sz w:val="21"/>
                <w:szCs w:val="21"/>
                <w:lang w:val="zh-CN" w:eastAsia="zh-CN" w:bidi="ar-SA"/>
                <w14:textFill>
                  <w14:solidFill>
                    <w14:schemeClr w14:val="tx1"/>
                  </w14:solidFill>
                </w14:textFill>
              </w:rPr>
            </w:pPr>
            <w:r>
              <w:rPr>
                <w:rFonts w:hint="eastAsia" w:ascii="宋体" w:hAnsi="宋体" w:eastAsiaTheme="minorEastAsia" w:cstheme="minorBidi"/>
                <w:color w:val="000000" w:themeColor="text1"/>
                <w:kern w:val="2"/>
                <w:sz w:val="21"/>
                <w:szCs w:val="21"/>
                <w:lang w:val="zh-CN" w:eastAsia="zh-CN" w:bidi="ar-SA"/>
                <w14:textFill>
                  <w14:solidFill>
                    <w14:schemeClr w14:val="tx1"/>
                  </w14:solidFill>
                </w14:textFill>
              </w:rPr>
              <w:t>★3.中标人交付的车辆必须是2026年1月1日以后生产的。投标时提供承诺函。</w:t>
            </w:r>
          </w:p>
        </w:tc>
        <w:tc>
          <w:tcPr>
            <w:tcW w:w="1538" w:type="pct"/>
          </w:tcPr>
          <w:p w14:paraId="206C6E3A"/>
        </w:tc>
        <w:tc>
          <w:tcPr>
            <w:tcW w:w="782" w:type="pct"/>
          </w:tcPr>
          <w:p w14:paraId="6C3A6EA0"/>
        </w:tc>
      </w:tr>
      <w:tr w14:paraId="6E26D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3E1CC17D">
            <w:pPr>
              <w:jc w:val="center"/>
              <w:rPr>
                <w:rFonts w:hint="default"/>
                <w:lang w:val="en-US" w:eastAsia="zh-CN"/>
              </w:rPr>
            </w:pPr>
            <w:r>
              <w:rPr>
                <w:rFonts w:hint="eastAsia"/>
                <w:lang w:val="en-US" w:eastAsia="zh-CN"/>
              </w:rPr>
              <w:t>5</w:t>
            </w:r>
          </w:p>
        </w:tc>
        <w:tc>
          <w:tcPr>
            <w:tcW w:w="2301" w:type="pct"/>
          </w:tcPr>
          <w:p w14:paraId="609BD6A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adjustRightInd w:val="0"/>
              <w:snapToGrid w:val="0"/>
              <w:spacing w:before="0" w:beforeAutospacing="0" w:after="0" w:afterAutospacing="0" w:line="360" w:lineRule="auto"/>
              <w:ind w:right="0" w:rightChars="0"/>
              <w:jc w:val="both"/>
              <w:rPr>
                <w:rFonts w:hint="eastAsia" w:ascii="宋体" w:hAnsi="宋体" w:eastAsiaTheme="minorEastAsia" w:cstheme="minorBidi"/>
                <w:color w:val="000000" w:themeColor="text1"/>
                <w:kern w:val="2"/>
                <w:sz w:val="21"/>
                <w:szCs w:val="21"/>
                <w:lang w:val="zh-CN" w:eastAsia="zh-CN" w:bidi="ar-SA"/>
                <w14:textFill>
                  <w14:solidFill>
                    <w14:schemeClr w14:val="tx1"/>
                  </w14:solidFill>
                </w14:textFill>
              </w:rPr>
            </w:pPr>
            <w:r>
              <w:rPr>
                <w:rFonts w:hint="eastAsia" w:ascii="宋体" w:hAnsi="宋体" w:eastAsiaTheme="minorEastAsia" w:cstheme="minorBidi"/>
                <w:color w:val="000000" w:themeColor="text1"/>
                <w:kern w:val="2"/>
                <w:sz w:val="21"/>
                <w:szCs w:val="21"/>
                <w:lang w:val="zh-CN" w:eastAsia="zh-CN" w:bidi="ar-SA"/>
                <w14:textFill>
                  <w14:solidFill>
                    <w14:schemeClr w14:val="tx1"/>
                  </w14:solidFill>
                </w14:textFill>
              </w:rPr>
              <w:t>★4.投标产品车辆全车断电后，必须仍具备制动和转向功能；车辆自身具有应急刹车解除，应当设置用于拖曳的牵引钩或其他用于固定绳索的装置，以便在主动力、控制系统失灵时或蓄电池电量不足时将设备移走。投标时提供承诺函。</w:t>
            </w:r>
          </w:p>
        </w:tc>
        <w:tc>
          <w:tcPr>
            <w:tcW w:w="1538" w:type="pct"/>
          </w:tcPr>
          <w:p w14:paraId="692F2758"/>
        </w:tc>
        <w:tc>
          <w:tcPr>
            <w:tcW w:w="782" w:type="pct"/>
          </w:tcPr>
          <w:p w14:paraId="1130264C"/>
        </w:tc>
      </w:tr>
      <w:tr w14:paraId="052C8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1ED60E4E">
            <w:pPr>
              <w:jc w:val="center"/>
              <w:rPr>
                <w:rFonts w:hint="default"/>
                <w:lang w:val="en-US" w:eastAsia="zh-CN"/>
              </w:rPr>
            </w:pPr>
            <w:r>
              <w:rPr>
                <w:rFonts w:hint="eastAsia"/>
                <w:lang w:val="en-US" w:eastAsia="zh-CN"/>
              </w:rPr>
              <w:t>6</w:t>
            </w:r>
          </w:p>
        </w:tc>
        <w:tc>
          <w:tcPr>
            <w:tcW w:w="2301" w:type="pct"/>
          </w:tcPr>
          <w:p w14:paraId="650D4EFE">
            <w:pPr>
              <w:jc w:val="both"/>
              <w:rPr>
                <w:rFonts w:hint="default" w:ascii="宋体" w:hAnsi="宋体" w:eastAsiaTheme="minorEastAsia" w:cstheme="minorBidi"/>
                <w:color w:val="000000" w:themeColor="text1"/>
                <w:kern w:val="2"/>
                <w:sz w:val="21"/>
                <w:szCs w:val="21"/>
                <w:lang w:val="en-US" w:eastAsia="zh-CN" w:bidi="ar-SA"/>
                <w14:textFill>
                  <w14:solidFill>
                    <w14:schemeClr w14:val="tx1"/>
                  </w14:solidFill>
                </w14:textFill>
              </w:rPr>
            </w:pPr>
            <w:r>
              <w:rPr>
                <w:rFonts w:hint="eastAsia" w:ascii="宋体" w:hAnsi="宋体" w:eastAsiaTheme="minorEastAsia" w:cstheme="minorBidi"/>
                <w:color w:val="000000" w:themeColor="text1"/>
                <w:kern w:val="2"/>
                <w:sz w:val="21"/>
                <w:szCs w:val="21"/>
                <w:lang w:val="en-US" w:eastAsia="zh-CN" w:bidi="ar-SA"/>
                <w14:textFill>
                  <w14:solidFill>
                    <w14:schemeClr w14:val="tx1"/>
                  </w14:solidFill>
                </w14:textFill>
              </w:rPr>
              <w:t>包1：</w:t>
            </w:r>
            <w:r>
              <w:rPr>
                <w:rFonts w:hint="eastAsia" w:ascii="宋体" w:hAnsi="宋体" w:eastAsiaTheme="minorEastAsia" w:cstheme="minorBidi"/>
                <w:color w:val="000000" w:themeColor="text1"/>
                <w:kern w:val="2"/>
                <w:sz w:val="21"/>
                <w:szCs w:val="21"/>
                <w:lang w:val="zh-CN" w:eastAsia="zh-CN" w:bidi="ar-SA"/>
                <w14:textFill>
                  <w14:solidFill>
                    <w14:schemeClr w14:val="tx1"/>
                  </w14:solidFill>
                </w14:textFill>
              </w:rPr>
              <w:t>★4门三厢车或5门掀背车</w:t>
            </w:r>
          </w:p>
        </w:tc>
        <w:tc>
          <w:tcPr>
            <w:tcW w:w="1538" w:type="pct"/>
          </w:tcPr>
          <w:p w14:paraId="4E484FCF"/>
        </w:tc>
        <w:tc>
          <w:tcPr>
            <w:tcW w:w="782" w:type="pct"/>
          </w:tcPr>
          <w:p w14:paraId="3AEAB576"/>
        </w:tc>
      </w:tr>
      <w:tr w14:paraId="25F6D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5D20C8E6">
            <w:pPr>
              <w:jc w:val="center"/>
              <w:rPr>
                <w:rFonts w:hint="default"/>
                <w:lang w:val="en-US" w:eastAsia="zh-CN"/>
              </w:rPr>
            </w:pPr>
            <w:r>
              <w:rPr>
                <w:rFonts w:hint="eastAsia"/>
                <w:lang w:val="en-US" w:eastAsia="zh-CN"/>
              </w:rPr>
              <w:t>7</w:t>
            </w:r>
          </w:p>
        </w:tc>
        <w:tc>
          <w:tcPr>
            <w:tcW w:w="2301" w:type="pct"/>
          </w:tcPr>
          <w:p w14:paraId="4258F12C">
            <w:pPr>
              <w:jc w:val="left"/>
              <w:rPr>
                <w:rFonts w:hint="default" w:ascii="宋体" w:hAnsi="宋体" w:eastAsiaTheme="minorEastAsia" w:cstheme="minorBidi"/>
                <w:color w:val="000000" w:themeColor="text1"/>
                <w:kern w:val="2"/>
                <w:sz w:val="21"/>
                <w:szCs w:val="21"/>
                <w:lang w:val="en-US" w:eastAsia="zh-CN" w:bidi="ar-SA"/>
                <w14:textFill>
                  <w14:solidFill>
                    <w14:schemeClr w14:val="tx1"/>
                  </w14:solidFill>
                </w14:textFill>
              </w:rPr>
            </w:pPr>
            <w:r>
              <w:rPr>
                <w:rFonts w:hint="eastAsia" w:ascii="宋体" w:hAnsi="宋体" w:eastAsiaTheme="minorEastAsia" w:cstheme="minorBidi"/>
                <w:color w:val="000000" w:themeColor="text1"/>
                <w:kern w:val="2"/>
                <w:sz w:val="21"/>
                <w:szCs w:val="21"/>
                <w:lang w:val="en-US" w:eastAsia="zh-CN" w:bidi="ar-SA"/>
                <w14:textFill>
                  <w14:solidFill>
                    <w14:schemeClr w14:val="tx1"/>
                  </w14:solidFill>
                </w14:textFill>
              </w:rPr>
              <w:t>包1：</w:t>
            </w:r>
            <w:r>
              <w:rPr>
                <w:rFonts w:hint="eastAsia" w:ascii="宋体" w:hAnsi="宋体" w:eastAsiaTheme="minorEastAsia" w:cstheme="minorBidi"/>
                <w:color w:val="000000" w:themeColor="text1"/>
                <w:kern w:val="2"/>
                <w:sz w:val="21"/>
                <w:szCs w:val="21"/>
                <w:lang w:val="zh-CN" w:eastAsia="zh-CN" w:bidi="ar-SA"/>
                <w14:textFill>
                  <w14:solidFill>
                    <w14:schemeClr w14:val="tx1"/>
                  </w14:solidFill>
                </w14:textFill>
              </w:rPr>
              <w:t>★5座，采用2+3布局</w:t>
            </w:r>
          </w:p>
        </w:tc>
        <w:tc>
          <w:tcPr>
            <w:tcW w:w="1538" w:type="pct"/>
          </w:tcPr>
          <w:p w14:paraId="76C7B74D"/>
        </w:tc>
        <w:tc>
          <w:tcPr>
            <w:tcW w:w="782" w:type="pct"/>
          </w:tcPr>
          <w:p w14:paraId="777D7D7A"/>
        </w:tc>
      </w:tr>
      <w:tr w14:paraId="6D7B7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57342B84">
            <w:pPr>
              <w:jc w:val="center"/>
              <w:rPr>
                <w:rFonts w:hint="default"/>
                <w:lang w:val="en-US" w:eastAsia="zh-CN"/>
              </w:rPr>
            </w:pPr>
            <w:r>
              <w:rPr>
                <w:rFonts w:hint="eastAsia"/>
                <w:lang w:val="en-US" w:eastAsia="zh-CN"/>
              </w:rPr>
              <w:t>8</w:t>
            </w:r>
          </w:p>
        </w:tc>
        <w:tc>
          <w:tcPr>
            <w:tcW w:w="2301" w:type="pct"/>
          </w:tcPr>
          <w:p w14:paraId="3ABBA4F3">
            <w:pPr>
              <w:jc w:val="both"/>
              <w:rPr>
                <w:rFonts w:hint="default" w:ascii="宋体" w:hAnsi="宋体" w:eastAsiaTheme="minorEastAsia" w:cstheme="minorBidi"/>
                <w:color w:val="000000" w:themeColor="text1"/>
                <w:kern w:val="2"/>
                <w:sz w:val="21"/>
                <w:szCs w:val="21"/>
                <w:lang w:val="en-US" w:eastAsia="zh-CN" w:bidi="ar-SA"/>
                <w14:textFill>
                  <w14:solidFill>
                    <w14:schemeClr w14:val="tx1"/>
                  </w14:solidFill>
                </w14:textFill>
              </w:rPr>
            </w:pPr>
            <w:r>
              <w:rPr>
                <w:rFonts w:hint="eastAsia" w:ascii="宋体" w:hAnsi="宋体" w:eastAsiaTheme="minorEastAsia" w:cstheme="minorBidi"/>
                <w:color w:val="000000" w:themeColor="text1"/>
                <w:kern w:val="2"/>
                <w:sz w:val="21"/>
                <w:szCs w:val="21"/>
                <w:lang w:val="en-US" w:eastAsia="zh-CN" w:bidi="ar-SA"/>
                <w14:textFill>
                  <w14:solidFill>
                    <w14:schemeClr w14:val="tx1"/>
                  </w14:solidFill>
                </w14:textFill>
              </w:rPr>
              <w:t>包1：</w:t>
            </w:r>
            <w:r>
              <w:rPr>
                <w:rFonts w:hint="eastAsia" w:ascii="宋体" w:hAnsi="宋体" w:eastAsiaTheme="minorEastAsia" w:cstheme="minorBidi"/>
                <w:color w:val="000000" w:themeColor="text1"/>
                <w:kern w:val="2"/>
                <w:sz w:val="21"/>
                <w:szCs w:val="21"/>
                <w:lang w:val="zh-CN" w:eastAsia="zh-CN" w:bidi="ar-SA"/>
                <w14:textFill>
                  <w14:solidFill>
                    <w14:schemeClr w14:val="tx1"/>
                  </w14:solidFill>
                </w14:textFill>
              </w:rPr>
              <w:t>★纯电动</w:t>
            </w:r>
          </w:p>
        </w:tc>
        <w:tc>
          <w:tcPr>
            <w:tcW w:w="1538" w:type="pct"/>
          </w:tcPr>
          <w:p w14:paraId="35DE7A9F"/>
        </w:tc>
        <w:tc>
          <w:tcPr>
            <w:tcW w:w="782" w:type="pct"/>
          </w:tcPr>
          <w:p w14:paraId="12359C45"/>
        </w:tc>
      </w:tr>
      <w:tr w14:paraId="20A1E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3558602A">
            <w:pPr>
              <w:jc w:val="center"/>
              <w:rPr>
                <w:rFonts w:hint="default"/>
                <w:lang w:val="en-US" w:eastAsia="zh-CN"/>
              </w:rPr>
            </w:pPr>
            <w:r>
              <w:rPr>
                <w:rFonts w:hint="eastAsia"/>
                <w:lang w:val="en-US" w:eastAsia="zh-CN"/>
              </w:rPr>
              <w:t>9</w:t>
            </w:r>
          </w:p>
        </w:tc>
        <w:tc>
          <w:tcPr>
            <w:tcW w:w="2301" w:type="pct"/>
          </w:tcPr>
          <w:p w14:paraId="363E24E2">
            <w:pPr>
              <w:jc w:val="both"/>
              <w:rPr>
                <w:rFonts w:hint="default" w:ascii="宋体" w:hAnsi="宋体" w:eastAsiaTheme="minorEastAsia" w:cstheme="minorBidi"/>
                <w:color w:val="000000" w:themeColor="text1"/>
                <w:kern w:val="2"/>
                <w:sz w:val="21"/>
                <w:szCs w:val="21"/>
                <w:lang w:val="en-US" w:eastAsia="zh-CN" w:bidi="ar-SA"/>
                <w14:textFill>
                  <w14:solidFill>
                    <w14:schemeClr w14:val="tx1"/>
                  </w14:solidFill>
                </w14:textFill>
              </w:rPr>
            </w:pPr>
            <w:r>
              <w:rPr>
                <w:rFonts w:hint="eastAsia" w:ascii="宋体" w:hAnsi="宋体" w:eastAsiaTheme="minorEastAsia" w:cstheme="minorBidi"/>
                <w:color w:val="000000" w:themeColor="text1"/>
                <w:kern w:val="2"/>
                <w:sz w:val="21"/>
                <w:szCs w:val="21"/>
                <w:lang w:val="en-US" w:eastAsia="zh-CN" w:bidi="ar-SA"/>
                <w14:textFill>
                  <w14:solidFill>
                    <w14:schemeClr w14:val="tx1"/>
                  </w14:solidFill>
                </w14:textFill>
              </w:rPr>
              <w:t>包1：</w:t>
            </w:r>
            <w:r>
              <w:rPr>
                <w:color w:val="000000"/>
                <w:sz w:val="21"/>
              </w:rPr>
              <w:t>★磷酸铁锂电池</w:t>
            </w:r>
            <w:r>
              <w:rPr>
                <w:color w:val="000000"/>
                <w:sz w:val="21"/>
                <w:lang w:eastAsia="zh-CN"/>
              </w:rPr>
              <w:t>、磷酸铁锰锂电池</w:t>
            </w:r>
            <w:r>
              <w:rPr>
                <w:color w:val="000000"/>
                <w:sz w:val="21"/>
              </w:rPr>
              <w:t>或三元锂电池</w:t>
            </w:r>
          </w:p>
        </w:tc>
        <w:tc>
          <w:tcPr>
            <w:tcW w:w="1538" w:type="pct"/>
          </w:tcPr>
          <w:p w14:paraId="40C6EB04"/>
        </w:tc>
        <w:tc>
          <w:tcPr>
            <w:tcW w:w="782" w:type="pct"/>
          </w:tcPr>
          <w:p w14:paraId="14355DC8"/>
        </w:tc>
      </w:tr>
      <w:tr w14:paraId="02F1A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64803DC8">
            <w:pPr>
              <w:jc w:val="center"/>
              <w:rPr>
                <w:rFonts w:hint="default"/>
                <w:lang w:val="en-US" w:eastAsia="zh-CN"/>
              </w:rPr>
            </w:pPr>
            <w:r>
              <w:rPr>
                <w:rFonts w:hint="eastAsia"/>
                <w:lang w:val="en-US" w:eastAsia="zh-CN"/>
              </w:rPr>
              <w:t>10</w:t>
            </w:r>
          </w:p>
        </w:tc>
        <w:tc>
          <w:tcPr>
            <w:tcW w:w="2301" w:type="pct"/>
          </w:tcPr>
          <w:p w14:paraId="79FEE538">
            <w:pPr>
              <w:rPr>
                <w:rFonts w:hint="default" w:ascii="宋体" w:hAnsi="宋体" w:eastAsiaTheme="minorEastAsia" w:cstheme="minorBidi"/>
                <w:color w:val="000000" w:themeColor="text1"/>
                <w:kern w:val="2"/>
                <w:sz w:val="21"/>
                <w:szCs w:val="21"/>
                <w:lang w:val="en-US" w:eastAsia="zh-CN" w:bidi="ar-SA"/>
                <w14:textFill>
                  <w14:solidFill>
                    <w14:schemeClr w14:val="tx1"/>
                  </w14:solidFill>
                </w14:textFill>
              </w:rPr>
            </w:pPr>
            <w:r>
              <w:rPr>
                <w:rFonts w:hint="eastAsia" w:ascii="宋体" w:hAnsi="宋体" w:eastAsiaTheme="minorEastAsia" w:cstheme="minorBidi"/>
                <w:color w:val="000000" w:themeColor="text1"/>
                <w:kern w:val="2"/>
                <w:sz w:val="21"/>
                <w:szCs w:val="21"/>
                <w:lang w:val="en-US" w:eastAsia="zh-CN" w:bidi="ar-SA"/>
                <w14:textFill>
                  <w14:solidFill>
                    <w14:schemeClr w14:val="tx1"/>
                  </w14:solidFill>
                </w14:textFill>
              </w:rPr>
              <w:t>包1：</w:t>
            </w:r>
            <w:r>
              <w:rPr>
                <w:rFonts w:hint="eastAsia" w:ascii="宋体" w:hAnsi="宋体" w:eastAsiaTheme="minorEastAsia" w:cstheme="minorBidi"/>
                <w:color w:val="000000" w:themeColor="text1"/>
                <w:kern w:val="2"/>
                <w:sz w:val="21"/>
                <w:szCs w:val="21"/>
                <w:lang w:val="zh-CN" w:eastAsia="zh-CN" w:bidi="ar-SA"/>
                <w14:textFill>
                  <w14:solidFill>
                    <w14:schemeClr w14:val="tx1"/>
                  </w14:solidFill>
                </w14:textFill>
              </w:rPr>
              <w:t>★配备慢充充电桩或便携式充电转换器</w:t>
            </w:r>
          </w:p>
        </w:tc>
        <w:tc>
          <w:tcPr>
            <w:tcW w:w="1538" w:type="pct"/>
          </w:tcPr>
          <w:p w14:paraId="49C39B07"/>
        </w:tc>
        <w:tc>
          <w:tcPr>
            <w:tcW w:w="782" w:type="pct"/>
          </w:tcPr>
          <w:p w14:paraId="707E717B"/>
        </w:tc>
      </w:tr>
      <w:tr w14:paraId="58BFD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323F2CCE">
            <w:pPr>
              <w:jc w:val="center"/>
              <w:rPr>
                <w:rFonts w:hint="default"/>
                <w:lang w:val="en-US" w:eastAsia="zh-CN"/>
              </w:rPr>
            </w:pPr>
            <w:r>
              <w:rPr>
                <w:rFonts w:hint="eastAsia"/>
                <w:lang w:val="en-US" w:eastAsia="zh-CN"/>
              </w:rPr>
              <w:t>11</w:t>
            </w:r>
          </w:p>
        </w:tc>
        <w:tc>
          <w:tcPr>
            <w:tcW w:w="2301" w:type="pct"/>
          </w:tcPr>
          <w:p w14:paraId="6DCCB04A">
            <w:pPr>
              <w:jc w:val="both"/>
              <w:rPr>
                <w:rFonts w:hint="default" w:ascii="宋体" w:hAnsi="宋体" w:eastAsiaTheme="minorEastAsia" w:cstheme="minorBidi"/>
                <w:color w:val="000000" w:themeColor="text1"/>
                <w:kern w:val="2"/>
                <w:sz w:val="21"/>
                <w:szCs w:val="21"/>
                <w:lang w:val="en-US" w:eastAsia="zh-CN" w:bidi="ar-SA"/>
                <w14:textFill>
                  <w14:solidFill>
                    <w14:schemeClr w14:val="tx1"/>
                  </w14:solidFill>
                </w14:textFill>
              </w:rPr>
            </w:pPr>
            <w:r>
              <w:rPr>
                <w:rFonts w:hint="eastAsia" w:ascii="宋体" w:hAnsi="宋体" w:eastAsiaTheme="minorEastAsia" w:cstheme="minorBidi"/>
                <w:color w:val="000000" w:themeColor="text1"/>
                <w:kern w:val="2"/>
                <w:sz w:val="21"/>
                <w:szCs w:val="21"/>
                <w:lang w:val="en-US" w:eastAsia="zh-CN" w:bidi="ar-SA"/>
                <w14:textFill>
                  <w14:solidFill>
                    <w14:schemeClr w14:val="tx1"/>
                  </w14:solidFill>
                </w14:textFill>
              </w:rPr>
              <w:t>包1：</w:t>
            </w:r>
            <w:r>
              <w:rPr>
                <w:rFonts w:hint="eastAsia" w:ascii="宋体" w:hAnsi="宋体" w:eastAsiaTheme="minorEastAsia" w:cstheme="minorBidi"/>
                <w:color w:val="000000" w:themeColor="text1"/>
                <w:kern w:val="2"/>
                <w:sz w:val="21"/>
                <w:szCs w:val="21"/>
                <w:lang w:val="zh-CN" w:eastAsia="zh-CN" w:bidi="ar-SA"/>
                <w14:textFill>
                  <w14:solidFill>
                    <w14:schemeClr w14:val="tx1"/>
                  </w14:solidFill>
                </w14:textFill>
              </w:rPr>
              <w:t>★①购车价最高限价12.5万元/辆；②上牌服务价（含购置税费、改装费、上牌费）最高限价1万元/辆，超出限价为无效投标。</w:t>
            </w:r>
          </w:p>
        </w:tc>
        <w:tc>
          <w:tcPr>
            <w:tcW w:w="1538" w:type="pct"/>
          </w:tcPr>
          <w:p w14:paraId="1A613FA1"/>
        </w:tc>
        <w:tc>
          <w:tcPr>
            <w:tcW w:w="782" w:type="pct"/>
          </w:tcPr>
          <w:p w14:paraId="3CC1FA6E"/>
        </w:tc>
      </w:tr>
      <w:tr w14:paraId="5252E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5D01DD07">
            <w:pPr>
              <w:jc w:val="center"/>
              <w:rPr>
                <w:rFonts w:hint="default"/>
                <w:lang w:val="en-US" w:eastAsia="zh-CN"/>
              </w:rPr>
            </w:pPr>
            <w:r>
              <w:rPr>
                <w:rFonts w:hint="eastAsia"/>
                <w:lang w:val="en-US" w:eastAsia="zh-CN"/>
              </w:rPr>
              <w:t>12</w:t>
            </w:r>
          </w:p>
        </w:tc>
        <w:tc>
          <w:tcPr>
            <w:tcW w:w="2301" w:type="pct"/>
          </w:tcPr>
          <w:p w14:paraId="6667F1A8">
            <w:pPr>
              <w:jc w:val="both"/>
              <w:rPr>
                <w:rFonts w:hint="default" w:ascii="宋体" w:hAnsi="宋体" w:eastAsiaTheme="minorEastAsia" w:cstheme="minorBidi"/>
                <w:color w:val="000000" w:themeColor="text1"/>
                <w:kern w:val="2"/>
                <w:sz w:val="21"/>
                <w:szCs w:val="21"/>
                <w:lang w:val="en-US" w:eastAsia="zh-CN" w:bidi="ar-SA"/>
                <w14:textFill>
                  <w14:solidFill>
                    <w14:schemeClr w14:val="tx1"/>
                  </w14:solidFill>
                </w14:textFill>
              </w:rPr>
            </w:pPr>
            <w:r>
              <w:rPr>
                <w:rFonts w:hint="eastAsia" w:ascii="宋体" w:hAnsi="宋体" w:eastAsiaTheme="minorEastAsia" w:cstheme="minorBidi"/>
                <w:color w:val="000000" w:themeColor="text1"/>
                <w:kern w:val="2"/>
                <w:sz w:val="21"/>
                <w:szCs w:val="21"/>
                <w:lang w:val="en-US" w:eastAsia="zh-CN" w:bidi="ar-SA"/>
                <w14:textFill>
                  <w14:solidFill>
                    <w14:schemeClr w14:val="tx1"/>
                  </w14:solidFill>
                </w14:textFill>
              </w:rPr>
              <w:t>包2：★5门SUV 。</w:t>
            </w:r>
          </w:p>
        </w:tc>
        <w:tc>
          <w:tcPr>
            <w:tcW w:w="1538" w:type="pct"/>
          </w:tcPr>
          <w:p w14:paraId="49E4027C"/>
        </w:tc>
        <w:tc>
          <w:tcPr>
            <w:tcW w:w="782" w:type="pct"/>
          </w:tcPr>
          <w:p w14:paraId="574FB291"/>
        </w:tc>
      </w:tr>
      <w:tr w14:paraId="738E5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69026B65">
            <w:pPr>
              <w:jc w:val="center"/>
              <w:rPr>
                <w:rFonts w:hint="default"/>
                <w:lang w:val="en-US" w:eastAsia="zh-CN"/>
              </w:rPr>
            </w:pPr>
            <w:r>
              <w:rPr>
                <w:rFonts w:hint="eastAsia"/>
                <w:lang w:val="en-US" w:eastAsia="zh-CN"/>
              </w:rPr>
              <w:t>13</w:t>
            </w:r>
          </w:p>
        </w:tc>
        <w:tc>
          <w:tcPr>
            <w:tcW w:w="2301" w:type="pct"/>
          </w:tcPr>
          <w:p w14:paraId="2A985338">
            <w:pPr>
              <w:jc w:val="both"/>
              <w:rPr>
                <w:rFonts w:hint="default" w:ascii="宋体" w:hAnsi="宋体" w:eastAsiaTheme="minorEastAsia" w:cstheme="minorBidi"/>
                <w:color w:val="000000" w:themeColor="text1"/>
                <w:kern w:val="2"/>
                <w:sz w:val="21"/>
                <w:szCs w:val="21"/>
                <w:lang w:val="en-US" w:eastAsia="zh-CN" w:bidi="ar-SA"/>
                <w14:textFill>
                  <w14:solidFill>
                    <w14:schemeClr w14:val="tx1"/>
                  </w14:solidFill>
                </w14:textFill>
              </w:rPr>
            </w:pPr>
            <w:r>
              <w:rPr>
                <w:rFonts w:hint="eastAsia" w:ascii="宋体" w:hAnsi="宋体" w:eastAsiaTheme="minorEastAsia" w:cstheme="minorBidi"/>
                <w:color w:val="000000" w:themeColor="text1"/>
                <w:kern w:val="2"/>
                <w:sz w:val="21"/>
                <w:szCs w:val="21"/>
                <w:lang w:val="en-US" w:eastAsia="zh-CN" w:bidi="ar-SA"/>
                <w14:textFill>
                  <w14:solidFill>
                    <w14:schemeClr w14:val="tx1"/>
                  </w14:solidFill>
                </w14:textFill>
              </w:rPr>
              <w:t xml:space="preserve">包2：★5座及以上 </w:t>
            </w:r>
          </w:p>
        </w:tc>
        <w:tc>
          <w:tcPr>
            <w:tcW w:w="1538" w:type="pct"/>
          </w:tcPr>
          <w:p w14:paraId="5ECE8408"/>
        </w:tc>
        <w:tc>
          <w:tcPr>
            <w:tcW w:w="782" w:type="pct"/>
          </w:tcPr>
          <w:p w14:paraId="5CF4633F"/>
        </w:tc>
      </w:tr>
      <w:tr w14:paraId="0FF32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498F742C">
            <w:pPr>
              <w:jc w:val="center"/>
              <w:rPr>
                <w:rFonts w:hint="default"/>
                <w:lang w:val="en-US" w:eastAsia="zh-CN"/>
              </w:rPr>
            </w:pPr>
            <w:r>
              <w:rPr>
                <w:rFonts w:hint="eastAsia"/>
                <w:lang w:val="en-US" w:eastAsia="zh-CN"/>
              </w:rPr>
              <w:t>14</w:t>
            </w:r>
          </w:p>
        </w:tc>
        <w:tc>
          <w:tcPr>
            <w:tcW w:w="2301" w:type="pct"/>
          </w:tcPr>
          <w:p w14:paraId="5F76E4B7">
            <w:pPr>
              <w:jc w:val="both"/>
              <w:rPr>
                <w:rFonts w:hint="default" w:ascii="宋体" w:hAnsi="宋体" w:eastAsiaTheme="minorEastAsia" w:cstheme="minorBidi"/>
                <w:color w:val="000000" w:themeColor="text1"/>
                <w:kern w:val="2"/>
                <w:sz w:val="21"/>
                <w:szCs w:val="21"/>
                <w:lang w:val="en-US" w:eastAsia="zh-CN" w:bidi="ar-SA"/>
                <w14:textFill>
                  <w14:solidFill>
                    <w14:schemeClr w14:val="tx1"/>
                  </w14:solidFill>
                </w14:textFill>
              </w:rPr>
            </w:pPr>
            <w:r>
              <w:rPr>
                <w:rFonts w:hint="eastAsia" w:ascii="宋体" w:hAnsi="宋体" w:eastAsiaTheme="minorEastAsia" w:cstheme="minorBidi"/>
                <w:color w:val="000000" w:themeColor="text1"/>
                <w:kern w:val="2"/>
                <w:sz w:val="21"/>
                <w:szCs w:val="21"/>
                <w:lang w:val="en-US" w:eastAsia="zh-CN" w:bidi="ar-SA"/>
                <w14:textFill>
                  <w14:solidFill>
                    <w14:schemeClr w14:val="tx1"/>
                  </w14:solidFill>
                </w14:textFill>
              </w:rPr>
              <w:t xml:space="preserve">包2：★纯电动 </w:t>
            </w:r>
          </w:p>
        </w:tc>
        <w:tc>
          <w:tcPr>
            <w:tcW w:w="1538" w:type="pct"/>
          </w:tcPr>
          <w:p w14:paraId="5610CE61"/>
        </w:tc>
        <w:tc>
          <w:tcPr>
            <w:tcW w:w="782" w:type="pct"/>
          </w:tcPr>
          <w:p w14:paraId="239925B2"/>
        </w:tc>
      </w:tr>
      <w:tr w14:paraId="768D7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74C247D4">
            <w:pPr>
              <w:jc w:val="center"/>
              <w:rPr>
                <w:rFonts w:hint="default"/>
                <w:lang w:val="en-US" w:eastAsia="zh-CN"/>
              </w:rPr>
            </w:pPr>
            <w:r>
              <w:rPr>
                <w:rFonts w:hint="eastAsia"/>
                <w:lang w:val="en-US" w:eastAsia="zh-CN"/>
              </w:rPr>
              <w:t>15</w:t>
            </w:r>
          </w:p>
        </w:tc>
        <w:tc>
          <w:tcPr>
            <w:tcW w:w="2301" w:type="pct"/>
          </w:tcPr>
          <w:p w14:paraId="167555A0">
            <w:pPr>
              <w:jc w:val="both"/>
              <w:rPr>
                <w:rFonts w:hint="default" w:ascii="宋体" w:hAnsi="宋体" w:eastAsiaTheme="minorEastAsia" w:cstheme="minorBidi"/>
                <w:color w:val="000000" w:themeColor="text1"/>
                <w:kern w:val="2"/>
                <w:sz w:val="21"/>
                <w:szCs w:val="21"/>
                <w:lang w:val="en-US" w:eastAsia="zh-CN" w:bidi="ar-SA"/>
                <w14:textFill>
                  <w14:solidFill>
                    <w14:schemeClr w14:val="tx1"/>
                  </w14:solidFill>
                </w14:textFill>
              </w:rPr>
            </w:pPr>
            <w:r>
              <w:rPr>
                <w:rFonts w:hint="eastAsia" w:ascii="宋体" w:hAnsi="宋体" w:eastAsiaTheme="minorEastAsia" w:cstheme="minorBidi"/>
                <w:color w:val="000000" w:themeColor="text1"/>
                <w:kern w:val="2"/>
                <w:sz w:val="21"/>
                <w:szCs w:val="21"/>
                <w:lang w:val="en-US" w:eastAsia="zh-CN" w:bidi="ar-SA"/>
                <w14:textFill>
                  <w14:solidFill>
                    <w14:schemeClr w14:val="tx1"/>
                  </w14:solidFill>
                </w14:textFill>
              </w:rPr>
              <w:t>包2：</w:t>
            </w:r>
            <w:r>
              <w:rPr>
                <w:color w:val="000000"/>
                <w:sz w:val="21"/>
              </w:rPr>
              <w:t>★磷酸铁锂电池</w:t>
            </w:r>
            <w:r>
              <w:rPr>
                <w:color w:val="000000"/>
                <w:sz w:val="21"/>
                <w:lang w:eastAsia="zh-CN"/>
              </w:rPr>
              <w:t>、磷酸铁锰锂电池</w:t>
            </w:r>
            <w:r>
              <w:rPr>
                <w:color w:val="000000"/>
                <w:sz w:val="21"/>
              </w:rPr>
              <w:t>或三元锂电池</w:t>
            </w:r>
            <w:r>
              <w:rPr>
                <w:rFonts w:hint="eastAsia" w:ascii="宋体" w:hAnsi="宋体" w:eastAsiaTheme="minorEastAsia" w:cstheme="minorBidi"/>
                <w:color w:val="000000" w:themeColor="text1"/>
                <w:kern w:val="2"/>
                <w:sz w:val="21"/>
                <w:szCs w:val="21"/>
                <w:lang w:val="en-US" w:eastAsia="zh-CN" w:bidi="ar-SA"/>
                <w14:textFill>
                  <w14:solidFill>
                    <w14:schemeClr w14:val="tx1"/>
                  </w14:solidFill>
                </w14:textFill>
              </w:rPr>
              <w:t xml:space="preserve"> </w:t>
            </w:r>
          </w:p>
        </w:tc>
        <w:tc>
          <w:tcPr>
            <w:tcW w:w="1538" w:type="pct"/>
          </w:tcPr>
          <w:p w14:paraId="72F32AC3"/>
        </w:tc>
        <w:tc>
          <w:tcPr>
            <w:tcW w:w="782" w:type="pct"/>
          </w:tcPr>
          <w:p w14:paraId="2B185ECD"/>
        </w:tc>
      </w:tr>
      <w:tr w14:paraId="0B160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18D16B91">
            <w:pPr>
              <w:jc w:val="center"/>
              <w:rPr>
                <w:rFonts w:hint="default"/>
                <w:lang w:val="en-US" w:eastAsia="zh-CN"/>
              </w:rPr>
            </w:pPr>
            <w:r>
              <w:rPr>
                <w:rFonts w:hint="eastAsia"/>
                <w:lang w:val="en-US" w:eastAsia="zh-CN"/>
              </w:rPr>
              <w:t>16</w:t>
            </w:r>
          </w:p>
        </w:tc>
        <w:tc>
          <w:tcPr>
            <w:tcW w:w="2301" w:type="pct"/>
          </w:tcPr>
          <w:p w14:paraId="0F2397ED">
            <w:pPr>
              <w:jc w:val="both"/>
              <w:rPr>
                <w:rFonts w:hint="default" w:ascii="宋体" w:hAnsi="宋体" w:eastAsiaTheme="minorEastAsia" w:cstheme="minorBidi"/>
                <w:color w:val="000000" w:themeColor="text1"/>
                <w:kern w:val="2"/>
                <w:sz w:val="21"/>
                <w:szCs w:val="21"/>
                <w:lang w:val="en-US" w:eastAsia="zh-CN" w:bidi="ar-SA"/>
                <w14:textFill>
                  <w14:solidFill>
                    <w14:schemeClr w14:val="tx1"/>
                  </w14:solidFill>
                </w14:textFill>
              </w:rPr>
            </w:pPr>
            <w:r>
              <w:rPr>
                <w:rFonts w:hint="eastAsia" w:ascii="宋体" w:hAnsi="宋体" w:eastAsiaTheme="minorEastAsia" w:cstheme="minorBidi"/>
                <w:color w:val="000000" w:themeColor="text1"/>
                <w:kern w:val="2"/>
                <w:sz w:val="21"/>
                <w:szCs w:val="21"/>
                <w:lang w:val="en-US" w:eastAsia="zh-CN" w:bidi="ar-SA"/>
                <w14:textFill>
                  <w14:solidFill>
                    <w14:schemeClr w14:val="tx1"/>
                  </w14:solidFill>
                </w14:textFill>
              </w:rPr>
              <w:t>包2：★</w:t>
            </w:r>
            <w:r>
              <w:rPr>
                <w:rFonts w:hint="eastAsia" w:ascii="宋体" w:hAnsi="宋体" w:eastAsiaTheme="minorEastAsia" w:cstheme="minorBidi"/>
                <w:color w:val="000000" w:themeColor="text1"/>
                <w:kern w:val="2"/>
                <w:sz w:val="21"/>
                <w:szCs w:val="21"/>
                <w:lang w:val="zh-CN" w:eastAsia="zh-CN" w:bidi="ar-SA"/>
                <w14:textFill>
                  <w14:solidFill>
                    <w14:schemeClr w14:val="tx1"/>
                  </w14:solidFill>
                </w14:textFill>
              </w:rPr>
              <w:t>配备慢充充电桩或便携式充电转换器</w:t>
            </w:r>
            <w:r>
              <w:rPr>
                <w:rFonts w:hint="eastAsia" w:ascii="宋体" w:hAnsi="宋体" w:eastAsiaTheme="minorEastAsia" w:cstheme="minorBidi"/>
                <w:color w:val="000000" w:themeColor="text1"/>
                <w:kern w:val="2"/>
                <w:sz w:val="21"/>
                <w:szCs w:val="21"/>
                <w:lang w:val="en-US" w:eastAsia="zh-CN" w:bidi="ar-SA"/>
                <w14:textFill>
                  <w14:solidFill>
                    <w14:schemeClr w14:val="tx1"/>
                  </w14:solidFill>
                </w14:textFill>
              </w:rPr>
              <w:t xml:space="preserve"> </w:t>
            </w:r>
          </w:p>
        </w:tc>
        <w:tc>
          <w:tcPr>
            <w:tcW w:w="1538" w:type="pct"/>
          </w:tcPr>
          <w:p w14:paraId="7CCD839F"/>
        </w:tc>
        <w:tc>
          <w:tcPr>
            <w:tcW w:w="782" w:type="pct"/>
          </w:tcPr>
          <w:p w14:paraId="4C5E4933"/>
        </w:tc>
      </w:tr>
      <w:tr w14:paraId="1E2DE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494DD8D3">
            <w:pPr>
              <w:jc w:val="center"/>
              <w:rPr>
                <w:rFonts w:hint="default"/>
                <w:lang w:val="en-US" w:eastAsia="zh-CN"/>
              </w:rPr>
            </w:pPr>
            <w:r>
              <w:rPr>
                <w:rFonts w:hint="eastAsia"/>
                <w:lang w:val="en-US" w:eastAsia="zh-CN"/>
              </w:rPr>
              <w:t>17</w:t>
            </w:r>
          </w:p>
        </w:tc>
        <w:tc>
          <w:tcPr>
            <w:tcW w:w="2301" w:type="pct"/>
          </w:tcPr>
          <w:p w14:paraId="0DFF52D3">
            <w:pPr>
              <w:jc w:val="both"/>
              <w:rPr>
                <w:rFonts w:hint="default" w:ascii="宋体" w:hAnsi="宋体" w:eastAsiaTheme="minorEastAsia" w:cstheme="minorBidi"/>
                <w:color w:val="000000" w:themeColor="text1"/>
                <w:kern w:val="2"/>
                <w:sz w:val="21"/>
                <w:szCs w:val="21"/>
                <w:lang w:val="en-US" w:eastAsia="zh-CN" w:bidi="ar-SA"/>
                <w14:textFill>
                  <w14:solidFill>
                    <w14:schemeClr w14:val="tx1"/>
                  </w14:solidFill>
                </w14:textFill>
              </w:rPr>
            </w:pPr>
            <w:r>
              <w:rPr>
                <w:rFonts w:hint="eastAsia" w:ascii="宋体" w:hAnsi="宋体" w:eastAsiaTheme="minorEastAsia" w:cstheme="minorBidi"/>
                <w:color w:val="000000" w:themeColor="text1"/>
                <w:kern w:val="2"/>
                <w:sz w:val="21"/>
                <w:szCs w:val="21"/>
                <w:lang w:val="en-US" w:eastAsia="zh-CN" w:bidi="ar-SA"/>
                <w14:textFill>
                  <w14:solidFill>
                    <w14:schemeClr w14:val="tx1"/>
                  </w14:solidFill>
                </w14:textFill>
              </w:rPr>
              <w:t>包2：★</w:t>
            </w:r>
            <w:r>
              <w:rPr>
                <w:rFonts w:hint="eastAsia" w:ascii="宋体" w:hAnsi="宋体" w:eastAsiaTheme="minorEastAsia" w:cstheme="minorBidi"/>
                <w:color w:val="000000" w:themeColor="text1"/>
                <w:kern w:val="2"/>
                <w:sz w:val="21"/>
                <w:szCs w:val="21"/>
                <w:lang w:val="zh-CN" w:eastAsia="zh-CN" w:bidi="ar-SA"/>
                <w14:textFill>
                  <w14:solidFill>
                    <w14:schemeClr w14:val="tx1"/>
                  </w14:solidFill>
                </w14:textFill>
              </w:rPr>
              <w:t>①购车价和②上牌服务价（含购置税费、上牌费）合计最高限价13万元/辆，超出限价为无效投标。</w:t>
            </w:r>
          </w:p>
        </w:tc>
        <w:tc>
          <w:tcPr>
            <w:tcW w:w="1538" w:type="pct"/>
          </w:tcPr>
          <w:p w14:paraId="123E5CFD"/>
        </w:tc>
        <w:tc>
          <w:tcPr>
            <w:tcW w:w="782" w:type="pct"/>
          </w:tcPr>
          <w:p w14:paraId="57596B9C"/>
        </w:tc>
      </w:tr>
      <w:tr w14:paraId="35771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4F54F228">
            <w:pPr>
              <w:jc w:val="center"/>
              <w:rPr>
                <w:rFonts w:hint="default"/>
                <w:lang w:val="en-US" w:eastAsia="zh-CN"/>
              </w:rPr>
            </w:pPr>
            <w:r>
              <w:rPr>
                <w:rFonts w:hint="eastAsia"/>
                <w:lang w:val="en-US" w:eastAsia="zh-CN"/>
              </w:rPr>
              <w:t>18</w:t>
            </w:r>
          </w:p>
        </w:tc>
        <w:tc>
          <w:tcPr>
            <w:tcW w:w="2301" w:type="pct"/>
          </w:tcPr>
          <w:p w14:paraId="377C9B95">
            <w:pPr>
              <w:keepNext w:val="0"/>
              <w:keepLines w:val="0"/>
              <w:widowControl/>
              <w:suppressLineNumbers w:val="0"/>
              <w:jc w:val="left"/>
              <w:rPr>
                <w:rFonts w:hint="default" w:ascii="宋体" w:hAnsi="宋体" w:eastAsiaTheme="minorEastAsia" w:cstheme="minorBidi"/>
                <w:color w:val="000000" w:themeColor="text1"/>
                <w:kern w:val="2"/>
                <w:sz w:val="21"/>
                <w:szCs w:val="21"/>
                <w:lang w:val="en-US" w:eastAsia="zh-CN" w:bidi="ar-SA"/>
                <w14:textFill>
                  <w14:solidFill>
                    <w14:schemeClr w14:val="tx1"/>
                  </w14:solidFill>
                </w14:textFill>
              </w:rPr>
            </w:pPr>
            <w:r>
              <w:rPr>
                <w:rFonts w:hint="eastAsia" w:ascii="宋体" w:hAnsi="宋体" w:eastAsiaTheme="minorEastAsia" w:cstheme="minorBidi"/>
                <w:color w:val="000000" w:themeColor="text1"/>
                <w:kern w:val="2"/>
                <w:sz w:val="21"/>
                <w:szCs w:val="21"/>
                <w:lang w:val="en-US" w:eastAsia="zh-CN" w:bidi="ar-SA"/>
                <w14:textFill>
                  <w14:solidFill>
                    <w14:schemeClr w14:val="tx1"/>
                  </w14:solidFill>
                </w14:textFill>
              </w:rPr>
              <w:t xml:space="preserve">包3：★5门MPV </w:t>
            </w:r>
          </w:p>
        </w:tc>
        <w:tc>
          <w:tcPr>
            <w:tcW w:w="1538" w:type="pct"/>
          </w:tcPr>
          <w:p w14:paraId="273B70CD"/>
        </w:tc>
        <w:tc>
          <w:tcPr>
            <w:tcW w:w="782" w:type="pct"/>
          </w:tcPr>
          <w:p w14:paraId="57E6513F"/>
        </w:tc>
      </w:tr>
      <w:tr w14:paraId="75EC7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521922BC">
            <w:pPr>
              <w:jc w:val="center"/>
              <w:rPr>
                <w:rFonts w:hint="default"/>
                <w:lang w:val="en-US" w:eastAsia="zh-CN"/>
              </w:rPr>
            </w:pPr>
            <w:r>
              <w:rPr>
                <w:rFonts w:hint="eastAsia"/>
                <w:lang w:val="en-US" w:eastAsia="zh-CN"/>
              </w:rPr>
              <w:t>19</w:t>
            </w:r>
          </w:p>
        </w:tc>
        <w:tc>
          <w:tcPr>
            <w:tcW w:w="2301" w:type="pct"/>
          </w:tcPr>
          <w:p w14:paraId="32325777">
            <w:pPr>
              <w:keepNext w:val="0"/>
              <w:keepLines w:val="0"/>
              <w:widowControl/>
              <w:suppressLineNumbers w:val="0"/>
              <w:jc w:val="left"/>
              <w:rPr>
                <w:rFonts w:hint="default" w:ascii="宋体" w:hAnsi="宋体" w:eastAsiaTheme="minorEastAsia" w:cstheme="minorBidi"/>
                <w:color w:val="000000" w:themeColor="text1"/>
                <w:kern w:val="2"/>
                <w:sz w:val="21"/>
                <w:szCs w:val="21"/>
                <w:lang w:val="en-US" w:eastAsia="zh-CN" w:bidi="ar-SA"/>
                <w14:textFill>
                  <w14:solidFill>
                    <w14:schemeClr w14:val="tx1"/>
                  </w14:solidFill>
                </w14:textFill>
              </w:rPr>
            </w:pPr>
            <w:r>
              <w:rPr>
                <w:rFonts w:hint="eastAsia" w:ascii="宋体" w:hAnsi="宋体" w:eastAsiaTheme="minorEastAsia" w:cstheme="minorBidi"/>
                <w:color w:val="000000" w:themeColor="text1"/>
                <w:kern w:val="2"/>
                <w:sz w:val="21"/>
                <w:szCs w:val="21"/>
                <w:lang w:val="en-US" w:eastAsia="zh-CN" w:bidi="ar-SA"/>
                <w14:textFill>
                  <w14:solidFill>
                    <w14:schemeClr w14:val="tx1"/>
                  </w14:solidFill>
                </w14:textFill>
              </w:rPr>
              <w:t xml:space="preserve">包3：★7座 </w:t>
            </w:r>
          </w:p>
        </w:tc>
        <w:tc>
          <w:tcPr>
            <w:tcW w:w="1538" w:type="pct"/>
          </w:tcPr>
          <w:p w14:paraId="7919C02B"/>
        </w:tc>
        <w:tc>
          <w:tcPr>
            <w:tcW w:w="782" w:type="pct"/>
          </w:tcPr>
          <w:p w14:paraId="44DA339E"/>
        </w:tc>
      </w:tr>
      <w:tr w14:paraId="0153D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7CF3C1C3">
            <w:pPr>
              <w:jc w:val="center"/>
              <w:rPr>
                <w:rFonts w:hint="default"/>
                <w:lang w:val="en-US" w:eastAsia="zh-CN"/>
              </w:rPr>
            </w:pPr>
            <w:r>
              <w:rPr>
                <w:rFonts w:hint="eastAsia"/>
                <w:lang w:val="en-US" w:eastAsia="zh-CN"/>
              </w:rPr>
              <w:t>20</w:t>
            </w:r>
          </w:p>
        </w:tc>
        <w:tc>
          <w:tcPr>
            <w:tcW w:w="2301" w:type="pct"/>
          </w:tcPr>
          <w:p w14:paraId="7ADA6A6D">
            <w:pPr>
              <w:keepNext w:val="0"/>
              <w:keepLines w:val="0"/>
              <w:widowControl/>
              <w:suppressLineNumbers w:val="0"/>
              <w:jc w:val="left"/>
              <w:rPr>
                <w:rFonts w:hint="default" w:ascii="宋体" w:hAnsi="宋体" w:eastAsiaTheme="minorEastAsia" w:cstheme="minorBidi"/>
                <w:color w:val="000000" w:themeColor="text1"/>
                <w:kern w:val="2"/>
                <w:sz w:val="21"/>
                <w:szCs w:val="21"/>
                <w:lang w:val="en-US" w:eastAsia="zh-CN" w:bidi="ar-SA"/>
                <w14:textFill>
                  <w14:solidFill>
                    <w14:schemeClr w14:val="tx1"/>
                  </w14:solidFill>
                </w14:textFill>
              </w:rPr>
            </w:pPr>
            <w:r>
              <w:rPr>
                <w:rFonts w:hint="eastAsia" w:ascii="宋体" w:hAnsi="宋体" w:eastAsiaTheme="minorEastAsia" w:cstheme="minorBidi"/>
                <w:color w:val="000000" w:themeColor="text1"/>
                <w:kern w:val="2"/>
                <w:sz w:val="21"/>
                <w:szCs w:val="21"/>
                <w:lang w:val="en-US" w:eastAsia="zh-CN" w:bidi="ar-SA"/>
                <w14:textFill>
                  <w14:solidFill>
                    <w14:schemeClr w14:val="tx1"/>
                  </w14:solidFill>
                </w14:textFill>
              </w:rPr>
              <w:t xml:space="preserve">包3：★插电式混合动力 </w:t>
            </w:r>
          </w:p>
        </w:tc>
        <w:tc>
          <w:tcPr>
            <w:tcW w:w="1538" w:type="pct"/>
          </w:tcPr>
          <w:p w14:paraId="4CEC7593"/>
        </w:tc>
        <w:tc>
          <w:tcPr>
            <w:tcW w:w="782" w:type="pct"/>
          </w:tcPr>
          <w:p w14:paraId="56F67B82"/>
        </w:tc>
      </w:tr>
      <w:tr w14:paraId="3B6AB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5C27C2B8">
            <w:pPr>
              <w:jc w:val="center"/>
              <w:rPr>
                <w:rFonts w:hint="default"/>
                <w:lang w:val="en-US" w:eastAsia="zh-CN"/>
              </w:rPr>
            </w:pPr>
            <w:r>
              <w:rPr>
                <w:rFonts w:hint="eastAsia"/>
                <w:lang w:val="en-US" w:eastAsia="zh-CN"/>
              </w:rPr>
              <w:t>21</w:t>
            </w:r>
          </w:p>
        </w:tc>
        <w:tc>
          <w:tcPr>
            <w:tcW w:w="2301" w:type="pct"/>
          </w:tcPr>
          <w:p w14:paraId="1DF06F2A">
            <w:pPr>
              <w:keepNext w:val="0"/>
              <w:keepLines w:val="0"/>
              <w:widowControl/>
              <w:suppressLineNumbers w:val="0"/>
              <w:jc w:val="left"/>
              <w:rPr>
                <w:rFonts w:hint="default" w:ascii="宋体" w:hAnsi="宋体" w:eastAsiaTheme="minorEastAsia" w:cstheme="minorBidi"/>
                <w:color w:val="000000" w:themeColor="text1"/>
                <w:kern w:val="2"/>
                <w:sz w:val="21"/>
                <w:szCs w:val="21"/>
                <w:lang w:val="en-US" w:eastAsia="zh-CN" w:bidi="ar-SA"/>
                <w14:textFill>
                  <w14:solidFill>
                    <w14:schemeClr w14:val="tx1"/>
                  </w14:solidFill>
                </w14:textFill>
              </w:rPr>
            </w:pPr>
            <w:r>
              <w:rPr>
                <w:rFonts w:hint="eastAsia" w:ascii="宋体" w:hAnsi="宋体" w:eastAsiaTheme="minorEastAsia" w:cstheme="minorBidi"/>
                <w:color w:val="000000" w:themeColor="text1"/>
                <w:kern w:val="2"/>
                <w:sz w:val="21"/>
                <w:szCs w:val="21"/>
                <w:lang w:val="en-US" w:eastAsia="zh-CN" w:bidi="ar-SA"/>
                <w14:textFill>
                  <w14:solidFill>
                    <w14:schemeClr w14:val="tx1"/>
                  </w14:solidFill>
                </w14:textFill>
              </w:rPr>
              <w:t xml:space="preserve">包3：★排量不高于1.8L </w:t>
            </w:r>
          </w:p>
        </w:tc>
        <w:tc>
          <w:tcPr>
            <w:tcW w:w="1538" w:type="pct"/>
          </w:tcPr>
          <w:p w14:paraId="04509797"/>
        </w:tc>
        <w:tc>
          <w:tcPr>
            <w:tcW w:w="782" w:type="pct"/>
          </w:tcPr>
          <w:p w14:paraId="66269696"/>
        </w:tc>
      </w:tr>
      <w:tr w14:paraId="3BBDF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50060CA1">
            <w:pPr>
              <w:jc w:val="center"/>
              <w:rPr>
                <w:rFonts w:hint="default"/>
                <w:lang w:val="en-US" w:eastAsia="zh-CN"/>
              </w:rPr>
            </w:pPr>
            <w:r>
              <w:rPr>
                <w:rFonts w:hint="eastAsia"/>
                <w:lang w:val="en-US" w:eastAsia="zh-CN"/>
              </w:rPr>
              <w:t>22</w:t>
            </w:r>
          </w:p>
        </w:tc>
        <w:tc>
          <w:tcPr>
            <w:tcW w:w="2301" w:type="pct"/>
          </w:tcPr>
          <w:p w14:paraId="65E8312C">
            <w:pPr>
              <w:keepNext w:val="0"/>
              <w:keepLines w:val="0"/>
              <w:widowControl/>
              <w:suppressLineNumbers w:val="0"/>
              <w:jc w:val="left"/>
              <w:rPr>
                <w:rFonts w:hint="default" w:ascii="宋体" w:hAnsi="宋体" w:eastAsiaTheme="minorEastAsia" w:cstheme="minorBidi"/>
                <w:color w:val="000000" w:themeColor="text1"/>
                <w:kern w:val="2"/>
                <w:sz w:val="21"/>
                <w:szCs w:val="21"/>
                <w:lang w:val="en-US" w:eastAsia="zh-CN" w:bidi="ar-SA"/>
                <w14:textFill>
                  <w14:solidFill>
                    <w14:schemeClr w14:val="tx1"/>
                  </w14:solidFill>
                </w14:textFill>
              </w:rPr>
            </w:pPr>
            <w:r>
              <w:rPr>
                <w:rFonts w:hint="eastAsia" w:ascii="宋体" w:hAnsi="宋体" w:eastAsiaTheme="minorEastAsia" w:cstheme="minorBidi"/>
                <w:color w:val="000000" w:themeColor="text1"/>
                <w:kern w:val="2"/>
                <w:sz w:val="21"/>
                <w:szCs w:val="21"/>
                <w:lang w:val="en-US" w:eastAsia="zh-CN" w:bidi="ar-SA"/>
                <w14:textFill>
                  <w14:solidFill>
                    <w14:schemeClr w14:val="tx1"/>
                  </w14:solidFill>
                </w14:textFill>
              </w:rPr>
              <w:t xml:space="preserve">包3：★配备慢充充电桩或便携式充电转换器 </w:t>
            </w:r>
          </w:p>
        </w:tc>
        <w:tc>
          <w:tcPr>
            <w:tcW w:w="1538" w:type="pct"/>
          </w:tcPr>
          <w:p w14:paraId="5A62C182"/>
        </w:tc>
        <w:tc>
          <w:tcPr>
            <w:tcW w:w="782" w:type="pct"/>
          </w:tcPr>
          <w:p w14:paraId="59FD6E59"/>
        </w:tc>
      </w:tr>
      <w:tr w14:paraId="27411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6F82F11F">
            <w:pPr>
              <w:jc w:val="center"/>
              <w:rPr>
                <w:rFonts w:hint="default"/>
                <w:lang w:val="en-US" w:eastAsia="zh-CN"/>
              </w:rPr>
            </w:pPr>
            <w:r>
              <w:rPr>
                <w:rFonts w:hint="eastAsia"/>
                <w:lang w:val="en-US" w:eastAsia="zh-CN"/>
              </w:rPr>
              <w:t>23</w:t>
            </w:r>
          </w:p>
        </w:tc>
        <w:tc>
          <w:tcPr>
            <w:tcW w:w="2301" w:type="pct"/>
          </w:tcPr>
          <w:p w14:paraId="4F29565B">
            <w:pPr>
              <w:keepNext w:val="0"/>
              <w:keepLines w:val="0"/>
              <w:widowControl/>
              <w:suppressLineNumbers w:val="0"/>
              <w:jc w:val="left"/>
              <w:rPr>
                <w:rFonts w:hint="default" w:ascii="宋体" w:hAnsi="宋体" w:eastAsiaTheme="minorEastAsia" w:cstheme="minorBidi"/>
                <w:color w:val="000000" w:themeColor="text1"/>
                <w:kern w:val="2"/>
                <w:sz w:val="21"/>
                <w:szCs w:val="21"/>
                <w:lang w:val="en-US" w:eastAsia="zh-CN" w:bidi="ar-SA"/>
                <w14:textFill>
                  <w14:solidFill>
                    <w14:schemeClr w14:val="tx1"/>
                  </w14:solidFill>
                </w14:textFill>
              </w:rPr>
            </w:pPr>
            <w:r>
              <w:rPr>
                <w:rFonts w:hint="eastAsia" w:ascii="宋体" w:hAnsi="宋体" w:eastAsiaTheme="minorEastAsia" w:cstheme="minorBidi"/>
                <w:color w:val="000000" w:themeColor="text1"/>
                <w:kern w:val="2"/>
                <w:sz w:val="21"/>
                <w:szCs w:val="21"/>
                <w:lang w:val="en-US" w:eastAsia="zh-CN" w:bidi="ar-SA"/>
                <w14:textFill>
                  <w14:solidFill>
                    <w14:schemeClr w14:val="tx1"/>
                  </w14:solidFill>
                </w14:textFill>
              </w:rPr>
              <w:t xml:space="preserve">包3：★购车价最高限价18万元/辆，超出限价为无效投标。 </w:t>
            </w:r>
          </w:p>
        </w:tc>
        <w:tc>
          <w:tcPr>
            <w:tcW w:w="1538" w:type="pct"/>
          </w:tcPr>
          <w:p w14:paraId="5E0823AC"/>
        </w:tc>
        <w:tc>
          <w:tcPr>
            <w:tcW w:w="782" w:type="pct"/>
          </w:tcPr>
          <w:p w14:paraId="3C51151B"/>
        </w:tc>
      </w:tr>
      <w:tr w14:paraId="70C51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02B7CD10">
            <w:pPr>
              <w:jc w:val="center"/>
              <w:rPr>
                <w:rFonts w:hint="default"/>
                <w:lang w:val="en-US" w:eastAsia="zh-CN"/>
              </w:rPr>
            </w:pPr>
            <w:r>
              <w:rPr>
                <w:rFonts w:hint="eastAsia"/>
                <w:lang w:val="en-US" w:eastAsia="zh-CN"/>
              </w:rPr>
              <w:t>24</w:t>
            </w:r>
          </w:p>
        </w:tc>
        <w:tc>
          <w:tcPr>
            <w:tcW w:w="2301" w:type="pct"/>
          </w:tcPr>
          <w:p w14:paraId="2815F57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rightChars="0"/>
              <w:jc w:val="both"/>
              <w:rPr>
                <w:rFonts w:hint="eastAsia" w:ascii="宋体" w:hAnsi="宋体" w:eastAsiaTheme="minorEastAsia" w:cstheme="minorBidi"/>
                <w:color w:val="000000" w:themeColor="text1"/>
                <w:kern w:val="2"/>
                <w:sz w:val="21"/>
                <w:szCs w:val="21"/>
                <w:lang w:val="en-US" w:eastAsia="zh-CN" w:bidi="ar-SA"/>
                <w14:textFill>
                  <w14:solidFill>
                    <w14:schemeClr w14:val="tx1"/>
                  </w14:solidFill>
                </w14:textFill>
              </w:rPr>
            </w:pPr>
            <w:r>
              <w:rPr>
                <w:rFonts w:hint="eastAsia" w:ascii="宋体" w:hAnsi="宋体" w:eastAsiaTheme="minorEastAsia" w:cstheme="minorBidi"/>
                <w:color w:val="000000" w:themeColor="text1"/>
                <w:kern w:val="2"/>
                <w:sz w:val="21"/>
                <w:szCs w:val="21"/>
                <w:lang w:val="zh-CN" w:eastAsia="zh-CN" w:bidi="ar-SA"/>
                <w14:textFill>
                  <w14:solidFill>
                    <w14:schemeClr w14:val="tx1"/>
                  </w14:solidFill>
                </w14:textFill>
              </w:rPr>
              <w:t>★1.投标人各包组所投车辆品牌、型号、版本需与制造商公开发布的品牌、型号、版本一致，车辆的各项参数、配置按制造商公布的标准配置（含投标人为满足项目需求自行选装的配置）、参数核定，投标人不得私自减配。车辆交付前，购车单位有权对上述车辆的参数、配置进行复核，若发现中标人私自减配的，采购人将按中标人虚假应标处理，并报告政府采购监管部门处理。投标时提供承诺函。</w:t>
            </w:r>
          </w:p>
        </w:tc>
        <w:tc>
          <w:tcPr>
            <w:tcW w:w="1538" w:type="pct"/>
          </w:tcPr>
          <w:p w14:paraId="3AA9C5F2"/>
        </w:tc>
        <w:tc>
          <w:tcPr>
            <w:tcW w:w="782" w:type="pct"/>
          </w:tcPr>
          <w:p w14:paraId="67088588"/>
        </w:tc>
      </w:tr>
      <w:tr w14:paraId="37060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05667275">
            <w:pPr>
              <w:jc w:val="center"/>
              <w:rPr>
                <w:rFonts w:hint="default"/>
                <w:lang w:val="en-US" w:eastAsia="zh-CN"/>
              </w:rPr>
            </w:pPr>
            <w:r>
              <w:rPr>
                <w:rFonts w:hint="eastAsia"/>
                <w:lang w:val="en-US" w:eastAsia="zh-CN"/>
              </w:rPr>
              <w:t>25</w:t>
            </w:r>
          </w:p>
        </w:tc>
        <w:tc>
          <w:tcPr>
            <w:tcW w:w="2301" w:type="pct"/>
          </w:tcPr>
          <w:p w14:paraId="7B534FA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rightChars="0"/>
              <w:jc w:val="both"/>
              <w:rPr>
                <w:rFonts w:hint="eastAsia" w:ascii="宋体" w:hAnsi="宋体" w:eastAsiaTheme="minorEastAsia" w:cstheme="minorBidi"/>
                <w:color w:val="000000" w:themeColor="text1"/>
                <w:kern w:val="2"/>
                <w:sz w:val="21"/>
                <w:szCs w:val="21"/>
                <w:lang w:val="en-US" w:eastAsia="zh-CN" w:bidi="ar-SA"/>
                <w14:textFill>
                  <w14:solidFill>
                    <w14:schemeClr w14:val="tx1"/>
                  </w14:solidFill>
                </w14:textFill>
              </w:rPr>
            </w:pPr>
            <w:r>
              <w:rPr>
                <w:rFonts w:hint="eastAsia" w:ascii="宋体" w:hAnsi="宋体" w:eastAsiaTheme="minorEastAsia" w:cstheme="minorBidi"/>
                <w:color w:val="000000" w:themeColor="text1"/>
                <w:kern w:val="2"/>
                <w:sz w:val="21"/>
                <w:szCs w:val="21"/>
                <w:lang w:val="zh-CN" w:eastAsia="zh-CN" w:bidi="ar-SA"/>
                <w14:textFill>
                  <w14:solidFill>
                    <w14:schemeClr w14:val="tx1"/>
                  </w14:solidFill>
                </w14:textFill>
              </w:rPr>
              <w:t>★2.若投标人为响应招标人需求而选装优于制造商公布的标准配置及参数的设备，除技术规格及要求中明确可选用非制造商的原厂配件外，其余所有选装的设备必须是制造商的原厂、标准配件，不接受投标人为本项目单独设计、制造的配件。投标时提供承诺函。</w:t>
            </w:r>
          </w:p>
        </w:tc>
        <w:tc>
          <w:tcPr>
            <w:tcW w:w="1538" w:type="pct"/>
          </w:tcPr>
          <w:p w14:paraId="3207DD8E"/>
        </w:tc>
        <w:tc>
          <w:tcPr>
            <w:tcW w:w="782" w:type="pct"/>
          </w:tcPr>
          <w:p w14:paraId="054CBF7A"/>
        </w:tc>
      </w:tr>
      <w:tr w14:paraId="1A029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67C0606C">
            <w:pPr>
              <w:jc w:val="center"/>
              <w:rPr>
                <w:rFonts w:hint="default"/>
                <w:lang w:val="en-US" w:eastAsia="zh-CN"/>
              </w:rPr>
            </w:pPr>
            <w:r>
              <w:rPr>
                <w:rFonts w:hint="eastAsia"/>
                <w:lang w:val="en-US" w:eastAsia="zh-CN"/>
              </w:rPr>
              <w:t>26</w:t>
            </w:r>
          </w:p>
        </w:tc>
        <w:tc>
          <w:tcPr>
            <w:tcW w:w="2301" w:type="pct"/>
          </w:tcPr>
          <w:p w14:paraId="5062A00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rightChars="0"/>
              <w:jc w:val="both"/>
              <w:rPr>
                <w:rFonts w:hint="eastAsia" w:ascii="宋体" w:hAnsi="宋体" w:eastAsiaTheme="minorEastAsia" w:cstheme="minorBidi"/>
                <w:color w:val="000000" w:themeColor="text1"/>
                <w:kern w:val="2"/>
                <w:sz w:val="21"/>
                <w:szCs w:val="21"/>
                <w:lang w:val="en-US" w:eastAsia="zh-CN" w:bidi="ar-SA"/>
                <w14:textFill>
                  <w14:solidFill>
                    <w14:schemeClr w14:val="tx1"/>
                  </w14:solidFill>
                </w14:textFill>
              </w:rPr>
            </w:pPr>
            <w:r>
              <w:rPr>
                <w:rFonts w:hint="eastAsia" w:ascii="宋体" w:hAnsi="宋体" w:eastAsiaTheme="minorEastAsia" w:cstheme="minorBidi"/>
                <w:color w:val="000000" w:themeColor="text1"/>
                <w:kern w:val="2"/>
                <w:sz w:val="21"/>
                <w:szCs w:val="21"/>
                <w:lang w:val="zh-CN" w:eastAsia="zh-CN" w:bidi="ar-SA"/>
                <w14:textFill>
                  <w14:solidFill>
                    <w14:schemeClr w14:val="tx1"/>
                  </w14:solidFill>
                </w14:textFill>
              </w:rPr>
              <w:t>★3.投标人需在《分项报价表》按要求报出所投采购包的分项报价 ①车辆购置价 ②上牌服务价（含车辆购置税费、改装费、上牌费），且每个分项报价不得超过各个包要求的单价最高限价。（其中②适用于采购包1、2）</w:t>
            </w:r>
          </w:p>
        </w:tc>
        <w:tc>
          <w:tcPr>
            <w:tcW w:w="1538" w:type="pct"/>
          </w:tcPr>
          <w:p w14:paraId="59C50E11"/>
        </w:tc>
        <w:tc>
          <w:tcPr>
            <w:tcW w:w="782" w:type="pct"/>
          </w:tcPr>
          <w:p w14:paraId="4563653D"/>
        </w:tc>
      </w:tr>
      <w:tr w14:paraId="13F5F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center"/>
          </w:tcPr>
          <w:p w14:paraId="5276B078">
            <w:pPr>
              <w:jc w:val="center"/>
              <w:rPr>
                <w:rFonts w:hint="default"/>
                <w:lang w:val="en-US" w:eastAsia="zh-CN"/>
              </w:rPr>
            </w:pPr>
            <w:r>
              <w:rPr>
                <w:rFonts w:hint="eastAsia"/>
                <w:lang w:val="en-US" w:eastAsia="zh-CN"/>
              </w:rPr>
              <w:t>27</w:t>
            </w:r>
          </w:p>
        </w:tc>
        <w:tc>
          <w:tcPr>
            <w:tcW w:w="2301" w:type="pct"/>
          </w:tcPr>
          <w:p w14:paraId="1044AA05">
            <w:pPr>
              <w:pStyle w:val="16"/>
              <w:jc w:val="both"/>
              <w:rPr>
                <w:rFonts w:hint="eastAsia" w:ascii="宋体" w:hAnsi="宋体" w:eastAsiaTheme="minorEastAsia" w:cstheme="minorBidi"/>
                <w:color w:val="000000" w:themeColor="text1"/>
                <w:kern w:val="2"/>
                <w:sz w:val="21"/>
                <w:szCs w:val="21"/>
                <w:lang w:val="en-US" w:eastAsia="zh-CN" w:bidi="ar-SA"/>
                <w14:textFill>
                  <w14:solidFill>
                    <w14:schemeClr w14:val="tx1"/>
                  </w14:solidFill>
                </w14:textFill>
              </w:rPr>
            </w:pPr>
            <w:r>
              <w:rPr>
                <w:color w:val="000000"/>
                <w:sz w:val="21"/>
              </w:rPr>
              <w:t>★4.投标人对所投</w:t>
            </w:r>
            <w:r>
              <w:rPr>
                <w:color w:val="000000"/>
                <w:sz w:val="21"/>
                <w:lang w:eastAsia="zh-CN"/>
              </w:rPr>
              <w:t>车辆</w:t>
            </w:r>
            <w:r>
              <w:rPr>
                <w:color w:val="000000"/>
                <w:sz w:val="21"/>
              </w:rPr>
              <w:t>的报价</w:t>
            </w:r>
            <w:r>
              <w:rPr>
                <w:color w:val="000000"/>
                <w:sz w:val="21"/>
                <w:lang w:eastAsia="zh-CN"/>
              </w:rPr>
              <w:t>（购车价）</w:t>
            </w:r>
            <w:r>
              <w:rPr>
                <w:color w:val="000000"/>
                <w:sz w:val="21"/>
              </w:rPr>
              <w:t>不得高于同一</w:t>
            </w:r>
            <w:r>
              <w:rPr>
                <w:color w:val="000000"/>
                <w:sz w:val="21"/>
                <w:lang w:eastAsia="zh-CN"/>
              </w:rPr>
              <w:t>款</w:t>
            </w:r>
            <w:r>
              <w:rPr>
                <w:color w:val="000000"/>
                <w:sz w:val="21"/>
              </w:rPr>
              <w:t>车型销售版本的</w:t>
            </w:r>
            <w:r>
              <w:rPr>
                <w:color w:val="000000"/>
                <w:sz w:val="21"/>
                <w:lang w:eastAsia="zh-CN"/>
              </w:rPr>
              <w:t>厂家</w:t>
            </w:r>
            <w:r>
              <w:rPr>
                <w:color w:val="000000"/>
                <w:sz w:val="21"/>
              </w:rPr>
              <w:t>指导价，否则取消中标资格。投标时提供承诺函。</w:t>
            </w:r>
          </w:p>
        </w:tc>
        <w:tc>
          <w:tcPr>
            <w:tcW w:w="1538" w:type="pct"/>
          </w:tcPr>
          <w:p w14:paraId="760D3331"/>
        </w:tc>
        <w:tc>
          <w:tcPr>
            <w:tcW w:w="782" w:type="pct"/>
          </w:tcPr>
          <w:p w14:paraId="07D595BE"/>
        </w:tc>
      </w:tr>
    </w:tbl>
    <w:p w14:paraId="79CD7DDE">
      <w:pPr>
        <w:pStyle w:val="2"/>
        <w:spacing w:before="62"/>
        <w:ind w:left="490"/>
      </w:pPr>
      <w:r>
        <w:t>说明：</w:t>
      </w:r>
    </w:p>
    <w:p w14:paraId="5B62A17C">
      <w:pPr>
        <w:pStyle w:val="9"/>
        <w:widowControl w:val="0"/>
        <w:numPr>
          <w:ilvl w:val="0"/>
          <w:numId w:val="1"/>
        </w:numPr>
        <w:tabs>
          <w:tab w:val="left" w:pos="673"/>
        </w:tabs>
        <w:autoSpaceDE w:val="0"/>
        <w:autoSpaceDN w:val="0"/>
        <w:spacing w:before="103" w:after="0" w:line="240" w:lineRule="auto"/>
        <w:contextualSpacing w:val="0"/>
        <w:rPr>
          <w:sz w:val="19"/>
          <w:lang w:eastAsia="zh-CN"/>
        </w:rPr>
      </w:pPr>
      <w:r>
        <w:rPr>
          <w:sz w:val="19"/>
          <w:lang w:eastAsia="zh-CN"/>
        </w:rPr>
        <w:t>实质性响应条款一览表后续内容请根据第二章采购需求</w:t>
      </w:r>
      <w:r>
        <w:rPr>
          <w:rFonts w:hint="eastAsia" w:ascii="Arial Unicode MS" w:hAnsi="Arial Unicode MS" w:eastAsia="Arial Unicode MS"/>
          <w:spacing w:val="-5"/>
          <w:sz w:val="19"/>
          <w:lang w:eastAsia="zh-CN"/>
        </w:rPr>
        <w:t>★</w:t>
      </w:r>
      <w:r>
        <w:rPr>
          <w:sz w:val="19"/>
          <w:lang w:eastAsia="zh-CN"/>
        </w:rPr>
        <w:t>号条款详细列举</w:t>
      </w:r>
    </w:p>
    <w:p w14:paraId="71DA0B5A">
      <w:pPr>
        <w:pStyle w:val="9"/>
        <w:widowControl w:val="0"/>
        <w:numPr>
          <w:ilvl w:val="0"/>
          <w:numId w:val="1"/>
        </w:numPr>
        <w:tabs>
          <w:tab w:val="left" w:pos="673"/>
        </w:tabs>
        <w:autoSpaceDE w:val="0"/>
        <w:autoSpaceDN w:val="0"/>
        <w:spacing w:before="53" w:after="0" w:line="240" w:lineRule="auto"/>
        <w:contextualSpacing w:val="0"/>
        <w:rPr>
          <w:sz w:val="19"/>
          <w:lang w:eastAsia="zh-CN"/>
        </w:rPr>
      </w:pPr>
      <w:r>
        <w:rPr>
          <w:w w:val="105"/>
          <w:sz w:val="19"/>
          <w:lang w:eastAsia="zh-CN"/>
        </w:rPr>
        <w:t>本表所列条款必须一一予以响应</w:t>
      </w:r>
      <w:r>
        <w:rPr>
          <w:w w:val="135"/>
          <w:sz w:val="19"/>
          <w:lang w:eastAsia="zh-CN"/>
        </w:rPr>
        <w:t>，</w:t>
      </w:r>
      <w:r>
        <w:rPr>
          <w:rFonts w:hint="eastAsia" w:ascii="Arial Unicode MS" w:hAnsi="Arial Unicode MS" w:eastAsia="Arial Unicode MS"/>
          <w:w w:val="135"/>
          <w:sz w:val="19"/>
          <w:lang w:eastAsia="zh-CN"/>
        </w:rPr>
        <w:t>“</w:t>
      </w:r>
      <w:r>
        <w:rPr>
          <w:w w:val="105"/>
          <w:sz w:val="19"/>
          <w:lang w:eastAsia="zh-CN"/>
        </w:rPr>
        <w:t>投标人响应情况</w:t>
      </w:r>
      <w:r>
        <w:rPr>
          <w:rFonts w:hint="eastAsia" w:ascii="Arial Unicode MS" w:hAnsi="Arial Unicode MS" w:eastAsia="Arial Unicode MS"/>
          <w:spacing w:val="-4"/>
          <w:w w:val="135"/>
          <w:sz w:val="19"/>
          <w:lang w:eastAsia="zh-CN"/>
        </w:rPr>
        <w:t>”</w:t>
      </w:r>
      <w:r>
        <w:rPr>
          <w:w w:val="105"/>
          <w:sz w:val="19"/>
          <w:lang w:eastAsia="zh-CN"/>
        </w:rPr>
        <w:t>一栏应填写具体的响应内容，有差异的要具体说明。</w:t>
      </w:r>
    </w:p>
    <w:p w14:paraId="54F27ED2">
      <w:pPr>
        <w:autoSpaceDE w:val="0"/>
        <w:autoSpaceDN w:val="0"/>
        <w:spacing w:before="490" w:after="0" w:line="26" w:lineRule="exact"/>
        <w:rPr>
          <w:sz w:val="19"/>
          <w:lang w:eastAsia="zh-CN"/>
        </w:rPr>
      </w:pPr>
      <w:r>
        <w:rPr>
          <w:sz w:val="19"/>
          <w:lang w:eastAsia="zh-CN"/>
        </w:rPr>
        <w:t>请投标人认真填写本表内容，如填写错误将可能导致投标无效。</w:t>
      </w:r>
    </w:p>
    <w:p w14:paraId="2D8FC1CB">
      <w:pPr>
        <w:pStyle w:val="9"/>
        <w:widowControl w:val="0"/>
        <w:numPr>
          <w:ilvl w:val="0"/>
          <w:numId w:val="1"/>
        </w:numPr>
        <w:tabs>
          <w:tab w:val="left" w:pos="673"/>
        </w:tabs>
        <w:autoSpaceDE w:val="0"/>
        <w:autoSpaceDN w:val="0"/>
        <w:spacing w:before="53" w:after="0" w:line="240" w:lineRule="auto"/>
        <w:contextualSpacing w:val="0"/>
        <w:rPr>
          <w:rFonts w:hint="default"/>
          <w:w w:val="105"/>
          <w:sz w:val="19"/>
          <w:lang w:val="en-US" w:eastAsia="zh-CN"/>
        </w:rPr>
      </w:pPr>
      <w:r>
        <w:rPr>
          <w:w w:val="105"/>
          <w:sz w:val="19"/>
          <w:lang w:eastAsia="zh-CN"/>
        </w:rPr>
        <w:t>若未参与部分采购包，可不填报该部分采购包相关内容</w:t>
      </w:r>
      <w:r>
        <w:rPr>
          <w:rFonts w:hint="eastAsia"/>
          <w:w w:val="105"/>
          <w:sz w:val="19"/>
          <w:lang w:val="en-US" w:eastAsia="zh-CN"/>
        </w:rPr>
        <w:t>。</w:t>
      </w:r>
    </w:p>
    <w:p w14:paraId="4E073B49">
      <w:pPr>
        <w:rPr>
          <w:lang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3252E7"/>
    <w:multiLevelType w:val="multilevel"/>
    <w:tmpl w:val="113252E7"/>
    <w:lvl w:ilvl="0" w:tentative="0">
      <w:start w:val="1"/>
      <w:numFmt w:val="decimal"/>
      <w:lvlText w:val="%1."/>
      <w:lvlJc w:val="left"/>
      <w:pPr>
        <w:ind w:left="672" w:hanging="183"/>
      </w:pPr>
      <w:rPr>
        <w:rFonts w:hint="default" w:ascii="Arial Unicode MS" w:hAnsi="Arial Unicode MS" w:eastAsia="Arial Unicode MS" w:cs="Arial Unicode MS"/>
        <w:spacing w:val="-3"/>
        <w:w w:val="115"/>
        <w:sz w:val="17"/>
        <w:szCs w:val="17"/>
        <w:lang w:val="zh-CN" w:eastAsia="zh-CN" w:bidi="zh-CN"/>
      </w:rPr>
    </w:lvl>
    <w:lvl w:ilvl="1" w:tentative="0">
      <w:start w:val="0"/>
      <w:numFmt w:val="bullet"/>
      <w:lvlText w:val="•"/>
      <w:lvlJc w:val="left"/>
      <w:pPr>
        <w:ind w:left="1694" w:hanging="183"/>
      </w:pPr>
      <w:rPr>
        <w:rFonts w:hint="default"/>
        <w:lang w:val="zh-CN" w:eastAsia="zh-CN" w:bidi="zh-CN"/>
      </w:rPr>
    </w:lvl>
    <w:lvl w:ilvl="2" w:tentative="0">
      <w:start w:val="0"/>
      <w:numFmt w:val="bullet"/>
      <w:lvlText w:val="•"/>
      <w:lvlJc w:val="left"/>
      <w:pPr>
        <w:ind w:left="2708" w:hanging="183"/>
      </w:pPr>
      <w:rPr>
        <w:rFonts w:hint="default"/>
        <w:lang w:val="zh-CN" w:eastAsia="zh-CN" w:bidi="zh-CN"/>
      </w:rPr>
    </w:lvl>
    <w:lvl w:ilvl="3" w:tentative="0">
      <w:start w:val="0"/>
      <w:numFmt w:val="bullet"/>
      <w:lvlText w:val="•"/>
      <w:lvlJc w:val="left"/>
      <w:pPr>
        <w:ind w:left="3722" w:hanging="183"/>
      </w:pPr>
      <w:rPr>
        <w:rFonts w:hint="default"/>
        <w:lang w:val="zh-CN" w:eastAsia="zh-CN" w:bidi="zh-CN"/>
      </w:rPr>
    </w:lvl>
    <w:lvl w:ilvl="4" w:tentative="0">
      <w:start w:val="0"/>
      <w:numFmt w:val="bullet"/>
      <w:lvlText w:val="•"/>
      <w:lvlJc w:val="left"/>
      <w:pPr>
        <w:ind w:left="4736" w:hanging="183"/>
      </w:pPr>
      <w:rPr>
        <w:rFonts w:hint="default"/>
        <w:lang w:val="zh-CN" w:eastAsia="zh-CN" w:bidi="zh-CN"/>
      </w:rPr>
    </w:lvl>
    <w:lvl w:ilvl="5" w:tentative="0">
      <w:start w:val="0"/>
      <w:numFmt w:val="bullet"/>
      <w:lvlText w:val="•"/>
      <w:lvlJc w:val="left"/>
      <w:pPr>
        <w:ind w:left="5750" w:hanging="183"/>
      </w:pPr>
      <w:rPr>
        <w:rFonts w:hint="default"/>
        <w:lang w:val="zh-CN" w:eastAsia="zh-CN" w:bidi="zh-CN"/>
      </w:rPr>
    </w:lvl>
    <w:lvl w:ilvl="6" w:tentative="0">
      <w:start w:val="0"/>
      <w:numFmt w:val="bullet"/>
      <w:lvlText w:val="•"/>
      <w:lvlJc w:val="left"/>
      <w:pPr>
        <w:ind w:left="6764" w:hanging="183"/>
      </w:pPr>
      <w:rPr>
        <w:rFonts w:hint="default"/>
        <w:lang w:val="zh-CN" w:eastAsia="zh-CN" w:bidi="zh-CN"/>
      </w:rPr>
    </w:lvl>
    <w:lvl w:ilvl="7" w:tentative="0">
      <w:start w:val="0"/>
      <w:numFmt w:val="bullet"/>
      <w:lvlText w:val="•"/>
      <w:lvlJc w:val="left"/>
      <w:pPr>
        <w:ind w:left="7778" w:hanging="183"/>
      </w:pPr>
      <w:rPr>
        <w:rFonts w:hint="default"/>
        <w:lang w:val="zh-CN" w:eastAsia="zh-CN" w:bidi="zh-CN"/>
      </w:rPr>
    </w:lvl>
    <w:lvl w:ilvl="8" w:tentative="0">
      <w:start w:val="0"/>
      <w:numFmt w:val="bullet"/>
      <w:lvlText w:val="•"/>
      <w:lvlJc w:val="left"/>
      <w:pPr>
        <w:ind w:left="8792" w:hanging="183"/>
      </w:pPr>
      <w:rPr>
        <w:rFonts w:hint="default"/>
        <w:lang w:val="zh-CN" w:eastAsia="zh-CN" w:bidi="zh-C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web"/>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822"/>
    <w:rsid w:val="00033E3A"/>
    <w:rsid w:val="00043CBD"/>
    <w:rsid w:val="000A715C"/>
    <w:rsid w:val="000B1218"/>
    <w:rsid w:val="000B7E75"/>
    <w:rsid w:val="000E2307"/>
    <w:rsid w:val="0011094C"/>
    <w:rsid w:val="001125EC"/>
    <w:rsid w:val="001270E2"/>
    <w:rsid w:val="0019103B"/>
    <w:rsid w:val="001A3148"/>
    <w:rsid w:val="001C4F01"/>
    <w:rsid w:val="001C74BB"/>
    <w:rsid w:val="001E103A"/>
    <w:rsid w:val="001F4347"/>
    <w:rsid w:val="002139AD"/>
    <w:rsid w:val="002532E0"/>
    <w:rsid w:val="0027371A"/>
    <w:rsid w:val="00273D07"/>
    <w:rsid w:val="00297FDB"/>
    <w:rsid w:val="002A1CAE"/>
    <w:rsid w:val="002B418D"/>
    <w:rsid w:val="002C090A"/>
    <w:rsid w:val="002C1518"/>
    <w:rsid w:val="002D254D"/>
    <w:rsid w:val="00321C28"/>
    <w:rsid w:val="003316B9"/>
    <w:rsid w:val="00333A2F"/>
    <w:rsid w:val="00333F28"/>
    <w:rsid w:val="003508B3"/>
    <w:rsid w:val="003965C2"/>
    <w:rsid w:val="003A290B"/>
    <w:rsid w:val="003C321A"/>
    <w:rsid w:val="003E55A0"/>
    <w:rsid w:val="00427D67"/>
    <w:rsid w:val="0045556D"/>
    <w:rsid w:val="00487450"/>
    <w:rsid w:val="00492824"/>
    <w:rsid w:val="004A20CC"/>
    <w:rsid w:val="004C2F15"/>
    <w:rsid w:val="004F40BE"/>
    <w:rsid w:val="00502BC6"/>
    <w:rsid w:val="0050744B"/>
    <w:rsid w:val="00517B6E"/>
    <w:rsid w:val="00523DA1"/>
    <w:rsid w:val="00556CEA"/>
    <w:rsid w:val="005649D9"/>
    <w:rsid w:val="0057124F"/>
    <w:rsid w:val="005853E9"/>
    <w:rsid w:val="005C1C6F"/>
    <w:rsid w:val="005D1F01"/>
    <w:rsid w:val="005F1A0A"/>
    <w:rsid w:val="00603737"/>
    <w:rsid w:val="00636C57"/>
    <w:rsid w:val="006409BA"/>
    <w:rsid w:val="00643E2A"/>
    <w:rsid w:val="00650A83"/>
    <w:rsid w:val="0067564D"/>
    <w:rsid w:val="00691DE1"/>
    <w:rsid w:val="006D6D64"/>
    <w:rsid w:val="00710C96"/>
    <w:rsid w:val="007173BA"/>
    <w:rsid w:val="00723FB5"/>
    <w:rsid w:val="0073006C"/>
    <w:rsid w:val="00744264"/>
    <w:rsid w:val="00781EDD"/>
    <w:rsid w:val="00782853"/>
    <w:rsid w:val="00782EEB"/>
    <w:rsid w:val="00794CEB"/>
    <w:rsid w:val="007C511A"/>
    <w:rsid w:val="007D006A"/>
    <w:rsid w:val="007E104E"/>
    <w:rsid w:val="008259F5"/>
    <w:rsid w:val="00825D62"/>
    <w:rsid w:val="00831D5B"/>
    <w:rsid w:val="008561CC"/>
    <w:rsid w:val="00870C3D"/>
    <w:rsid w:val="008D3060"/>
    <w:rsid w:val="008D6822"/>
    <w:rsid w:val="008E2EFC"/>
    <w:rsid w:val="008F425E"/>
    <w:rsid w:val="00923934"/>
    <w:rsid w:val="00927CA8"/>
    <w:rsid w:val="009306C6"/>
    <w:rsid w:val="00936FEC"/>
    <w:rsid w:val="00942E69"/>
    <w:rsid w:val="009432F3"/>
    <w:rsid w:val="00947AF5"/>
    <w:rsid w:val="00947D02"/>
    <w:rsid w:val="00957A64"/>
    <w:rsid w:val="00991DD1"/>
    <w:rsid w:val="009A6653"/>
    <w:rsid w:val="009A6F76"/>
    <w:rsid w:val="009B48EE"/>
    <w:rsid w:val="009C3A78"/>
    <w:rsid w:val="00A15B83"/>
    <w:rsid w:val="00A3549A"/>
    <w:rsid w:val="00A52D6D"/>
    <w:rsid w:val="00A64ADA"/>
    <w:rsid w:val="00A73DB0"/>
    <w:rsid w:val="00AB2BFD"/>
    <w:rsid w:val="00AF07CC"/>
    <w:rsid w:val="00AF3FEB"/>
    <w:rsid w:val="00B12F66"/>
    <w:rsid w:val="00B23DC9"/>
    <w:rsid w:val="00B5316A"/>
    <w:rsid w:val="00BB5B26"/>
    <w:rsid w:val="00BC57F7"/>
    <w:rsid w:val="00BC796B"/>
    <w:rsid w:val="00BF59EA"/>
    <w:rsid w:val="00C04C8A"/>
    <w:rsid w:val="00C222D5"/>
    <w:rsid w:val="00C4353C"/>
    <w:rsid w:val="00C649E6"/>
    <w:rsid w:val="00C77C4B"/>
    <w:rsid w:val="00C80C13"/>
    <w:rsid w:val="00CD3B1A"/>
    <w:rsid w:val="00CE710C"/>
    <w:rsid w:val="00D2326E"/>
    <w:rsid w:val="00D251E5"/>
    <w:rsid w:val="00D3733C"/>
    <w:rsid w:val="00DA3841"/>
    <w:rsid w:val="00DB270A"/>
    <w:rsid w:val="00DC02E8"/>
    <w:rsid w:val="00DC6827"/>
    <w:rsid w:val="00DE642C"/>
    <w:rsid w:val="00DF0A2F"/>
    <w:rsid w:val="00E106ED"/>
    <w:rsid w:val="00E12635"/>
    <w:rsid w:val="00E41B23"/>
    <w:rsid w:val="00E81948"/>
    <w:rsid w:val="00E901AF"/>
    <w:rsid w:val="00E94AB7"/>
    <w:rsid w:val="00EA3EB6"/>
    <w:rsid w:val="00EA422C"/>
    <w:rsid w:val="00EB5969"/>
    <w:rsid w:val="00EC29E0"/>
    <w:rsid w:val="00EE7893"/>
    <w:rsid w:val="00F1584D"/>
    <w:rsid w:val="00F32E96"/>
    <w:rsid w:val="00F33E13"/>
    <w:rsid w:val="00F47D93"/>
    <w:rsid w:val="00F561AC"/>
    <w:rsid w:val="00F81E0D"/>
    <w:rsid w:val="00F83650"/>
    <w:rsid w:val="00F8783F"/>
    <w:rsid w:val="00FA11F1"/>
    <w:rsid w:val="00FB1060"/>
    <w:rsid w:val="00FB1D18"/>
    <w:rsid w:val="00FC326B"/>
    <w:rsid w:val="00FD5305"/>
    <w:rsid w:val="00FF2578"/>
    <w:rsid w:val="01AE52EF"/>
    <w:rsid w:val="180A3DBB"/>
    <w:rsid w:val="1AFB48FB"/>
    <w:rsid w:val="223C63CB"/>
    <w:rsid w:val="2F043893"/>
    <w:rsid w:val="3413390F"/>
    <w:rsid w:val="3AEF1451"/>
    <w:rsid w:val="3D052D63"/>
    <w:rsid w:val="3E3F2E43"/>
    <w:rsid w:val="3FED6775"/>
    <w:rsid w:val="4C832FFA"/>
    <w:rsid w:val="70313FE1"/>
    <w:rsid w:val="775226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200" w:line="276" w:lineRule="auto"/>
    </w:pPr>
    <w:rPr>
      <w:rFonts w:asciiTheme="minorHAnsi" w:hAnsiTheme="minorHAnsi" w:eastAsiaTheme="minorEastAsia" w:cstheme="minorBidi"/>
      <w:sz w:val="22"/>
      <w:szCs w:val="22"/>
      <w:lang w:val="en-US" w:eastAsia="en-US" w:bidi="ar-SA"/>
    </w:rPr>
  </w:style>
  <w:style w:type="character" w:default="1" w:styleId="7">
    <w:name w:val="Default Paragraph Font"/>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0"/>
    <w:unhideWhenUsed/>
    <w:qFormat/>
    <w:uiPriority w:val="99"/>
    <w:pPr>
      <w:spacing w:after="120"/>
    </w:pPr>
  </w:style>
  <w:style w:type="paragraph" w:styleId="3">
    <w:name w:val="Plain Text"/>
    <w:basedOn w:val="1"/>
    <w:qFormat/>
    <w:uiPriority w:val="0"/>
    <w:rPr>
      <w:rFonts w:ascii="宋体" w:hAnsi="Courier New" w:cs="Courier New"/>
      <w:szCs w:val="21"/>
    </w:rPr>
  </w:style>
  <w:style w:type="paragraph" w:styleId="4">
    <w:name w:val="Normal (Web)"/>
    <w:basedOn w:val="1"/>
    <w:semiHidden/>
    <w:unhideWhenUsed/>
    <w:qFormat/>
    <w:uiPriority w:val="99"/>
    <w:rPr>
      <w:sz w:val="24"/>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annotation reference"/>
    <w:qFormat/>
    <w:uiPriority w:val="99"/>
    <w:rPr>
      <w:sz w:val="21"/>
      <w:szCs w:val="21"/>
    </w:rPr>
  </w:style>
  <w:style w:type="paragraph" w:styleId="9">
    <w:name w:val="List Paragraph"/>
    <w:basedOn w:val="1"/>
    <w:qFormat/>
    <w:uiPriority w:val="1"/>
    <w:pPr>
      <w:ind w:left="720"/>
      <w:contextualSpacing/>
    </w:pPr>
  </w:style>
  <w:style w:type="character" w:customStyle="1" w:styleId="10">
    <w:name w:val="正文文本 字符"/>
    <w:basedOn w:val="7"/>
    <w:link w:val="2"/>
    <w:qFormat/>
    <w:uiPriority w:val="99"/>
    <w:rPr>
      <w:kern w:val="0"/>
      <w:sz w:val="22"/>
      <w:lang w:eastAsia="en-US"/>
    </w:rPr>
  </w:style>
  <w:style w:type="table" w:customStyle="1" w:styleId="11">
    <w:name w:val="Table Normal"/>
    <w:semiHidden/>
    <w:unhideWhenUsed/>
    <w:qFormat/>
    <w:uiPriority w:val="2"/>
    <w:pPr>
      <w:widowControl w:val="0"/>
      <w:autoSpaceDE w:val="0"/>
      <w:autoSpaceDN w:val="0"/>
    </w:pPr>
    <w:rPr>
      <w:sz w:val="22"/>
      <w:lang w:eastAsia="en-US"/>
    </w:rPr>
    <w:tblPr>
      <w:tblCellMar>
        <w:top w:w="0" w:type="dxa"/>
        <w:left w:w="0" w:type="dxa"/>
        <w:bottom w:w="0" w:type="dxa"/>
        <w:right w:w="0" w:type="dxa"/>
      </w:tblCellMar>
    </w:tblPr>
  </w:style>
  <w:style w:type="paragraph" w:customStyle="1" w:styleId="12">
    <w:name w:val="Table Paragraph"/>
    <w:basedOn w:val="1"/>
    <w:qFormat/>
    <w:uiPriority w:val="1"/>
    <w:pPr>
      <w:widowControl w:val="0"/>
      <w:autoSpaceDE w:val="0"/>
      <w:autoSpaceDN w:val="0"/>
      <w:spacing w:after="0" w:line="240" w:lineRule="auto"/>
    </w:pPr>
    <w:rPr>
      <w:rFonts w:ascii="宋体" w:hAnsi="宋体" w:eastAsia="宋体" w:cs="宋体"/>
      <w:lang w:val="zh-CN" w:eastAsia="zh-CN" w:bidi="zh-CN"/>
    </w:rPr>
  </w:style>
  <w:style w:type="paragraph" w:customStyle="1" w:styleId="13">
    <w:name w:val="段"/>
    <w:basedOn w:val="1"/>
    <w:qFormat/>
    <w:uiPriority w:val="0"/>
    <w:pPr>
      <w:tabs>
        <w:tab w:val="center" w:pos="4201"/>
        <w:tab w:val="right" w:leader="dot" w:pos="9298"/>
      </w:tabs>
      <w:autoSpaceDE w:val="0"/>
      <w:autoSpaceDN w:val="0"/>
      <w:ind w:firstLine="420" w:firstLineChars="200"/>
    </w:pPr>
    <w:rPr>
      <w:rFonts w:ascii="宋体" w:hAnsi="宋体"/>
      <w:kern w:val="24"/>
      <w:sz w:val="20"/>
      <w:szCs w:val="32"/>
    </w:rPr>
  </w:style>
  <w:style w:type="paragraph" w:customStyle="1" w:styleId="14">
    <w:name w:val="正文（正式）"/>
    <w:basedOn w:val="1"/>
    <w:qFormat/>
    <w:uiPriority w:val="0"/>
    <w:pPr>
      <w:ind w:firstLine="480"/>
    </w:pPr>
    <w:rPr>
      <w:rFonts w:cs="宋体"/>
      <w:szCs w:val="20"/>
    </w:rPr>
  </w:style>
  <w:style w:type="paragraph" w:customStyle="1" w:styleId="15">
    <w:name w:val="方案正文"/>
    <w:basedOn w:val="1"/>
    <w:qFormat/>
    <w:uiPriority w:val="0"/>
    <w:pPr>
      <w:spacing w:line="360" w:lineRule="auto"/>
      <w:ind w:firstLine="200" w:firstLineChars="200"/>
    </w:pPr>
    <w:rPr>
      <w:rFonts w:ascii="Times New Roman" w:hAnsi="Times New Roman" w:cs="Times New Roman"/>
      <w:szCs w:val="22"/>
    </w:rPr>
  </w:style>
  <w:style w:type="paragraph" w:customStyle="1" w:styleId="16">
    <w:name w:val="null3"/>
    <w:hidden/>
    <w:qFormat/>
    <w:uiPriority w:val="0"/>
    <w:rPr>
      <w:rFonts w:hint="eastAsia" w:asciiTheme="minorHAnsi" w:hAnsiTheme="minorHAnsi" w:eastAsiaTheme="minorEastAsia" w:cstheme="minorBidi"/>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1281</Words>
  <Characters>1384</Characters>
  <Lines>228</Lines>
  <Paragraphs>112</Paragraphs>
  <TotalTime>0</TotalTime>
  <ScaleCrop>false</ScaleCrop>
  <LinksUpToDate>false</LinksUpToDate>
  <CharactersWithSpaces>1397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2025-06-13T08:39:00Z</dcterms:created>
  <dc:creator>王灿</dc:creator>
  <cp:lastModifiedBy>waye</cp:lastModifiedBy>
  <dcterms:modified xsi:type="dcterms:W3CDTF">2026-07-09T08:22:08Z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7A86B39636404991B0CF4484FBC7CD09_12</vt:lpwstr>
  </property>
  <property fmtid="{D5CDD505-2E9C-101B-9397-08002B2CF9AE}" pid="4" name="KSOTemplateDocerSaveRecord">
    <vt:lpwstr>eyJoZGlkIjoiZTA2ZDQyMTQzNzEwYjU3MjM3YTUwMTllMGM3MWNiMWUiLCJ1c2VySWQiOiI4NjEzMjY1NzUifQ==</vt:lpwstr>
  </property>
</Properties>
</file>