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C70D50">
      <w:pPr>
        <w:pStyle w:val="4"/>
        <w:jc w:val="center"/>
        <w:outlineLvl w:val="1"/>
      </w:pPr>
      <w:r>
        <w:rPr>
          <w:rFonts w:ascii="仿宋_GB2312" w:hAnsi="仿宋_GB2312" w:eastAsia="仿宋_GB2312" w:cs="仿宋_GB2312"/>
          <w:b/>
          <w:sz w:val="36"/>
        </w:rPr>
        <w:t>第三章 技术、服务及其他要求</w:t>
      </w:r>
    </w:p>
    <w:p w14:paraId="705DEBA5">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6BBD1AA7">
      <w:pPr>
        <w:pStyle w:val="4"/>
        <w:jc w:val="left"/>
        <w:outlineLvl w:val="2"/>
      </w:pPr>
      <w:r>
        <w:rPr>
          <w:rFonts w:ascii="仿宋_GB2312" w:hAnsi="仿宋_GB2312" w:eastAsia="仿宋_GB2312" w:cs="仿宋_GB2312"/>
          <w:b/>
          <w:sz w:val="28"/>
        </w:rPr>
        <w:t>3.1.采购内容</w:t>
      </w:r>
    </w:p>
    <w:p w14:paraId="565F01C0">
      <w:pPr>
        <w:pStyle w:val="4"/>
        <w:jc w:val="left"/>
      </w:pPr>
      <w:r>
        <w:rPr>
          <w:rFonts w:ascii="仿宋_GB2312" w:hAnsi="仿宋_GB2312" w:eastAsia="仿宋_GB2312" w:cs="仿宋_GB2312"/>
        </w:rPr>
        <w:t>采购包1：</w:t>
      </w:r>
    </w:p>
    <w:p w14:paraId="578596E6">
      <w:pPr>
        <w:pStyle w:val="4"/>
        <w:jc w:val="left"/>
      </w:pPr>
      <w:r>
        <w:rPr>
          <w:rFonts w:ascii="仿宋_GB2312" w:hAnsi="仿宋_GB2312" w:eastAsia="仿宋_GB2312" w:cs="仿宋_GB2312"/>
        </w:rPr>
        <w:t>采购包预算金额（元）: 628,800.00</w:t>
      </w:r>
    </w:p>
    <w:p w14:paraId="5F56198B">
      <w:pPr>
        <w:pStyle w:val="4"/>
        <w:jc w:val="left"/>
      </w:pPr>
      <w:r>
        <w:rPr>
          <w:rFonts w:ascii="仿宋_GB2312" w:hAnsi="仿宋_GB2312" w:eastAsia="仿宋_GB2312" w:cs="仿宋_GB2312"/>
        </w:rPr>
        <w:t>采购包最高限价（元）: 628,800.00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7"/>
        <w:gridCol w:w="1116"/>
        <w:gridCol w:w="779"/>
        <w:gridCol w:w="820"/>
        <w:gridCol w:w="1216"/>
        <w:gridCol w:w="739"/>
        <w:gridCol w:w="739"/>
        <w:gridCol w:w="739"/>
        <w:gridCol w:w="739"/>
        <w:gridCol w:w="594"/>
        <w:gridCol w:w="594"/>
      </w:tblGrid>
      <w:tr w14:paraId="4AC37F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8431DE7">
            <w:pPr>
              <w:pStyle w:val="4"/>
              <w:jc w:val="center"/>
            </w:pPr>
            <w:r>
              <w:rPr>
                <w:rFonts w:ascii="仿宋_GB2312" w:hAnsi="仿宋_GB2312" w:eastAsia="仿宋_GB2312" w:cs="仿宋_GB2312"/>
              </w:rPr>
              <w:t>序号</w:t>
            </w:r>
          </w:p>
        </w:tc>
        <w:tc>
          <w:tcPr>
            <w:tcW w:w="821" w:type="dxa"/>
          </w:tcPr>
          <w:p w14:paraId="7FDB46F6">
            <w:pPr>
              <w:pStyle w:val="4"/>
              <w:jc w:val="center"/>
            </w:pPr>
            <w:r>
              <w:rPr>
                <w:rFonts w:ascii="仿宋_GB2312" w:hAnsi="仿宋_GB2312" w:eastAsia="仿宋_GB2312" w:cs="仿宋_GB2312"/>
              </w:rPr>
              <w:t>采购品目名称</w:t>
            </w:r>
          </w:p>
        </w:tc>
        <w:tc>
          <w:tcPr>
            <w:tcW w:w="821" w:type="dxa"/>
          </w:tcPr>
          <w:p w14:paraId="77C3E95F">
            <w:pPr>
              <w:pStyle w:val="4"/>
              <w:jc w:val="center"/>
            </w:pPr>
            <w:r>
              <w:rPr>
                <w:rFonts w:ascii="仿宋_GB2312" w:hAnsi="仿宋_GB2312" w:eastAsia="仿宋_GB2312" w:cs="仿宋_GB2312"/>
              </w:rPr>
              <w:t>标的名称</w:t>
            </w:r>
          </w:p>
        </w:tc>
        <w:tc>
          <w:tcPr>
            <w:tcW w:w="821" w:type="dxa"/>
          </w:tcPr>
          <w:p w14:paraId="45552C3F">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2837BDDB">
            <w:pPr>
              <w:pStyle w:val="4"/>
              <w:jc w:val="center"/>
            </w:pPr>
            <w:r>
              <w:rPr>
                <w:rFonts w:ascii="仿宋_GB2312" w:hAnsi="仿宋_GB2312" w:eastAsia="仿宋_GB2312" w:cs="仿宋_GB2312"/>
              </w:rPr>
              <w:t>标的金额 （元）</w:t>
            </w:r>
          </w:p>
        </w:tc>
        <w:tc>
          <w:tcPr>
            <w:tcW w:w="821" w:type="dxa"/>
          </w:tcPr>
          <w:p w14:paraId="513AB58E">
            <w:pPr>
              <w:pStyle w:val="4"/>
              <w:jc w:val="center"/>
            </w:pPr>
            <w:r>
              <w:rPr>
                <w:rFonts w:ascii="仿宋_GB2312" w:hAnsi="仿宋_GB2312" w:eastAsia="仿宋_GB2312" w:cs="仿宋_GB2312"/>
              </w:rPr>
              <w:t>所属行业</w:t>
            </w:r>
          </w:p>
        </w:tc>
        <w:tc>
          <w:tcPr>
            <w:tcW w:w="821" w:type="dxa"/>
          </w:tcPr>
          <w:p w14:paraId="0235CDD4">
            <w:pPr>
              <w:pStyle w:val="4"/>
              <w:jc w:val="center"/>
            </w:pPr>
            <w:r>
              <w:rPr>
                <w:rFonts w:ascii="仿宋_GB2312" w:hAnsi="仿宋_GB2312" w:eastAsia="仿宋_GB2312" w:cs="仿宋_GB2312"/>
              </w:rPr>
              <w:t>是否涉及核心产品</w:t>
            </w:r>
          </w:p>
        </w:tc>
        <w:tc>
          <w:tcPr>
            <w:tcW w:w="821" w:type="dxa"/>
          </w:tcPr>
          <w:p w14:paraId="70D3D0ED">
            <w:pPr>
              <w:pStyle w:val="4"/>
              <w:jc w:val="center"/>
            </w:pPr>
            <w:r>
              <w:rPr>
                <w:rFonts w:ascii="仿宋_GB2312" w:hAnsi="仿宋_GB2312" w:eastAsia="仿宋_GB2312" w:cs="仿宋_GB2312"/>
              </w:rPr>
              <w:t>是否涉及采购进口产品</w:t>
            </w:r>
          </w:p>
        </w:tc>
        <w:tc>
          <w:tcPr>
            <w:tcW w:w="821" w:type="dxa"/>
          </w:tcPr>
          <w:p w14:paraId="7D8821EB">
            <w:pPr>
              <w:pStyle w:val="4"/>
              <w:jc w:val="center"/>
            </w:pPr>
            <w:r>
              <w:rPr>
                <w:rFonts w:ascii="仿宋_GB2312" w:hAnsi="仿宋_GB2312" w:eastAsia="仿宋_GB2312" w:cs="仿宋_GB2312"/>
              </w:rPr>
              <w:t>是否涉及强制采购节能产品</w:t>
            </w:r>
          </w:p>
        </w:tc>
        <w:tc>
          <w:tcPr>
            <w:tcW w:w="639" w:type="dxa"/>
          </w:tcPr>
          <w:p w14:paraId="0707D2D8">
            <w:pPr>
              <w:pStyle w:val="4"/>
              <w:jc w:val="center"/>
            </w:pPr>
            <w:r>
              <w:rPr>
                <w:rFonts w:ascii="仿宋_GB2312" w:hAnsi="仿宋_GB2312" w:eastAsia="仿宋_GB2312" w:cs="仿宋_GB2312"/>
              </w:rPr>
              <w:t>是否涉及优先采购节能产品</w:t>
            </w:r>
          </w:p>
        </w:tc>
        <w:tc>
          <w:tcPr>
            <w:tcW w:w="639" w:type="dxa"/>
          </w:tcPr>
          <w:p w14:paraId="17441404">
            <w:pPr>
              <w:pStyle w:val="4"/>
              <w:jc w:val="center"/>
            </w:pPr>
            <w:r>
              <w:rPr>
                <w:rFonts w:ascii="仿宋_GB2312" w:hAnsi="仿宋_GB2312" w:eastAsia="仿宋_GB2312" w:cs="仿宋_GB2312"/>
              </w:rPr>
              <w:t>是否涉及优先采购环境标志产品</w:t>
            </w:r>
          </w:p>
        </w:tc>
      </w:tr>
      <w:tr w14:paraId="4F5C13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6D2E3B7">
            <w:pPr>
              <w:pStyle w:val="4"/>
              <w:jc w:val="left"/>
            </w:pPr>
            <w:r>
              <w:rPr>
                <w:rFonts w:ascii="仿宋_GB2312" w:hAnsi="仿宋_GB2312" w:eastAsia="仿宋_GB2312" w:cs="仿宋_GB2312"/>
              </w:rPr>
              <w:t>1</w:t>
            </w:r>
          </w:p>
        </w:tc>
        <w:tc>
          <w:tcPr>
            <w:tcW w:w="821" w:type="dxa"/>
          </w:tcPr>
          <w:p w14:paraId="7E619E48">
            <w:pPr>
              <w:pStyle w:val="4"/>
              <w:jc w:val="left"/>
            </w:pPr>
            <w:r>
              <w:rPr>
                <w:rFonts w:ascii="仿宋_GB2312" w:hAnsi="仿宋_GB2312" w:eastAsia="仿宋_GB2312" w:cs="仿宋_GB2312"/>
              </w:rPr>
              <w:t>A02340800 应急救援设备类</w:t>
            </w:r>
          </w:p>
        </w:tc>
        <w:tc>
          <w:tcPr>
            <w:tcW w:w="821" w:type="dxa"/>
          </w:tcPr>
          <w:p w14:paraId="393270A9">
            <w:pPr>
              <w:pStyle w:val="4"/>
              <w:jc w:val="left"/>
            </w:pPr>
            <w:r>
              <w:rPr>
                <w:rFonts w:ascii="仿宋_GB2312" w:hAnsi="仿宋_GB2312" w:eastAsia="仿宋_GB2312" w:cs="仿宋_GB2312"/>
              </w:rPr>
              <w:t>雨城区2026年救灾物资采购</w:t>
            </w:r>
          </w:p>
        </w:tc>
        <w:tc>
          <w:tcPr>
            <w:tcW w:w="821" w:type="dxa"/>
          </w:tcPr>
          <w:p w14:paraId="716A497E">
            <w:pPr>
              <w:pStyle w:val="4"/>
              <w:jc w:val="right"/>
            </w:pPr>
            <w:r>
              <w:rPr>
                <w:rFonts w:ascii="仿宋_GB2312" w:hAnsi="仿宋_GB2312" w:eastAsia="仿宋_GB2312" w:cs="仿宋_GB2312"/>
              </w:rPr>
              <w:t>1.00（次）</w:t>
            </w:r>
          </w:p>
        </w:tc>
        <w:tc>
          <w:tcPr>
            <w:tcW w:w="821" w:type="dxa"/>
          </w:tcPr>
          <w:p w14:paraId="45F9EA63">
            <w:pPr>
              <w:pStyle w:val="4"/>
              <w:jc w:val="right"/>
            </w:pPr>
            <w:r>
              <w:rPr>
                <w:rFonts w:ascii="仿宋_GB2312" w:hAnsi="仿宋_GB2312" w:eastAsia="仿宋_GB2312" w:cs="仿宋_GB2312"/>
              </w:rPr>
              <w:t>628,800.00</w:t>
            </w:r>
          </w:p>
        </w:tc>
        <w:tc>
          <w:tcPr>
            <w:tcW w:w="821" w:type="dxa"/>
          </w:tcPr>
          <w:p w14:paraId="25E083AD">
            <w:pPr>
              <w:pStyle w:val="4"/>
              <w:jc w:val="left"/>
            </w:pPr>
            <w:r>
              <w:rPr>
                <w:rFonts w:ascii="仿宋_GB2312" w:hAnsi="仿宋_GB2312" w:eastAsia="仿宋_GB2312" w:cs="仿宋_GB2312"/>
              </w:rPr>
              <w:t>工业</w:t>
            </w:r>
          </w:p>
        </w:tc>
        <w:tc>
          <w:tcPr>
            <w:tcW w:w="821" w:type="dxa"/>
          </w:tcPr>
          <w:p w14:paraId="397060CA">
            <w:pPr>
              <w:pStyle w:val="4"/>
              <w:jc w:val="left"/>
            </w:pPr>
            <w:r>
              <w:rPr>
                <w:rFonts w:ascii="仿宋_GB2312" w:hAnsi="仿宋_GB2312" w:eastAsia="仿宋_GB2312" w:cs="仿宋_GB2312"/>
              </w:rPr>
              <w:t>是</w:t>
            </w:r>
          </w:p>
        </w:tc>
        <w:tc>
          <w:tcPr>
            <w:tcW w:w="821" w:type="dxa"/>
          </w:tcPr>
          <w:p w14:paraId="3BC0199C">
            <w:pPr>
              <w:pStyle w:val="4"/>
              <w:jc w:val="left"/>
            </w:pPr>
            <w:r>
              <w:rPr>
                <w:rFonts w:ascii="仿宋_GB2312" w:hAnsi="仿宋_GB2312" w:eastAsia="仿宋_GB2312" w:cs="仿宋_GB2312"/>
              </w:rPr>
              <w:t>否</w:t>
            </w:r>
          </w:p>
        </w:tc>
        <w:tc>
          <w:tcPr>
            <w:tcW w:w="821" w:type="dxa"/>
          </w:tcPr>
          <w:p w14:paraId="7FBF6974">
            <w:pPr>
              <w:pStyle w:val="4"/>
              <w:jc w:val="left"/>
            </w:pPr>
            <w:r>
              <w:rPr>
                <w:rFonts w:ascii="仿宋_GB2312" w:hAnsi="仿宋_GB2312" w:eastAsia="仿宋_GB2312" w:cs="仿宋_GB2312"/>
              </w:rPr>
              <w:t>否</w:t>
            </w:r>
          </w:p>
        </w:tc>
        <w:tc>
          <w:tcPr>
            <w:tcW w:w="639" w:type="dxa"/>
          </w:tcPr>
          <w:p w14:paraId="29517B23">
            <w:pPr>
              <w:pStyle w:val="4"/>
              <w:jc w:val="left"/>
            </w:pPr>
            <w:r>
              <w:rPr>
                <w:rFonts w:ascii="仿宋_GB2312" w:hAnsi="仿宋_GB2312" w:eastAsia="仿宋_GB2312" w:cs="仿宋_GB2312"/>
              </w:rPr>
              <w:t>否</w:t>
            </w:r>
          </w:p>
        </w:tc>
        <w:tc>
          <w:tcPr>
            <w:tcW w:w="639" w:type="dxa"/>
          </w:tcPr>
          <w:p w14:paraId="77376637">
            <w:pPr>
              <w:pStyle w:val="4"/>
              <w:jc w:val="left"/>
            </w:pPr>
            <w:r>
              <w:rPr>
                <w:rFonts w:ascii="仿宋_GB2312" w:hAnsi="仿宋_GB2312" w:eastAsia="仿宋_GB2312" w:cs="仿宋_GB2312"/>
              </w:rPr>
              <w:t>是</w:t>
            </w:r>
          </w:p>
        </w:tc>
      </w:tr>
    </w:tbl>
    <w:p w14:paraId="2EBCC07F">
      <w:pPr>
        <w:pStyle w:val="4"/>
        <w:jc w:val="left"/>
      </w:pPr>
      <w:r>
        <w:rPr>
          <w:rFonts w:ascii="仿宋_GB2312" w:hAnsi="仿宋_GB2312" w:eastAsia="仿宋_GB2312" w:cs="仿宋_GB2312"/>
        </w:rPr>
        <w:t>是否适用本国产品标准：是</w:t>
      </w:r>
    </w:p>
    <w:p w14:paraId="0504A7AE">
      <w:pPr>
        <w:pStyle w:val="4"/>
        <w:jc w:val="left"/>
        <w:outlineLvl w:val="3"/>
      </w:pPr>
      <w:r>
        <w:rPr>
          <w:rFonts w:ascii="仿宋_GB2312" w:hAnsi="仿宋_GB2312" w:eastAsia="仿宋_GB2312" w:cs="仿宋_GB2312"/>
          <w:b/>
          <w:sz w:val="24"/>
        </w:rPr>
        <w:t>报价要求</w:t>
      </w:r>
    </w:p>
    <w:p w14:paraId="3B5948C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5926A1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6AEB985">
            <w:pPr>
              <w:pStyle w:val="4"/>
              <w:jc w:val="center"/>
            </w:pPr>
            <w:r>
              <w:rPr>
                <w:rFonts w:ascii="仿宋_GB2312" w:hAnsi="仿宋_GB2312" w:eastAsia="仿宋_GB2312" w:cs="仿宋_GB2312"/>
              </w:rPr>
              <w:t>序号</w:t>
            </w:r>
          </w:p>
        </w:tc>
        <w:tc>
          <w:tcPr>
            <w:tcW w:w="1707" w:type="dxa"/>
          </w:tcPr>
          <w:p w14:paraId="0A78A69D">
            <w:pPr>
              <w:pStyle w:val="4"/>
              <w:jc w:val="center"/>
            </w:pPr>
            <w:r>
              <w:rPr>
                <w:rFonts w:ascii="仿宋_GB2312" w:hAnsi="仿宋_GB2312" w:eastAsia="仿宋_GB2312" w:cs="仿宋_GB2312"/>
              </w:rPr>
              <w:t>报价内容</w:t>
            </w:r>
          </w:p>
        </w:tc>
        <w:tc>
          <w:tcPr>
            <w:tcW w:w="1138" w:type="dxa"/>
          </w:tcPr>
          <w:p w14:paraId="1A73F40F">
            <w:pPr>
              <w:pStyle w:val="4"/>
              <w:jc w:val="center"/>
            </w:pPr>
            <w:r>
              <w:rPr>
                <w:rFonts w:ascii="仿宋_GB2312" w:hAnsi="仿宋_GB2312" w:eastAsia="仿宋_GB2312" w:cs="仿宋_GB2312"/>
              </w:rPr>
              <w:t>数量（计量单位）</w:t>
            </w:r>
          </w:p>
        </w:tc>
        <w:tc>
          <w:tcPr>
            <w:tcW w:w="1365" w:type="dxa"/>
          </w:tcPr>
          <w:p w14:paraId="2A7D0F32">
            <w:pPr>
              <w:pStyle w:val="4"/>
              <w:jc w:val="center"/>
            </w:pPr>
            <w:r>
              <w:rPr>
                <w:rFonts w:ascii="仿宋_GB2312" w:hAnsi="仿宋_GB2312" w:eastAsia="仿宋_GB2312" w:cs="仿宋_GB2312"/>
              </w:rPr>
              <w:t>最高限价</w:t>
            </w:r>
          </w:p>
        </w:tc>
        <w:tc>
          <w:tcPr>
            <w:tcW w:w="1138" w:type="dxa"/>
          </w:tcPr>
          <w:p w14:paraId="66B45190">
            <w:pPr>
              <w:pStyle w:val="4"/>
              <w:jc w:val="center"/>
            </w:pPr>
            <w:r>
              <w:rPr>
                <w:rFonts w:ascii="仿宋_GB2312" w:hAnsi="仿宋_GB2312" w:eastAsia="仿宋_GB2312" w:cs="仿宋_GB2312"/>
              </w:rPr>
              <w:t>价款形式</w:t>
            </w:r>
          </w:p>
        </w:tc>
        <w:tc>
          <w:tcPr>
            <w:tcW w:w="1934" w:type="dxa"/>
          </w:tcPr>
          <w:p w14:paraId="1D310BC0">
            <w:pPr>
              <w:pStyle w:val="4"/>
              <w:jc w:val="center"/>
            </w:pPr>
            <w:r>
              <w:rPr>
                <w:rFonts w:ascii="仿宋_GB2312" w:hAnsi="仿宋_GB2312" w:eastAsia="仿宋_GB2312" w:cs="仿宋_GB2312"/>
              </w:rPr>
              <w:t>报价说明</w:t>
            </w:r>
          </w:p>
        </w:tc>
      </w:tr>
      <w:tr w14:paraId="0DC66F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0203068">
            <w:pPr>
              <w:pStyle w:val="4"/>
              <w:jc w:val="center"/>
            </w:pPr>
            <w:r>
              <w:rPr>
                <w:rFonts w:ascii="仿宋_GB2312" w:hAnsi="仿宋_GB2312" w:eastAsia="仿宋_GB2312" w:cs="仿宋_GB2312"/>
              </w:rPr>
              <w:t>1</w:t>
            </w:r>
          </w:p>
        </w:tc>
        <w:tc>
          <w:tcPr>
            <w:tcW w:w="1707" w:type="dxa"/>
          </w:tcPr>
          <w:p w14:paraId="2CB8CBCF">
            <w:pPr>
              <w:pStyle w:val="4"/>
              <w:jc w:val="center"/>
            </w:pPr>
            <w:r>
              <w:rPr>
                <w:rFonts w:ascii="仿宋_GB2312" w:hAnsi="仿宋_GB2312" w:eastAsia="仿宋_GB2312" w:cs="仿宋_GB2312"/>
              </w:rPr>
              <w:t>雨城区2026年救灾物资采购</w:t>
            </w:r>
          </w:p>
        </w:tc>
        <w:tc>
          <w:tcPr>
            <w:tcW w:w="1138" w:type="dxa"/>
          </w:tcPr>
          <w:p w14:paraId="13F75A5D">
            <w:pPr>
              <w:pStyle w:val="4"/>
              <w:jc w:val="center"/>
            </w:pPr>
            <w:r>
              <w:rPr>
                <w:rFonts w:ascii="仿宋_GB2312" w:hAnsi="仿宋_GB2312" w:eastAsia="仿宋_GB2312" w:cs="仿宋_GB2312"/>
              </w:rPr>
              <w:t>1.00（次）</w:t>
            </w:r>
          </w:p>
        </w:tc>
        <w:tc>
          <w:tcPr>
            <w:tcW w:w="1365" w:type="dxa"/>
          </w:tcPr>
          <w:p w14:paraId="1934F6D7">
            <w:pPr>
              <w:pStyle w:val="4"/>
              <w:jc w:val="center"/>
            </w:pPr>
            <w:r>
              <w:rPr>
                <w:rFonts w:ascii="仿宋_GB2312" w:hAnsi="仿宋_GB2312" w:eastAsia="仿宋_GB2312" w:cs="仿宋_GB2312"/>
              </w:rPr>
              <w:t>628,800.00</w:t>
            </w:r>
          </w:p>
        </w:tc>
        <w:tc>
          <w:tcPr>
            <w:tcW w:w="1138" w:type="dxa"/>
          </w:tcPr>
          <w:p w14:paraId="399B6EE5">
            <w:pPr>
              <w:pStyle w:val="4"/>
              <w:jc w:val="center"/>
            </w:pPr>
            <w:r>
              <w:rPr>
                <w:rFonts w:ascii="仿宋_GB2312" w:hAnsi="仿宋_GB2312" w:eastAsia="仿宋_GB2312" w:cs="仿宋_GB2312"/>
              </w:rPr>
              <w:t>总价</w:t>
            </w:r>
          </w:p>
        </w:tc>
        <w:tc>
          <w:tcPr>
            <w:tcW w:w="1934" w:type="dxa"/>
          </w:tcPr>
          <w:p w14:paraId="18E14898">
            <w:pPr>
              <w:pStyle w:val="4"/>
              <w:jc w:val="left"/>
            </w:pPr>
            <w:r>
              <w:rPr>
                <w:rFonts w:ascii="仿宋_GB2312" w:hAnsi="仿宋_GB2312" w:eastAsia="仿宋_GB2312" w:cs="仿宋_GB2312"/>
              </w:rPr>
              <w:t>无</w:t>
            </w:r>
          </w:p>
        </w:tc>
      </w:tr>
    </w:tbl>
    <w:p w14:paraId="0E84AB95">
      <w:pPr>
        <w:pStyle w:val="4"/>
        <w:ind w:firstLine="480"/>
        <w:jc w:val="left"/>
      </w:pPr>
      <w:r>
        <w:rPr>
          <w:rFonts w:ascii="仿宋_GB2312" w:hAnsi="仿宋_GB2312" w:eastAsia="仿宋_GB2312" w:cs="仿宋_GB2312"/>
        </w:rPr>
        <w:t>★注：供应商响应产品应当明确品牌和规格型号并指向唯一产品，不能指向唯一产品的，应通过报价表唯一产品说明栏补充说明。</w:t>
      </w:r>
    </w:p>
    <w:p w14:paraId="07F8CA05">
      <w:pPr>
        <w:pStyle w:val="4"/>
        <w:jc w:val="left"/>
      </w:pPr>
      <w:r>
        <w:rPr>
          <w:rFonts w:ascii="仿宋_GB2312" w:hAnsi="仿宋_GB2312" w:eastAsia="仿宋_GB2312" w:cs="仿宋_GB2312"/>
          <w:b/>
        </w:rPr>
        <w:t>本项目涉及核心产品：</w:t>
      </w:r>
    </w:p>
    <w:p w14:paraId="2A1B6B7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4C271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FECF30A">
            <w:pPr>
              <w:pStyle w:val="4"/>
              <w:jc w:val="center"/>
            </w:pPr>
            <w:r>
              <w:rPr>
                <w:rFonts w:ascii="仿宋_GB2312" w:hAnsi="仿宋_GB2312" w:eastAsia="仿宋_GB2312" w:cs="仿宋_GB2312"/>
              </w:rPr>
              <w:t>序号</w:t>
            </w:r>
          </w:p>
        </w:tc>
        <w:tc>
          <w:tcPr>
            <w:tcW w:w="2492" w:type="dxa"/>
          </w:tcPr>
          <w:p w14:paraId="3FEF976F">
            <w:pPr>
              <w:pStyle w:val="4"/>
              <w:jc w:val="center"/>
            </w:pPr>
            <w:r>
              <w:rPr>
                <w:rFonts w:ascii="仿宋_GB2312" w:hAnsi="仿宋_GB2312" w:eastAsia="仿宋_GB2312" w:cs="仿宋_GB2312"/>
              </w:rPr>
              <w:t>采购品目名称</w:t>
            </w:r>
          </w:p>
        </w:tc>
        <w:tc>
          <w:tcPr>
            <w:tcW w:w="2492" w:type="dxa"/>
          </w:tcPr>
          <w:p w14:paraId="2F3525E8">
            <w:pPr>
              <w:pStyle w:val="4"/>
              <w:jc w:val="center"/>
            </w:pPr>
            <w:r>
              <w:rPr>
                <w:rFonts w:ascii="仿宋_GB2312" w:hAnsi="仿宋_GB2312" w:eastAsia="仿宋_GB2312" w:cs="仿宋_GB2312"/>
              </w:rPr>
              <w:t>标的名称</w:t>
            </w:r>
          </w:p>
        </w:tc>
        <w:tc>
          <w:tcPr>
            <w:tcW w:w="2492" w:type="dxa"/>
          </w:tcPr>
          <w:p w14:paraId="39DCC366">
            <w:pPr>
              <w:pStyle w:val="4"/>
              <w:jc w:val="center"/>
            </w:pPr>
            <w:r>
              <w:rPr>
                <w:rFonts w:ascii="仿宋_GB2312" w:hAnsi="仿宋_GB2312" w:eastAsia="仿宋_GB2312" w:cs="仿宋_GB2312"/>
              </w:rPr>
              <w:t>产品名称</w:t>
            </w:r>
          </w:p>
        </w:tc>
      </w:tr>
      <w:tr w14:paraId="3AC326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78E2644">
            <w:pPr>
              <w:pStyle w:val="4"/>
              <w:jc w:val="left"/>
            </w:pPr>
            <w:r>
              <w:rPr>
                <w:rFonts w:ascii="仿宋_GB2312" w:hAnsi="仿宋_GB2312" w:eastAsia="仿宋_GB2312" w:cs="仿宋_GB2312"/>
              </w:rPr>
              <w:t>1</w:t>
            </w:r>
          </w:p>
        </w:tc>
        <w:tc>
          <w:tcPr>
            <w:tcW w:w="2492" w:type="dxa"/>
          </w:tcPr>
          <w:p w14:paraId="6004BFD2">
            <w:pPr>
              <w:pStyle w:val="4"/>
              <w:jc w:val="left"/>
            </w:pPr>
            <w:r>
              <w:rPr>
                <w:rFonts w:ascii="仿宋_GB2312" w:hAnsi="仿宋_GB2312" w:eastAsia="仿宋_GB2312" w:cs="仿宋_GB2312"/>
              </w:rPr>
              <w:t>A02340800 应急救援设备类</w:t>
            </w:r>
          </w:p>
        </w:tc>
        <w:tc>
          <w:tcPr>
            <w:tcW w:w="2492" w:type="dxa"/>
          </w:tcPr>
          <w:p w14:paraId="0C647E0A">
            <w:pPr>
              <w:pStyle w:val="4"/>
              <w:jc w:val="left"/>
            </w:pPr>
            <w:r>
              <w:rPr>
                <w:rFonts w:ascii="仿宋_GB2312" w:hAnsi="仿宋_GB2312" w:eastAsia="仿宋_GB2312" w:cs="仿宋_GB2312"/>
              </w:rPr>
              <w:t>雨城区2026年救灾物资采购</w:t>
            </w:r>
          </w:p>
        </w:tc>
        <w:tc>
          <w:tcPr>
            <w:tcW w:w="2492" w:type="dxa"/>
          </w:tcPr>
          <w:p w14:paraId="61BF337A">
            <w:pPr>
              <w:pStyle w:val="4"/>
              <w:jc w:val="left"/>
            </w:pPr>
            <w:r>
              <w:rPr>
                <w:rFonts w:ascii="仿宋_GB2312" w:hAnsi="仿宋_GB2312" w:eastAsia="仿宋_GB2312" w:cs="仿宋_GB2312"/>
              </w:rPr>
              <w:t>折叠床</w:t>
            </w:r>
          </w:p>
        </w:tc>
      </w:tr>
    </w:tbl>
    <w:p w14:paraId="2F00E303">
      <w:pPr>
        <w:pStyle w:val="4"/>
        <w:ind w:firstLine="480"/>
        <w:jc w:val="left"/>
      </w:pPr>
      <w:r>
        <w:rPr>
          <w:rFonts w:ascii="仿宋_GB2312" w:hAnsi="仿宋_GB2312" w:eastAsia="仿宋_GB2312" w:cs="仿宋_GB2312"/>
        </w:rPr>
        <w:t>注：涉及核心产品的，具体评审规定见第五章</w:t>
      </w:r>
    </w:p>
    <w:p w14:paraId="10E37662">
      <w:pPr>
        <w:pStyle w:val="4"/>
        <w:jc w:val="left"/>
      </w:pPr>
      <w:r>
        <w:rPr>
          <w:rFonts w:ascii="仿宋_GB2312" w:hAnsi="仿宋_GB2312" w:eastAsia="仿宋_GB2312" w:cs="仿宋_GB2312"/>
          <w:b/>
        </w:rPr>
        <w:t>本项目涉及采购进口产品：</w:t>
      </w:r>
    </w:p>
    <w:p w14:paraId="4818DDF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7B0DA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8689387">
            <w:pPr>
              <w:pStyle w:val="4"/>
              <w:jc w:val="center"/>
            </w:pPr>
            <w:r>
              <w:rPr>
                <w:rFonts w:ascii="仿宋_GB2312" w:hAnsi="仿宋_GB2312" w:eastAsia="仿宋_GB2312" w:cs="仿宋_GB2312"/>
              </w:rPr>
              <w:t>序号</w:t>
            </w:r>
          </w:p>
        </w:tc>
        <w:tc>
          <w:tcPr>
            <w:tcW w:w="2492" w:type="dxa"/>
          </w:tcPr>
          <w:p w14:paraId="7A199840">
            <w:pPr>
              <w:pStyle w:val="4"/>
              <w:jc w:val="center"/>
            </w:pPr>
            <w:r>
              <w:rPr>
                <w:rFonts w:ascii="仿宋_GB2312" w:hAnsi="仿宋_GB2312" w:eastAsia="仿宋_GB2312" w:cs="仿宋_GB2312"/>
              </w:rPr>
              <w:t>采购品目名称</w:t>
            </w:r>
          </w:p>
        </w:tc>
        <w:tc>
          <w:tcPr>
            <w:tcW w:w="2492" w:type="dxa"/>
          </w:tcPr>
          <w:p w14:paraId="64060B4C">
            <w:pPr>
              <w:pStyle w:val="4"/>
              <w:jc w:val="center"/>
            </w:pPr>
            <w:r>
              <w:rPr>
                <w:rFonts w:ascii="仿宋_GB2312" w:hAnsi="仿宋_GB2312" w:eastAsia="仿宋_GB2312" w:cs="仿宋_GB2312"/>
              </w:rPr>
              <w:t>标的名称</w:t>
            </w:r>
          </w:p>
        </w:tc>
        <w:tc>
          <w:tcPr>
            <w:tcW w:w="2492" w:type="dxa"/>
          </w:tcPr>
          <w:p w14:paraId="3993A0DC">
            <w:pPr>
              <w:pStyle w:val="4"/>
              <w:jc w:val="center"/>
            </w:pPr>
            <w:r>
              <w:rPr>
                <w:rFonts w:ascii="仿宋_GB2312" w:hAnsi="仿宋_GB2312" w:eastAsia="仿宋_GB2312" w:cs="仿宋_GB2312"/>
              </w:rPr>
              <w:t>产品名称</w:t>
            </w:r>
          </w:p>
        </w:tc>
      </w:tr>
      <w:tr w14:paraId="5FC0E2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D5F2271">
            <w:pPr>
              <w:pStyle w:val="4"/>
              <w:jc w:val="center"/>
            </w:pPr>
            <w:r>
              <w:rPr>
                <w:rFonts w:ascii="仿宋_GB2312" w:hAnsi="仿宋_GB2312" w:eastAsia="仿宋_GB2312" w:cs="仿宋_GB2312"/>
              </w:rPr>
              <w:t>不涉及</w:t>
            </w:r>
          </w:p>
        </w:tc>
      </w:tr>
    </w:tbl>
    <w:p w14:paraId="35DDEBAE">
      <w:pPr>
        <w:pStyle w:val="4"/>
        <w:ind w:firstLine="480"/>
        <w:jc w:val="left"/>
      </w:pPr>
      <w:r>
        <w:rPr>
          <w:rFonts w:ascii="仿宋_GB2312" w:hAnsi="仿宋_GB2312" w:eastAsia="仿宋_GB2312" w:cs="仿宋_GB2312"/>
        </w:rPr>
        <w:t>★注：不涉及采购进口产品时，供应商不得提供进口产品进行响应；涉及采购进口产品时，如国产产品满足采购需求，也可提供国产产品进行响应。</w:t>
      </w:r>
    </w:p>
    <w:p w14:paraId="4466A030">
      <w:pPr>
        <w:pStyle w:val="4"/>
        <w:jc w:val="left"/>
      </w:pPr>
      <w:r>
        <w:rPr>
          <w:rFonts w:ascii="仿宋_GB2312" w:hAnsi="仿宋_GB2312" w:eastAsia="仿宋_GB2312" w:cs="仿宋_GB2312"/>
          <w:b/>
        </w:rPr>
        <w:t>本项目涉及强制采购节能产品：</w:t>
      </w:r>
    </w:p>
    <w:p w14:paraId="52FFBE8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B29F7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15AC3DE">
            <w:pPr>
              <w:pStyle w:val="4"/>
              <w:jc w:val="center"/>
            </w:pPr>
            <w:r>
              <w:rPr>
                <w:rFonts w:ascii="仿宋_GB2312" w:hAnsi="仿宋_GB2312" w:eastAsia="仿宋_GB2312" w:cs="仿宋_GB2312"/>
              </w:rPr>
              <w:t>序号</w:t>
            </w:r>
          </w:p>
        </w:tc>
        <w:tc>
          <w:tcPr>
            <w:tcW w:w="2492" w:type="dxa"/>
          </w:tcPr>
          <w:p w14:paraId="31A32DF6">
            <w:pPr>
              <w:pStyle w:val="4"/>
              <w:jc w:val="center"/>
            </w:pPr>
            <w:r>
              <w:rPr>
                <w:rFonts w:ascii="仿宋_GB2312" w:hAnsi="仿宋_GB2312" w:eastAsia="仿宋_GB2312" w:cs="仿宋_GB2312"/>
              </w:rPr>
              <w:t>采购品目名称</w:t>
            </w:r>
          </w:p>
        </w:tc>
        <w:tc>
          <w:tcPr>
            <w:tcW w:w="2492" w:type="dxa"/>
          </w:tcPr>
          <w:p w14:paraId="5FDCD55C">
            <w:pPr>
              <w:pStyle w:val="4"/>
              <w:jc w:val="center"/>
            </w:pPr>
            <w:r>
              <w:rPr>
                <w:rFonts w:ascii="仿宋_GB2312" w:hAnsi="仿宋_GB2312" w:eastAsia="仿宋_GB2312" w:cs="仿宋_GB2312"/>
              </w:rPr>
              <w:t>标的名称</w:t>
            </w:r>
          </w:p>
        </w:tc>
        <w:tc>
          <w:tcPr>
            <w:tcW w:w="2492" w:type="dxa"/>
          </w:tcPr>
          <w:p w14:paraId="5FD376BE">
            <w:pPr>
              <w:pStyle w:val="4"/>
              <w:jc w:val="center"/>
            </w:pPr>
            <w:r>
              <w:rPr>
                <w:rFonts w:ascii="仿宋_GB2312" w:hAnsi="仿宋_GB2312" w:eastAsia="仿宋_GB2312" w:cs="仿宋_GB2312"/>
              </w:rPr>
              <w:t>产品名称</w:t>
            </w:r>
          </w:p>
        </w:tc>
      </w:tr>
      <w:tr w14:paraId="776B4F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9BD9F65">
            <w:pPr>
              <w:pStyle w:val="4"/>
              <w:jc w:val="center"/>
            </w:pPr>
            <w:r>
              <w:rPr>
                <w:rFonts w:ascii="仿宋_GB2312" w:hAnsi="仿宋_GB2312" w:eastAsia="仿宋_GB2312" w:cs="仿宋_GB2312"/>
              </w:rPr>
              <w:t>不涉及</w:t>
            </w:r>
          </w:p>
        </w:tc>
      </w:tr>
    </w:tbl>
    <w:p w14:paraId="1DE44B4D">
      <w:pPr>
        <w:pStyle w:val="4"/>
        <w:ind w:firstLine="480"/>
        <w:jc w:val="left"/>
      </w:pPr>
      <w:r>
        <w:rPr>
          <w:rFonts w:ascii="仿宋_GB2312" w:hAnsi="仿宋_GB2312" w:eastAsia="仿宋_GB2312" w:cs="仿宋_GB2312"/>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五章符合性审查表。</w:t>
      </w:r>
    </w:p>
    <w:p w14:paraId="42CDCA25">
      <w:pPr>
        <w:pStyle w:val="4"/>
        <w:jc w:val="left"/>
      </w:pPr>
      <w:r>
        <w:rPr>
          <w:rFonts w:ascii="仿宋_GB2312" w:hAnsi="仿宋_GB2312" w:eastAsia="仿宋_GB2312" w:cs="仿宋_GB2312"/>
          <w:b/>
        </w:rPr>
        <w:t>本项目涉及优先采购节能产品：</w:t>
      </w:r>
    </w:p>
    <w:p w14:paraId="5053B05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9ED44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44927BD">
            <w:pPr>
              <w:pStyle w:val="4"/>
              <w:jc w:val="center"/>
            </w:pPr>
            <w:r>
              <w:rPr>
                <w:rFonts w:ascii="仿宋_GB2312" w:hAnsi="仿宋_GB2312" w:eastAsia="仿宋_GB2312" w:cs="仿宋_GB2312"/>
              </w:rPr>
              <w:t>序号</w:t>
            </w:r>
          </w:p>
        </w:tc>
        <w:tc>
          <w:tcPr>
            <w:tcW w:w="2492" w:type="dxa"/>
          </w:tcPr>
          <w:p w14:paraId="6D62AE67">
            <w:pPr>
              <w:pStyle w:val="4"/>
              <w:jc w:val="center"/>
            </w:pPr>
            <w:r>
              <w:rPr>
                <w:rFonts w:ascii="仿宋_GB2312" w:hAnsi="仿宋_GB2312" w:eastAsia="仿宋_GB2312" w:cs="仿宋_GB2312"/>
              </w:rPr>
              <w:t>采购品目名称</w:t>
            </w:r>
          </w:p>
        </w:tc>
        <w:tc>
          <w:tcPr>
            <w:tcW w:w="2492" w:type="dxa"/>
          </w:tcPr>
          <w:p w14:paraId="270B62F3">
            <w:pPr>
              <w:pStyle w:val="4"/>
              <w:jc w:val="center"/>
            </w:pPr>
            <w:r>
              <w:rPr>
                <w:rFonts w:ascii="仿宋_GB2312" w:hAnsi="仿宋_GB2312" w:eastAsia="仿宋_GB2312" w:cs="仿宋_GB2312"/>
              </w:rPr>
              <w:t>标的名称</w:t>
            </w:r>
          </w:p>
        </w:tc>
        <w:tc>
          <w:tcPr>
            <w:tcW w:w="2492" w:type="dxa"/>
          </w:tcPr>
          <w:p w14:paraId="33BDA628">
            <w:pPr>
              <w:pStyle w:val="4"/>
              <w:jc w:val="center"/>
            </w:pPr>
            <w:r>
              <w:rPr>
                <w:rFonts w:ascii="仿宋_GB2312" w:hAnsi="仿宋_GB2312" w:eastAsia="仿宋_GB2312" w:cs="仿宋_GB2312"/>
              </w:rPr>
              <w:t>产品名称</w:t>
            </w:r>
          </w:p>
        </w:tc>
      </w:tr>
      <w:tr w14:paraId="252AC5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85F3802">
            <w:pPr>
              <w:pStyle w:val="4"/>
              <w:jc w:val="center"/>
            </w:pPr>
            <w:r>
              <w:rPr>
                <w:rFonts w:ascii="仿宋_GB2312" w:hAnsi="仿宋_GB2312" w:eastAsia="仿宋_GB2312" w:cs="仿宋_GB2312"/>
              </w:rPr>
              <w:t>不涉及</w:t>
            </w:r>
          </w:p>
        </w:tc>
      </w:tr>
    </w:tbl>
    <w:p w14:paraId="15C3F0F7">
      <w:pPr>
        <w:pStyle w:val="4"/>
        <w:ind w:firstLine="480"/>
        <w:jc w:val="left"/>
      </w:pPr>
      <w:r>
        <w:rPr>
          <w:rFonts w:ascii="仿宋_GB2312" w:hAnsi="仿宋_GB2312" w:eastAsia="仿宋_GB2312" w:cs="仿宋_GB2312"/>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五章规定。</w:t>
      </w:r>
    </w:p>
    <w:p w14:paraId="62038C04">
      <w:pPr>
        <w:pStyle w:val="4"/>
        <w:jc w:val="left"/>
      </w:pPr>
      <w:r>
        <w:rPr>
          <w:rFonts w:ascii="仿宋_GB2312" w:hAnsi="仿宋_GB2312" w:eastAsia="仿宋_GB2312" w:cs="仿宋_GB2312"/>
          <w:b/>
        </w:rPr>
        <w:t>本项目涉及优先采购环境标志产品：</w:t>
      </w:r>
    </w:p>
    <w:p w14:paraId="61DC613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65E92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725F826">
            <w:pPr>
              <w:pStyle w:val="4"/>
              <w:jc w:val="center"/>
            </w:pPr>
            <w:r>
              <w:rPr>
                <w:rFonts w:ascii="仿宋_GB2312" w:hAnsi="仿宋_GB2312" w:eastAsia="仿宋_GB2312" w:cs="仿宋_GB2312"/>
              </w:rPr>
              <w:t>序号</w:t>
            </w:r>
          </w:p>
        </w:tc>
        <w:tc>
          <w:tcPr>
            <w:tcW w:w="2492" w:type="dxa"/>
          </w:tcPr>
          <w:p w14:paraId="124871BA">
            <w:pPr>
              <w:pStyle w:val="4"/>
              <w:jc w:val="center"/>
            </w:pPr>
            <w:r>
              <w:rPr>
                <w:rFonts w:ascii="仿宋_GB2312" w:hAnsi="仿宋_GB2312" w:eastAsia="仿宋_GB2312" w:cs="仿宋_GB2312"/>
              </w:rPr>
              <w:t>采购品目名称</w:t>
            </w:r>
          </w:p>
        </w:tc>
        <w:tc>
          <w:tcPr>
            <w:tcW w:w="2492" w:type="dxa"/>
          </w:tcPr>
          <w:p w14:paraId="62FB70A7">
            <w:pPr>
              <w:pStyle w:val="4"/>
              <w:jc w:val="center"/>
            </w:pPr>
            <w:r>
              <w:rPr>
                <w:rFonts w:ascii="仿宋_GB2312" w:hAnsi="仿宋_GB2312" w:eastAsia="仿宋_GB2312" w:cs="仿宋_GB2312"/>
              </w:rPr>
              <w:t>标的名称</w:t>
            </w:r>
          </w:p>
        </w:tc>
        <w:tc>
          <w:tcPr>
            <w:tcW w:w="2492" w:type="dxa"/>
          </w:tcPr>
          <w:p w14:paraId="28164D58">
            <w:pPr>
              <w:pStyle w:val="4"/>
              <w:jc w:val="center"/>
            </w:pPr>
            <w:r>
              <w:rPr>
                <w:rFonts w:ascii="仿宋_GB2312" w:hAnsi="仿宋_GB2312" w:eastAsia="仿宋_GB2312" w:cs="仿宋_GB2312"/>
              </w:rPr>
              <w:t>产品名称</w:t>
            </w:r>
          </w:p>
        </w:tc>
      </w:tr>
      <w:tr w14:paraId="4D827F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ACB9FF9">
            <w:pPr>
              <w:pStyle w:val="4"/>
              <w:jc w:val="left"/>
            </w:pPr>
            <w:r>
              <w:rPr>
                <w:rFonts w:ascii="仿宋_GB2312" w:hAnsi="仿宋_GB2312" w:eastAsia="仿宋_GB2312" w:cs="仿宋_GB2312"/>
              </w:rPr>
              <w:t>1</w:t>
            </w:r>
          </w:p>
        </w:tc>
        <w:tc>
          <w:tcPr>
            <w:tcW w:w="2492" w:type="dxa"/>
          </w:tcPr>
          <w:p w14:paraId="765FFA90">
            <w:pPr>
              <w:pStyle w:val="4"/>
              <w:jc w:val="left"/>
            </w:pPr>
            <w:r>
              <w:rPr>
                <w:rFonts w:ascii="仿宋_GB2312" w:hAnsi="仿宋_GB2312" w:eastAsia="仿宋_GB2312" w:cs="仿宋_GB2312"/>
              </w:rPr>
              <w:t>A02340800 应急救援设备类</w:t>
            </w:r>
          </w:p>
        </w:tc>
        <w:tc>
          <w:tcPr>
            <w:tcW w:w="2492" w:type="dxa"/>
          </w:tcPr>
          <w:p w14:paraId="240B5B69">
            <w:pPr>
              <w:pStyle w:val="4"/>
              <w:jc w:val="left"/>
            </w:pPr>
            <w:r>
              <w:rPr>
                <w:rFonts w:ascii="仿宋_GB2312" w:hAnsi="仿宋_GB2312" w:eastAsia="仿宋_GB2312" w:cs="仿宋_GB2312"/>
              </w:rPr>
              <w:t>雨城区2026年救灾物资采购</w:t>
            </w:r>
          </w:p>
        </w:tc>
        <w:tc>
          <w:tcPr>
            <w:tcW w:w="2492" w:type="dxa"/>
          </w:tcPr>
          <w:p w14:paraId="41EB7ABD">
            <w:pPr>
              <w:pStyle w:val="4"/>
              <w:jc w:val="left"/>
            </w:pPr>
            <w:r>
              <w:rPr>
                <w:rFonts w:ascii="仿宋_GB2312" w:hAnsi="仿宋_GB2312" w:eastAsia="仿宋_GB2312" w:cs="仿宋_GB2312"/>
              </w:rPr>
              <w:t>帐篷、折叠床、棉被、棉大衣</w:t>
            </w:r>
          </w:p>
        </w:tc>
      </w:tr>
    </w:tbl>
    <w:p w14:paraId="64EBB79E">
      <w:pPr>
        <w:pStyle w:val="4"/>
        <w:jc w:val="left"/>
      </w:pPr>
      <w:r>
        <w:rPr>
          <w:rFonts w:ascii="仿宋_GB2312" w:hAnsi="仿宋_GB2312" w:eastAsia="仿宋_GB2312" w:cs="仿宋_GB2312"/>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五章规定。</w:t>
      </w:r>
    </w:p>
    <w:p w14:paraId="457B1D7D">
      <w:pPr>
        <w:pStyle w:val="4"/>
        <w:jc w:val="left"/>
        <w:outlineLvl w:val="2"/>
      </w:pPr>
      <w:r>
        <w:rPr>
          <w:rFonts w:ascii="仿宋_GB2312" w:hAnsi="仿宋_GB2312" w:eastAsia="仿宋_GB2312" w:cs="仿宋_GB2312"/>
          <w:b/>
          <w:sz w:val="28"/>
        </w:rPr>
        <w:t>3.2.技术要求</w:t>
      </w:r>
    </w:p>
    <w:p w14:paraId="4D5B9ED1">
      <w:pPr>
        <w:pStyle w:val="4"/>
        <w:jc w:val="left"/>
      </w:pPr>
      <w:r>
        <w:rPr>
          <w:rFonts w:ascii="仿宋_GB2312" w:hAnsi="仿宋_GB2312" w:eastAsia="仿宋_GB2312" w:cs="仿宋_GB2312"/>
        </w:rPr>
        <w:t>采购包1：</w:t>
      </w:r>
    </w:p>
    <w:p w14:paraId="24C06B42">
      <w:pPr>
        <w:pStyle w:val="4"/>
        <w:jc w:val="left"/>
      </w:pPr>
      <w:r>
        <w:rPr>
          <w:rFonts w:ascii="仿宋_GB2312" w:hAnsi="仿宋_GB2312" w:eastAsia="仿宋_GB2312" w:cs="仿宋_GB2312"/>
        </w:rPr>
        <w:t>标的名称：雨城区2026年救灾物资采购</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8DA5B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61C6612">
            <w:pPr>
              <w:pStyle w:val="4"/>
              <w:jc w:val="center"/>
            </w:pPr>
            <w:r>
              <w:rPr>
                <w:rFonts w:ascii="仿宋_GB2312" w:hAnsi="仿宋_GB2312" w:eastAsia="仿宋_GB2312" w:cs="仿宋_GB2312"/>
              </w:rPr>
              <w:t>序号</w:t>
            </w:r>
          </w:p>
        </w:tc>
        <w:tc>
          <w:tcPr>
            <w:tcW w:w="581" w:type="dxa"/>
          </w:tcPr>
          <w:p w14:paraId="00B55103">
            <w:pPr>
              <w:pStyle w:val="4"/>
              <w:jc w:val="center"/>
            </w:pPr>
            <w:r>
              <w:rPr>
                <w:rFonts w:ascii="仿宋_GB2312" w:hAnsi="仿宋_GB2312" w:eastAsia="仿宋_GB2312" w:cs="仿宋_GB2312"/>
              </w:rPr>
              <w:t>符号标识</w:t>
            </w:r>
          </w:p>
        </w:tc>
        <w:tc>
          <w:tcPr>
            <w:tcW w:w="1495" w:type="dxa"/>
          </w:tcPr>
          <w:p w14:paraId="0AD4BB3F">
            <w:pPr>
              <w:pStyle w:val="4"/>
              <w:jc w:val="center"/>
            </w:pPr>
            <w:r>
              <w:rPr>
                <w:rFonts w:ascii="仿宋_GB2312" w:hAnsi="仿宋_GB2312" w:eastAsia="仿宋_GB2312" w:cs="仿宋_GB2312"/>
              </w:rPr>
              <w:t>技术要求名称</w:t>
            </w:r>
          </w:p>
        </w:tc>
        <w:tc>
          <w:tcPr>
            <w:tcW w:w="5814" w:type="dxa"/>
          </w:tcPr>
          <w:p w14:paraId="1C7F4CEE">
            <w:pPr>
              <w:pStyle w:val="4"/>
              <w:jc w:val="center"/>
            </w:pPr>
            <w:r>
              <w:rPr>
                <w:rFonts w:ascii="仿宋_GB2312" w:hAnsi="仿宋_GB2312" w:eastAsia="仿宋_GB2312" w:cs="仿宋_GB2312"/>
              </w:rPr>
              <w:t>技术参数与性能指标</w:t>
            </w:r>
          </w:p>
        </w:tc>
      </w:tr>
      <w:tr w14:paraId="25565C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BF2DB91">
            <w:pPr>
              <w:pStyle w:val="4"/>
              <w:jc w:val="center"/>
            </w:pPr>
            <w:r>
              <w:rPr>
                <w:rFonts w:ascii="仿宋_GB2312" w:hAnsi="仿宋_GB2312" w:eastAsia="仿宋_GB2312" w:cs="仿宋_GB2312"/>
              </w:rPr>
              <w:t>1</w:t>
            </w:r>
          </w:p>
        </w:tc>
        <w:tc>
          <w:tcPr>
            <w:tcW w:w="581" w:type="dxa"/>
          </w:tcPr>
          <w:p w14:paraId="2D8C92EE">
            <w:pPr>
              <w:pStyle w:val="4"/>
              <w:jc w:val="center"/>
            </w:pPr>
            <w:r>
              <w:rPr>
                <w:rFonts w:ascii="仿宋_GB2312" w:hAnsi="仿宋_GB2312" w:eastAsia="仿宋_GB2312" w:cs="仿宋_GB2312"/>
              </w:rPr>
              <w:t>★</w:t>
            </w:r>
          </w:p>
        </w:tc>
        <w:tc>
          <w:tcPr>
            <w:tcW w:w="1495" w:type="dxa"/>
          </w:tcPr>
          <w:p w14:paraId="7A7DBF37">
            <w:pPr>
              <w:pStyle w:val="4"/>
              <w:jc w:val="left"/>
            </w:pPr>
            <w:r>
              <w:rPr>
                <w:rFonts w:ascii="仿宋_GB2312" w:hAnsi="仿宋_GB2312" w:eastAsia="仿宋_GB2312" w:cs="仿宋_GB2312"/>
              </w:rPr>
              <w:t>服务内容及服务要求</w:t>
            </w:r>
          </w:p>
        </w:tc>
        <w:tc>
          <w:tcPr>
            <w:tcW w:w="5814" w:type="dxa"/>
          </w:tcPr>
          <w:p w14:paraId="139086BA">
            <w:pPr>
              <w:pStyle w:val="4"/>
              <w:numPr>
                <w:ilvl w:val="0"/>
                <w:numId w:val="1"/>
              </w:numPr>
              <w:jc w:val="left"/>
            </w:pPr>
            <w:r>
              <w:rPr>
                <w:rFonts w:ascii="仿宋_GB2312" w:hAnsi="仿宋_GB2312" w:eastAsia="仿宋_GB2312" w:cs="仿宋_GB2312"/>
                <w:b/>
                <w:sz w:val="24"/>
              </w:rPr>
              <w:t>服务内容及服务要求（实质性要求）：</w:t>
            </w:r>
          </w:p>
          <w:tbl>
            <w:tblPr>
              <w:tblStyle w:val="2"/>
              <w:tblW w:w="0" w:type="auto"/>
              <w:tblInd w:w="13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270"/>
              <w:gridCol w:w="510"/>
              <w:gridCol w:w="4168"/>
              <w:gridCol w:w="510"/>
            </w:tblGrid>
            <w:tr w14:paraId="2C2A727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top"/>
                </w:tcPr>
                <w:p w14:paraId="5B490CAA">
                  <w:pPr>
                    <w:pStyle w:val="4"/>
                    <w:jc w:val="left"/>
                  </w:pPr>
                  <w:r>
                    <w:rPr>
                      <w:rFonts w:ascii="仿宋_GB2312" w:hAnsi="仿宋_GB2312" w:eastAsia="仿宋_GB2312" w:cs="仿宋_GB2312"/>
                      <w:color w:val="000000"/>
                      <w:sz w:val="24"/>
                    </w:rPr>
                    <w:t>序号</w:t>
                  </w:r>
                </w:p>
              </w:tc>
              <w:tc>
                <w:tcPr>
                  <w:tcW w:w="497"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top"/>
                </w:tcPr>
                <w:p w14:paraId="3ED6ED2A">
                  <w:pPr>
                    <w:pStyle w:val="4"/>
                    <w:jc w:val="left"/>
                  </w:pPr>
                  <w:r>
                    <w:rPr>
                      <w:rFonts w:ascii="仿宋_GB2312" w:hAnsi="仿宋_GB2312" w:eastAsia="仿宋_GB2312" w:cs="仿宋_GB2312"/>
                      <w:color w:val="000000"/>
                      <w:sz w:val="24"/>
                    </w:rPr>
                    <w:t>商品名称</w:t>
                  </w:r>
                </w:p>
              </w:tc>
              <w:tc>
                <w:tcPr>
                  <w:tcW w:w="4541"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top"/>
                </w:tcPr>
                <w:p w14:paraId="523133AA">
                  <w:pPr>
                    <w:pStyle w:val="4"/>
                    <w:jc w:val="left"/>
                  </w:pPr>
                  <w:r>
                    <w:rPr>
                      <w:rFonts w:ascii="仿宋_GB2312" w:hAnsi="仿宋_GB2312" w:eastAsia="仿宋_GB2312" w:cs="仿宋_GB2312"/>
                      <w:color w:val="000000"/>
                      <w:sz w:val="24"/>
                    </w:rPr>
                    <w:t>采购内容</w:t>
                  </w:r>
                </w:p>
              </w:tc>
              <w:tc>
                <w:tcPr>
                  <w:tcW w:w="358"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top"/>
                </w:tcPr>
                <w:p w14:paraId="36E1B559">
                  <w:pPr>
                    <w:pStyle w:val="4"/>
                    <w:jc w:val="left"/>
                  </w:pPr>
                  <w:r>
                    <w:rPr>
                      <w:rFonts w:ascii="仿宋_GB2312" w:hAnsi="仿宋_GB2312" w:eastAsia="仿宋_GB2312" w:cs="仿宋_GB2312"/>
                      <w:color w:val="000000"/>
                      <w:sz w:val="24"/>
                    </w:rPr>
                    <w:t>数量</w:t>
                  </w:r>
                </w:p>
              </w:tc>
            </w:tr>
            <w:tr w14:paraId="227596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3" w:type="dxa"/>
                  <w:tcBorders>
                    <w:top w:val="nil"/>
                    <w:left w:val="single" w:color="000000" w:sz="4" w:space="0"/>
                    <w:bottom w:val="nil"/>
                    <w:right w:val="single" w:color="000000" w:sz="4" w:space="0"/>
                  </w:tcBorders>
                  <w:tcMar>
                    <w:top w:w="15" w:type="dxa"/>
                    <w:left w:w="15" w:type="dxa"/>
                    <w:bottom w:w="0" w:type="dxa"/>
                    <w:right w:w="15" w:type="dxa"/>
                  </w:tcMar>
                  <w:vAlign w:val="top"/>
                </w:tcPr>
                <w:p w14:paraId="713BEE78">
                  <w:pPr>
                    <w:pStyle w:val="4"/>
                    <w:jc w:val="left"/>
                  </w:pPr>
                  <w:r>
                    <w:rPr>
                      <w:rFonts w:ascii="仿宋_GB2312" w:hAnsi="仿宋_GB2312" w:eastAsia="仿宋_GB2312" w:cs="仿宋_GB2312"/>
                      <w:color w:val="000000"/>
                      <w:sz w:val="24"/>
                    </w:rPr>
                    <w:t>1</w:t>
                  </w:r>
                </w:p>
              </w:tc>
              <w:tc>
                <w:tcPr>
                  <w:tcW w:w="497" w:type="dxa"/>
                  <w:tcBorders>
                    <w:top w:val="nil"/>
                    <w:left w:val="nil"/>
                    <w:bottom w:val="single" w:color="000000" w:sz="4" w:space="0"/>
                    <w:right w:val="single" w:color="000000" w:sz="4" w:space="0"/>
                  </w:tcBorders>
                  <w:tcMar>
                    <w:top w:w="15" w:type="dxa"/>
                    <w:left w:w="15" w:type="dxa"/>
                    <w:bottom w:w="0" w:type="dxa"/>
                    <w:right w:w="15" w:type="dxa"/>
                  </w:tcMar>
                  <w:vAlign w:val="top"/>
                </w:tcPr>
                <w:p w14:paraId="5589D227">
                  <w:pPr>
                    <w:pStyle w:val="4"/>
                    <w:jc w:val="left"/>
                  </w:pPr>
                  <w:r>
                    <w:rPr>
                      <w:rFonts w:ascii="仿宋_GB2312" w:hAnsi="仿宋_GB2312" w:eastAsia="仿宋_GB2312" w:cs="仿宋_GB2312"/>
                      <w:color w:val="000000"/>
                      <w:sz w:val="24"/>
                    </w:rPr>
                    <w:t>折叠床（核心产品）</w:t>
                  </w:r>
                </w:p>
              </w:tc>
              <w:tc>
                <w:tcPr>
                  <w:tcW w:w="4541" w:type="dxa"/>
                  <w:tcBorders>
                    <w:top w:val="nil"/>
                    <w:left w:val="nil"/>
                    <w:bottom w:val="single" w:color="000000" w:sz="4" w:space="0"/>
                    <w:right w:val="single" w:color="000000" w:sz="4" w:space="0"/>
                  </w:tcBorders>
                  <w:tcMar>
                    <w:top w:w="15" w:type="dxa"/>
                    <w:left w:w="15" w:type="dxa"/>
                    <w:bottom w:w="0" w:type="dxa"/>
                    <w:right w:w="15" w:type="dxa"/>
                  </w:tcMar>
                  <w:vAlign w:val="top"/>
                </w:tcPr>
                <w:p w14:paraId="6F382B95">
                  <w:pPr>
                    <w:pStyle w:val="4"/>
                    <w:jc w:val="left"/>
                  </w:pPr>
                  <w:r>
                    <w:rPr>
                      <w:rFonts w:ascii="仿宋_GB2312" w:hAnsi="仿宋_GB2312" w:eastAsia="仿宋_GB2312" w:cs="仿宋_GB2312"/>
                      <w:color w:val="000000"/>
                      <w:sz w:val="24"/>
                    </w:rPr>
                    <w:t>执行标准：</w:t>
                  </w:r>
                  <w:r>
                    <w:rPr>
                      <w:rFonts w:ascii="仿宋_GB2312" w:hAnsi="仿宋_GB2312" w:eastAsia="仿宋_GB2312" w:cs="仿宋_GB2312"/>
                      <w:b/>
                      <w:color w:val="000000"/>
                      <w:sz w:val="24"/>
                    </w:rPr>
                    <w:t>YJ/T 11.1《救灾装具 第 1 部分：折叠床》（原 MZ/T 015.1）</w:t>
                  </w:r>
                  <w:r>
                    <w:rPr>
                      <w:rFonts w:ascii="仿宋_GB2312" w:hAnsi="仿宋_GB2312" w:eastAsia="仿宋_GB2312" w:cs="仿宋_GB2312"/>
                      <w:color w:val="000000"/>
                      <w:sz w:val="24"/>
                    </w:rPr>
                    <w:t>，同时满足GB/T 3923.1、GB/T 3917.3相关国家标准要求。</w:t>
                  </w:r>
                </w:p>
                <w:p w14:paraId="43F329B2">
                  <w:pPr>
                    <w:pStyle w:val="4"/>
                    <w:jc w:val="left"/>
                  </w:pPr>
                  <w:r>
                    <w:rPr>
                      <w:rFonts w:ascii="仿宋_GB2312" w:hAnsi="仿宋_GB2312" w:eastAsia="仿宋_GB2312" w:cs="仿宋_GB2312"/>
                      <w:color w:val="000000"/>
                      <w:sz w:val="24"/>
                    </w:rPr>
                    <w:t>1.成品尺寸：展开总长1850mm±10mm，展开总宽700mm±5mm，床面离地高度350mm±10mm；折叠后尺寸长900mm±10mm、宽700mm±5mm、厚度110mm±10mm。</w:t>
                  </w:r>
                </w:p>
                <w:p w14:paraId="76BB3339">
                  <w:pPr>
                    <w:pStyle w:val="4"/>
                    <w:jc w:val="left"/>
                  </w:pPr>
                  <w:r>
                    <w:rPr>
                      <w:rFonts w:ascii="仿宋_GB2312" w:hAnsi="仿宋_GB2312" w:eastAsia="仿宋_GB2312" w:cs="仿宋_GB2312"/>
                      <w:color w:val="000000"/>
                      <w:sz w:val="24"/>
                    </w:rPr>
                    <w:t>2.床架材质：采用Q195焊接钢管，主管规格≥φ25mm×1.1mm，辅管规格 ≥φ19mm×1.0mm；管材经除油、除锈、磷化、环氧树脂粉末喷塑处理，漆膜厚度≥40μm；按GB/T 10125 开展96h中性盐雾（NSS）试验，试样无起泡、脱落、锈蚀现象。</w:t>
                  </w:r>
                </w:p>
                <w:p w14:paraId="3BBC0CF0">
                  <w:pPr>
                    <w:pStyle w:val="4"/>
                    <w:jc w:val="left"/>
                  </w:pPr>
                  <w:r>
                    <w:rPr>
                      <w:rFonts w:ascii="仿宋_GB2312" w:hAnsi="仿宋_GB2312" w:eastAsia="仿宋_GB2312" w:cs="仿宋_GB2312"/>
                      <w:color w:val="000000"/>
                      <w:sz w:val="24"/>
                    </w:rPr>
                    <w:t>3.床面面料：≥666dtex×666dtex 涤纶长丝 PVC 涂层布，克重≥420g/㎡；经向断裂强力≥1600N/5cm，纬向断裂强力≥1400N/5cm；经向撕破强力≥100N，纬向撕破强力≥80N；静水压≥30kPa；颜色为天蓝色。阻燃面料阻燃性能符合GB/T 5455 纺织品燃烧性能试验垂直法要求。</w:t>
                  </w:r>
                </w:p>
                <w:p w14:paraId="7637DCB8">
                  <w:pPr>
                    <w:pStyle w:val="4"/>
                    <w:jc w:val="left"/>
                  </w:pPr>
                  <w:r>
                    <w:rPr>
                      <w:rFonts w:ascii="仿宋_GB2312" w:hAnsi="仿宋_GB2312" w:eastAsia="仿宋_GB2312" w:cs="仿宋_GB2312"/>
                      <w:color w:val="000000"/>
                      <w:sz w:val="24"/>
                    </w:rPr>
                    <w:t>4.配套结构部件：床头配置可搭扣海绵枕头；床面上部设置可滑动硬质塑料垫板；床背配置≥ 2 条可调节涤纶束紧带，束紧带断裂强力≥2500N；配备斜向加强支撑结构；折叠铰链、锁扣、紧固件齐全，开合灵活、锁止可靠，无松动滑脱；所有金属构件无毛刺、无尖锐棱角。</w:t>
                  </w:r>
                </w:p>
                <w:p w14:paraId="4724892C">
                  <w:pPr>
                    <w:pStyle w:val="4"/>
                    <w:jc w:val="left"/>
                  </w:pPr>
                  <w:r>
                    <w:rPr>
                      <w:rFonts w:ascii="仿宋_GB2312" w:hAnsi="仿宋_GB2312" w:eastAsia="仿宋_GB2312" w:cs="仿宋_GB2312"/>
                      <w:color w:val="000000"/>
                      <w:sz w:val="24"/>
                    </w:rPr>
                    <w:t>5.缝制工艺：缝制针距 8‑10 针 / 3cm，线路顺直、牢固均匀，无跳针、漏缝、断线，织带袢带位置加固缝制。</w:t>
                  </w:r>
                </w:p>
                <w:p w14:paraId="4F9FCEDB">
                  <w:pPr>
                    <w:pStyle w:val="4"/>
                    <w:jc w:val="left"/>
                  </w:pPr>
                  <w:r>
                    <w:rPr>
                      <w:rFonts w:ascii="仿宋_GB2312" w:hAnsi="仿宋_GB2312" w:eastAsia="仿宋_GB2312" w:cs="仿宋_GB2312"/>
                      <w:color w:val="000000"/>
                      <w:sz w:val="24"/>
                    </w:rPr>
                    <w:t>6.力学性能：额定静载荷≥150kg，满载加载后床架无裂纹、无永久变形；连续折叠开合 500 次，锁止及铰链机构无损坏、无失效。</w:t>
                  </w:r>
                </w:p>
                <w:p w14:paraId="2EA94093">
                  <w:pPr>
                    <w:pStyle w:val="4"/>
                    <w:jc w:val="left"/>
                  </w:pPr>
                  <w:r>
                    <w:rPr>
                      <w:rFonts w:ascii="仿宋_GB2312" w:hAnsi="仿宋_GB2312" w:eastAsia="仿宋_GB2312" w:cs="仿宋_GB2312"/>
                      <w:color w:val="000000"/>
                      <w:sz w:val="24"/>
                    </w:rPr>
                    <w:t>7.外观质量：床架喷塑涂层均匀饱满，无漏喷、流挂、磕碰划伤；床面布平整无破洞、跳纱、污渍；床面清晰印制 “救灾专用” 标识，牢固不脱落。</w:t>
                  </w:r>
                </w:p>
                <w:p w14:paraId="2A60FA36">
                  <w:pPr>
                    <w:pStyle w:val="4"/>
                    <w:jc w:val="left"/>
                  </w:pPr>
                  <w:r>
                    <w:rPr>
                      <w:rFonts w:ascii="仿宋_GB2312" w:hAnsi="仿宋_GB2312" w:eastAsia="仿宋_GB2312" w:cs="仿宋_GB2312"/>
                      <w:color w:val="000000"/>
                      <w:sz w:val="24"/>
                    </w:rPr>
                    <w:t>8.产品标识：床架固定铭牌，标注产品名称、执行标准、生产单位、生产日期。</w:t>
                  </w:r>
                </w:p>
                <w:p w14:paraId="55BDA6B1">
                  <w:pPr>
                    <w:pStyle w:val="4"/>
                    <w:jc w:val="left"/>
                  </w:pPr>
                  <w:r>
                    <w:rPr>
                      <w:rFonts w:ascii="仿宋_GB2312" w:hAnsi="仿宋_GB2312" w:eastAsia="仿宋_GB2312" w:cs="仿宋_GB2312"/>
                      <w:color w:val="000000"/>
                      <w:sz w:val="24"/>
                    </w:rPr>
                    <w:t>9.包装要求：单床采用透明塑料袋内包装、纸箱外包装，箱内附带产品合格证；外包装清晰印刷“救灾专用”、产品名称、规格数量、毛重、生产单位、生产日期、批号。</w:t>
                  </w:r>
                </w:p>
              </w:tc>
              <w:tc>
                <w:tcPr>
                  <w:tcW w:w="358" w:type="dxa"/>
                  <w:tcBorders>
                    <w:top w:val="nil"/>
                    <w:left w:val="nil"/>
                    <w:bottom w:val="single" w:color="000000" w:sz="4" w:space="0"/>
                    <w:right w:val="single" w:color="000000" w:sz="4" w:space="0"/>
                  </w:tcBorders>
                  <w:tcMar>
                    <w:top w:w="15" w:type="dxa"/>
                    <w:left w:w="15" w:type="dxa"/>
                    <w:bottom w:w="0" w:type="dxa"/>
                    <w:right w:w="15" w:type="dxa"/>
                  </w:tcMar>
                  <w:vAlign w:val="top"/>
                </w:tcPr>
                <w:p w14:paraId="3A5CB687">
                  <w:pPr>
                    <w:pStyle w:val="4"/>
                    <w:jc w:val="center"/>
                  </w:pPr>
                  <w:r>
                    <w:rPr>
                      <w:rFonts w:ascii="仿宋_GB2312" w:hAnsi="仿宋_GB2312" w:eastAsia="仿宋_GB2312" w:cs="仿宋_GB2312"/>
                      <w:color w:val="000000"/>
                      <w:sz w:val="24"/>
                    </w:rPr>
                    <w:t>451</w:t>
                  </w:r>
                </w:p>
              </w:tc>
            </w:tr>
            <w:tr w14:paraId="04F46F4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top"/>
                </w:tcPr>
                <w:p w14:paraId="3F4FD8C2">
                  <w:pPr>
                    <w:pStyle w:val="4"/>
                    <w:jc w:val="center"/>
                  </w:pPr>
                  <w:r>
                    <w:rPr>
                      <w:rFonts w:ascii="仿宋_GB2312" w:hAnsi="仿宋_GB2312" w:eastAsia="仿宋_GB2312" w:cs="仿宋_GB2312"/>
                      <w:b/>
                      <w:color w:val="000000"/>
                      <w:sz w:val="24"/>
                    </w:rPr>
                    <w:t>2</w:t>
                  </w:r>
                </w:p>
              </w:tc>
              <w:tc>
                <w:tcPr>
                  <w:tcW w:w="497" w:type="dxa"/>
                  <w:tcBorders>
                    <w:top w:val="nil"/>
                    <w:left w:val="nil"/>
                    <w:bottom w:val="single" w:color="000000" w:sz="4" w:space="0"/>
                    <w:right w:val="single" w:color="000000" w:sz="4" w:space="0"/>
                  </w:tcBorders>
                  <w:tcMar>
                    <w:top w:w="15" w:type="dxa"/>
                    <w:left w:w="15" w:type="dxa"/>
                    <w:bottom w:w="0" w:type="dxa"/>
                    <w:right w:w="15" w:type="dxa"/>
                  </w:tcMar>
                  <w:vAlign w:val="top"/>
                </w:tcPr>
                <w:p w14:paraId="550C2794">
                  <w:pPr>
                    <w:pStyle w:val="4"/>
                    <w:spacing w:after="120"/>
                    <w:jc w:val="left"/>
                  </w:pPr>
                  <w:r>
                    <w:rPr>
                      <w:rFonts w:ascii="仿宋_GB2312" w:hAnsi="仿宋_GB2312" w:eastAsia="仿宋_GB2312" w:cs="仿宋_GB2312"/>
                      <w:color w:val="000000"/>
                      <w:sz w:val="24"/>
                    </w:rPr>
                    <w:t>棉被</w:t>
                  </w:r>
                </w:p>
              </w:tc>
              <w:tc>
                <w:tcPr>
                  <w:tcW w:w="4541" w:type="dxa"/>
                  <w:tcBorders>
                    <w:top w:val="nil"/>
                    <w:left w:val="nil"/>
                    <w:bottom w:val="single" w:color="000000" w:sz="4" w:space="0"/>
                    <w:right w:val="single" w:color="000000" w:sz="4" w:space="0"/>
                  </w:tcBorders>
                  <w:tcMar>
                    <w:top w:w="15" w:type="dxa"/>
                    <w:left w:w="15" w:type="dxa"/>
                    <w:bottom w:w="0" w:type="dxa"/>
                    <w:right w:w="15" w:type="dxa"/>
                  </w:tcMar>
                  <w:vAlign w:val="top"/>
                </w:tcPr>
                <w:p w14:paraId="47CE1878">
                  <w:pPr>
                    <w:pStyle w:val="4"/>
                    <w:jc w:val="left"/>
                  </w:pPr>
                  <w:r>
                    <w:rPr>
                      <w:rFonts w:ascii="仿宋_GB2312" w:hAnsi="仿宋_GB2312" w:eastAsia="仿宋_GB2312" w:cs="仿宋_GB2312"/>
                      <w:color w:val="000000"/>
                      <w:sz w:val="24"/>
                    </w:rPr>
                    <w:t>执行标准：YJ/T 10.1（原 MZ/T 014.1）《救灾被服 第 1 部分：棉被》，同时满足 GB 18401 B 类及以上、GB 18383全部强制要求。</w:t>
                  </w:r>
                </w:p>
                <w:p w14:paraId="59351F64">
                  <w:pPr>
                    <w:pStyle w:val="4"/>
                    <w:jc w:val="left"/>
                  </w:pPr>
                  <w:r>
                    <w:rPr>
                      <w:rFonts w:ascii="仿宋_GB2312" w:hAnsi="仿宋_GB2312" w:eastAsia="仿宋_GB2312" w:cs="仿宋_GB2312"/>
                      <w:color w:val="000000"/>
                      <w:sz w:val="24"/>
                    </w:rPr>
                    <w:t>1.成品规格：棉胎 210cm×150cm，尺寸允许偏差 ±2%；被套 215cm×155cm，尺寸允许偏差 ±2%。</w:t>
                  </w:r>
                </w:p>
                <w:p w14:paraId="55B88A3B">
                  <w:pPr>
                    <w:pStyle w:val="4"/>
                    <w:jc w:val="left"/>
                  </w:pPr>
                  <w:r>
                    <w:rPr>
                      <w:rFonts w:ascii="仿宋_GB2312" w:hAnsi="仿宋_GB2312" w:eastAsia="仿宋_GB2312" w:cs="仿宋_GB2312"/>
                      <w:color w:val="000000"/>
                      <w:sz w:val="24"/>
                    </w:rPr>
                    <w:t>2.棉胎：100% 锯齿细绒棉，棉花质量不低于白棉 2 级（GB1103.1），棉胎净重≥2500g，质量偏差率≥-3%；含杂率≤1.0%，含油率≤1.0%，短纤维含量≤25%；严禁使用回收再加工纤维；铺棉均匀平整，厚薄一致，网纱排布均匀，四边平直、四角方正，无缺花、不塌边，无棉块、无结块。</w:t>
                  </w:r>
                </w:p>
                <w:p w14:paraId="6D75AF64">
                  <w:pPr>
                    <w:pStyle w:val="4"/>
                    <w:jc w:val="left"/>
                  </w:pPr>
                  <w:r>
                    <w:rPr>
                      <w:rFonts w:ascii="仿宋_GB2312" w:hAnsi="仿宋_GB2312" w:eastAsia="仿宋_GB2312" w:cs="仿宋_GB2312"/>
                      <w:color w:val="000000"/>
                      <w:sz w:val="24"/>
                    </w:rPr>
                    <w:t>3.被套面料：100% 棉，军绿色，32S×32S 纯棉平纹布，经密 68 根 / 英寸，纬密 68 根 / 英寸，密度偏差≥-3%；无异味，禁用可分解致癌芳香胺染料，甲醛、pH 值、色牢度满足 GB 18401 B 类及以上要求。</w:t>
                  </w:r>
                </w:p>
                <w:p w14:paraId="27333C97">
                  <w:pPr>
                    <w:pStyle w:val="4"/>
                    <w:jc w:val="left"/>
                  </w:pPr>
                  <w:r>
                    <w:rPr>
                      <w:rFonts w:ascii="仿宋_GB2312" w:hAnsi="仿宋_GB2312" w:eastAsia="仿宋_GB2312" w:cs="仿宋_GB2312"/>
                      <w:color w:val="000000"/>
                      <w:sz w:val="24"/>
                    </w:rPr>
                    <w:t>4.缝制工艺：绗缝针距 11～13 针 / 3cm，线路顺直，无跳针、漏缝、断线；四角设置固定绑带，被套四角缝制到位，包边整齐牢固。</w:t>
                  </w:r>
                </w:p>
                <w:p w14:paraId="3229DD3B">
                  <w:pPr>
                    <w:pStyle w:val="4"/>
                    <w:jc w:val="left"/>
                  </w:pPr>
                  <w:r>
                    <w:rPr>
                      <w:rFonts w:ascii="仿宋_GB2312" w:hAnsi="仿宋_GB2312" w:eastAsia="仿宋_GB2312" w:cs="仿宋_GB2312"/>
                      <w:color w:val="000000"/>
                      <w:sz w:val="24"/>
                    </w:rPr>
                    <w:t>5.标识：产品标签缝制于被套角部，标识符合 GB 5296.4《消费品使用说明 纺织品和服装》，纺织品标识强制标准。</w:t>
                  </w:r>
                </w:p>
                <w:p w14:paraId="16BF1D91">
                  <w:pPr>
                    <w:pStyle w:val="4"/>
                    <w:jc w:val="left"/>
                  </w:pPr>
                  <w:r>
                    <w:rPr>
                      <w:rFonts w:ascii="仿宋_GB2312" w:hAnsi="仿宋_GB2312" w:eastAsia="仿宋_GB2312" w:cs="仿宋_GB2312"/>
                      <w:color w:val="000000"/>
                      <w:sz w:val="24"/>
                    </w:rPr>
                    <w:t>6.包装：10床/包，聚丙烯编织外袋，内衬防潮材料，包内放置产品合格证；外包装印刷字样样式满足采购人物资入库管理要求、产品名称、数量、毛重、生产单位、生产日期、批号、防潮标识。</w:t>
                  </w:r>
                </w:p>
              </w:tc>
              <w:tc>
                <w:tcPr>
                  <w:tcW w:w="358" w:type="dxa"/>
                  <w:tcBorders>
                    <w:top w:val="nil"/>
                    <w:left w:val="nil"/>
                    <w:bottom w:val="single" w:color="000000" w:sz="4" w:space="0"/>
                    <w:right w:val="single" w:color="000000" w:sz="4" w:space="0"/>
                  </w:tcBorders>
                  <w:tcMar>
                    <w:top w:w="15" w:type="dxa"/>
                    <w:left w:w="15" w:type="dxa"/>
                    <w:bottom w:w="0" w:type="dxa"/>
                    <w:right w:w="15" w:type="dxa"/>
                  </w:tcMar>
                  <w:vAlign w:val="top"/>
                </w:tcPr>
                <w:p w14:paraId="6F51A78B">
                  <w:pPr>
                    <w:pStyle w:val="4"/>
                    <w:jc w:val="center"/>
                  </w:pPr>
                  <w:r>
                    <w:rPr>
                      <w:rFonts w:ascii="仿宋_GB2312" w:hAnsi="仿宋_GB2312" w:eastAsia="仿宋_GB2312" w:cs="仿宋_GB2312"/>
                      <w:color w:val="000000"/>
                      <w:sz w:val="24"/>
                    </w:rPr>
                    <w:t>1714</w:t>
                  </w:r>
                </w:p>
              </w:tc>
            </w:tr>
            <w:tr w14:paraId="0609C7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3" w:type="dxa"/>
                  <w:tcBorders>
                    <w:top w:val="nil"/>
                    <w:left w:val="single" w:color="000000" w:sz="4" w:space="0"/>
                    <w:bottom w:val="nil"/>
                    <w:right w:val="single" w:color="000000" w:sz="4" w:space="0"/>
                  </w:tcBorders>
                  <w:tcMar>
                    <w:top w:w="15" w:type="dxa"/>
                    <w:left w:w="15" w:type="dxa"/>
                    <w:bottom w:w="0" w:type="dxa"/>
                    <w:right w:w="15" w:type="dxa"/>
                  </w:tcMar>
                  <w:vAlign w:val="top"/>
                </w:tcPr>
                <w:p w14:paraId="2029A996">
                  <w:pPr>
                    <w:pStyle w:val="4"/>
                    <w:jc w:val="center"/>
                  </w:pPr>
                  <w:r>
                    <w:rPr>
                      <w:rFonts w:ascii="仿宋_GB2312" w:hAnsi="仿宋_GB2312" w:eastAsia="仿宋_GB2312" w:cs="仿宋_GB2312"/>
                      <w:color w:val="000000"/>
                      <w:sz w:val="24"/>
                    </w:rPr>
                    <w:t>3</w:t>
                  </w:r>
                </w:p>
              </w:tc>
              <w:tc>
                <w:tcPr>
                  <w:tcW w:w="497" w:type="dxa"/>
                  <w:tcBorders>
                    <w:top w:val="nil"/>
                    <w:left w:val="nil"/>
                    <w:bottom w:val="single" w:color="000000" w:sz="4" w:space="0"/>
                    <w:right w:val="single" w:color="000000" w:sz="4" w:space="0"/>
                  </w:tcBorders>
                  <w:tcMar>
                    <w:top w:w="15" w:type="dxa"/>
                    <w:left w:w="15" w:type="dxa"/>
                    <w:bottom w:w="0" w:type="dxa"/>
                    <w:right w:w="15" w:type="dxa"/>
                  </w:tcMar>
                  <w:vAlign w:val="top"/>
                </w:tcPr>
                <w:p w14:paraId="4C4D2CAE">
                  <w:pPr>
                    <w:pStyle w:val="4"/>
                    <w:spacing w:after="120"/>
                    <w:jc w:val="left"/>
                  </w:pPr>
                  <w:r>
                    <w:rPr>
                      <w:rFonts w:ascii="仿宋_GB2312" w:hAnsi="仿宋_GB2312" w:eastAsia="仿宋_GB2312" w:cs="仿宋_GB2312"/>
                      <w:color w:val="000000"/>
                      <w:sz w:val="24"/>
                    </w:rPr>
                    <w:t>棉大衣</w:t>
                  </w:r>
                </w:p>
              </w:tc>
              <w:tc>
                <w:tcPr>
                  <w:tcW w:w="4541" w:type="dxa"/>
                  <w:tcBorders>
                    <w:top w:val="nil"/>
                    <w:left w:val="nil"/>
                    <w:bottom w:val="single" w:color="000000" w:sz="4" w:space="0"/>
                    <w:right w:val="single" w:color="000000" w:sz="4" w:space="0"/>
                  </w:tcBorders>
                  <w:tcMar>
                    <w:top w:w="15" w:type="dxa"/>
                    <w:left w:w="15" w:type="dxa"/>
                    <w:bottom w:w="0" w:type="dxa"/>
                    <w:right w:w="15" w:type="dxa"/>
                  </w:tcMar>
                  <w:vAlign w:val="top"/>
                </w:tcPr>
                <w:p w14:paraId="02434EBC">
                  <w:pPr>
                    <w:pStyle w:val="4"/>
                    <w:jc w:val="left"/>
                  </w:pPr>
                  <w:r>
                    <w:rPr>
                      <w:rFonts w:ascii="仿宋_GB2312" w:hAnsi="仿宋_GB2312" w:eastAsia="仿宋_GB2312" w:cs="仿宋_GB2312"/>
                      <w:color w:val="000000"/>
                      <w:sz w:val="24"/>
                    </w:rPr>
                    <w:t>执行标准：YJ/T 10.2（原 MZ/T 014.2）《救灾被服第2部分：棉大衣》，同时满足GB18401 C 类及以上、GB 18383、GB/T 2662 全部强制要求。</w:t>
                  </w:r>
                </w:p>
                <w:p w14:paraId="59FFFD77">
                  <w:pPr>
                    <w:pStyle w:val="4"/>
                    <w:jc w:val="left"/>
                  </w:pPr>
                  <w:r>
                    <w:rPr>
                      <w:rFonts w:ascii="仿宋_GB2312" w:hAnsi="仿宋_GB2312" w:eastAsia="仿宋_GB2312" w:cs="仿宋_GB2312"/>
                      <w:color w:val="000000"/>
                      <w:sz w:val="24"/>
                    </w:rPr>
                    <w:t>1.样式：翻领、带人造毛领、插肩袖、暗门襟、配腰带。</w:t>
                  </w:r>
                </w:p>
                <w:p w14:paraId="7A0CE1D6">
                  <w:pPr>
                    <w:pStyle w:val="4"/>
                    <w:jc w:val="left"/>
                  </w:pPr>
                  <w:r>
                    <w:rPr>
                      <w:rFonts w:ascii="仿宋_GB2312" w:hAnsi="仿宋_GB2312" w:eastAsia="仿宋_GB2312" w:cs="仿宋_GB2312"/>
                      <w:color w:val="000000"/>
                      <w:sz w:val="24"/>
                    </w:rPr>
                    <w:t>2.号型分为大号、中号、小号；前身长大号 133.0cm、中号 123.0cm、小号 113.0cm，允许偏差 ±2.0cm；前胸宽大号 52.2cm、中号 48.6cm、小号 45.0cm，允许偏差 ±1.0cm；上腰围大号 144.0cm、中号 134.0cm、小号 124.0cm，允许偏差 ±2.5cm；下摆大大号 209.0cm、中号 197.0cm、小号 185.0cm，允许偏差 ±3.0cm；袖长大号 71.0cm、中号 67.0cm、小号 63.0cm，允许偏差 ±1.5cm，其余部位尺寸及偏差执行 YJ/T 10.2‑2010 标准表 1。其中大号699件、中号1000件。</w:t>
                  </w:r>
                </w:p>
                <w:p w14:paraId="5410B363">
                  <w:pPr>
                    <w:pStyle w:val="4"/>
                    <w:jc w:val="left"/>
                  </w:pPr>
                  <w:r>
                    <w:rPr>
                      <w:rFonts w:ascii="仿宋_GB2312" w:hAnsi="仿宋_GB2312" w:eastAsia="仿宋_GB2312" w:cs="仿宋_GB2312"/>
                      <w:color w:val="000000"/>
                      <w:sz w:val="24"/>
                    </w:rPr>
                    <w:t>3.颜色：面料棕色 PANTONE 19‑1217 TPX，里料棕色与面料匹配，毛领为棕色；成品外表面色差≥4 级，里料色差≥3‑4 级，按 GB/T250</w:t>
                  </w:r>
                  <w:r>
                    <w:rPr>
                      <w:rFonts w:ascii="仿宋_GB2312" w:hAnsi="仿宋_GB2312" w:eastAsia="仿宋_GB2312" w:cs="仿宋_GB2312"/>
                      <w:color w:val="000000"/>
                      <w:sz w:val="22"/>
                    </w:rPr>
                    <w:t xml:space="preserve"> </w:t>
                  </w:r>
                  <w:r>
                    <w:rPr>
                      <w:rFonts w:ascii="仿宋_GB2312" w:hAnsi="仿宋_GB2312" w:eastAsia="仿宋_GB2312" w:cs="仿宋_GB2312"/>
                      <w:color w:val="000000"/>
                      <w:sz w:val="24"/>
                    </w:rPr>
                    <w:t>评定。</w:t>
                  </w:r>
                </w:p>
                <w:p w14:paraId="2171F729">
                  <w:pPr>
                    <w:pStyle w:val="4"/>
                    <w:jc w:val="left"/>
                  </w:pPr>
                  <w:r>
                    <w:rPr>
                      <w:rFonts w:ascii="仿宋_GB2312" w:hAnsi="仿宋_GB2312" w:eastAsia="仿宋_GB2312" w:cs="仿宋_GB2312"/>
                      <w:color w:val="000000"/>
                      <w:sz w:val="24"/>
                    </w:rPr>
                    <w:t>4.面料：单面 PU 防水锦纶塔丝绒，≥80g/㎡，100% 锦纶；断裂强力经≥500N，纬≥400N；静水压≥800Pa。</w:t>
                  </w:r>
                </w:p>
                <w:p w14:paraId="024C28D4">
                  <w:pPr>
                    <w:pStyle w:val="4"/>
                    <w:jc w:val="left"/>
                  </w:pPr>
                  <w:r>
                    <w:rPr>
                      <w:rFonts w:ascii="仿宋_GB2312" w:hAnsi="仿宋_GB2312" w:eastAsia="仿宋_GB2312" w:cs="仿宋_GB2312"/>
                      <w:color w:val="000000"/>
                      <w:sz w:val="24"/>
                    </w:rPr>
                    <w:t>5.里料： 涤丝纺，≥50g/㎡，100% 涤纶。</w:t>
                  </w:r>
                </w:p>
                <w:p w14:paraId="3CA76C61">
                  <w:pPr>
                    <w:pStyle w:val="4"/>
                    <w:jc w:val="left"/>
                  </w:pPr>
                  <w:r>
                    <w:rPr>
                      <w:rFonts w:ascii="仿宋_GB2312" w:hAnsi="仿宋_GB2312" w:eastAsia="仿宋_GB2312" w:cs="仿宋_GB2312"/>
                      <w:color w:val="000000"/>
                      <w:sz w:val="24"/>
                    </w:rPr>
                    <w:t>6.填充絮片：中空涤纶短纤维；衣身部位≥200g/㎡，袖子、领里部位≥120g/㎡，不得使用回收废料纤维，符合 GB 18383。</w:t>
                  </w:r>
                </w:p>
                <w:p w14:paraId="360156F8">
                  <w:pPr>
                    <w:pStyle w:val="4"/>
                    <w:jc w:val="left"/>
                  </w:pPr>
                  <w:r>
                    <w:rPr>
                      <w:rFonts w:ascii="仿宋_GB2312" w:hAnsi="仿宋_GB2312" w:eastAsia="仿宋_GB2312" w:cs="仿宋_GB2312"/>
                      <w:color w:val="000000"/>
                      <w:sz w:val="24"/>
                    </w:rPr>
                    <w:t>7.毛领：棕色割圈绒涤纶人造毛绒，毛高 ≥8mm。</w:t>
                  </w:r>
                </w:p>
                <w:p w14:paraId="247C24F6">
                  <w:pPr>
                    <w:pStyle w:val="4"/>
                    <w:jc w:val="left"/>
                  </w:pPr>
                  <w:r>
                    <w:rPr>
                      <w:rFonts w:ascii="仿宋_GB2312" w:hAnsi="仿宋_GB2312" w:eastAsia="仿宋_GB2312" w:cs="仿宋_GB2312"/>
                      <w:color w:val="000000"/>
                      <w:sz w:val="24"/>
                    </w:rPr>
                    <w:t>8.敷衬：领里、袋盖面、袋口部位敷粘合衬，无起泡、脱胶、渗胶现象。</w:t>
                  </w:r>
                </w:p>
                <w:p w14:paraId="420BF42B">
                  <w:pPr>
                    <w:pStyle w:val="4"/>
                    <w:jc w:val="left"/>
                  </w:pPr>
                  <w:r>
                    <w:rPr>
                      <w:rFonts w:ascii="仿宋_GB2312" w:hAnsi="仿宋_GB2312" w:eastAsia="仿宋_GB2312" w:cs="仿宋_GB2312"/>
                      <w:color w:val="000000"/>
                      <w:sz w:val="24"/>
                    </w:rPr>
                    <w:t>1.缝制：明线 12‑14 针 / 3cm，暗线 11‑13 针 / 3cm，绗缝≥5 针 / 3cm，绗缝间距≤10cm；线路顺直，宽窄均匀，无跳针、断线、漏缝；扣眼平整，每颗纽扣缝线不少于 6 根。</w:t>
                  </w:r>
                </w:p>
                <w:p w14:paraId="6EA0981D">
                  <w:pPr>
                    <w:pStyle w:val="4"/>
                    <w:jc w:val="left"/>
                  </w:pPr>
                  <w:r>
                    <w:rPr>
                      <w:rFonts w:ascii="仿宋_GB2312" w:hAnsi="仿宋_GB2312" w:eastAsia="仿宋_GB2312" w:cs="仿宋_GB2312"/>
                      <w:color w:val="000000"/>
                      <w:sz w:val="24"/>
                    </w:rPr>
                    <w:t>9.安全指标：无异味，禁用可分解致癌芳香胺染料，甲醛、pH 值、色牢度指标满足 GB 18401 C 类及以上要求。</w:t>
                  </w:r>
                </w:p>
                <w:p w14:paraId="6AB86A86">
                  <w:pPr>
                    <w:pStyle w:val="4"/>
                    <w:jc w:val="left"/>
                  </w:pPr>
                  <w:r>
                    <w:rPr>
                      <w:rFonts w:ascii="仿宋_GB2312" w:hAnsi="仿宋_GB2312" w:eastAsia="仿宋_GB2312" w:cs="仿宋_GB2312"/>
                      <w:color w:val="000000"/>
                      <w:sz w:val="24"/>
                    </w:rPr>
                    <w:t>10.标识：水洗标缝制于后领窝正中向下 2cm 处，标注产品名称、执行标准、号型、纤维成分、生产单位、生产日期。</w:t>
                  </w:r>
                </w:p>
                <w:p w14:paraId="02CA1D0D">
                  <w:pPr>
                    <w:pStyle w:val="4"/>
                    <w:jc w:val="left"/>
                  </w:pPr>
                  <w:r>
                    <w:rPr>
                      <w:rFonts w:ascii="仿宋_GB2312" w:hAnsi="仿宋_GB2312" w:eastAsia="仿宋_GB2312" w:cs="仿宋_GB2312"/>
                      <w:color w:val="000000"/>
                      <w:sz w:val="24"/>
                    </w:rPr>
                    <w:t>11.包装：10 件 / 包，聚丙烯编织外袋，内衬防潮材料，包内放置产品合格证；外包装印刷 “救灾专用”、产品名称、号型配比、数量、毛重、生产单位、生产日期、批号、防潮标识。</w:t>
                  </w:r>
                </w:p>
              </w:tc>
              <w:tc>
                <w:tcPr>
                  <w:tcW w:w="358" w:type="dxa"/>
                  <w:tcBorders>
                    <w:top w:val="nil"/>
                    <w:left w:val="nil"/>
                    <w:bottom w:val="single" w:color="000000" w:sz="4" w:space="0"/>
                    <w:right w:val="single" w:color="000000" w:sz="4" w:space="0"/>
                  </w:tcBorders>
                  <w:tcMar>
                    <w:top w:w="15" w:type="dxa"/>
                    <w:left w:w="15" w:type="dxa"/>
                    <w:bottom w:w="0" w:type="dxa"/>
                    <w:right w:w="15" w:type="dxa"/>
                  </w:tcMar>
                  <w:vAlign w:val="top"/>
                </w:tcPr>
                <w:p w14:paraId="6CCABED2">
                  <w:pPr>
                    <w:pStyle w:val="4"/>
                    <w:jc w:val="center"/>
                  </w:pPr>
                  <w:r>
                    <w:rPr>
                      <w:rFonts w:ascii="仿宋_GB2312" w:hAnsi="仿宋_GB2312" w:eastAsia="仿宋_GB2312" w:cs="仿宋_GB2312"/>
                      <w:color w:val="000000"/>
                      <w:sz w:val="24"/>
                    </w:rPr>
                    <w:t>1699</w:t>
                  </w:r>
                </w:p>
              </w:tc>
            </w:tr>
            <w:tr w14:paraId="3D33532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top"/>
                </w:tcPr>
                <w:p w14:paraId="4E75C5E0">
                  <w:pPr>
                    <w:pStyle w:val="4"/>
                    <w:jc w:val="center"/>
                  </w:pPr>
                  <w:r>
                    <w:rPr>
                      <w:rFonts w:ascii="仿宋_GB2312" w:hAnsi="仿宋_GB2312" w:eastAsia="仿宋_GB2312" w:cs="仿宋_GB2312"/>
                      <w:color w:val="000000"/>
                      <w:sz w:val="24"/>
                    </w:rPr>
                    <w:t>4</w:t>
                  </w:r>
                </w:p>
              </w:tc>
              <w:tc>
                <w:tcPr>
                  <w:tcW w:w="497" w:type="dxa"/>
                  <w:tcBorders>
                    <w:top w:val="nil"/>
                    <w:left w:val="nil"/>
                    <w:bottom w:val="single" w:color="000000" w:sz="4" w:space="0"/>
                    <w:right w:val="single" w:color="000000" w:sz="4" w:space="0"/>
                  </w:tcBorders>
                  <w:tcMar>
                    <w:top w:w="15" w:type="dxa"/>
                    <w:left w:w="15" w:type="dxa"/>
                    <w:bottom w:w="0" w:type="dxa"/>
                    <w:right w:w="15" w:type="dxa"/>
                  </w:tcMar>
                  <w:vAlign w:val="top"/>
                </w:tcPr>
                <w:p w14:paraId="694FF465">
                  <w:pPr>
                    <w:pStyle w:val="4"/>
                    <w:jc w:val="center"/>
                  </w:pPr>
                  <w:r>
                    <w:rPr>
                      <w:rFonts w:ascii="仿宋_GB2312" w:hAnsi="仿宋_GB2312" w:eastAsia="仿宋_GB2312" w:cs="仿宋_GB2312"/>
                      <w:color w:val="000000"/>
                      <w:sz w:val="24"/>
                    </w:rPr>
                    <w:t>帐篷</w:t>
                  </w:r>
                </w:p>
              </w:tc>
              <w:tc>
                <w:tcPr>
                  <w:tcW w:w="4541" w:type="dxa"/>
                  <w:tcBorders>
                    <w:top w:val="nil"/>
                    <w:left w:val="nil"/>
                    <w:bottom w:val="single" w:color="000000" w:sz="4" w:space="0"/>
                    <w:right w:val="single" w:color="000000" w:sz="4" w:space="0"/>
                  </w:tcBorders>
                  <w:tcMar>
                    <w:top w:w="15" w:type="dxa"/>
                    <w:left w:w="15" w:type="dxa"/>
                    <w:bottom w:w="0" w:type="dxa"/>
                    <w:right w:w="15" w:type="dxa"/>
                  </w:tcMar>
                  <w:vAlign w:val="top"/>
                </w:tcPr>
                <w:p w14:paraId="468B580C">
                  <w:pPr>
                    <w:pStyle w:val="4"/>
                    <w:jc w:val="left"/>
                  </w:pPr>
                  <w:r>
                    <w:rPr>
                      <w:rFonts w:ascii="仿宋_GB2312" w:hAnsi="仿宋_GB2312" w:eastAsia="仿宋_GB2312" w:cs="仿宋_GB2312"/>
                      <w:color w:val="000000"/>
                      <w:sz w:val="24"/>
                    </w:rPr>
                    <w:t>12㎡救灾单帐篷执行标准：YJ/T 9.2（原 MZ/T011.2）《救灾帐篷 第2部分：12㎡单帐篷》，同时满足 GB/T3923.1、GB/T3917.3、GB/T4744、GB/T5455 相关国家标准要求。</w:t>
                  </w:r>
                </w:p>
                <w:p w14:paraId="7477498E">
                  <w:pPr>
                    <w:pStyle w:val="4"/>
                    <w:jc w:val="left"/>
                  </w:pPr>
                  <w:r>
                    <w:rPr>
                      <w:rFonts w:ascii="仿宋_GB2312" w:hAnsi="仿宋_GB2312" w:eastAsia="仿宋_GB2312" w:cs="仿宋_GB2312"/>
                      <w:color w:val="000000"/>
                      <w:sz w:val="24"/>
                    </w:rPr>
                    <w:t>1.结构形式：双坡面直墙建筑样式，由篷体、纱围、框架、配件（三角桩、拉绳、包装袋）组成；前山墙设置门，前后山墙各设 1 个三角窗，两侧墙各设置 2 个方形窗，门窗配置纱网及窗帘。</w:t>
                  </w:r>
                </w:p>
                <w:p w14:paraId="21FD7636">
                  <w:pPr>
                    <w:pStyle w:val="4"/>
                    <w:jc w:val="left"/>
                  </w:pPr>
                  <w:r>
                    <w:rPr>
                      <w:rFonts w:ascii="仿宋_GB2312" w:hAnsi="仿宋_GB2312" w:eastAsia="仿宋_GB2312" w:cs="仿宋_GB2312"/>
                      <w:color w:val="000000"/>
                      <w:sz w:val="24"/>
                    </w:rPr>
                    <w:t>2.成品主要尺寸：篷体长 3700mm，极限偏差 + 30mm/0mm；篷体宽 3200mm，极限偏差 + 30mm/0mm；侧墙高度 1750mm，极限偏差 + 20mm/0mm；脊顶高度 2670mm，极限偏差 + 20mm/0mm；门口高度 1800mm±20mm，门口宽度 800mm±10mm；方形窗口高度 810mm±10mm，窗口宽度 1100mm±20mm；三角窗底口宽度 1390mm±20mm，三角窗口高度 400mm±20mm；培土帘宽度 200mm，极限偏差 + 10mm/0mm，其余部位尺寸及偏差执行 YJ/T 9.2‑2010 标准表 1。</w:t>
                  </w:r>
                </w:p>
                <w:p w14:paraId="7C3820A7">
                  <w:pPr>
                    <w:pStyle w:val="4"/>
                    <w:jc w:val="left"/>
                  </w:pPr>
                  <w:r>
                    <w:rPr>
                      <w:rFonts w:ascii="仿宋_GB2312" w:hAnsi="仿宋_GB2312" w:eastAsia="仿宋_GB2312" w:cs="仿宋_GB2312"/>
                      <w:color w:val="000000"/>
                      <w:sz w:val="24"/>
                    </w:rPr>
                    <w:t>3.篷体面料：≥333dtex×333dtex 涤纶长丝单面 PVC 防水阻燃涂层布，克重≥350g/㎡；断裂强力经向≥1150N/5cm，纬向≥1000N/5cm；撕破强力经向≥35N，纬向≥30N；静水压≥50kPa；阻燃性能损毁长度≤150mm，续燃时间≤15s，阴燃时间≤15s，熔融脱落物不得引燃脱脂棉；颜色为天蓝色，色差不低于 GB/T250规定 3‑4 级。</w:t>
                  </w:r>
                </w:p>
                <w:p w14:paraId="742499B0">
                  <w:pPr>
                    <w:pStyle w:val="4"/>
                    <w:jc w:val="left"/>
                  </w:pPr>
                  <w:r>
                    <w:rPr>
                      <w:rFonts w:ascii="仿宋_GB2312" w:hAnsi="仿宋_GB2312" w:eastAsia="仿宋_GB2312" w:cs="仿宋_GB2312"/>
                      <w:color w:val="000000"/>
                      <w:sz w:val="24"/>
                    </w:rPr>
                    <w:t>4.框架杆件：Q235 焊接钢管，立杆、通用杆、山墙地杆规格≥ φ25mm×1.0mm；管件经除油、除锈、磷化处理后环氧树脂粉末喷塑，漆膜厚度≥35μm；96h 盐雾试验无起泡、脱落、锈斑；采用三通、四通插接结构，装配顺畅牢固；弹簧卡装配牢靠，杆件端口去除毛刺。</w:t>
                  </w:r>
                </w:p>
                <w:p w14:paraId="27571635">
                  <w:pPr>
                    <w:pStyle w:val="4"/>
                    <w:jc w:val="left"/>
                  </w:pPr>
                  <w:r>
                    <w:rPr>
                      <w:rFonts w:ascii="仿宋_GB2312" w:hAnsi="仿宋_GB2312" w:eastAsia="仿宋_GB2312" w:cs="仿宋_GB2312"/>
                      <w:color w:val="000000"/>
                      <w:sz w:val="24"/>
                    </w:rPr>
                    <w:t>5.配件：配套镀锌三角桩、钢丝拉绳、篷圈、固定带；篷圈铆合牢固端正，不得转动、脱落；各缝制固定带数量、缝制位置执行 YJ/T 9.2 标准要求。</w:t>
                  </w:r>
                </w:p>
                <w:p w14:paraId="0E64E685">
                  <w:pPr>
                    <w:pStyle w:val="4"/>
                    <w:jc w:val="left"/>
                  </w:pPr>
                  <w:r>
                    <w:rPr>
                      <w:rFonts w:ascii="仿宋_GB2312" w:hAnsi="仿宋_GB2312" w:eastAsia="仿宋_GB2312" w:cs="仿宋_GB2312"/>
                      <w:color w:val="000000"/>
                      <w:sz w:val="24"/>
                    </w:rPr>
                    <w:t>6.缝制工艺：缝线采用符合 GB/T6836 高强缝纫线；针距均匀，线路顺直，无跳针、漏缝、断线；门口、窗口位置设置加强筋；培土帘缝制完整。</w:t>
                  </w:r>
                </w:p>
                <w:p w14:paraId="1989D226">
                  <w:pPr>
                    <w:pStyle w:val="4"/>
                    <w:jc w:val="left"/>
                  </w:pPr>
                  <w:r>
                    <w:rPr>
                      <w:rFonts w:ascii="仿宋_GB2312" w:hAnsi="仿宋_GB2312" w:eastAsia="仿宋_GB2312" w:cs="仿宋_GB2312"/>
                      <w:color w:val="000000"/>
                      <w:sz w:val="24"/>
                    </w:rPr>
                    <w:t>7.使用性能：可抵御 8 级风力荷载，正常环境下连续使用时间不少于 2 年。</w:t>
                  </w:r>
                </w:p>
                <w:p w14:paraId="6EEBDA66">
                  <w:pPr>
                    <w:pStyle w:val="4"/>
                    <w:jc w:val="left"/>
                  </w:pPr>
                  <w:r>
                    <w:rPr>
                      <w:rFonts w:ascii="仿宋_GB2312" w:hAnsi="仿宋_GB2312" w:eastAsia="仿宋_GB2312" w:cs="仿宋_GB2312"/>
                      <w:color w:val="000000"/>
                      <w:sz w:val="24"/>
                    </w:rPr>
                    <w:t>8.标识：篷体印制 “救灾专用” 标识；外包装印刷产品名称、规格、数量、毛重、体积、生产日期、承制单位、监制单位，字体清晰工整。</w:t>
                  </w:r>
                </w:p>
                <w:p w14:paraId="3C492078">
                  <w:pPr>
                    <w:pStyle w:val="4"/>
                    <w:jc w:val="left"/>
                  </w:pPr>
                  <w:r>
                    <w:rPr>
                      <w:rFonts w:ascii="仿宋_GB2312" w:hAnsi="仿宋_GB2312" w:eastAsia="仿宋_GB2312" w:cs="仿宋_GB2312"/>
                      <w:color w:val="000000"/>
                      <w:sz w:val="24"/>
                    </w:rPr>
                    <w:t>9.包装：篷体、框架、配件分类收纳于专用包装袋内，整体成套包装，包内放置产品合格证。</w:t>
                  </w:r>
                </w:p>
              </w:tc>
              <w:tc>
                <w:tcPr>
                  <w:tcW w:w="358" w:type="dxa"/>
                  <w:tcBorders>
                    <w:top w:val="nil"/>
                    <w:left w:val="nil"/>
                    <w:bottom w:val="single" w:color="000000" w:sz="4" w:space="0"/>
                    <w:right w:val="single" w:color="000000" w:sz="4" w:space="0"/>
                  </w:tcBorders>
                  <w:tcMar>
                    <w:top w:w="15" w:type="dxa"/>
                    <w:left w:w="15" w:type="dxa"/>
                    <w:bottom w:w="0" w:type="dxa"/>
                    <w:right w:w="15" w:type="dxa"/>
                  </w:tcMar>
                  <w:vAlign w:val="top"/>
                </w:tcPr>
                <w:p w14:paraId="2523097B">
                  <w:pPr>
                    <w:pStyle w:val="4"/>
                    <w:jc w:val="center"/>
                  </w:pPr>
                  <w:r>
                    <w:rPr>
                      <w:rFonts w:ascii="仿宋_GB2312" w:hAnsi="仿宋_GB2312" w:eastAsia="仿宋_GB2312" w:cs="仿宋_GB2312"/>
                      <w:color w:val="000000"/>
                      <w:sz w:val="24"/>
                    </w:rPr>
                    <w:t>103</w:t>
                  </w:r>
                </w:p>
              </w:tc>
            </w:tr>
          </w:tbl>
          <w:p w14:paraId="56CB54B8">
            <w:pPr>
              <w:pStyle w:val="4"/>
              <w:jc w:val="left"/>
            </w:pPr>
            <w:r>
              <w:rPr>
                <w:rFonts w:ascii="仿宋_GB2312" w:hAnsi="仿宋_GB2312" w:eastAsia="仿宋_GB2312" w:cs="仿宋_GB2312"/>
                <w:b/>
                <w:sz w:val="21"/>
              </w:rPr>
              <w:t>注意：</w:t>
            </w:r>
          </w:p>
          <w:p w14:paraId="762558BC">
            <w:pPr>
              <w:pStyle w:val="4"/>
              <w:jc w:val="left"/>
            </w:pPr>
            <w:r>
              <w:rPr>
                <w:rFonts w:ascii="仿宋_GB2312" w:hAnsi="仿宋_GB2312" w:eastAsia="仿宋_GB2312" w:cs="仿宋_GB2312"/>
                <w:sz w:val="24"/>
              </w:rPr>
              <w:t>①根据《财政部 发展改革委 生态环境部 市场监管总局关于调整优化节能产品、环境标志产品政府采购执行机制的通知》(财库〔2019〕9号)相关要求，依据品目清单和认证证书实施政府优先采购和强制采购。本项目采购的产品属于品目清单范围的，依据国家确定的认证机构出具的、处于有效期之内的节能产品、环境标志产品认证证书，对获得证书的产品实施政府优先采购或强制采购。本项目采购的产品属于品目清单强制采购范围(节能产品政府采购品目清单中带星号产品)的，供应商应按上述要求提供产品认证证书复印件并加盖供应商单位公章，否则投标无效。</w:t>
            </w:r>
          </w:p>
          <w:p w14:paraId="7D22779E">
            <w:pPr>
              <w:pStyle w:val="4"/>
              <w:jc w:val="left"/>
            </w:pPr>
            <w:r>
              <w:rPr>
                <w:rFonts w:ascii="仿宋_GB2312" w:hAnsi="仿宋_GB2312" w:eastAsia="仿宋_GB2312" w:cs="仿宋_GB2312"/>
                <w:sz w:val="24"/>
              </w:rPr>
              <w:t>②本项目“帐篷、折叠床、棉被、棉大衣”为环境标志产品，政府优先采购。</w:t>
            </w:r>
          </w:p>
          <w:p w14:paraId="2BFE5780">
            <w:pPr>
              <w:pStyle w:val="4"/>
              <w:jc w:val="left"/>
            </w:pPr>
            <w:r>
              <w:rPr>
                <w:rFonts w:ascii="仿宋_GB2312" w:hAnsi="仿宋_GB2312" w:eastAsia="仿宋_GB2312" w:cs="仿宋_GB2312"/>
                <w:sz w:val="24"/>
              </w:rPr>
              <w:t>③本项目所有产品的生产工艺、产品质量、包装规范、标签标识等技术要求，均以产品实际供货时点当期现行有效的国家、行业最新标准为准；谈判文件内未标注发布年份的标准，默认执行供货时点最新的现行有效版本；无对应国家标准的，执行现行有效行业标准。</w:t>
            </w:r>
          </w:p>
          <w:p w14:paraId="28F2AE26">
            <w:pPr>
              <w:pStyle w:val="4"/>
              <w:jc w:val="left"/>
            </w:pPr>
            <w:r>
              <w:rPr>
                <w:rFonts w:ascii="仿宋_GB2312" w:hAnsi="仿宋_GB2312" w:eastAsia="仿宋_GB2312" w:cs="仿宋_GB2312"/>
                <w:b/>
                <w:sz w:val="24"/>
              </w:rPr>
              <w:t>服务要求：</w:t>
            </w:r>
          </w:p>
          <w:p w14:paraId="3D078C7C">
            <w:pPr>
              <w:pStyle w:val="4"/>
              <w:jc w:val="left"/>
            </w:pPr>
            <w:r>
              <w:rPr>
                <w:rFonts w:ascii="仿宋_GB2312" w:hAnsi="仿宋_GB2312" w:eastAsia="仿宋_GB2312" w:cs="仿宋_GB2312"/>
                <w:b/>
                <w:color w:val="000000"/>
                <w:sz w:val="24"/>
              </w:rPr>
              <w:t>1. 折叠床</w:t>
            </w:r>
            <w:r>
              <w:rPr>
                <w:rFonts w:ascii="仿宋_GB2312" w:hAnsi="仿宋_GB2312" w:eastAsia="仿宋_GB2312" w:cs="仿宋_GB2312"/>
                <w:color w:val="000000"/>
                <w:sz w:val="24"/>
              </w:rPr>
              <w:t>：成交供应商供货完成后申请履约验收时，须提交国家认可的具有相关资质的第三方检测机构出具的成品检测报告，检测依据为 YJ/T 11.1、GB/T 3923.1、GB/T 3917.3 及本项目谈判文件全部技术指标；检测项目含成品尺寸、床架材质及盐雾性能、面料各项强力及静水压、阻燃性能、束紧带强力、静载荷、折叠耐久性能。检测费用由成交供应商包干。未提交合格报告或指标不合格不予验收。</w:t>
            </w:r>
          </w:p>
          <w:p w14:paraId="4E5090E4">
            <w:pPr>
              <w:pStyle w:val="4"/>
              <w:jc w:val="left"/>
            </w:pPr>
            <w:r>
              <w:rPr>
                <w:rFonts w:ascii="仿宋_GB2312" w:hAnsi="仿宋_GB2312" w:eastAsia="仿宋_GB2312" w:cs="仿宋_GB2312"/>
                <w:b/>
                <w:color w:val="000000"/>
                <w:sz w:val="24"/>
              </w:rPr>
              <w:t>2. 棉被</w:t>
            </w:r>
            <w:r>
              <w:rPr>
                <w:rFonts w:ascii="仿宋_GB2312" w:hAnsi="仿宋_GB2312" w:eastAsia="仿宋_GB2312" w:cs="仿宋_GB2312"/>
                <w:color w:val="000000"/>
                <w:sz w:val="24"/>
              </w:rPr>
              <w:t>：成交供应商供货完成后申请履约验收时，须提交国家认可的具有相关资质的第三方检测机构出具的成品检测报告，检测依据为YJ/T 10.1、GB 18401（B类及以上）、GB 18383及本项目谈判文件全部技术指标；检测项目含成品规格尺寸偏差、棉胎材质与重量、含杂含油及短纤维含量、被套面料材质密度、纺织品安全性能等核心指标。检测费用由成交供应商包干。未提交合格报告或指标不合格不予验收。</w:t>
            </w:r>
          </w:p>
          <w:p w14:paraId="2A8F74D7">
            <w:pPr>
              <w:pStyle w:val="4"/>
              <w:jc w:val="left"/>
            </w:pPr>
            <w:r>
              <w:rPr>
                <w:rFonts w:ascii="仿宋_GB2312" w:hAnsi="仿宋_GB2312" w:eastAsia="仿宋_GB2312" w:cs="仿宋_GB2312"/>
                <w:b/>
                <w:color w:val="000000"/>
                <w:sz w:val="24"/>
              </w:rPr>
              <w:t>3. 棉大衣</w:t>
            </w:r>
            <w:r>
              <w:rPr>
                <w:rFonts w:ascii="仿宋_GB2312" w:hAnsi="仿宋_GB2312" w:eastAsia="仿宋_GB2312" w:cs="仿宋_GB2312"/>
                <w:color w:val="000000"/>
                <w:sz w:val="24"/>
              </w:rPr>
              <w:t>：成交供应商供货完成后申请履约验收时，须提交国家认可的具有相关资质的第三方检测机构出具的成品检测报告，检测依据为YJ/T 10.2、GB 18401（C类及以上）、GB 18383、GB/T 2662及本项目谈判文件全部技术指标；检测项目含成品尺寸偏差、色差、面料静水压、面料与里料克重、面料力学性能、填充絮片克重、毛领规格、纺织品安全性能等核心指标。检测费用由成交供应商包干。未提交合格报告或指标不合格不予验收。</w:t>
            </w:r>
          </w:p>
          <w:p w14:paraId="44C2981C">
            <w:pPr>
              <w:pStyle w:val="4"/>
              <w:jc w:val="left"/>
            </w:pPr>
            <w:r>
              <w:rPr>
                <w:rFonts w:ascii="仿宋_GB2312" w:hAnsi="仿宋_GB2312" w:eastAsia="仿宋_GB2312" w:cs="仿宋_GB2312"/>
                <w:b/>
                <w:color w:val="000000"/>
                <w:sz w:val="24"/>
              </w:rPr>
              <w:t>4. 12㎡救灾单帐篷</w:t>
            </w:r>
            <w:r>
              <w:rPr>
                <w:rFonts w:ascii="仿宋_GB2312" w:hAnsi="仿宋_GB2312" w:eastAsia="仿宋_GB2312" w:cs="仿宋_GB2312"/>
                <w:color w:val="000000"/>
                <w:sz w:val="24"/>
              </w:rPr>
              <w:t>：成交供应商供货完成后申请履约验收时，须提交国家认可的具有相关资质的第三方检测机构出具的成品检测报告，检测依据为YJ/T 9.2、GB/T3923.1、GB/T3917.3、GB/T4744、GB/T5455及本项目谈判文件全部技术指标；检测项目含成品尺寸偏差、篷体面料克重、力学强力、静水压、阻燃性能、面料色差、框架管材喷塑厚度、盐雾性能等核心指标。检测费用由成交供应商包干。未提交合格报告或指标不合格不予验收。</w:t>
            </w:r>
          </w:p>
          <w:p w14:paraId="13AB4E56">
            <w:pPr>
              <w:pStyle w:val="4"/>
              <w:jc w:val="left"/>
            </w:pPr>
            <w:r>
              <w:rPr>
                <w:rFonts w:ascii="仿宋_GB2312" w:hAnsi="仿宋_GB2312" w:eastAsia="仿宋_GB2312" w:cs="仿宋_GB2312"/>
                <w:color w:val="000000"/>
                <w:sz w:val="24"/>
              </w:rPr>
              <w:t>5.采购人有权对成交供应商交付的货物进行随机抽样复检（供应商自行提供的成品检测报告仅作为验收参考资料，不免除采购人独立抽检验收权利），并委托具备国家认可的具有相关资质的第三方检测机构开展检验检测工作，成交供应商须无条件全程配合。抽样工作在现场实施，抽样标准及流程严格按照国家、行业现行规范执行。若抽样检测任意一项指标不符合本项目采购文件规定的技术参数、质量标准、执行规范及对应国家标准，判定该批次货物整体不合格，视为成交供应商履约违约；若抽检全部指标合格，检测费用由采购人承担。</w:t>
            </w:r>
          </w:p>
          <w:p w14:paraId="4BC7F002">
            <w:pPr>
              <w:pStyle w:val="4"/>
              <w:jc w:val="left"/>
            </w:pPr>
            <w:r>
              <w:rPr>
                <w:rFonts w:ascii="仿宋_GB2312" w:hAnsi="仿宋_GB2312" w:eastAsia="仿宋_GB2312" w:cs="仿宋_GB2312"/>
                <w:color w:val="000000"/>
                <w:sz w:val="24"/>
              </w:rPr>
              <w:t>6.若抽检判定货物批次不合格，采购人有权要求成交供应商无条件退换该批次全部不合格货物，成交供应商须全额承担本次初检、后续复检、货物返工、退换货运输、人工耗材等一切相关费用，并严格按照合同违约条款承担相应违约责任。</w:t>
            </w:r>
          </w:p>
          <w:p w14:paraId="1C10E0BB">
            <w:pPr>
              <w:pStyle w:val="4"/>
              <w:jc w:val="left"/>
            </w:pPr>
            <w:r>
              <w:rPr>
                <w:rFonts w:ascii="仿宋_GB2312" w:hAnsi="仿宋_GB2312" w:eastAsia="仿宋_GB2312" w:cs="仿宋_GB2312"/>
                <w:color w:val="000000"/>
                <w:sz w:val="24"/>
              </w:rPr>
              <w:t>7.成交供应商须在采购人书面整改通知送达之日起7个工作日内，完成全部货物整改、换货及复检工作。若成交供应商逾期未整改、拒不整改，或整改复检后仍无法达到本项目采购标准，采购人有权单方解除采购合同、拒收全部不合格货物、不予支付对应批次货款，并依法追偿由此给采购人造成的全部经济损失。</w:t>
            </w:r>
          </w:p>
          <w:p w14:paraId="0F9EB30F">
            <w:pPr>
              <w:pStyle w:val="4"/>
              <w:jc w:val="left"/>
            </w:pPr>
            <w:r>
              <w:rPr>
                <w:rFonts w:ascii="仿宋_GB2312" w:hAnsi="仿宋_GB2312" w:eastAsia="仿宋_GB2312" w:cs="仿宋_GB2312"/>
                <w:sz w:val="24"/>
              </w:rPr>
              <w:t>8.成交供应商对初次检测结果存有异议的，可在收到正式检测报告之日起3个工作日内，向采购人提交书面复检申请。复检原则上委托与初检机构不同、具备国家认可对应检测资质的第三方机构实施，复检结果为本次验收的最终判定依据。若复检结论仍为不合格，本次初检、复检、返工整改、退换货、运输等全部相关费用，均由成交供应商全额承担。</w:t>
            </w:r>
          </w:p>
        </w:tc>
      </w:tr>
    </w:tbl>
    <w:p w14:paraId="12725FEC">
      <w:pPr>
        <w:pStyle w:val="4"/>
        <w:jc w:val="left"/>
        <w:outlineLvl w:val="2"/>
      </w:pPr>
      <w:r>
        <w:rPr>
          <w:rFonts w:ascii="仿宋_GB2312" w:hAnsi="仿宋_GB2312" w:eastAsia="仿宋_GB2312" w:cs="仿宋_GB2312"/>
          <w:b/>
          <w:sz w:val="28"/>
        </w:rPr>
        <w:t>3.3.服务要求</w:t>
      </w:r>
    </w:p>
    <w:p w14:paraId="4774DA5D">
      <w:pPr>
        <w:pStyle w:val="4"/>
        <w:jc w:val="left"/>
        <w:outlineLvl w:val="3"/>
      </w:pPr>
      <w:r>
        <w:rPr>
          <w:rFonts w:ascii="仿宋_GB2312" w:hAnsi="仿宋_GB2312" w:eastAsia="仿宋_GB2312" w:cs="仿宋_GB2312"/>
          <w:b/>
          <w:sz w:val="24"/>
        </w:rPr>
        <w:t>3.3.1.服务内容要求</w:t>
      </w:r>
    </w:p>
    <w:p w14:paraId="09838D7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9F261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FAC2DF7">
            <w:pPr>
              <w:pStyle w:val="4"/>
              <w:jc w:val="center"/>
            </w:pPr>
            <w:r>
              <w:rPr>
                <w:rFonts w:ascii="仿宋_GB2312" w:hAnsi="仿宋_GB2312" w:eastAsia="仿宋_GB2312" w:cs="仿宋_GB2312"/>
              </w:rPr>
              <w:t xml:space="preserve"> 序号</w:t>
            </w:r>
          </w:p>
        </w:tc>
        <w:tc>
          <w:tcPr>
            <w:tcW w:w="581" w:type="dxa"/>
          </w:tcPr>
          <w:p w14:paraId="680ACB0C">
            <w:pPr>
              <w:pStyle w:val="4"/>
              <w:jc w:val="center"/>
            </w:pPr>
            <w:r>
              <w:rPr>
                <w:rFonts w:ascii="仿宋_GB2312" w:hAnsi="仿宋_GB2312" w:eastAsia="仿宋_GB2312" w:cs="仿宋_GB2312"/>
              </w:rPr>
              <w:t xml:space="preserve"> 符号标识</w:t>
            </w:r>
          </w:p>
        </w:tc>
        <w:tc>
          <w:tcPr>
            <w:tcW w:w="1495" w:type="dxa"/>
          </w:tcPr>
          <w:p w14:paraId="230BE019">
            <w:pPr>
              <w:pStyle w:val="4"/>
              <w:jc w:val="center"/>
            </w:pPr>
            <w:r>
              <w:rPr>
                <w:rFonts w:ascii="仿宋_GB2312" w:hAnsi="仿宋_GB2312" w:eastAsia="仿宋_GB2312" w:cs="仿宋_GB2312"/>
              </w:rPr>
              <w:t xml:space="preserve"> 服务要求名称</w:t>
            </w:r>
          </w:p>
        </w:tc>
        <w:tc>
          <w:tcPr>
            <w:tcW w:w="5814" w:type="dxa"/>
          </w:tcPr>
          <w:p w14:paraId="2BDF9AC5">
            <w:pPr>
              <w:pStyle w:val="4"/>
              <w:jc w:val="center"/>
            </w:pPr>
            <w:r>
              <w:rPr>
                <w:rFonts w:ascii="仿宋_GB2312" w:hAnsi="仿宋_GB2312" w:eastAsia="仿宋_GB2312" w:cs="仿宋_GB2312"/>
              </w:rPr>
              <w:t xml:space="preserve"> 服务要求内容</w:t>
            </w:r>
          </w:p>
        </w:tc>
      </w:tr>
      <w:tr w14:paraId="6C2B5B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657DAF9">
            <w:pPr>
              <w:pStyle w:val="4"/>
              <w:jc w:val="center"/>
            </w:pPr>
            <w:r>
              <w:rPr>
                <w:rFonts w:ascii="仿宋_GB2312" w:hAnsi="仿宋_GB2312" w:eastAsia="仿宋_GB2312" w:cs="仿宋_GB2312"/>
              </w:rPr>
              <w:t>1</w:t>
            </w:r>
          </w:p>
        </w:tc>
        <w:tc>
          <w:tcPr>
            <w:tcW w:w="581" w:type="dxa"/>
          </w:tcPr>
          <w:p w14:paraId="06760E1E">
            <w:pPr>
              <w:pStyle w:val="4"/>
              <w:jc w:val="center"/>
            </w:pPr>
            <w:r>
              <w:rPr>
                <w:rFonts w:ascii="仿宋_GB2312" w:hAnsi="仿宋_GB2312" w:eastAsia="仿宋_GB2312" w:cs="仿宋_GB2312"/>
              </w:rPr>
              <w:t>★</w:t>
            </w:r>
          </w:p>
        </w:tc>
        <w:tc>
          <w:tcPr>
            <w:tcW w:w="1495" w:type="dxa"/>
          </w:tcPr>
          <w:p w14:paraId="1E544DFB">
            <w:pPr>
              <w:pStyle w:val="4"/>
              <w:jc w:val="left"/>
            </w:pPr>
            <w:r>
              <w:rPr>
                <w:rFonts w:ascii="仿宋_GB2312" w:hAnsi="仿宋_GB2312" w:eastAsia="仿宋_GB2312" w:cs="仿宋_GB2312"/>
              </w:rPr>
              <w:t>考核（验收）标准和方法</w:t>
            </w:r>
          </w:p>
        </w:tc>
        <w:tc>
          <w:tcPr>
            <w:tcW w:w="5814" w:type="dxa"/>
          </w:tcPr>
          <w:p w14:paraId="4FC7AE67">
            <w:pPr>
              <w:pStyle w:val="4"/>
              <w:jc w:val="left"/>
            </w:pPr>
            <w:r>
              <w:rPr>
                <w:rFonts w:ascii="仿宋_GB2312" w:hAnsi="仿宋_GB2312" w:eastAsia="仿宋_GB2312" w:cs="仿宋_GB2312"/>
              </w:rPr>
              <w:t>1.供应商在验收准备完成后通知采购人，采购人在接到通知后5日内组织履约验收，验收合格，双方签署《验收报告》； 2.验收标准：按国家有关规定以及采购文件的质量要求和技术指标、供应商的投标文件及承诺与本合同约定标准进行验收；采购人与供应商双方如对质量要求和技术指标的约定标准有相互抵触或异议的事项，由采购人在采购文件及投标文件中按质量要求和技术指标比较优胜的原则确定该项的约定标准进行验收； 3.采购人在规定时间内无故不进行验收工作并已使用项目履约成果的，视同验收合格。 4.验收结果不合格且拒不整改的，将不予支付采购资金，并上报本项目同级财政部门按照有关规定给予处理。 5.其他未尽事宜应严格按照《财政部关于进一步加强政府采购需求和履约验收管理的指导意见》(财库〔2016〕205号)、《政府采购需求管理办法》（财库〔2021〕22号）、《雅安市财政局关于规范政府采购履约验收工作的通知》（雅财采〔2021〕50号）和采购人相关要求进行验收。</w:t>
            </w:r>
          </w:p>
        </w:tc>
      </w:tr>
    </w:tbl>
    <w:p w14:paraId="0F176023">
      <w:pPr>
        <w:pStyle w:val="4"/>
        <w:jc w:val="left"/>
        <w:outlineLvl w:val="3"/>
      </w:pPr>
      <w:r>
        <w:rPr>
          <w:rFonts w:ascii="仿宋_GB2312" w:hAnsi="仿宋_GB2312" w:eastAsia="仿宋_GB2312" w:cs="仿宋_GB2312"/>
          <w:b/>
          <w:sz w:val="24"/>
        </w:rPr>
        <w:t>3.3.2.商务要求</w:t>
      </w:r>
    </w:p>
    <w:p w14:paraId="643E5F8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189360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1439F58">
            <w:pPr>
              <w:pStyle w:val="4"/>
              <w:jc w:val="left"/>
            </w:pPr>
            <w:r>
              <w:rPr>
                <w:rFonts w:ascii="仿宋_GB2312" w:hAnsi="仿宋_GB2312" w:eastAsia="仿宋_GB2312" w:cs="仿宋_GB2312"/>
              </w:rPr>
              <w:t>序号</w:t>
            </w:r>
          </w:p>
        </w:tc>
        <w:tc>
          <w:tcPr>
            <w:tcW w:w="2076" w:type="dxa"/>
          </w:tcPr>
          <w:p w14:paraId="31120689">
            <w:pPr>
              <w:pStyle w:val="4"/>
              <w:jc w:val="left"/>
            </w:pPr>
            <w:r>
              <w:rPr>
                <w:rFonts w:ascii="仿宋_GB2312" w:hAnsi="仿宋_GB2312" w:eastAsia="仿宋_GB2312" w:cs="仿宋_GB2312"/>
              </w:rPr>
              <w:t>符号标识</w:t>
            </w:r>
          </w:p>
        </w:tc>
        <w:tc>
          <w:tcPr>
            <w:tcW w:w="2076" w:type="dxa"/>
          </w:tcPr>
          <w:p w14:paraId="28BEFB76">
            <w:pPr>
              <w:pStyle w:val="4"/>
              <w:jc w:val="left"/>
            </w:pPr>
            <w:r>
              <w:rPr>
                <w:rFonts w:ascii="仿宋_GB2312" w:hAnsi="仿宋_GB2312" w:eastAsia="仿宋_GB2312" w:cs="仿宋_GB2312"/>
              </w:rPr>
              <w:t>商务要求名称</w:t>
            </w:r>
          </w:p>
        </w:tc>
        <w:tc>
          <w:tcPr>
            <w:tcW w:w="2076" w:type="dxa"/>
          </w:tcPr>
          <w:p w14:paraId="0C71AA59">
            <w:pPr>
              <w:pStyle w:val="4"/>
              <w:jc w:val="left"/>
            </w:pPr>
            <w:r>
              <w:rPr>
                <w:rFonts w:ascii="仿宋_GB2312" w:hAnsi="仿宋_GB2312" w:eastAsia="仿宋_GB2312" w:cs="仿宋_GB2312"/>
              </w:rPr>
              <w:t>商务要求内容</w:t>
            </w:r>
          </w:p>
        </w:tc>
      </w:tr>
      <w:tr w14:paraId="77FCA8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9194426">
            <w:pPr>
              <w:pStyle w:val="4"/>
              <w:jc w:val="left"/>
            </w:pPr>
            <w:r>
              <w:rPr>
                <w:rFonts w:ascii="仿宋_GB2312" w:hAnsi="仿宋_GB2312" w:eastAsia="仿宋_GB2312" w:cs="仿宋_GB2312"/>
              </w:rPr>
              <w:t>1</w:t>
            </w:r>
          </w:p>
        </w:tc>
        <w:tc>
          <w:tcPr>
            <w:tcW w:w="2076" w:type="dxa"/>
          </w:tcPr>
          <w:p w14:paraId="29A0644D">
            <w:pPr>
              <w:pStyle w:val="4"/>
              <w:jc w:val="left"/>
            </w:pPr>
            <w:r>
              <w:rPr>
                <w:rFonts w:ascii="仿宋_GB2312" w:hAnsi="仿宋_GB2312" w:eastAsia="仿宋_GB2312" w:cs="仿宋_GB2312"/>
              </w:rPr>
              <w:t>★</w:t>
            </w:r>
          </w:p>
        </w:tc>
        <w:tc>
          <w:tcPr>
            <w:tcW w:w="2076" w:type="dxa"/>
          </w:tcPr>
          <w:p w14:paraId="4571771C">
            <w:pPr>
              <w:pStyle w:val="4"/>
              <w:jc w:val="left"/>
            </w:pPr>
            <w:r>
              <w:rPr>
                <w:rFonts w:ascii="仿宋_GB2312" w:hAnsi="仿宋_GB2312" w:eastAsia="仿宋_GB2312" w:cs="仿宋_GB2312"/>
              </w:rPr>
              <w:t>交货时间</w:t>
            </w:r>
          </w:p>
        </w:tc>
        <w:tc>
          <w:tcPr>
            <w:tcW w:w="2076" w:type="dxa"/>
          </w:tcPr>
          <w:p w14:paraId="6CB154C5">
            <w:pPr>
              <w:pStyle w:val="4"/>
              <w:jc w:val="left"/>
            </w:pPr>
            <w:r>
              <w:rPr>
                <w:rFonts w:ascii="仿宋_GB2312" w:hAnsi="仿宋_GB2312" w:eastAsia="仿宋_GB2312" w:cs="仿宋_GB2312"/>
              </w:rPr>
              <w:t>自合同签订生效之日起20个日历天</w:t>
            </w:r>
          </w:p>
        </w:tc>
      </w:tr>
      <w:tr w14:paraId="5A7097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5731A7F">
            <w:pPr>
              <w:pStyle w:val="4"/>
              <w:jc w:val="left"/>
            </w:pPr>
            <w:r>
              <w:rPr>
                <w:rFonts w:ascii="仿宋_GB2312" w:hAnsi="仿宋_GB2312" w:eastAsia="仿宋_GB2312" w:cs="仿宋_GB2312"/>
              </w:rPr>
              <w:t>2</w:t>
            </w:r>
          </w:p>
        </w:tc>
        <w:tc>
          <w:tcPr>
            <w:tcW w:w="2076" w:type="dxa"/>
          </w:tcPr>
          <w:p w14:paraId="5FE1DDC8">
            <w:pPr>
              <w:pStyle w:val="4"/>
              <w:jc w:val="left"/>
            </w:pPr>
            <w:r>
              <w:rPr>
                <w:rFonts w:ascii="仿宋_GB2312" w:hAnsi="仿宋_GB2312" w:eastAsia="仿宋_GB2312" w:cs="仿宋_GB2312"/>
              </w:rPr>
              <w:t>★</w:t>
            </w:r>
          </w:p>
        </w:tc>
        <w:tc>
          <w:tcPr>
            <w:tcW w:w="2076" w:type="dxa"/>
          </w:tcPr>
          <w:p w14:paraId="7B6A184B">
            <w:pPr>
              <w:pStyle w:val="4"/>
              <w:jc w:val="left"/>
            </w:pPr>
            <w:r>
              <w:rPr>
                <w:rFonts w:ascii="仿宋_GB2312" w:hAnsi="仿宋_GB2312" w:eastAsia="仿宋_GB2312" w:cs="仿宋_GB2312"/>
              </w:rPr>
              <w:t>交货地点</w:t>
            </w:r>
          </w:p>
        </w:tc>
        <w:tc>
          <w:tcPr>
            <w:tcW w:w="2076" w:type="dxa"/>
          </w:tcPr>
          <w:p w14:paraId="34033951">
            <w:pPr>
              <w:pStyle w:val="4"/>
              <w:jc w:val="left"/>
            </w:pPr>
            <w:r>
              <w:rPr>
                <w:rFonts w:ascii="仿宋_GB2312" w:hAnsi="仿宋_GB2312" w:eastAsia="仿宋_GB2312" w:cs="仿宋_GB2312"/>
              </w:rPr>
              <w:t>采购人指定地点</w:t>
            </w:r>
          </w:p>
        </w:tc>
      </w:tr>
      <w:tr w14:paraId="565F6E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C91E171">
            <w:pPr>
              <w:pStyle w:val="4"/>
              <w:jc w:val="left"/>
            </w:pPr>
            <w:r>
              <w:rPr>
                <w:rFonts w:ascii="仿宋_GB2312" w:hAnsi="仿宋_GB2312" w:eastAsia="仿宋_GB2312" w:cs="仿宋_GB2312"/>
              </w:rPr>
              <w:t>3</w:t>
            </w:r>
          </w:p>
        </w:tc>
        <w:tc>
          <w:tcPr>
            <w:tcW w:w="2076" w:type="dxa"/>
          </w:tcPr>
          <w:p w14:paraId="570A2D31">
            <w:pPr>
              <w:pStyle w:val="4"/>
              <w:jc w:val="left"/>
            </w:pPr>
            <w:r>
              <w:rPr>
                <w:rFonts w:ascii="仿宋_GB2312" w:hAnsi="仿宋_GB2312" w:eastAsia="仿宋_GB2312" w:cs="仿宋_GB2312"/>
              </w:rPr>
              <w:t>★</w:t>
            </w:r>
          </w:p>
        </w:tc>
        <w:tc>
          <w:tcPr>
            <w:tcW w:w="2076" w:type="dxa"/>
          </w:tcPr>
          <w:p w14:paraId="1A7E2F93">
            <w:pPr>
              <w:pStyle w:val="4"/>
              <w:jc w:val="left"/>
            </w:pPr>
            <w:r>
              <w:rPr>
                <w:rFonts w:ascii="仿宋_GB2312" w:hAnsi="仿宋_GB2312" w:eastAsia="仿宋_GB2312" w:cs="仿宋_GB2312"/>
              </w:rPr>
              <w:t>支付方式</w:t>
            </w:r>
          </w:p>
        </w:tc>
        <w:tc>
          <w:tcPr>
            <w:tcW w:w="2076" w:type="dxa"/>
          </w:tcPr>
          <w:p w14:paraId="3ADDA04C">
            <w:pPr>
              <w:pStyle w:val="4"/>
              <w:jc w:val="left"/>
            </w:pPr>
            <w:r>
              <w:rPr>
                <w:rFonts w:ascii="仿宋_GB2312" w:hAnsi="仿宋_GB2312" w:eastAsia="仿宋_GB2312" w:cs="仿宋_GB2312"/>
              </w:rPr>
              <w:t>分期付款</w:t>
            </w:r>
          </w:p>
        </w:tc>
      </w:tr>
      <w:tr w14:paraId="01721B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93E2FBD">
            <w:pPr>
              <w:pStyle w:val="4"/>
              <w:jc w:val="left"/>
            </w:pPr>
            <w:r>
              <w:rPr>
                <w:rFonts w:ascii="仿宋_GB2312" w:hAnsi="仿宋_GB2312" w:eastAsia="仿宋_GB2312" w:cs="仿宋_GB2312"/>
              </w:rPr>
              <w:t>4</w:t>
            </w:r>
          </w:p>
        </w:tc>
        <w:tc>
          <w:tcPr>
            <w:tcW w:w="2076" w:type="dxa"/>
          </w:tcPr>
          <w:p w14:paraId="799DBABA">
            <w:pPr>
              <w:pStyle w:val="4"/>
              <w:jc w:val="left"/>
            </w:pPr>
            <w:r>
              <w:rPr>
                <w:rFonts w:ascii="仿宋_GB2312" w:hAnsi="仿宋_GB2312" w:eastAsia="仿宋_GB2312" w:cs="仿宋_GB2312"/>
              </w:rPr>
              <w:t>★</w:t>
            </w:r>
          </w:p>
        </w:tc>
        <w:tc>
          <w:tcPr>
            <w:tcW w:w="2076" w:type="dxa"/>
          </w:tcPr>
          <w:p w14:paraId="0EDAA0DF">
            <w:pPr>
              <w:pStyle w:val="4"/>
              <w:jc w:val="left"/>
            </w:pPr>
            <w:r>
              <w:rPr>
                <w:rFonts w:ascii="仿宋_GB2312" w:hAnsi="仿宋_GB2312" w:eastAsia="仿宋_GB2312" w:cs="仿宋_GB2312"/>
              </w:rPr>
              <w:t>付款进度安排</w:t>
            </w:r>
          </w:p>
        </w:tc>
        <w:tc>
          <w:tcPr>
            <w:tcW w:w="2076" w:type="dxa"/>
          </w:tcPr>
          <w:p w14:paraId="36B6F2E0">
            <w:pPr>
              <w:pStyle w:val="4"/>
              <w:jc w:val="left"/>
            </w:pPr>
            <w:r>
              <w:rPr>
                <w:rFonts w:ascii="仿宋_GB2312" w:hAnsi="仿宋_GB2312" w:eastAsia="仿宋_GB2312" w:cs="仿宋_GB2312"/>
              </w:rPr>
              <w:t>1付款条件：合同签订后，达到该付款条件起5个工作日内，支付合同总金额的40.00%</w:t>
            </w:r>
          </w:p>
          <w:p w14:paraId="5A7629DF">
            <w:pPr>
              <w:pStyle w:val="4"/>
              <w:jc w:val="left"/>
            </w:pPr>
            <w:r>
              <w:rPr>
                <w:rFonts w:ascii="仿宋_GB2312" w:hAnsi="仿宋_GB2312" w:eastAsia="仿宋_GB2312" w:cs="仿宋_GB2312"/>
              </w:rPr>
              <w:t>2付款条件：货物到场采购人在收到成交供应商相应票据资料后，达到该付款条件起7个工作日内，支付合同总金额的20.00%</w:t>
            </w:r>
          </w:p>
          <w:p w14:paraId="58FF9118">
            <w:pPr>
              <w:pStyle w:val="4"/>
              <w:jc w:val="left"/>
            </w:pPr>
            <w:r>
              <w:rPr>
                <w:rFonts w:ascii="仿宋_GB2312" w:hAnsi="仿宋_GB2312" w:eastAsia="仿宋_GB2312" w:cs="仿宋_GB2312"/>
              </w:rPr>
              <w:t>3付款条件：验收合格采购人在收到成交供应商相应票据资料后，达到该付款条件起10个工作日内，支付合同总金额的40.00%</w:t>
            </w:r>
          </w:p>
        </w:tc>
      </w:tr>
      <w:tr w14:paraId="13A3ED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96BD248">
            <w:pPr>
              <w:pStyle w:val="4"/>
              <w:jc w:val="left"/>
            </w:pPr>
            <w:r>
              <w:rPr>
                <w:rFonts w:ascii="仿宋_GB2312" w:hAnsi="仿宋_GB2312" w:eastAsia="仿宋_GB2312" w:cs="仿宋_GB2312"/>
              </w:rPr>
              <w:t>5</w:t>
            </w:r>
          </w:p>
        </w:tc>
        <w:tc>
          <w:tcPr>
            <w:tcW w:w="2076" w:type="dxa"/>
          </w:tcPr>
          <w:p w14:paraId="05E02669">
            <w:pPr>
              <w:pStyle w:val="4"/>
              <w:jc w:val="left"/>
            </w:pPr>
            <w:r>
              <w:rPr>
                <w:rFonts w:ascii="仿宋_GB2312" w:hAnsi="仿宋_GB2312" w:eastAsia="仿宋_GB2312" w:cs="仿宋_GB2312"/>
              </w:rPr>
              <w:t>★</w:t>
            </w:r>
          </w:p>
        </w:tc>
        <w:tc>
          <w:tcPr>
            <w:tcW w:w="2076" w:type="dxa"/>
          </w:tcPr>
          <w:p w14:paraId="692D843A">
            <w:pPr>
              <w:pStyle w:val="4"/>
              <w:jc w:val="left"/>
            </w:pPr>
            <w:r>
              <w:rPr>
                <w:rFonts w:ascii="仿宋_GB2312" w:hAnsi="仿宋_GB2312" w:eastAsia="仿宋_GB2312" w:cs="仿宋_GB2312"/>
              </w:rPr>
              <w:t>验收、交付标准和方法</w:t>
            </w:r>
          </w:p>
        </w:tc>
        <w:tc>
          <w:tcPr>
            <w:tcW w:w="2076" w:type="dxa"/>
          </w:tcPr>
          <w:p w14:paraId="68D5047D">
            <w:pPr>
              <w:pStyle w:val="4"/>
              <w:jc w:val="left"/>
            </w:pPr>
            <w:r>
              <w:rPr>
                <w:rFonts w:ascii="仿宋_GB2312" w:hAnsi="仿宋_GB2312" w:eastAsia="仿宋_GB2312" w:cs="仿宋_GB2312"/>
              </w:rPr>
              <w:t>1.成交人与采购人应严格按照政府采购相关法律法规以及《四川省财政厅关于印发&lt;四川省政府采购项目需求论证和履约验收管理办法&gt;的通知》（川财采〔2015〕32 号）的要求和合同约定的程序进行验收。 2.验收结果合格的，采购人按约定支付合同价款；验收结果不合格的，将不予支付采购资金。</w:t>
            </w:r>
          </w:p>
        </w:tc>
      </w:tr>
      <w:tr w14:paraId="3A8318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1360D79">
            <w:pPr>
              <w:pStyle w:val="4"/>
              <w:jc w:val="left"/>
            </w:pPr>
            <w:r>
              <w:rPr>
                <w:rFonts w:ascii="仿宋_GB2312" w:hAnsi="仿宋_GB2312" w:eastAsia="仿宋_GB2312" w:cs="仿宋_GB2312"/>
              </w:rPr>
              <w:t>6</w:t>
            </w:r>
          </w:p>
        </w:tc>
        <w:tc>
          <w:tcPr>
            <w:tcW w:w="2076" w:type="dxa"/>
          </w:tcPr>
          <w:p w14:paraId="1A1717E3">
            <w:pPr>
              <w:pStyle w:val="4"/>
              <w:jc w:val="left"/>
            </w:pPr>
            <w:r>
              <w:rPr>
                <w:rFonts w:ascii="仿宋_GB2312" w:hAnsi="仿宋_GB2312" w:eastAsia="仿宋_GB2312" w:cs="仿宋_GB2312"/>
              </w:rPr>
              <w:t>★</w:t>
            </w:r>
          </w:p>
        </w:tc>
        <w:tc>
          <w:tcPr>
            <w:tcW w:w="2076" w:type="dxa"/>
          </w:tcPr>
          <w:p w14:paraId="59887B47">
            <w:pPr>
              <w:pStyle w:val="4"/>
              <w:jc w:val="left"/>
            </w:pPr>
            <w:r>
              <w:rPr>
                <w:rFonts w:ascii="仿宋_GB2312" w:hAnsi="仿宋_GB2312" w:eastAsia="仿宋_GB2312" w:cs="仿宋_GB2312"/>
              </w:rPr>
              <w:t>包装方式及运输</w:t>
            </w:r>
          </w:p>
        </w:tc>
        <w:tc>
          <w:tcPr>
            <w:tcW w:w="2076" w:type="dxa"/>
          </w:tcPr>
          <w:p w14:paraId="40CCB8BD">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14:paraId="242D6A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6067966">
            <w:pPr>
              <w:pStyle w:val="4"/>
              <w:jc w:val="left"/>
            </w:pPr>
            <w:r>
              <w:rPr>
                <w:rFonts w:ascii="仿宋_GB2312" w:hAnsi="仿宋_GB2312" w:eastAsia="仿宋_GB2312" w:cs="仿宋_GB2312"/>
              </w:rPr>
              <w:t>7</w:t>
            </w:r>
          </w:p>
        </w:tc>
        <w:tc>
          <w:tcPr>
            <w:tcW w:w="2076" w:type="dxa"/>
          </w:tcPr>
          <w:p w14:paraId="3D162989">
            <w:pPr>
              <w:pStyle w:val="4"/>
              <w:jc w:val="left"/>
            </w:pPr>
            <w:r>
              <w:rPr>
                <w:rFonts w:ascii="仿宋_GB2312" w:hAnsi="仿宋_GB2312" w:eastAsia="仿宋_GB2312" w:cs="仿宋_GB2312"/>
              </w:rPr>
              <w:t>★</w:t>
            </w:r>
          </w:p>
        </w:tc>
        <w:tc>
          <w:tcPr>
            <w:tcW w:w="2076" w:type="dxa"/>
          </w:tcPr>
          <w:p w14:paraId="3B5ADF14">
            <w:pPr>
              <w:pStyle w:val="4"/>
              <w:jc w:val="left"/>
            </w:pPr>
            <w:r>
              <w:rPr>
                <w:rFonts w:ascii="仿宋_GB2312" w:hAnsi="仿宋_GB2312" w:eastAsia="仿宋_GB2312" w:cs="仿宋_GB2312"/>
              </w:rPr>
              <w:t>质量保修范围和保修期</w:t>
            </w:r>
          </w:p>
        </w:tc>
        <w:tc>
          <w:tcPr>
            <w:tcW w:w="2076" w:type="dxa"/>
          </w:tcPr>
          <w:p w14:paraId="5B97E150">
            <w:pPr>
              <w:pStyle w:val="4"/>
              <w:jc w:val="left"/>
            </w:pPr>
            <w:r>
              <w:rPr>
                <w:rFonts w:ascii="仿宋_GB2312" w:hAnsi="仿宋_GB2312" w:eastAsia="仿宋_GB2312" w:cs="仿宋_GB2312"/>
              </w:rPr>
              <w:t>按采购文件、投标响应文件及合同规定</w:t>
            </w:r>
          </w:p>
        </w:tc>
      </w:tr>
      <w:tr w14:paraId="27D76F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485CCC4">
            <w:pPr>
              <w:pStyle w:val="4"/>
              <w:jc w:val="left"/>
            </w:pPr>
            <w:r>
              <w:rPr>
                <w:rFonts w:ascii="仿宋_GB2312" w:hAnsi="仿宋_GB2312" w:eastAsia="仿宋_GB2312" w:cs="仿宋_GB2312"/>
              </w:rPr>
              <w:t>8</w:t>
            </w:r>
          </w:p>
        </w:tc>
        <w:tc>
          <w:tcPr>
            <w:tcW w:w="2076" w:type="dxa"/>
          </w:tcPr>
          <w:p w14:paraId="18531B79">
            <w:pPr>
              <w:pStyle w:val="4"/>
              <w:jc w:val="left"/>
            </w:pPr>
            <w:r>
              <w:rPr>
                <w:rFonts w:ascii="仿宋_GB2312" w:hAnsi="仿宋_GB2312" w:eastAsia="仿宋_GB2312" w:cs="仿宋_GB2312"/>
              </w:rPr>
              <w:t>★</w:t>
            </w:r>
          </w:p>
        </w:tc>
        <w:tc>
          <w:tcPr>
            <w:tcW w:w="2076" w:type="dxa"/>
          </w:tcPr>
          <w:p w14:paraId="60F58A53">
            <w:pPr>
              <w:pStyle w:val="4"/>
              <w:jc w:val="left"/>
            </w:pPr>
            <w:r>
              <w:rPr>
                <w:rFonts w:ascii="仿宋_GB2312" w:hAnsi="仿宋_GB2312" w:eastAsia="仿宋_GB2312" w:cs="仿宋_GB2312"/>
              </w:rPr>
              <w:t>违约责任与解决争议的方法</w:t>
            </w:r>
          </w:p>
        </w:tc>
        <w:tc>
          <w:tcPr>
            <w:tcW w:w="2076" w:type="dxa"/>
          </w:tcPr>
          <w:p w14:paraId="2667D180">
            <w:pPr>
              <w:pStyle w:val="4"/>
              <w:jc w:val="left"/>
            </w:pPr>
            <w:r>
              <w:rPr>
                <w:rFonts w:ascii="仿宋_GB2312" w:hAnsi="仿宋_GB2312" w:eastAsia="仿宋_GB2312" w:cs="仿宋_GB2312"/>
              </w:rPr>
              <w:t>按采购文件、投标响应文件及合同规定</w:t>
            </w:r>
          </w:p>
        </w:tc>
      </w:tr>
    </w:tbl>
    <w:p w14:paraId="07A1F0D3">
      <w:pPr>
        <w:pStyle w:val="4"/>
        <w:jc w:val="left"/>
        <w:outlineLvl w:val="2"/>
      </w:pPr>
      <w:r>
        <w:rPr>
          <w:rFonts w:ascii="仿宋_GB2312" w:hAnsi="仿宋_GB2312" w:eastAsia="仿宋_GB2312" w:cs="仿宋_GB2312"/>
          <w:b/>
          <w:sz w:val="28"/>
        </w:rPr>
        <w:t>3.4.其他要求</w:t>
      </w:r>
    </w:p>
    <w:p w14:paraId="0E7381DC">
      <w:pPr>
        <w:pStyle w:val="4"/>
        <w:jc w:val="left"/>
      </w:pPr>
      <w:r>
        <w:rPr>
          <w:rFonts w:ascii="仿宋_GB2312" w:hAnsi="仿宋_GB2312" w:eastAsia="仿宋_GB2312" w:cs="仿宋_GB2312"/>
        </w:rPr>
        <w:t>采购包1：</w:t>
      </w:r>
    </w:p>
    <w:p w14:paraId="1E99BADA">
      <w:pPr>
        <w:pStyle w:val="4"/>
        <w:jc w:val="left"/>
      </w:pPr>
      <w:r>
        <w:rPr>
          <w:rFonts w:ascii="仿宋_GB2312" w:hAnsi="仿宋_GB2312" w:eastAsia="仿宋_GB2312" w:cs="仿宋_GB2312"/>
        </w:rPr>
        <w:t>（实质性要求） 1.针对本项目配备专职的技术支持人员及联系电话，开通7×24售后服务热线，保证在接到采购人售后支持需求后1小时内作有效响应并解决突发状况；供应商须在中标后提供售后服务机构网点清单、服务电话和服务人员名单等信息的资料(应在投标文件中提供承诺函，格式自拟)。 2.供应商须针对生产、运输、装卸、安装等过程提供详细的安全管理体系与措施并符合国家相关规定。 3.在生产、运输、装卸、安装等过程中发生任何安全事故均由中标人负责。 4.供应商定期及时向采购人通告本项目服务范围内有关服务的重大事项及其进度。5.接受项目行业管理部门及政府有关部门的指导，接受采购人的监督。</w:t>
      </w:r>
    </w:p>
    <w:p w14:paraId="640ACAE4">
      <w:pPr>
        <w:pStyle w:val="4"/>
        <w:rPr>
          <w:rFonts w:hint="eastAsia"/>
          <w:lang w:val="en-US" w:eastAsia="zh-Hans"/>
        </w:rPr>
      </w:pPr>
      <w:r>
        <w:rPr>
          <w:rFonts w:ascii="仿宋_GB2312" w:hAnsi="仿宋_GB2312" w:eastAsia="仿宋_GB2312" w:cs="仿宋_GB2312"/>
        </w:rPr>
        <w:t xml:space="preserve"> </w:t>
      </w:r>
      <w:r>
        <w:rPr>
          <w:rFonts w:ascii="仿宋_GB2312" w:hAnsi="仿宋_GB2312" w:eastAsia="仿宋_GB2312" w:cs="仿宋_GB2312"/>
        </w:rPr>
        <w:br w:type="textWrapping"/>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bullet"/>
      <w:lvlText w:val=""/>
      <w:lvlJc w:val="left"/>
      <w:pPr>
        <w:ind w:left="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0883BEC"/>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2147</Words>
  <Characters>2378</Characters>
  <Lines>0</Lines>
  <Paragraphs>0</Paragraphs>
  <TotalTime>0</TotalTime>
  <ScaleCrop>false</ScaleCrop>
  <LinksUpToDate>false</LinksUpToDate>
  <CharactersWithSpaces>2416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Administrator.BF-20250821VKAQ</dc:creator>
  <cp:lastModifiedBy>Sunny--*</cp:lastModifiedBy>
  <dcterms:modified xsi:type="dcterms:W3CDTF">2026-09-10T07:48:32Z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eyJoZGlkIjoiYmZlYTFkMGY2NzBkYzEyNDNmYTRlN2Q0ZDgxODE1M2QiLCJ1c2VySWQiOiI0OTM4NDUyODEifQ==</vt:lpwstr>
  </property>
  <property fmtid="{D5CDD505-2E9C-101B-9397-08002B2CF9AE}" pid="4" name="ICV">
    <vt:lpwstr>6511151CA312425DB7857C4728DBAD4D_12</vt:lpwstr>
  </property>
</Properties>
</file>