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Lines="20" w:afterLines="20" w:line="360" w:lineRule="auto"/>
        <w:ind w:firstLine="0" w:firstLineChars="0"/>
        <w:jc w:val="both"/>
        <w:rPr>
          <w:rFonts w:hint="eastAsia" w:ascii="宋体" w:hAnsi="宋体" w:eastAsia="宋体" w:cs="宋体"/>
          <w:kern w:val="2"/>
          <w:sz w:val="32"/>
          <w:szCs w:val="32"/>
          <w:highlight w:val="none"/>
          <w:lang w:val="en-US" w:eastAsia="zh-CN"/>
        </w:rPr>
      </w:pPr>
      <w:r>
        <w:rPr>
          <w:rFonts w:hint="eastAsia" w:ascii="宋体" w:hAnsi="宋体" w:eastAsia="宋体" w:cs="宋体"/>
          <w:kern w:val="2"/>
          <w:sz w:val="32"/>
          <w:szCs w:val="32"/>
          <w:highlight w:val="none"/>
          <w:lang w:val="en-US" w:eastAsia="zh-CN"/>
        </w:rPr>
        <w:t>附件：</w:t>
      </w:r>
    </w:p>
    <w:p>
      <w:pPr>
        <w:pStyle w:val="3"/>
        <w:spacing w:beforeLines="20" w:afterLines="20" w:line="360" w:lineRule="auto"/>
        <w:ind w:firstLine="0" w:firstLineChars="0"/>
        <w:jc w:val="center"/>
        <w:rPr>
          <w:rFonts w:ascii="宋体" w:hAnsi="宋体" w:eastAsia="宋体" w:cs="宋体"/>
          <w:kern w:val="2"/>
          <w:sz w:val="32"/>
          <w:szCs w:val="32"/>
          <w:highlight w:val="none"/>
          <w:lang w:val="zh-CN"/>
        </w:rPr>
      </w:pPr>
      <w:bookmarkStart w:id="0" w:name="_GoBack"/>
      <w:r>
        <w:rPr>
          <w:rFonts w:hint="eastAsia" w:ascii="宋体" w:hAnsi="宋体" w:eastAsia="宋体" w:cs="宋体"/>
          <w:kern w:val="2"/>
          <w:sz w:val="32"/>
          <w:szCs w:val="32"/>
          <w:highlight w:val="none"/>
          <w:lang w:val="zh-CN"/>
        </w:rPr>
        <w:t>服务需求及技术要求</w:t>
      </w:r>
    </w:p>
    <w:bookmarkEnd w:id="0"/>
    <w:p>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一、服务需求</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本次服务采购共分为2项抽检工作。具体为：</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第1项：2022年市级农产品质量安全专项监测和监督抽查任务150批次（包含蔬菜产品、畜禽产品及水产品抽检），专项监测95批次，监督抽检55批次。（详见附件一）</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第2项：市级农产品质量安全例行监测抽检任务220批次（其中种植业160批次，畜牧产品40批次，水产品20批次）。（详见附件二）</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样品抽样按相关国标开展抽样工作，市级专项监测及例行监测抽样由安庆市农产品质量安全检测中心负责，市级监督抽样由中标方负责，市农业执法人员配合执行。</w:t>
      </w:r>
    </w:p>
    <w:p>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二、合同履行期限</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2022年12月31日前完成全部抽样检测工作，并按照要求报送汇总表及检测报告。</w:t>
      </w:r>
    </w:p>
    <w:p>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三、质量标准</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供应商提供的服务质量应符合中华人民共和国相关标准及相应的技术规范。</w:t>
      </w:r>
    </w:p>
    <w:p>
      <w:pPr>
        <w:numPr>
          <w:ilvl w:val="0"/>
          <w:numId w:val="1"/>
        </w:numPr>
        <w:spacing w:line="360" w:lineRule="auto"/>
        <w:ind w:firstLine="422"/>
        <w:rPr>
          <w:rFonts w:ascii="宋体" w:hAnsi="宋体" w:cs="宋体"/>
          <w:b/>
          <w:bCs/>
          <w:szCs w:val="21"/>
          <w:highlight w:val="none"/>
        </w:rPr>
      </w:pPr>
      <w:r>
        <w:rPr>
          <w:rFonts w:hint="eastAsia" w:ascii="宋体" w:hAnsi="宋体" w:cs="宋体"/>
          <w:b/>
          <w:bCs/>
          <w:szCs w:val="21"/>
          <w:highlight w:val="none"/>
        </w:rPr>
        <w:t>报价要求</w:t>
      </w:r>
    </w:p>
    <w:p>
      <w:pPr>
        <w:spacing w:line="420" w:lineRule="exact"/>
        <w:ind w:firstLine="420" w:firstLineChars="200"/>
        <w:rPr>
          <w:rFonts w:ascii="宋体" w:hAnsi="宋体"/>
          <w:szCs w:val="21"/>
          <w:highlight w:val="none"/>
          <w:lang w:val="zh-CN"/>
        </w:rPr>
      </w:pPr>
      <w:r>
        <w:rPr>
          <w:rFonts w:hint="eastAsia" w:ascii="宋体" w:hAnsi="宋体" w:cs="宋体"/>
          <w:szCs w:val="21"/>
          <w:highlight w:val="none"/>
        </w:rPr>
        <w:t>本项目的响应报价采用总价报价方式，即完成项目服务所需的</w:t>
      </w:r>
      <w:r>
        <w:rPr>
          <w:rFonts w:hint="eastAsia" w:ascii="宋体" w:hAnsi="宋体"/>
          <w:szCs w:val="21"/>
          <w:highlight w:val="none"/>
        </w:rPr>
        <w:t>人工、</w:t>
      </w:r>
      <w:r>
        <w:rPr>
          <w:rFonts w:hint="eastAsia" w:ascii="宋体" w:hAnsi="宋体" w:cs="宋体"/>
          <w:szCs w:val="21"/>
          <w:highlight w:val="none"/>
        </w:rPr>
        <w:t>运输、检测、抽样、买样、食宿、差旅、保险、税金</w:t>
      </w:r>
      <w:r>
        <w:rPr>
          <w:rFonts w:hint="eastAsia" w:ascii="宋体" w:hAnsi="宋体"/>
          <w:szCs w:val="21"/>
          <w:highlight w:val="none"/>
          <w:lang w:val="zh-CN"/>
        </w:rPr>
        <w:t>等可能发生的一切相关费用。一旦中标，其中标</w:t>
      </w:r>
      <w:r>
        <w:rPr>
          <w:rFonts w:hint="eastAsia" w:ascii="宋体" w:hAnsi="宋体"/>
          <w:szCs w:val="21"/>
          <w:highlight w:val="none"/>
        </w:rPr>
        <w:t>价</w:t>
      </w:r>
      <w:r>
        <w:rPr>
          <w:rFonts w:hint="eastAsia" w:ascii="宋体" w:hAnsi="宋体"/>
          <w:szCs w:val="21"/>
          <w:highlight w:val="none"/>
          <w:lang w:val="zh-CN"/>
        </w:rPr>
        <w:t>不作任何调整。</w:t>
      </w:r>
    </w:p>
    <w:p>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五、验收</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成交人和采购人双方依据项目内容和进度共同实施验收工作，验收结果和验收报告经双方确认后生效。</w:t>
      </w:r>
    </w:p>
    <w:p>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六、付款方式</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任务完成后，一次性支付。成交人提供检测费用发票，采购人在收到汇总表及检测报告后15个工作日内支付款项。</w:t>
      </w:r>
    </w:p>
    <w:p>
      <w:pPr>
        <w:spacing w:line="360" w:lineRule="auto"/>
        <w:ind w:firstLine="420" w:firstLineChars="200"/>
        <w:rPr>
          <w:rFonts w:ascii="宋体" w:hAnsi="宋体" w:cs="宋体"/>
          <w:szCs w:val="21"/>
          <w:highlight w:val="none"/>
        </w:rPr>
      </w:pPr>
    </w:p>
    <w:p>
      <w:pPr>
        <w:spacing w:line="360" w:lineRule="auto"/>
        <w:ind w:firstLine="420" w:firstLineChars="200"/>
        <w:rPr>
          <w:rFonts w:ascii="宋体" w:hAnsi="宋体" w:cs="宋体"/>
          <w:szCs w:val="21"/>
          <w:highlight w:val="none"/>
        </w:rPr>
      </w:pPr>
    </w:p>
    <w:p>
      <w:pPr>
        <w:spacing w:line="360" w:lineRule="auto"/>
        <w:ind w:firstLine="420" w:firstLineChars="200"/>
        <w:rPr>
          <w:rFonts w:ascii="宋体" w:hAnsi="宋体" w:cs="宋体"/>
          <w:szCs w:val="21"/>
          <w:highlight w:val="none"/>
        </w:rPr>
      </w:pPr>
    </w:p>
    <w:p>
      <w:pPr>
        <w:pStyle w:val="3"/>
        <w:spacing w:beforeLines="20" w:afterLines="20" w:line="420" w:lineRule="exact"/>
        <w:ind w:firstLine="0" w:firstLineChars="0"/>
        <w:jc w:val="left"/>
        <w:rPr>
          <w:rFonts w:ascii="宋体" w:hAnsi="宋体" w:eastAsia="宋体" w:cs="宋体"/>
          <w:bCs/>
          <w:color w:val="333333"/>
          <w:kern w:val="2"/>
          <w:sz w:val="21"/>
          <w:szCs w:val="21"/>
          <w:highlight w:val="none"/>
        </w:rPr>
      </w:pPr>
      <w:r>
        <w:rPr>
          <w:rFonts w:hint="eastAsia" w:ascii="宋体" w:hAnsi="宋体" w:eastAsia="宋体" w:cs="宋体"/>
          <w:bCs/>
          <w:color w:val="333333"/>
          <w:kern w:val="2"/>
          <w:sz w:val="21"/>
          <w:szCs w:val="21"/>
          <w:highlight w:val="none"/>
        </w:rPr>
        <w:t>附件一：</w:t>
      </w:r>
    </w:p>
    <w:p>
      <w:pPr>
        <w:pStyle w:val="3"/>
        <w:spacing w:beforeLines="20" w:afterLines="20" w:line="420" w:lineRule="exact"/>
        <w:ind w:firstLine="0" w:firstLineChars="0"/>
        <w:jc w:val="center"/>
        <w:rPr>
          <w:rFonts w:ascii="宋体" w:hAnsi="宋体" w:eastAsia="宋体" w:cs="宋体"/>
          <w:bCs/>
          <w:color w:val="333333"/>
          <w:kern w:val="2"/>
          <w:sz w:val="24"/>
          <w:szCs w:val="24"/>
          <w:highlight w:val="none"/>
          <w:lang w:val="zh-CN"/>
        </w:rPr>
      </w:pPr>
      <w:r>
        <w:rPr>
          <w:rFonts w:hint="eastAsia" w:ascii="宋体" w:hAnsi="宋体" w:eastAsia="宋体" w:cs="宋体"/>
          <w:bCs/>
          <w:color w:val="333333"/>
          <w:kern w:val="2"/>
          <w:sz w:val="24"/>
          <w:szCs w:val="24"/>
          <w:highlight w:val="none"/>
          <w:lang w:val="zh-CN"/>
        </w:rPr>
        <w:t xml:space="preserve">第一项  </w:t>
      </w:r>
      <w:r>
        <w:rPr>
          <w:rFonts w:hint="eastAsia" w:ascii="宋体" w:hAnsi="宋体" w:eastAsia="宋体" w:cs="宋体"/>
          <w:bCs/>
          <w:color w:val="333333"/>
          <w:kern w:val="2"/>
          <w:sz w:val="24"/>
          <w:szCs w:val="24"/>
          <w:highlight w:val="none"/>
        </w:rPr>
        <w:t>市级</w:t>
      </w:r>
      <w:r>
        <w:rPr>
          <w:rFonts w:hint="eastAsia" w:ascii="宋体" w:hAnsi="宋体" w:eastAsia="宋体" w:cs="宋体"/>
          <w:bCs/>
          <w:color w:val="333333"/>
          <w:kern w:val="2"/>
          <w:sz w:val="24"/>
          <w:szCs w:val="24"/>
          <w:highlight w:val="none"/>
          <w:lang w:val="zh-CN"/>
        </w:rPr>
        <w:t>专项监测及监督抽查</w:t>
      </w:r>
    </w:p>
    <w:p>
      <w:pPr>
        <w:pStyle w:val="3"/>
        <w:spacing w:beforeLines="20" w:afterLines="20" w:line="420" w:lineRule="exact"/>
        <w:ind w:firstLine="0" w:firstLineChars="0"/>
        <w:jc w:val="center"/>
        <w:rPr>
          <w:rFonts w:ascii="宋体" w:hAnsi="宋体" w:eastAsia="宋体" w:cs="宋体"/>
          <w:bCs/>
          <w:color w:val="333333"/>
          <w:kern w:val="2"/>
          <w:sz w:val="24"/>
          <w:szCs w:val="24"/>
          <w:highlight w:val="none"/>
          <w:lang w:val="zh-CN"/>
        </w:rPr>
      </w:pPr>
      <w:r>
        <w:rPr>
          <w:rFonts w:hint="eastAsia" w:ascii="宋体" w:hAnsi="宋体" w:eastAsia="宋体" w:cs="宋体"/>
          <w:bCs/>
          <w:color w:val="333333"/>
          <w:kern w:val="2"/>
          <w:sz w:val="24"/>
          <w:szCs w:val="24"/>
          <w:highlight w:val="none"/>
          <w:lang w:val="zh-CN"/>
        </w:rPr>
        <w:t>服务需求及技术要求</w:t>
      </w:r>
    </w:p>
    <w:p>
      <w:pPr>
        <w:spacing w:line="420" w:lineRule="exact"/>
        <w:ind w:firstLine="420" w:firstLineChars="200"/>
        <w:jc w:val="left"/>
        <w:rPr>
          <w:rFonts w:ascii="宋体" w:hAnsi="宋体" w:cs="宋体"/>
          <w:color w:val="333333"/>
          <w:kern w:val="0"/>
          <w:szCs w:val="21"/>
          <w:highlight w:val="none"/>
        </w:rPr>
      </w:pPr>
      <w:r>
        <w:rPr>
          <w:rFonts w:hint="eastAsia" w:ascii="宋体" w:hAnsi="宋体" w:cs="宋体"/>
          <w:color w:val="333333"/>
          <w:szCs w:val="21"/>
          <w:highlight w:val="none"/>
        </w:rPr>
        <w:t>根据《</w:t>
      </w:r>
      <w:r>
        <w:rPr>
          <w:rFonts w:hint="eastAsia" w:ascii="宋体" w:hAnsi="宋体" w:cs="宋体"/>
          <w:color w:val="333333"/>
          <w:kern w:val="0"/>
          <w:szCs w:val="21"/>
          <w:highlight w:val="none"/>
        </w:rPr>
        <w:t>安庆市农业农村局关于开展2022年市级农产品质量安全专项监测和监督抽查工作的通知</w:t>
      </w:r>
      <w:r>
        <w:rPr>
          <w:rFonts w:hint="eastAsia" w:ascii="宋体" w:hAnsi="宋体" w:cs="宋体"/>
          <w:color w:val="333333"/>
          <w:szCs w:val="21"/>
          <w:highlight w:val="none"/>
        </w:rPr>
        <w:t>》（庆农函[2022]57号）文件要求，在全市范围内开展蔬菜产品</w:t>
      </w:r>
      <w:r>
        <w:rPr>
          <w:rFonts w:hint="eastAsia" w:ascii="宋体" w:hAnsi="宋体" w:cs="宋体"/>
          <w:color w:val="333333"/>
          <w:kern w:val="0"/>
          <w:szCs w:val="21"/>
          <w:highlight w:val="none"/>
        </w:rPr>
        <w:t>、畜禽产品、水产品质量安全专项监测及监督抽检工作。</w:t>
      </w:r>
    </w:p>
    <w:p>
      <w:pPr>
        <w:spacing w:line="420" w:lineRule="exact"/>
        <w:ind w:firstLine="422" w:firstLineChars="200"/>
        <w:jc w:val="left"/>
        <w:rPr>
          <w:rFonts w:ascii="宋体" w:hAnsi="宋体" w:cs="宋体"/>
          <w:b/>
          <w:bCs/>
          <w:color w:val="333333"/>
          <w:szCs w:val="21"/>
          <w:highlight w:val="none"/>
        </w:rPr>
      </w:pPr>
      <w:r>
        <w:rPr>
          <w:rFonts w:hint="eastAsia" w:ascii="宋体" w:hAnsi="宋体" w:cs="宋体"/>
          <w:b/>
          <w:bCs/>
          <w:color w:val="333333"/>
          <w:szCs w:val="21"/>
          <w:highlight w:val="none"/>
        </w:rPr>
        <w:t>一、专项监测</w:t>
      </w:r>
    </w:p>
    <w:p>
      <w:pPr>
        <w:spacing w:line="420" w:lineRule="exact"/>
        <w:ind w:firstLine="420" w:firstLineChars="200"/>
        <w:jc w:val="left"/>
        <w:rPr>
          <w:rFonts w:ascii="宋体" w:hAnsi="宋体" w:cs="宋体"/>
          <w:color w:val="333333"/>
          <w:szCs w:val="21"/>
          <w:highlight w:val="none"/>
        </w:rPr>
      </w:pPr>
      <w:r>
        <w:rPr>
          <w:rFonts w:hint="eastAsia" w:ascii="宋体" w:hAnsi="宋体" w:cs="宋体"/>
          <w:color w:val="333333"/>
          <w:szCs w:val="21"/>
          <w:highlight w:val="none"/>
        </w:rPr>
        <w:t>（一）工作内容</w:t>
      </w:r>
    </w:p>
    <w:p>
      <w:pPr>
        <w:spacing w:line="420" w:lineRule="exact"/>
        <w:ind w:firstLine="420" w:firstLineChars="200"/>
        <w:jc w:val="left"/>
        <w:rPr>
          <w:rFonts w:ascii="宋体" w:hAnsi="宋体" w:cs="宋体"/>
          <w:color w:val="333333"/>
          <w:szCs w:val="21"/>
          <w:highlight w:val="none"/>
        </w:rPr>
      </w:pPr>
      <w:r>
        <w:rPr>
          <w:rFonts w:hint="eastAsia" w:ascii="宋体" w:hAnsi="宋体" w:cs="宋体"/>
          <w:color w:val="333333"/>
          <w:szCs w:val="21"/>
          <w:highlight w:val="none"/>
        </w:rPr>
        <w:t>专项监测共抽检农产品95批次(其中种植业60批次、畜禽20产品批次、水产品15批次)，具体如下：</w:t>
      </w:r>
    </w:p>
    <w:p>
      <w:pPr>
        <w:spacing w:line="420" w:lineRule="exact"/>
        <w:ind w:firstLine="420" w:firstLineChars="200"/>
        <w:jc w:val="left"/>
        <w:rPr>
          <w:rFonts w:ascii="宋体" w:hAnsi="宋体" w:cs="宋体"/>
          <w:color w:val="333333"/>
          <w:szCs w:val="21"/>
          <w:highlight w:val="none"/>
        </w:rPr>
      </w:pPr>
      <w:r>
        <w:rPr>
          <w:rFonts w:hint="eastAsia" w:ascii="宋体" w:hAnsi="宋体" w:cs="宋体"/>
          <w:color w:val="333333"/>
          <w:szCs w:val="21"/>
          <w:highlight w:val="none"/>
        </w:rPr>
        <w:t>1.市级专项监测采样数为45个，分三次开展，每次不少于15个。每次监测参数按照重点监测项目自行安排（每次不得少于各类全部监测项目的30%），保证三次采样能覆盖所有监测项目。</w:t>
      </w:r>
    </w:p>
    <w:p>
      <w:pPr>
        <w:adjustRightInd w:val="0"/>
        <w:snapToGrid w:val="0"/>
        <w:spacing w:line="420" w:lineRule="exact"/>
        <w:ind w:firstLine="420" w:firstLineChars="200"/>
        <w:rPr>
          <w:rFonts w:ascii="宋体" w:hAnsi="宋体" w:cs="宋体"/>
          <w:color w:val="333333"/>
          <w:kern w:val="0"/>
          <w:szCs w:val="21"/>
          <w:highlight w:val="none"/>
        </w:rPr>
      </w:pPr>
      <w:r>
        <w:rPr>
          <w:rFonts w:hint="eastAsia" w:ascii="宋体" w:hAnsi="宋体" w:cs="宋体"/>
          <w:color w:val="333333"/>
          <w:szCs w:val="21"/>
          <w:highlight w:val="none"/>
        </w:rPr>
        <w:t>2.市级</w:t>
      </w:r>
      <w:r>
        <w:rPr>
          <w:rFonts w:hint="eastAsia" w:ascii="宋体" w:hAnsi="宋体" w:cs="宋体"/>
          <w:color w:val="333333"/>
          <w:kern w:val="0"/>
          <w:szCs w:val="21"/>
          <w:highlight w:val="none"/>
        </w:rPr>
        <w:t>承诺达标合格证带证农产品的专项监测采样数50个，分2次开展。</w:t>
      </w:r>
    </w:p>
    <w:p>
      <w:pPr>
        <w:adjustRightInd w:val="0"/>
        <w:snapToGrid w:val="0"/>
        <w:spacing w:line="420" w:lineRule="exact"/>
        <w:ind w:firstLine="420" w:firstLineChars="200"/>
        <w:rPr>
          <w:rFonts w:ascii="宋体" w:hAnsi="宋体" w:cs="宋体"/>
          <w:color w:val="333333"/>
          <w:szCs w:val="21"/>
          <w:highlight w:val="none"/>
        </w:rPr>
      </w:pPr>
      <w:r>
        <w:rPr>
          <w:rFonts w:hint="eastAsia" w:ascii="宋体" w:hAnsi="宋体" w:cs="宋体"/>
          <w:color w:val="333333"/>
          <w:szCs w:val="21"/>
          <w:highlight w:val="none"/>
        </w:rPr>
        <w:t>（二）工作要求</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highlight w:val="none"/>
        </w:rPr>
      </w:pPr>
      <w:r>
        <w:rPr>
          <w:rFonts w:hint="eastAsia" w:ascii="宋体" w:hAnsi="宋体" w:eastAsia="宋体" w:cs="宋体"/>
          <w:color w:val="333333"/>
          <w:sz w:val="21"/>
          <w:szCs w:val="21"/>
          <w:highlight w:val="none"/>
        </w:rPr>
        <w:t>1.时间要求：自合同签订之日起至2022年11月15日前完成所有检测工作并出具检测报告，重要情况及时报告。</w:t>
      </w:r>
    </w:p>
    <w:p>
      <w:pPr>
        <w:pStyle w:val="4"/>
        <w:shd w:val="clear" w:color="auto" w:fill="FFFFFF"/>
        <w:spacing w:before="0" w:beforeAutospacing="0" w:after="0" w:afterAutospacing="0" w:line="420" w:lineRule="exact"/>
        <w:ind w:firstLine="420" w:firstLineChars="200"/>
        <w:jc w:val="both"/>
        <w:rPr>
          <w:rFonts w:ascii="宋体" w:hAnsi="宋体" w:eastAsia="宋体" w:cs="宋体"/>
          <w:color w:val="333333"/>
          <w:sz w:val="21"/>
          <w:szCs w:val="21"/>
          <w:highlight w:val="none"/>
        </w:rPr>
      </w:pPr>
      <w:r>
        <w:rPr>
          <w:rFonts w:hint="eastAsia" w:ascii="宋体" w:hAnsi="宋体" w:eastAsia="宋体" w:cs="宋体"/>
          <w:color w:val="333333"/>
          <w:sz w:val="21"/>
          <w:szCs w:val="21"/>
          <w:highlight w:val="none"/>
        </w:rPr>
        <w:t>2.专项监测项目</w:t>
      </w:r>
    </w:p>
    <w:p>
      <w:pPr>
        <w:adjustRightInd w:val="0"/>
        <w:snapToGrid w:val="0"/>
        <w:spacing w:line="420" w:lineRule="exact"/>
        <w:ind w:firstLine="420" w:firstLineChars="200"/>
        <w:rPr>
          <w:rFonts w:ascii="宋体" w:hAnsi="宋体" w:cs="宋体"/>
          <w:color w:val="333333"/>
          <w:szCs w:val="21"/>
          <w:highlight w:val="none"/>
        </w:rPr>
      </w:pPr>
      <w:r>
        <w:rPr>
          <w:rFonts w:hint="eastAsia" w:ascii="宋体" w:hAnsi="宋体" w:cs="宋体"/>
          <w:color w:val="333333"/>
          <w:szCs w:val="21"/>
          <w:highlight w:val="none"/>
        </w:rPr>
        <w:t>（1）蔬菜产品主要监测</w:t>
      </w:r>
      <w:r>
        <w:rPr>
          <w:rFonts w:hint="eastAsia" w:ascii="宋体" w:hAnsi="宋体" w:cs="宋体"/>
          <w:b/>
          <w:bCs/>
          <w:color w:val="333333"/>
          <w:szCs w:val="21"/>
          <w:highlight w:val="none"/>
        </w:rPr>
        <w:t>禁限用农药（22个）</w:t>
      </w:r>
      <w:r>
        <w:rPr>
          <w:rFonts w:hint="eastAsia" w:ascii="宋体" w:hAnsi="宋体" w:cs="宋体"/>
          <w:color w:val="333333"/>
          <w:szCs w:val="21"/>
          <w:highlight w:val="none"/>
        </w:rPr>
        <w:t>滴滴涕、硫丹及其代谢产物（α－硫丹、β－硫丹、硫丹硫酸脂酯）、治螟磷、蝇毒磷、甲胺磷、久效磷、硫胺、特丁硫磷（含特丁硫磷砜和特丁硫磷亚砜）、灭线磷、甲基硫环磷、地虫硫磷、苯线磷、七氯、氯丹、甲拌磷（含甲拌磷砜、甲拌磷亚砜）、内吸磷、灭线磷、氯唑磷、硫环磷、克百威（含3－羟基克百威）、丁硫克百威、毒死蜱；</w:t>
      </w:r>
      <w:r>
        <w:rPr>
          <w:rFonts w:hint="eastAsia" w:ascii="宋体" w:hAnsi="宋体" w:cs="宋体"/>
          <w:b/>
          <w:bCs/>
          <w:color w:val="333333"/>
          <w:szCs w:val="21"/>
          <w:highlight w:val="none"/>
        </w:rPr>
        <w:t>常规农药（33个）</w:t>
      </w:r>
      <w:r>
        <w:rPr>
          <w:rFonts w:hint="eastAsia" w:ascii="宋体" w:hAnsi="宋体" w:cs="宋体"/>
          <w:color w:val="333333"/>
          <w:szCs w:val="21"/>
          <w:highlight w:val="none"/>
        </w:rPr>
        <w:t>倍硫磷、苯酰菌胺、丙环唑、虫酰肼、敌百虫、敌草快、敌菌灵、噁霜灵、噁唑菌酮、二甲戊灵，氟菌唑、氟酰脲、福美双、已唑醇、甲基硫菌灵、甲霜灵和精甲霜灵、克菌丹、联苯肼酯、氯苯胺灵、氯吡脲、氯菊酯、醚菊酯、嘧菌环胺、氰霜唑、噻菌灵、霜霉威、戊唑醇、烯草酮、乙霉威、乙烯利、异丙威、抑霉唑；</w:t>
      </w:r>
      <w:r>
        <w:rPr>
          <w:rFonts w:hint="eastAsia" w:ascii="宋体" w:hAnsi="宋体" w:cs="宋体"/>
          <w:b/>
          <w:bCs/>
          <w:color w:val="333333"/>
          <w:szCs w:val="21"/>
          <w:highlight w:val="none"/>
        </w:rPr>
        <w:t>未登记农药（21个）</w:t>
      </w:r>
      <w:r>
        <w:rPr>
          <w:rFonts w:hint="eastAsia" w:ascii="宋体" w:hAnsi="宋体" w:cs="宋体"/>
          <w:color w:val="333333"/>
          <w:szCs w:val="21"/>
          <w:highlight w:val="none"/>
        </w:rPr>
        <w:t>2,4-滴、6-苄基腺嘌呤（6-BA）、苯丁锡、苯霜灵、氟苯脲、氯虫苯甲酰胺、甲苯氟磺胺、甲基立枯磷、腈菌唑、精噁唑禾草灵、灭菌丹、嗪氨灵、炔螨特、噻节因、噻螨酮、杀线威、双甲脒、四氯硝基苯、戊菌唑、溴螨酯、增效醚。</w:t>
      </w:r>
    </w:p>
    <w:p>
      <w:pPr>
        <w:adjustRightInd w:val="0"/>
        <w:snapToGrid w:val="0"/>
        <w:spacing w:line="420" w:lineRule="exact"/>
        <w:ind w:firstLine="420" w:firstLineChars="200"/>
        <w:rPr>
          <w:rFonts w:ascii="宋体" w:hAnsi="宋体" w:cs="宋体"/>
          <w:color w:val="333333"/>
          <w:szCs w:val="21"/>
        </w:rPr>
      </w:pPr>
      <w:r>
        <w:rPr>
          <w:rFonts w:hint="eastAsia" w:ascii="宋体" w:hAnsi="宋体" w:cs="宋体"/>
          <w:color w:val="333333"/>
          <w:szCs w:val="21"/>
          <w:highlight w:val="none"/>
        </w:rPr>
        <w:t>（2）畜禽产品主要监测</w:t>
      </w:r>
      <w:r>
        <w:rPr>
          <w:rFonts w:hint="eastAsia" w:ascii="宋体" w:hAnsi="宋体" w:cs="宋体"/>
          <w:b/>
          <w:bCs/>
          <w:color w:val="333333"/>
          <w:szCs w:val="21"/>
          <w:highlight w:val="none"/>
        </w:rPr>
        <w:t>禁用药物（9个）</w:t>
      </w:r>
      <w:r>
        <w:rPr>
          <w:rFonts w:hint="eastAsia" w:ascii="宋体" w:hAnsi="宋体" w:cs="宋体"/>
          <w:color w:val="333333"/>
          <w:szCs w:val="21"/>
          <w:highlight w:val="none"/>
        </w:rPr>
        <w:t>呋喃唑酮、呋喃西林、呋喃它酮、呋喃妥因、五氯酚酸钠、己烯雌酚、玉米赤霉醇、醋酸群勃龙、醋酸美伦盖斯特罗；</w:t>
      </w:r>
      <w:r>
        <w:rPr>
          <w:rFonts w:hint="eastAsia" w:ascii="宋体" w:hAnsi="宋体" w:cs="宋体"/>
          <w:b/>
          <w:bCs/>
          <w:color w:val="333333"/>
          <w:szCs w:val="21"/>
          <w:highlight w:val="none"/>
        </w:rPr>
        <w:t>停止使用的药物（6个）</w:t>
      </w:r>
      <w:r>
        <w:rPr>
          <w:rFonts w:hint="eastAsia" w:ascii="宋体" w:hAnsi="宋体" w:cs="宋体"/>
          <w:color w:val="333333"/>
          <w:szCs w:val="21"/>
          <w:highlight w:val="none"/>
        </w:rPr>
        <w:t>喹乙醇、利巴韦林、洛美沙星、氧氟沙星、诺氟沙星、培氟沙星；</w:t>
      </w:r>
      <w:r>
        <w:rPr>
          <w:rFonts w:hint="eastAsia" w:ascii="宋体" w:hAnsi="宋体" w:cs="宋体"/>
          <w:b/>
          <w:bCs/>
          <w:color w:val="333333"/>
          <w:szCs w:val="21"/>
          <w:highlight w:val="none"/>
        </w:rPr>
        <w:t>未批准作为兽药使用的药物（10个）</w:t>
      </w:r>
      <w:r>
        <w:rPr>
          <w:rFonts w:hint="eastAsia" w:ascii="宋体" w:hAnsi="宋体" w:cs="宋体"/>
          <w:color w:val="333333"/>
          <w:szCs w:val="21"/>
          <w:highlight w:val="none"/>
        </w:rPr>
        <w:t>司帕沙星、氟罗沙星、阿奇霉素、罗红霉素、克拉霉素、替硝唑、氟虫腈及其代谢物氟甲腈、氟虫腈砜和氟虫腈亚砜；</w:t>
      </w:r>
      <w:r>
        <w:rPr>
          <w:rFonts w:hint="eastAsia" w:ascii="宋体" w:hAnsi="宋体" w:cs="宋体"/>
          <w:b/>
          <w:bCs/>
          <w:color w:val="333333"/>
          <w:szCs w:val="21"/>
          <w:highlight w:val="none"/>
        </w:rPr>
        <w:t>允许治疗用,但不得在动物性食品中检出的药</w:t>
      </w:r>
      <w:r>
        <w:rPr>
          <w:rFonts w:hint="eastAsia" w:ascii="宋体" w:hAnsi="宋体" w:cs="宋体"/>
          <w:b/>
          <w:bCs/>
          <w:color w:val="333333"/>
          <w:szCs w:val="21"/>
        </w:rPr>
        <w:t>物（3个）</w:t>
      </w:r>
      <w:r>
        <w:rPr>
          <w:rFonts w:hint="eastAsia" w:ascii="宋体" w:hAnsi="宋体" w:cs="宋体"/>
          <w:color w:val="333333"/>
          <w:szCs w:val="21"/>
        </w:rPr>
        <w:t>氯丙嗪、地美硝唑、甲硝唑；</w:t>
      </w:r>
      <w:r>
        <w:rPr>
          <w:rFonts w:hint="eastAsia" w:ascii="宋体" w:hAnsi="宋体" w:cs="宋体"/>
          <w:b/>
          <w:bCs/>
          <w:color w:val="333333"/>
          <w:szCs w:val="21"/>
        </w:rPr>
        <w:t>常规药物（14个）</w:t>
      </w:r>
      <w:r>
        <w:rPr>
          <w:rFonts w:hint="eastAsia" w:ascii="宋体" w:hAnsi="宋体" w:cs="宋体"/>
          <w:color w:val="333333"/>
          <w:szCs w:val="21"/>
        </w:rPr>
        <w:t>氟喹诺酮类（二氟沙星、氟甲喹），大环内酯类（红霉素、替米考星），皮质激素（地塞米松）、林可霉素、抗寄生虫类（伊维菌素、多拉菌素）（以上八种常规药物为产蛋期禁用）、异丙嗪、磺胺间甲氧嘧啶、磺胺二甲嘧啶、磺胺甲噁唑、磺胺二甲氧嘧啶、磺胺喹噁啉。</w:t>
      </w:r>
    </w:p>
    <w:p>
      <w:pPr>
        <w:adjustRightInd w:val="0"/>
        <w:snapToGrid w:val="0"/>
        <w:spacing w:line="420" w:lineRule="exact"/>
        <w:ind w:firstLine="420" w:firstLineChars="200"/>
        <w:rPr>
          <w:rFonts w:ascii="宋体" w:hAnsi="宋体" w:cs="宋体"/>
          <w:color w:val="333333"/>
          <w:szCs w:val="21"/>
        </w:rPr>
      </w:pPr>
      <w:r>
        <w:rPr>
          <w:rFonts w:hint="eastAsia" w:ascii="宋体" w:hAnsi="宋体" w:cs="宋体"/>
          <w:color w:val="333333"/>
          <w:szCs w:val="21"/>
        </w:rPr>
        <w:t>（3）水产品主要监测</w:t>
      </w:r>
      <w:r>
        <w:rPr>
          <w:rFonts w:hint="eastAsia" w:ascii="宋体" w:hAnsi="宋体" w:cs="宋体"/>
          <w:b/>
          <w:bCs/>
          <w:color w:val="333333"/>
          <w:szCs w:val="21"/>
        </w:rPr>
        <w:t>禁用药物（1个）</w:t>
      </w:r>
      <w:r>
        <w:rPr>
          <w:rFonts w:hint="eastAsia" w:ascii="宋体" w:hAnsi="宋体" w:cs="宋体"/>
          <w:color w:val="333333"/>
          <w:szCs w:val="21"/>
        </w:rPr>
        <w:t>洛硝哒唑；</w:t>
      </w:r>
      <w:r>
        <w:rPr>
          <w:rFonts w:hint="eastAsia" w:ascii="宋体" w:hAnsi="宋体" w:cs="宋体"/>
          <w:b/>
          <w:bCs/>
          <w:color w:val="333333"/>
          <w:szCs w:val="21"/>
        </w:rPr>
        <w:t>限用药物（10个）</w:t>
      </w:r>
      <w:r>
        <w:rPr>
          <w:rFonts w:hint="eastAsia" w:ascii="宋体" w:hAnsi="宋体" w:cs="宋体"/>
          <w:color w:val="333333"/>
          <w:szCs w:val="21"/>
        </w:rPr>
        <w:t>喹诺酮类（噁喹酸、氟甲喹、达氟沙星、沙拉沙星和双氟沙星），四环素类（土霉素、四环素、金霉素和强力霉素）、红霉素；</w:t>
      </w:r>
      <w:r>
        <w:rPr>
          <w:rFonts w:hint="eastAsia" w:ascii="宋体" w:hAnsi="宋体" w:cs="宋体"/>
          <w:b/>
          <w:bCs/>
          <w:color w:val="333333"/>
          <w:szCs w:val="21"/>
        </w:rPr>
        <w:t>允许治疗使用不得检出药物（3个）</w:t>
      </w:r>
      <w:r>
        <w:rPr>
          <w:rFonts w:hint="eastAsia" w:ascii="宋体" w:hAnsi="宋体" w:cs="宋体"/>
          <w:color w:val="333333"/>
          <w:szCs w:val="21"/>
        </w:rPr>
        <w:t>硝基咪唑类（甲硝唑、地美硝唑）、镇静剂（地西泮）。</w:t>
      </w:r>
    </w:p>
    <w:p>
      <w:pPr>
        <w:pStyle w:val="4"/>
        <w:shd w:val="clear" w:color="auto" w:fill="FFFFFF"/>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4.检测方法</w:t>
      </w:r>
    </w:p>
    <w:p>
      <w:pPr>
        <w:adjustRightInd w:val="0"/>
        <w:snapToGrid w:val="0"/>
        <w:spacing w:line="420" w:lineRule="exact"/>
        <w:ind w:firstLine="420" w:firstLineChars="200"/>
        <w:rPr>
          <w:rFonts w:ascii="宋体" w:hAnsi="宋体" w:cs="宋体"/>
          <w:color w:val="333333"/>
          <w:kern w:val="0"/>
          <w:szCs w:val="21"/>
        </w:rPr>
      </w:pPr>
      <w:r>
        <w:rPr>
          <w:rFonts w:hint="eastAsia" w:ascii="宋体" w:hAnsi="宋体" w:cs="宋体"/>
          <w:color w:val="333333"/>
          <w:kern w:val="0"/>
          <w:szCs w:val="21"/>
        </w:rPr>
        <w:t>检测方法为国家或行业标准方法或准确度、灵敏度更高的、经过比对确认的先进方法。</w:t>
      </w:r>
    </w:p>
    <w:p>
      <w:pPr>
        <w:adjustRightInd w:val="0"/>
        <w:snapToGrid w:val="0"/>
        <w:spacing w:line="420" w:lineRule="exact"/>
        <w:ind w:firstLine="422" w:firstLineChars="200"/>
        <w:rPr>
          <w:rFonts w:ascii="宋体" w:hAnsi="宋体" w:cs="宋体"/>
          <w:b/>
          <w:bCs/>
          <w:color w:val="333333"/>
          <w:kern w:val="0"/>
          <w:szCs w:val="21"/>
        </w:rPr>
      </w:pPr>
      <w:r>
        <w:rPr>
          <w:rFonts w:hint="eastAsia" w:ascii="宋体" w:hAnsi="宋体" w:cs="宋体"/>
          <w:b/>
          <w:bCs/>
          <w:color w:val="333333"/>
          <w:kern w:val="0"/>
          <w:szCs w:val="21"/>
        </w:rPr>
        <w:t>二、监督抽查</w:t>
      </w:r>
    </w:p>
    <w:p>
      <w:pPr>
        <w:adjustRightInd w:val="0"/>
        <w:snapToGrid w:val="0"/>
        <w:spacing w:line="420" w:lineRule="exact"/>
        <w:ind w:firstLine="420" w:firstLineChars="200"/>
        <w:rPr>
          <w:rFonts w:ascii="宋体" w:hAnsi="宋体" w:cs="宋体"/>
          <w:color w:val="333333"/>
          <w:kern w:val="0"/>
          <w:szCs w:val="21"/>
        </w:rPr>
      </w:pPr>
      <w:r>
        <w:rPr>
          <w:rFonts w:hint="eastAsia" w:ascii="宋体" w:hAnsi="宋体" w:cs="宋体"/>
          <w:color w:val="333333"/>
          <w:kern w:val="0"/>
          <w:szCs w:val="21"/>
        </w:rPr>
        <w:t>（一）工作内容</w:t>
      </w:r>
    </w:p>
    <w:p>
      <w:pPr>
        <w:adjustRightInd w:val="0"/>
        <w:snapToGrid w:val="0"/>
        <w:spacing w:line="420" w:lineRule="exact"/>
        <w:ind w:firstLine="420" w:firstLineChars="200"/>
        <w:rPr>
          <w:rFonts w:ascii="宋体" w:hAnsi="宋体" w:cs="宋体"/>
          <w:color w:val="333333"/>
          <w:kern w:val="0"/>
          <w:szCs w:val="21"/>
        </w:rPr>
      </w:pPr>
      <w:r>
        <w:rPr>
          <w:rFonts w:hint="eastAsia" w:ascii="宋体" w:hAnsi="宋体" w:cs="宋体"/>
          <w:color w:val="333333"/>
          <w:kern w:val="0"/>
          <w:szCs w:val="21"/>
        </w:rPr>
        <w:t>监督抽查:共抽检农产品55批次(其中种植业30批次、畜禽产品15批次、水产品10批次)，全年不定期抽检。</w:t>
      </w:r>
    </w:p>
    <w:p>
      <w:pPr>
        <w:adjustRightInd w:val="0"/>
        <w:snapToGrid w:val="0"/>
        <w:spacing w:line="420" w:lineRule="exact"/>
        <w:ind w:firstLine="420" w:firstLineChars="200"/>
        <w:rPr>
          <w:rFonts w:ascii="宋体" w:hAnsi="宋体" w:cs="宋体"/>
          <w:color w:val="333333"/>
          <w:kern w:val="0"/>
          <w:szCs w:val="21"/>
        </w:rPr>
      </w:pPr>
      <w:r>
        <w:rPr>
          <w:rFonts w:hint="eastAsia" w:ascii="宋体" w:hAnsi="宋体" w:cs="宋体"/>
          <w:color w:val="333333"/>
          <w:kern w:val="0"/>
          <w:szCs w:val="21"/>
        </w:rPr>
        <w:t>（二）工作要求</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1.时间要求：自合同签订之日起至2022年11月30日前完成所有抽样检测工作并出具检测报告。</w:t>
      </w:r>
    </w:p>
    <w:p>
      <w:pPr>
        <w:spacing w:line="420" w:lineRule="exact"/>
        <w:ind w:firstLine="420" w:firstLineChars="200"/>
        <w:rPr>
          <w:rFonts w:ascii="宋体" w:hAnsi="宋体" w:cs="宋体"/>
          <w:color w:val="333333"/>
          <w:szCs w:val="21"/>
        </w:rPr>
      </w:pPr>
      <w:r>
        <w:rPr>
          <w:rFonts w:hint="eastAsia" w:ascii="宋体" w:hAnsi="宋体" w:cs="宋体"/>
          <w:color w:val="333333"/>
          <w:szCs w:val="21"/>
        </w:rPr>
        <w:t>2.抽样品种：蔬菜产品重点品种为普通白菜、豌豆、韭菜、芹菜、黄瓜、豇豆、葱姜蒜类等；水果产品重点品种砀山梨、柑橘、草莓、蓝莓等；油料产品重点品种花生等；食用菌产品重点品平菇、香菇、木耳、杏鲍菇、金针菇、银耳、竹荪等；畜禽产品重点品种为鸡肉（含乌鸡肉）、鸡蛋，生猪、肉牛、肉羊；水产品重点品种为昂刺鱼、鳝鱼、泥鳅、乌鳢、鳊鱼、鲫鱼、青草鲢鳙、鳜鱼、大口黑鲈鱼等。</w:t>
      </w:r>
    </w:p>
    <w:p>
      <w:pPr>
        <w:pStyle w:val="4"/>
        <w:shd w:val="clear" w:color="auto" w:fill="FFFFFF"/>
        <w:spacing w:before="0" w:beforeAutospacing="0" w:after="0" w:afterAutospacing="0" w:line="420" w:lineRule="exact"/>
        <w:ind w:firstLine="640"/>
        <w:jc w:val="both"/>
        <w:rPr>
          <w:rFonts w:ascii="宋体" w:hAnsi="宋体" w:eastAsia="宋体" w:cs="宋体"/>
          <w:color w:val="333333"/>
          <w:sz w:val="21"/>
          <w:szCs w:val="21"/>
        </w:rPr>
      </w:pPr>
      <w:r>
        <w:rPr>
          <w:rFonts w:hint="eastAsia" w:ascii="宋体" w:hAnsi="宋体" w:eastAsia="宋体" w:cs="宋体"/>
          <w:color w:val="333333"/>
          <w:sz w:val="21"/>
          <w:szCs w:val="21"/>
        </w:rPr>
        <w:t>3.监督抽查监测项目</w:t>
      </w:r>
    </w:p>
    <w:p>
      <w:pPr>
        <w:spacing w:line="420" w:lineRule="exact"/>
        <w:ind w:firstLine="420" w:firstLineChars="200"/>
        <w:rPr>
          <w:rFonts w:ascii="宋体" w:hAnsi="宋体" w:cs="宋体"/>
          <w:color w:val="333333"/>
          <w:szCs w:val="21"/>
        </w:rPr>
      </w:pPr>
      <w:r>
        <w:rPr>
          <w:rFonts w:hint="eastAsia" w:ascii="宋体" w:hAnsi="宋体" w:cs="宋体"/>
          <w:color w:val="333333"/>
          <w:szCs w:val="21"/>
        </w:rPr>
        <w:t>（1）种植业产品（蔬菜、水果、食用菌）监测项目</w:t>
      </w:r>
      <w:r>
        <w:rPr>
          <w:rFonts w:hint="eastAsia" w:ascii="宋体" w:hAnsi="宋体" w:cs="宋体"/>
          <w:b/>
          <w:bCs/>
          <w:color w:val="333333"/>
          <w:szCs w:val="21"/>
        </w:rPr>
        <w:t>禁限用农药（13个）</w:t>
      </w:r>
      <w:r>
        <w:rPr>
          <w:rFonts w:hint="eastAsia" w:ascii="宋体" w:hAnsi="宋体" w:cs="宋体"/>
          <w:color w:val="333333"/>
          <w:szCs w:val="21"/>
        </w:rPr>
        <w:t>甲胺磷、久效磷、特丁硫磷、内吸磷、灭线磷、三氯杀螨醇、克百威（包括3－羟基克百威）、丁硫克百威、涕灭威（包括涕灭威砜和涕灭威亚砜）、毒死蜱、三唑磷、氟虫腈（包括氟甲腈、氟虫腈硫醚、氟虫腈砜）、灭多威；</w:t>
      </w:r>
      <w:r>
        <w:rPr>
          <w:rFonts w:hint="eastAsia" w:ascii="宋体" w:hAnsi="宋体" w:cs="宋体"/>
          <w:b/>
          <w:bCs/>
          <w:color w:val="333333"/>
          <w:szCs w:val="21"/>
        </w:rPr>
        <w:t>常规农药（14个）</w:t>
      </w:r>
      <w:r>
        <w:rPr>
          <w:rFonts w:hint="eastAsia" w:ascii="宋体" w:hAnsi="宋体" w:cs="宋体"/>
          <w:color w:val="333333"/>
          <w:szCs w:val="21"/>
        </w:rPr>
        <w:t>腐霉利、吡虫啉、氯氰菊酯、甲氰菊酯、氯氟氰菊酯、联苯菊酯、溴氰菊酯、烯酰吗啉、哒螨灵、百菌清、多菌灵、啶虫脒、噻虫嗪、三唑酮。</w:t>
      </w:r>
    </w:p>
    <w:p>
      <w:pPr>
        <w:spacing w:line="420" w:lineRule="exact"/>
        <w:ind w:firstLine="420" w:firstLineChars="200"/>
        <w:rPr>
          <w:rFonts w:ascii="宋体" w:hAnsi="宋体" w:cs="宋体"/>
          <w:color w:val="333333"/>
          <w:szCs w:val="21"/>
        </w:rPr>
      </w:pPr>
      <w:r>
        <w:rPr>
          <w:rFonts w:hint="eastAsia" w:ascii="宋体" w:hAnsi="宋体" w:cs="宋体"/>
          <w:color w:val="333333"/>
          <w:szCs w:val="21"/>
        </w:rPr>
        <w:t>（2）畜禽产品监测项目为</w:t>
      </w:r>
      <w:r>
        <w:rPr>
          <w:rFonts w:hint="eastAsia" w:ascii="宋体" w:hAnsi="宋体" w:cs="宋体"/>
          <w:b/>
          <w:bCs/>
          <w:color w:val="333333"/>
          <w:szCs w:val="21"/>
        </w:rPr>
        <w:t>禁用药物（5个）</w:t>
      </w:r>
      <w:r>
        <w:rPr>
          <w:rFonts w:hint="eastAsia" w:ascii="宋体" w:hAnsi="宋体" w:cs="宋体"/>
          <w:color w:val="333333"/>
          <w:szCs w:val="21"/>
        </w:rPr>
        <w:t>瘦肉精类（盐酸克伦特罗、莱克多巴胺、沙丁胺醇）、氯霉素、金刚烷胺；</w:t>
      </w:r>
      <w:r>
        <w:rPr>
          <w:rFonts w:hint="eastAsia" w:ascii="宋体" w:hAnsi="宋体" w:cs="宋体"/>
          <w:b/>
          <w:bCs/>
          <w:color w:val="333333"/>
          <w:szCs w:val="21"/>
        </w:rPr>
        <w:t>停用药物（1个）</w:t>
      </w:r>
      <w:r>
        <w:rPr>
          <w:rFonts w:hint="eastAsia" w:ascii="宋体" w:hAnsi="宋体" w:cs="宋体"/>
          <w:color w:val="333333"/>
          <w:szCs w:val="21"/>
        </w:rPr>
        <w:t>喹乙醇；</w:t>
      </w:r>
      <w:r>
        <w:rPr>
          <w:rFonts w:hint="eastAsia" w:ascii="宋体" w:hAnsi="宋体" w:cs="宋体"/>
          <w:b/>
          <w:bCs/>
          <w:color w:val="333333"/>
          <w:szCs w:val="21"/>
        </w:rPr>
        <w:t>限用药物（4个）</w:t>
      </w:r>
      <w:r>
        <w:rPr>
          <w:rFonts w:hint="eastAsia" w:ascii="宋体" w:hAnsi="宋体" w:cs="宋体"/>
          <w:color w:val="333333"/>
          <w:szCs w:val="21"/>
        </w:rPr>
        <w:t>氟喹诺酮类（氧氟沙星、培氟沙星、诺氟沙星、洛美沙星）；</w:t>
      </w:r>
      <w:r>
        <w:rPr>
          <w:rFonts w:hint="eastAsia" w:ascii="宋体" w:hAnsi="宋体" w:cs="宋体"/>
          <w:b/>
          <w:bCs/>
          <w:color w:val="333333"/>
          <w:szCs w:val="21"/>
        </w:rPr>
        <w:t>常规药物（13个）</w:t>
      </w:r>
      <w:r>
        <w:rPr>
          <w:rFonts w:hint="eastAsia" w:ascii="宋体" w:hAnsi="宋体" w:cs="宋体"/>
          <w:color w:val="333333"/>
          <w:szCs w:val="21"/>
        </w:rPr>
        <w:t>氟喹诺酮类（恩诺沙星、环丙沙星、沙拉沙星、达氟沙星）、酰胺醇类（氟苯尼考、氟苯尼考胺、甲砜霉素）、硝基咪唑类（甲硝唑、地美硝唑）（以上九种常规药物为产蛋期禁用）、四环素类（土霉素、四环素、金霉素、强力霉素）。</w:t>
      </w:r>
    </w:p>
    <w:p>
      <w:pPr>
        <w:spacing w:line="420" w:lineRule="exact"/>
        <w:ind w:firstLine="420" w:firstLineChars="200"/>
        <w:rPr>
          <w:rFonts w:ascii="宋体" w:hAnsi="宋体" w:cs="宋体"/>
          <w:color w:val="333333"/>
          <w:szCs w:val="21"/>
        </w:rPr>
      </w:pPr>
      <w:r>
        <w:rPr>
          <w:rFonts w:hint="eastAsia" w:ascii="宋体" w:hAnsi="宋体" w:cs="宋体"/>
          <w:color w:val="333333"/>
          <w:szCs w:val="21"/>
        </w:rPr>
        <w:t>（3）水产品监测项目为</w:t>
      </w:r>
      <w:r>
        <w:rPr>
          <w:rFonts w:hint="eastAsia" w:ascii="宋体" w:hAnsi="宋体" w:cs="宋体"/>
          <w:b/>
          <w:bCs/>
          <w:color w:val="333333"/>
          <w:szCs w:val="21"/>
        </w:rPr>
        <w:t>禁用药物（6个）</w:t>
      </w:r>
      <w:r>
        <w:rPr>
          <w:rFonts w:hint="eastAsia" w:ascii="宋体" w:hAnsi="宋体" w:cs="宋体"/>
          <w:color w:val="333333"/>
          <w:szCs w:val="21"/>
        </w:rPr>
        <w:t>氯霉素、孔雀石绿、硝基呋喃类代谢物（包括AOZ、AMOZ、SEM、AHD）；</w:t>
      </w:r>
      <w:r>
        <w:rPr>
          <w:rFonts w:hint="eastAsia" w:ascii="宋体" w:hAnsi="宋体" w:cs="宋体"/>
          <w:b/>
          <w:bCs/>
          <w:color w:val="333333"/>
          <w:szCs w:val="21"/>
        </w:rPr>
        <w:t>限用药物（4个）</w:t>
      </w:r>
      <w:r>
        <w:rPr>
          <w:rFonts w:hint="eastAsia" w:ascii="宋体" w:hAnsi="宋体" w:cs="宋体"/>
          <w:color w:val="333333"/>
          <w:szCs w:val="21"/>
        </w:rPr>
        <w:t>氟喹诺酮类（氧氟沙星、培氟沙星、诺氟沙星、洛美沙星）；</w:t>
      </w:r>
      <w:r>
        <w:rPr>
          <w:rFonts w:hint="eastAsia" w:ascii="宋体" w:hAnsi="宋体" w:cs="宋体"/>
          <w:b/>
          <w:bCs/>
          <w:color w:val="333333"/>
          <w:szCs w:val="21"/>
        </w:rPr>
        <w:t>允许治疗使用不得检出药物（4个）</w:t>
      </w:r>
      <w:r>
        <w:rPr>
          <w:rFonts w:hint="eastAsia" w:ascii="宋体" w:hAnsi="宋体" w:cs="宋体"/>
          <w:color w:val="333333"/>
          <w:szCs w:val="21"/>
        </w:rPr>
        <w:t>硝基咪唑类（甲硝唑、地美硝唑）、催眠镇静类（氯丙嗪、地西泮）；</w:t>
      </w:r>
      <w:r>
        <w:rPr>
          <w:rFonts w:hint="eastAsia" w:ascii="宋体" w:hAnsi="宋体" w:cs="宋体"/>
          <w:b/>
          <w:bCs/>
          <w:color w:val="333333"/>
          <w:szCs w:val="21"/>
        </w:rPr>
        <w:t>常规药物（17个）</w:t>
      </w:r>
      <w:r>
        <w:rPr>
          <w:rFonts w:hint="eastAsia" w:ascii="宋体" w:hAnsi="宋体" w:cs="宋体"/>
          <w:color w:val="333333"/>
          <w:szCs w:val="21"/>
        </w:rPr>
        <w:t>氟喹诺酮类（恩诺沙星、环丙沙星）、酰胺醇类（氟苯尼考、氟苯尼考胺、甲砜霉素）、磺胺类（包括磺胺噻唑、磺胺嘧啶、磺胺甲噻二唑等12种）。</w:t>
      </w:r>
    </w:p>
    <w:p>
      <w:pPr>
        <w:pStyle w:val="4"/>
        <w:shd w:val="clear" w:color="auto" w:fill="FFFFFF"/>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4.抽样和检测方法</w:t>
      </w:r>
    </w:p>
    <w:p>
      <w:pPr>
        <w:adjustRightInd w:val="0"/>
        <w:snapToGrid w:val="0"/>
        <w:spacing w:line="420" w:lineRule="exact"/>
        <w:ind w:firstLine="420" w:firstLineChars="200"/>
        <w:rPr>
          <w:rFonts w:ascii="宋体" w:hAnsi="宋体" w:cs="宋体"/>
          <w:b/>
          <w:color w:val="333333"/>
          <w:kern w:val="0"/>
          <w:szCs w:val="21"/>
        </w:rPr>
      </w:pPr>
      <w:r>
        <w:rPr>
          <w:rFonts w:hint="eastAsia" w:ascii="宋体" w:hAnsi="宋体" w:cs="宋体"/>
          <w:color w:val="333333"/>
          <w:kern w:val="0"/>
          <w:szCs w:val="21"/>
        </w:rPr>
        <w:t>抽样和检测方法按农业农村部农产品质量安全监管司《2021年国家农产品质量安全监督抽查实施细则》要求执行。</w:t>
      </w:r>
    </w:p>
    <w:p>
      <w:pPr>
        <w:pStyle w:val="4"/>
        <w:shd w:val="clear" w:color="auto" w:fill="FFFFFF"/>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5.抽检地点：</w:t>
      </w:r>
    </w:p>
    <w:p>
      <w:pPr>
        <w:pStyle w:val="4"/>
        <w:shd w:val="clear" w:color="auto" w:fill="FFFFFF"/>
        <w:spacing w:before="0" w:beforeAutospacing="0" w:after="0" w:afterAutospacing="0" w:line="420" w:lineRule="exact"/>
        <w:ind w:firstLine="422" w:firstLineChars="200"/>
        <w:jc w:val="both"/>
        <w:rPr>
          <w:rFonts w:ascii="宋体" w:hAnsi="宋体" w:eastAsia="宋体" w:cs="宋体"/>
          <w:color w:val="333333"/>
          <w:sz w:val="21"/>
          <w:szCs w:val="21"/>
        </w:rPr>
      </w:pPr>
      <w:r>
        <w:rPr>
          <w:rFonts w:hint="eastAsia" w:ascii="宋体" w:hAnsi="宋体" w:eastAsia="宋体" w:cs="宋体"/>
          <w:b/>
          <w:color w:val="333333"/>
          <w:sz w:val="21"/>
          <w:szCs w:val="21"/>
        </w:rPr>
        <w:t>蔬菜产品</w:t>
      </w:r>
      <w:r>
        <w:rPr>
          <w:rFonts w:hint="eastAsia" w:ascii="宋体" w:hAnsi="宋体" w:eastAsia="宋体" w:cs="宋体"/>
          <w:color w:val="333333"/>
          <w:sz w:val="21"/>
          <w:szCs w:val="21"/>
        </w:rPr>
        <w:t>（蔬菜、水果、食用菌）在生产基地抽样，要包含一定比例的小（散）农户；</w:t>
      </w:r>
      <w:r>
        <w:rPr>
          <w:rFonts w:hint="eastAsia" w:ascii="宋体" w:hAnsi="宋体" w:eastAsia="宋体" w:cs="宋体"/>
          <w:b/>
          <w:color w:val="333333"/>
          <w:sz w:val="21"/>
          <w:szCs w:val="21"/>
        </w:rPr>
        <w:t>畜禽产品</w:t>
      </w:r>
      <w:r>
        <w:rPr>
          <w:rFonts w:hint="eastAsia" w:ascii="宋体" w:hAnsi="宋体" w:eastAsia="宋体" w:cs="宋体"/>
          <w:color w:val="333333"/>
          <w:sz w:val="21"/>
          <w:szCs w:val="21"/>
        </w:rPr>
        <w:t>在养殖场、屠宰场抽样；</w:t>
      </w:r>
      <w:r>
        <w:rPr>
          <w:rFonts w:hint="eastAsia" w:ascii="宋体" w:hAnsi="宋体" w:eastAsia="宋体" w:cs="宋体"/>
          <w:b/>
          <w:color w:val="333333"/>
          <w:sz w:val="21"/>
          <w:szCs w:val="21"/>
        </w:rPr>
        <w:t>水产品</w:t>
      </w:r>
      <w:r>
        <w:rPr>
          <w:rFonts w:hint="eastAsia" w:ascii="宋体" w:hAnsi="宋体" w:eastAsia="宋体" w:cs="宋体"/>
          <w:color w:val="333333"/>
          <w:sz w:val="21"/>
          <w:szCs w:val="21"/>
        </w:rPr>
        <w:t>在基地、运输车（或暂养池）抽样，运输车（或暂养池）需抽取来源本地区且可追溯的样品。</w:t>
      </w:r>
    </w:p>
    <w:p>
      <w:pPr>
        <w:pStyle w:val="4"/>
        <w:shd w:val="clear" w:color="auto" w:fill="FFFFFF"/>
        <w:spacing w:before="0" w:beforeAutospacing="0" w:after="0" w:afterAutospacing="0" w:line="420" w:lineRule="exact"/>
        <w:ind w:firstLine="422" w:firstLineChars="200"/>
        <w:jc w:val="both"/>
        <w:rPr>
          <w:rFonts w:ascii="宋体" w:hAnsi="宋体" w:eastAsia="宋体" w:cs="宋体"/>
          <w:b/>
          <w:color w:val="333333"/>
          <w:sz w:val="21"/>
          <w:szCs w:val="21"/>
        </w:rPr>
      </w:pPr>
      <w:r>
        <w:rPr>
          <w:rFonts w:hint="eastAsia" w:ascii="宋体" w:hAnsi="宋体" w:eastAsia="宋体" w:cs="宋体"/>
          <w:b/>
          <w:color w:val="333333"/>
          <w:sz w:val="21"/>
          <w:szCs w:val="21"/>
        </w:rPr>
        <w:t>三、抽检要求</w:t>
      </w:r>
    </w:p>
    <w:p>
      <w:pPr>
        <w:spacing w:line="420" w:lineRule="exact"/>
        <w:ind w:firstLine="420" w:firstLineChars="200"/>
        <w:rPr>
          <w:rFonts w:ascii="宋体" w:hAnsi="宋体" w:cs="宋体"/>
          <w:color w:val="333333"/>
          <w:szCs w:val="21"/>
        </w:rPr>
      </w:pPr>
      <w:r>
        <w:rPr>
          <w:rFonts w:hint="eastAsia" w:ascii="宋体" w:hAnsi="宋体" w:cs="宋体"/>
          <w:color w:val="333333"/>
          <w:szCs w:val="21"/>
        </w:rPr>
        <w:t>（1）成交检测机构应严格按照文件和采购方要求，按时按质按量完成样品检验、结果报送等工作。样品抽样按相关国标开展抽样工作，市级专项监测及例行监测抽样由安庆市农产品质量安全检测中心负责。市级监督抽样55批次由中标方负责，市农业执法人员配合执行，采样过程中抽样工具、人员及车辆等由成交检测机构负责，检验、买样、车辆运输、税费、服务、保险等所有费用均含在合同报价里，由成交检测机构承担。</w:t>
      </w:r>
    </w:p>
    <w:p>
      <w:pPr>
        <w:spacing w:line="420" w:lineRule="exact"/>
        <w:ind w:firstLine="420" w:firstLineChars="200"/>
        <w:rPr>
          <w:rFonts w:ascii="宋体" w:hAnsi="宋体" w:cs="宋体"/>
          <w:color w:val="333333"/>
          <w:kern w:val="0"/>
          <w:szCs w:val="21"/>
        </w:rPr>
      </w:pPr>
      <w:r>
        <w:rPr>
          <w:rFonts w:hint="eastAsia" w:ascii="宋体" w:hAnsi="宋体" w:cs="宋体"/>
          <w:color w:val="333333"/>
          <w:kern w:val="0"/>
          <w:szCs w:val="21"/>
        </w:rPr>
        <w:t>（2）</w:t>
      </w:r>
      <w:r>
        <w:rPr>
          <w:rFonts w:hint="eastAsia" w:ascii="宋体" w:hAnsi="宋体" w:cs="宋体"/>
          <w:color w:val="333333"/>
          <w:szCs w:val="21"/>
        </w:rPr>
        <w:t>成交检测机构</w:t>
      </w:r>
      <w:r>
        <w:rPr>
          <w:rFonts w:hint="eastAsia" w:ascii="宋体" w:hAnsi="宋体" w:cs="宋体"/>
          <w:color w:val="333333"/>
          <w:kern w:val="0"/>
          <w:szCs w:val="21"/>
        </w:rPr>
        <w:t>按照计划安排和规范要求开展检测工作。市级监督抽检要求现场填写抽样单并签字确认，现场制样加贴封条；严格遵守抽样工作规范，保证抽样工作有效。样品抽取要由专门人员完成，样品运输要符合样品管理规定，不得委托第三方机构或以邮寄、快递等方式运输样品，应当专人专车送达承检机构。</w:t>
      </w:r>
    </w:p>
    <w:p>
      <w:pPr>
        <w:spacing w:line="420" w:lineRule="exact"/>
        <w:ind w:firstLine="420" w:firstLineChars="200"/>
        <w:rPr>
          <w:rFonts w:ascii="宋体" w:hAnsi="宋体" w:cs="宋体"/>
          <w:color w:val="333333"/>
          <w:kern w:val="0"/>
          <w:szCs w:val="21"/>
        </w:rPr>
      </w:pPr>
      <w:r>
        <w:rPr>
          <w:rFonts w:hint="eastAsia" w:ascii="宋体" w:hAnsi="宋体" w:cs="宋体"/>
          <w:color w:val="333333"/>
          <w:kern w:val="0"/>
          <w:szCs w:val="21"/>
        </w:rPr>
        <w:t>（3）蔬菜产品：采购人在样品检测前添加盲样或平行样。水产品、畜禽样品：采购人在样品检测前随机添加平行样或抽取部分复检样送其他具备相应资质的检测机构进行复检。</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4）成交检测机构应如实、准确、完整、及时地填写检验原始记录，按磋商文件规定的检测要求、检测标准及时向采购人提供合法准确的检测结果。专项监测在样品交接后1个月内及时提供电子版检测报告，监督抽检在抽样结束后5个工作日提供电子版检测报告并及时寄送纸质版检测报告。</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（5）成交检测机构应履行保密义务，未经采购人同意，不得对外公布检测结果，否则由此引起的一切法律责任由检测机构承担。</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（6）在检验过程中发现被检样品存在严重安全问题或较高风险问题的，经确认无误后24小时内将问题或有关情况及时报告采购人。</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（7）备份样品按规定保存和处理。</w:t>
      </w:r>
    </w:p>
    <w:p>
      <w:pPr>
        <w:pStyle w:val="4"/>
        <w:shd w:val="clear" w:color="auto" w:fill="FFFFFF"/>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（8）针对承检任务建立并落实专项质量控制计划。</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（9）成交检测机构在项目结束前，要汇总报送监测结果、样品情况汇总表及分析报告。</w:t>
      </w:r>
    </w:p>
    <w:p>
      <w:pPr>
        <w:pStyle w:val="4"/>
        <w:shd w:val="clear" w:color="auto" w:fill="FFFFFF"/>
        <w:adjustRightInd w:val="0"/>
        <w:spacing w:before="0" w:beforeAutospacing="0" w:after="0" w:afterAutospacing="0" w:line="420" w:lineRule="exact"/>
        <w:ind w:firstLine="422" w:firstLineChars="200"/>
        <w:jc w:val="both"/>
        <w:rPr>
          <w:rFonts w:ascii="宋体" w:hAnsi="宋体" w:eastAsia="宋体" w:cs="宋体"/>
          <w:color w:val="333333"/>
          <w:sz w:val="21"/>
          <w:szCs w:val="21"/>
        </w:rPr>
      </w:pPr>
      <w:r>
        <w:rPr>
          <w:rFonts w:hint="eastAsia" w:ascii="宋体" w:hAnsi="宋体" w:eastAsia="宋体" w:cs="宋体"/>
          <w:b/>
          <w:bCs/>
          <w:color w:val="333333"/>
          <w:sz w:val="21"/>
          <w:szCs w:val="21"/>
        </w:rPr>
        <w:t>四、投标检测机构人员、设备及其他要求</w:t>
      </w:r>
    </w:p>
    <w:p>
      <w:pPr>
        <w:pStyle w:val="4"/>
        <w:shd w:val="clear" w:color="auto" w:fill="FFFFFF"/>
        <w:adjustRightInd w:val="0"/>
        <w:spacing w:before="0" w:beforeAutospacing="0" w:after="0" w:afterAutospacing="0" w:line="420" w:lineRule="exact"/>
        <w:ind w:firstLine="422" w:firstLineChars="200"/>
        <w:jc w:val="both"/>
        <w:rPr>
          <w:rFonts w:ascii="宋体" w:hAnsi="宋体" w:eastAsia="宋体" w:cs="宋体"/>
          <w:b/>
          <w:bCs/>
          <w:color w:val="333333"/>
          <w:sz w:val="21"/>
          <w:szCs w:val="21"/>
        </w:rPr>
      </w:pPr>
      <w:r>
        <w:rPr>
          <w:rFonts w:hint="eastAsia" w:ascii="宋体" w:hAnsi="宋体" w:eastAsia="宋体" w:cs="宋体"/>
          <w:b/>
          <w:bCs/>
          <w:color w:val="333333"/>
          <w:sz w:val="21"/>
          <w:szCs w:val="21"/>
        </w:rPr>
        <w:t>1.检测机构从业人员要求</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（1）检测机构具有符合承担农产品质量安全抽检工作任务所需的人员，应熟悉承检品种的检验方法及相关法律法规要求，并具有较为丰富的农产品检验工作经验。</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2）检测机构检验从业人员岗位职责、分工明确。投标检测机构应设置有独立的技术管理人员、业务管理人员、检验人员以及抽样人员等农产品检验从业人员，可分别承担抽样、检测、数据汇总、结果报送、分析评估等工作，能按照时限要求汇总上报检测相关信息，食品检验从业人员总体数量与承检任务要求相匹配。</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（3）投标检测机构检验从业人员职称结构良好。在农产品质量安全、农产品检验方法等专业方向具有专业人才。</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（4）投标检测机构检验人员应当持有检验人员上岗证，熟练掌握农产品质量安全法律法规，能按照国内现行有效的标准方法从事农产品检测工作。</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（5）投标检测机构具有专门从事抽样工作的人员，并经过培训考核，熟悉和掌握样品采集方法和相关技术要求。</w:t>
      </w:r>
    </w:p>
    <w:p>
      <w:pPr>
        <w:pStyle w:val="4"/>
        <w:shd w:val="clear" w:color="auto" w:fill="FFFFFF"/>
        <w:adjustRightInd w:val="0"/>
        <w:spacing w:before="0" w:beforeAutospacing="0" w:after="0" w:afterAutospacing="0" w:line="420" w:lineRule="exact"/>
        <w:ind w:firstLine="422" w:firstLineChars="200"/>
        <w:jc w:val="both"/>
        <w:rPr>
          <w:rFonts w:ascii="宋体" w:hAnsi="宋体" w:eastAsia="宋体" w:cs="宋体"/>
          <w:b/>
          <w:bCs/>
          <w:color w:val="333333"/>
          <w:sz w:val="21"/>
          <w:szCs w:val="21"/>
        </w:rPr>
      </w:pPr>
      <w:r>
        <w:rPr>
          <w:rFonts w:hint="eastAsia" w:ascii="宋体" w:hAnsi="宋体" w:eastAsia="宋体" w:cs="宋体"/>
          <w:b/>
          <w:bCs/>
          <w:color w:val="333333"/>
          <w:sz w:val="21"/>
          <w:szCs w:val="21"/>
        </w:rPr>
        <w:t>2.投标检测机构实验室环境设施和仪器设备要求</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（1）</w:t>
      </w:r>
      <w:r>
        <w:rPr>
          <w:rFonts w:hint="eastAsia" w:ascii="宋体" w:hAnsi="宋体" w:eastAsia="宋体" w:cs="宋体"/>
          <w:bCs/>
          <w:color w:val="333333"/>
          <w:sz w:val="21"/>
          <w:szCs w:val="21"/>
        </w:rPr>
        <w:t>投标检测机构</w:t>
      </w:r>
      <w:r>
        <w:rPr>
          <w:rFonts w:hint="eastAsia" w:ascii="宋体" w:hAnsi="宋体" w:eastAsia="宋体" w:cs="宋体"/>
          <w:color w:val="333333"/>
          <w:sz w:val="21"/>
          <w:szCs w:val="21"/>
        </w:rPr>
        <w:t>应具有满足承检任务需要的农产品检测实验室面积，以及样品贮存需要的样品常温以及冷藏冷冻库。</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（2）</w:t>
      </w:r>
      <w:r>
        <w:rPr>
          <w:rFonts w:hint="eastAsia" w:ascii="宋体" w:hAnsi="宋体" w:eastAsia="宋体" w:cs="宋体"/>
          <w:bCs/>
          <w:color w:val="333333"/>
          <w:sz w:val="21"/>
          <w:szCs w:val="21"/>
        </w:rPr>
        <w:t>投标检测机构</w:t>
      </w:r>
      <w:r>
        <w:rPr>
          <w:rFonts w:hint="eastAsia" w:ascii="宋体" w:hAnsi="宋体" w:eastAsia="宋体" w:cs="宋体"/>
          <w:color w:val="333333"/>
          <w:sz w:val="21"/>
          <w:szCs w:val="21"/>
        </w:rPr>
        <w:t>实验室环境设施应当符合国家实验室有关管理规定的要求。</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（3）</w:t>
      </w:r>
      <w:r>
        <w:rPr>
          <w:rFonts w:hint="eastAsia" w:ascii="宋体" w:hAnsi="宋体" w:eastAsia="宋体" w:cs="宋体"/>
          <w:bCs/>
          <w:color w:val="333333"/>
          <w:sz w:val="21"/>
          <w:szCs w:val="21"/>
        </w:rPr>
        <w:t>投标检测机构</w:t>
      </w:r>
      <w:r>
        <w:rPr>
          <w:rFonts w:hint="eastAsia" w:ascii="宋体" w:hAnsi="宋体" w:eastAsia="宋体" w:cs="宋体"/>
          <w:color w:val="333333"/>
          <w:sz w:val="21"/>
          <w:szCs w:val="21"/>
        </w:rPr>
        <w:t>实验室设置应当满足样品储存、处理、检验、数据处理、结果分析汇总等工作要求。</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（4）</w:t>
      </w:r>
      <w:r>
        <w:rPr>
          <w:rFonts w:hint="eastAsia" w:ascii="宋体" w:hAnsi="宋体" w:eastAsia="宋体" w:cs="宋体"/>
          <w:bCs/>
          <w:color w:val="333333"/>
          <w:sz w:val="21"/>
          <w:szCs w:val="21"/>
        </w:rPr>
        <w:t>投标检测机构</w:t>
      </w:r>
      <w:r>
        <w:rPr>
          <w:rFonts w:hint="eastAsia" w:ascii="宋体" w:hAnsi="宋体" w:eastAsia="宋体" w:cs="宋体"/>
          <w:color w:val="333333"/>
          <w:sz w:val="21"/>
          <w:szCs w:val="21"/>
        </w:rPr>
        <w:t>实验室具有固定并满足承检任务需要的仪器设备和标准物质。保证仪器设备运行良好，有完整的仪器设备档案。</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3.</w:t>
      </w:r>
      <w:r>
        <w:rPr>
          <w:rFonts w:hint="eastAsia" w:ascii="宋体" w:hAnsi="宋体" w:eastAsia="宋体" w:cs="宋体"/>
          <w:bCs/>
          <w:color w:val="333333"/>
          <w:sz w:val="21"/>
          <w:szCs w:val="21"/>
        </w:rPr>
        <w:t xml:space="preserve"> 投标检测机构</w:t>
      </w:r>
      <w:r>
        <w:rPr>
          <w:rFonts w:hint="eastAsia" w:ascii="宋体" w:hAnsi="宋体" w:eastAsia="宋体" w:cs="宋体"/>
          <w:color w:val="333333"/>
          <w:sz w:val="21"/>
          <w:szCs w:val="21"/>
        </w:rPr>
        <w:t>应具备配合采购人在安庆市辖区范围内应急处置的能力。</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需在突发事件发生时做出有效响应，防止和消除可能发生的农产品质量安全隐患。在应急情况下，成交检测机构一般应在不超过 4 小时内完成应急响应。具体的应急处理保障措施，应在应急处理方案中详细表述。能够按照规定的时限完成抽样、送样、检验、数据报送任务，并提供良好的检验检测相关服务。</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4.无条件接受安庆市农业农村局组织的检查和考核。</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5.成交检测机构在履约期间如被发现存在虚假行为，采购人有权利终止合同，并上报监管机构予以处理，由此带来的一切责任均由成交检测机构承担。</w:t>
      </w:r>
    </w:p>
    <w:p>
      <w:pPr>
        <w:pStyle w:val="3"/>
        <w:spacing w:beforeLines="20" w:afterLines="20" w:line="420" w:lineRule="exact"/>
        <w:ind w:firstLine="0" w:firstLineChars="0"/>
        <w:jc w:val="left"/>
        <w:rPr>
          <w:rFonts w:ascii="宋体" w:hAnsi="宋体" w:eastAsia="宋体" w:cs="宋体"/>
          <w:bCs/>
          <w:color w:val="333333"/>
          <w:kern w:val="2"/>
          <w:sz w:val="21"/>
          <w:szCs w:val="21"/>
        </w:rPr>
      </w:pPr>
    </w:p>
    <w:p>
      <w:pPr>
        <w:pStyle w:val="3"/>
        <w:spacing w:beforeLines="20" w:afterLines="20" w:line="420" w:lineRule="exact"/>
        <w:ind w:firstLine="0" w:firstLineChars="0"/>
        <w:jc w:val="left"/>
        <w:rPr>
          <w:rFonts w:ascii="宋体" w:hAnsi="宋体" w:eastAsia="宋体" w:cs="宋体"/>
          <w:bCs/>
          <w:color w:val="333333"/>
          <w:kern w:val="2"/>
          <w:sz w:val="21"/>
          <w:szCs w:val="21"/>
        </w:rPr>
      </w:pPr>
    </w:p>
    <w:p>
      <w:pPr>
        <w:pStyle w:val="3"/>
        <w:spacing w:beforeLines="20" w:afterLines="20" w:line="420" w:lineRule="exact"/>
        <w:ind w:firstLine="0" w:firstLineChars="0"/>
        <w:jc w:val="left"/>
        <w:rPr>
          <w:rFonts w:ascii="宋体" w:hAnsi="宋体" w:eastAsia="宋体" w:cs="宋体"/>
          <w:bCs/>
          <w:color w:val="333333"/>
          <w:kern w:val="2"/>
          <w:sz w:val="21"/>
          <w:szCs w:val="21"/>
        </w:rPr>
      </w:pPr>
    </w:p>
    <w:p>
      <w:pPr>
        <w:pStyle w:val="3"/>
        <w:spacing w:beforeLines="20" w:afterLines="20" w:line="420" w:lineRule="exact"/>
        <w:ind w:firstLine="0" w:firstLineChars="0"/>
        <w:jc w:val="left"/>
        <w:rPr>
          <w:rFonts w:ascii="宋体" w:hAnsi="宋体" w:eastAsia="宋体" w:cs="宋体"/>
          <w:bCs/>
          <w:color w:val="333333"/>
          <w:kern w:val="2"/>
          <w:sz w:val="21"/>
          <w:szCs w:val="21"/>
        </w:rPr>
      </w:pPr>
    </w:p>
    <w:p>
      <w:pPr>
        <w:pStyle w:val="3"/>
        <w:spacing w:beforeLines="20" w:afterLines="20" w:line="420" w:lineRule="exact"/>
        <w:ind w:firstLine="0" w:firstLineChars="0"/>
        <w:jc w:val="left"/>
        <w:rPr>
          <w:rFonts w:ascii="宋体" w:hAnsi="宋体" w:eastAsia="宋体" w:cs="宋体"/>
          <w:bCs/>
          <w:color w:val="333333"/>
          <w:kern w:val="2"/>
          <w:sz w:val="21"/>
          <w:szCs w:val="21"/>
        </w:rPr>
      </w:pPr>
    </w:p>
    <w:p>
      <w:pPr>
        <w:pStyle w:val="3"/>
        <w:spacing w:beforeLines="20" w:afterLines="20" w:line="420" w:lineRule="exact"/>
        <w:ind w:firstLine="0" w:firstLineChars="0"/>
        <w:jc w:val="left"/>
        <w:rPr>
          <w:rFonts w:ascii="宋体" w:hAnsi="宋体" w:eastAsia="宋体" w:cs="宋体"/>
          <w:bCs/>
          <w:color w:val="333333"/>
          <w:kern w:val="2"/>
          <w:sz w:val="21"/>
          <w:szCs w:val="21"/>
        </w:rPr>
      </w:pPr>
    </w:p>
    <w:p>
      <w:pPr>
        <w:pStyle w:val="3"/>
        <w:spacing w:beforeLines="20" w:afterLines="20" w:line="420" w:lineRule="exact"/>
        <w:ind w:firstLine="0" w:firstLineChars="0"/>
        <w:jc w:val="left"/>
        <w:rPr>
          <w:rFonts w:ascii="宋体" w:hAnsi="宋体" w:eastAsia="宋体" w:cs="宋体"/>
          <w:bCs/>
          <w:color w:val="333333"/>
          <w:kern w:val="2"/>
          <w:sz w:val="21"/>
          <w:szCs w:val="21"/>
        </w:rPr>
      </w:pPr>
    </w:p>
    <w:p>
      <w:pPr>
        <w:pStyle w:val="3"/>
        <w:spacing w:beforeLines="20" w:afterLines="20" w:line="420" w:lineRule="exact"/>
        <w:ind w:firstLine="0" w:firstLineChars="0"/>
        <w:jc w:val="left"/>
        <w:rPr>
          <w:rFonts w:ascii="宋体" w:hAnsi="宋体" w:eastAsia="宋体" w:cs="宋体"/>
          <w:bCs/>
          <w:color w:val="333333"/>
          <w:kern w:val="2"/>
          <w:sz w:val="21"/>
          <w:szCs w:val="21"/>
        </w:rPr>
      </w:pPr>
    </w:p>
    <w:p>
      <w:pPr>
        <w:pStyle w:val="3"/>
        <w:spacing w:beforeLines="20" w:afterLines="20" w:line="420" w:lineRule="exact"/>
        <w:ind w:firstLine="0" w:firstLineChars="0"/>
        <w:jc w:val="left"/>
        <w:rPr>
          <w:rFonts w:ascii="宋体" w:hAnsi="宋体" w:eastAsia="宋体" w:cs="宋体"/>
          <w:bCs/>
          <w:color w:val="333333"/>
          <w:kern w:val="2"/>
          <w:sz w:val="21"/>
          <w:szCs w:val="21"/>
        </w:rPr>
      </w:pPr>
    </w:p>
    <w:p>
      <w:pPr>
        <w:pStyle w:val="3"/>
        <w:spacing w:beforeLines="20" w:afterLines="20" w:line="420" w:lineRule="exact"/>
        <w:ind w:firstLine="0" w:firstLineChars="0"/>
        <w:jc w:val="left"/>
        <w:rPr>
          <w:rFonts w:ascii="宋体" w:hAnsi="宋体" w:eastAsia="宋体" w:cs="宋体"/>
          <w:bCs/>
          <w:color w:val="333333"/>
          <w:kern w:val="2"/>
          <w:sz w:val="21"/>
          <w:szCs w:val="21"/>
        </w:rPr>
      </w:pPr>
    </w:p>
    <w:p>
      <w:pPr>
        <w:pStyle w:val="3"/>
        <w:spacing w:beforeLines="20" w:afterLines="20" w:line="420" w:lineRule="exact"/>
        <w:ind w:firstLine="0" w:firstLineChars="0"/>
        <w:jc w:val="left"/>
        <w:rPr>
          <w:rFonts w:ascii="宋体" w:hAnsi="宋体" w:eastAsia="宋体" w:cs="宋体"/>
          <w:bCs/>
          <w:color w:val="333333"/>
          <w:kern w:val="2"/>
          <w:sz w:val="21"/>
          <w:szCs w:val="21"/>
        </w:rPr>
      </w:pPr>
    </w:p>
    <w:p>
      <w:pPr>
        <w:pStyle w:val="3"/>
        <w:spacing w:beforeLines="20" w:afterLines="20" w:line="420" w:lineRule="exact"/>
        <w:ind w:firstLine="0" w:firstLineChars="0"/>
        <w:jc w:val="left"/>
        <w:rPr>
          <w:rFonts w:ascii="宋体" w:hAnsi="宋体" w:eastAsia="宋体" w:cs="宋体"/>
          <w:bCs/>
          <w:color w:val="333333"/>
          <w:kern w:val="2"/>
          <w:sz w:val="21"/>
          <w:szCs w:val="21"/>
        </w:rPr>
      </w:pPr>
    </w:p>
    <w:p>
      <w:pPr>
        <w:pStyle w:val="3"/>
        <w:spacing w:beforeLines="20" w:afterLines="20" w:line="420" w:lineRule="exact"/>
        <w:ind w:firstLine="0" w:firstLineChars="0"/>
        <w:jc w:val="left"/>
        <w:rPr>
          <w:rFonts w:ascii="宋体" w:hAnsi="宋体" w:eastAsia="宋体" w:cs="宋体"/>
          <w:bCs/>
          <w:color w:val="333333"/>
          <w:kern w:val="2"/>
          <w:sz w:val="21"/>
          <w:szCs w:val="21"/>
        </w:rPr>
      </w:pPr>
    </w:p>
    <w:p>
      <w:pPr>
        <w:pStyle w:val="3"/>
        <w:spacing w:beforeLines="20" w:afterLines="20" w:line="420" w:lineRule="exact"/>
        <w:ind w:firstLine="0" w:firstLineChars="0"/>
        <w:jc w:val="left"/>
        <w:rPr>
          <w:rFonts w:ascii="宋体" w:hAnsi="宋体" w:eastAsia="宋体" w:cs="宋体"/>
          <w:bCs/>
          <w:color w:val="333333"/>
          <w:kern w:val="2"/>
          <w:sz w:val="21"/>
          <w:szCs w:val="21"/>
        </w:rPr>
      </w:pPr>
    </w:p>
    <w:p>
      <w:pPr>
        <w:pStyle w:val="3"/>
        <w:spacing w:beforeLines="20" w:afterLines="20" w:line="420" w:lineRule="exact"/>
        <w:ind w:firstLine="0" w:firstLineChars="0"/>
        <w:jc w:val="left"/>
        <w:rPr>
          <w:rFonts w:ascii="宋体" w:hAnsi="宋体" w:eastAsia="宋体" w:cs="宋体"/>
          <w:bCs/>
          <w:color w:val="333333"/>
          <w:kern w:val="2"/>
          <w:sz w:val="21"/>
          <w:szCs w:val="21"/>
        </w:rPr>
      </w:pPr>
    </w:p>
    <w:p>
      <w:pPr>
        <w:rPr>
          <w:rFonts w:ascii="宋体" w:hAnsi="宋体" w:cs="宋体"/>
          <w:b/>
          <w:bCs/>
          <w:color w:val="333333"/>
          <w:szCs w:val="21"/>
        </w:rPr>
      </w:pPr>
    </w:p>
    <w:p>
      <w:pPr>
        <w:pStyle w:val="2"/>
        <w:rPr>
          <w:rFonts w:ascii="宋体" w:hAnsi="宋体" w:cs="宋体"/>
          <w:b/>
          <w:bCs/>
          <w:color w:val="333333"/>
          <w:szCs w:val="21"/>
        </w:rPr>
      </w:pPr>
    </w:p>
    <w:p>
      <w:pPr>
        <w:rPr>
          <w:rFonts w:ascii="宋体" w:hAnsi="宋体" w:cs="宋体"/>
          <w:b/>
          <w:bCs/>
          <w:color w:val="333333"/>
          <w:szCs w:val="21"/>
        </w:rPr>
      </w:pPr>
    </w:p>
    <w:p>
      <w:pPr>
        <w:pStyle w:val="2"/>
        <w:rPr>
          <w:rFonts w:ascii="宋体" w:hAnsi="宋体" w:cs="宋体"/>
          <w:b/>
          <w:bCs/>
          <w:color w:val="333333"/>
          <w:szCs w:val="21"/>
        </w:rPr>
      </w:pPr>
    </w:p>
    <w:p>
      <w:pPr>
        <w:rPr>
          <w:rFonts w:ascii="宋体" w:hAnsi="宋体" w:cs="宋体"/>
          <w:b/>
          <w:bCs/>
          <w:color w:val="333333"/>
          <w:szCs w:val="21"/>
        </w:rPr>
      </w:pPr>
    </w:p>
    <w:p>
      <w:pPr>
        <w:pStyle w:val="2"/>
        <w:rPr>
          <w:rFonts w:ascii="宋体" w:hAnsi="宋体" w:cs="宋体"/>
          <w:b/>
          <w:bCs/>
          <w:color w:val="333333"/>
          <w:szCs w:val="21"/>
        </w:rPr>
      </w:pPr>
    </w:p>
    <w:p>
      <w:pPr>
        <w:rPr>
          <w:rFonts w:ascii="宋体" w:hAnsi="宋体" w:cs="宋体"/>
          <w:b/>
          <w:bCs/>
          <w:color w:val="333333"/>
          <w:szCs w:val="21"/>
        </w:rPr>
      </w:pPr>
    </w:p>
    <w:p>
      <w:pPr>
        <w:pStyle w:val="2"/>
        <w:rPr>
          <w:rFonts w:ascii="宋体" w:hAnsi="宋体" w:cs="宋体"/>
          <w:b/>
          <w:bCs/>
          <w:color w:val="333333"/>
          <w:szCs w:val="21"/>
        </w:rPr>
      </w:pPr>
    </w:p>
    <w:p>
      <w:pPr>
        <w:rPr>
          <w:rFonts w:ascii="宋体" w:hAnsi="宋体" w:cs="宋体"/>
          <w:b/>
          <w:bCs/>
          <w:color w:val="333333"/>
          <w:szCs w:val="21"/>
        </w:rPr>
      </w:pPr>
    </w:p>
    <w:p>
      <w:pPr>
        <w:pStyle w:val="2"/>
        <w:rPr>
          <w:rFonts w:ascii="宋体" w:hAnsi="宋体" w:cs="宋体"/>
          <w:b/>
          <w:bCs/>
          <w:color w:val="333333"/>
          <w:szCs w:val="21"/>
        </w:rPr>
      </w:pPr>
    </w:p>
    <w:p>
      <w:pPr>
        <w:rPr>
          <w:rFonts w:ascii="宋体" w:hAnsi="宋体" w:cs="宋体"/>
          <w:b/>
          <w:bCs/>
          <w:color w:val="333333"/>
          <w:szCs w:val="21"/>
        </w:rPr>
      </w:pPr>
    </w:p>
    <w:p>
      <w:pPr>
        <w:pStyle w:val="2"/>
        <w:rPr>
          <w:rFonts w:ascii="宋体" w:hAnsi="宋体" w:cs="宋体"/>
          <w:b/>
          <w:bCs/>
          <w:color w:val="333333"/>
          <w:szCs w:val="21"/>
        </w:rPr>
      </w:pPr>
    </w:p>
    <w:p>
      <w:pPr>
        <w:rPr>
          <w:rFonts w:ascii="宋体" w:hAnsi="宋体" w:cs="宋体"/>
          <w:b/>
          <w:bCs/>
          <w:color w:val="333333"/>
          <w:szCs w:val="21"/>
        </w:rPr>
      </w:pPr>
    </w:p>
    <w:p>
      <w:pPr>
        <w:pStyle w:val="2"/>
        <w:rPr>
          <w:rFonts w:ascii="宋体" w:hAnsi="宋体" w:cs="宋体"/>
          <w:b/>
          <w:bCs/>
          <w:color w:val="333333"/>
          <w:szCs w:val="21"/>
        </w:rPr>
      </w:pPr>
    </w:p>
    <w:p/>
    <w:p>
      <w:pPr>
        <w:pStyle w:val="3"/>
        <w:spacing w:beforeLines="20" w:afterLines="20" w:line="420" w:lineRule="exact"/>
        <w:ind w:firstLine="0" w:firstLineChars="0"/>
        <w:jc w:val="left"/>
        <w:rPr>
          <w:rFonts w:ascii="宋体" w:hAnsi="宋体" w:eastAsia="宋体" w:cs="宋体"/>
          <w:kern w:val="2"/>
          <w:sz w:val="32"/>
          <w:szCs w:val="32"/>
          <w:lang w:val="zh-CN"/>
        </w:rPr>
      </w:pPr>
      <w:r>
        <w:rPr>
          <w:rFonts w:hint="eastAsia" w:ascii="宋体" w:hAnsi="宋体" w:eastAsia="宋体" w:cs="宋体"/>
          <w:bCs/>
          <w:color w:val="333333"/>
          <w:kern w:val="2"/>
          <w:sz w:val="21"/>
          <w:szCs w:val="21"/>
        </w:rPr>
        <w:t>附件二：</w:t>
      </w:r>
    </w:p>
    <w:p>
      <w:pPr>
        <w:pStyle w:val="3"/>
        <w:spacing w:beforeLines="20" w:afterLines="20" w:line="420" w:lineRule="exact"/>
        <w:ind w:firstLine="0" w:firstLineChars="0"/>
        <w:jc w:val="center"/>
        <w:rPr>
          <w:lang w:val="zh-CN"/>
        </w:rPr>
      </w:pPr>
      <w:r>
        <w:rPr>
          <w:rFonts w:hint="eastAsia" w:ascii="宋体" w:hAnsi="宋体" w:eastAsia="宋体" w:cs="宋体"/>
          <w:bCs/>
          <w:color w:val="333333"/>
          <w:kern w:val="2"/>
          <w:sz w:val="24"/>
          <w:szCs w:val="24"/>
          <w:lang w:val="zh-CN"/>
        </w:rPr>
        <w:t>第二项  市级例行监测需求及技术要求</w:t>
      </w:r>
    </w:p>
    <w:p>
      <w:pPr>
        <w:spacing w:line="420" w:lineRule="exact"/>
        <w:ind w:firstLine="420" w:firstLineChars="200"/>
        <w:jc w:val="left"/>
        <w:rPr>
          <w:rFonts w:ascii="宋体" w:hAnsi="宋体" w:cs="宋体"/>
          <w:color w:val="333333"/>
          <w:kern w:val="0"/>
          <w:szCs w:val="21"/>
        </w:rPr>
      </w:pPr>
      <w:r>
        <w:rPr>
          <w:rFonts w:hint="eastAsia" w:ascii="宋体" w:hAnsi="宋体" w:cs="宋体"/>
          <w:color w:val="333333"/>
          <w:szCs w:val="21"/>
        </w:rPr>
        <w:t>根据《</w:t>
      </w:r>
      <w:r>
        <w:rPr>
          <w:rFonts w:hint="eastAsia" w:ascii="宋体" w:hAnsi="宋体" w:cs="宋体"/>
          <w:color w:val="333333"/>
          <w:kern w:val="0"/>
          <w:szCs w:val="21"/>
        </w:rPr>
        <w:t>安庆市农业农村局关于做好2022年农产品质量安全市级例行监测（风险监测）工作的通知</w:t>
      </w:r>
      <w:r>
        <w:rPr>
          <w:rFonts w:hint="eastAsia" w:ascii="宋体" w:hAnsi="宋体" w:cs="宋体"/>
          <w:color w:val="333333"/>
          <w:szCs w:val="21"/>
        </w:rPr>
        <w:t>》（庆农办[2022]13号）文件要求，在全市范围内开展</w:t>
      </w:r>
      <w:r>
        <w:rPr>
          <w:rFonts w:hint="eastAsia" w:ascii="宋体" w:hAnsi="宋体" w:cs="宋体"/>
          <w:color w:val="333333"/>
          <w:kern w:val="0"/>
          <w:szCs w:val="21"/>
        </w:rPr>
        <w:t>农产品质量安全例行监测（风险监测）工作。</w:t>
      </w:r>
    </w:p>
    <w:p>
      <w:pPr>
        <w:pStyle w:val="4"/>
        <w:shd w:val="clear" w:color="auto" w:fill="FFFFFF"/>
        <w:spacing w:before="0" w:beforeAutospacing="0" w:after="0" w:afterAutospacing="0" w:line="420" w:lineRule="exact"/>
        <w:ind w:firstLine="422" w:firstLineChars="200"/>
        <w:jc w:val="both"/>
        <w:rPr>
          <w:rFonts w:ascii="宋体" w:hAnsi="宋体" w:eastAsia="宋体" w:cs="宋体"/>
          <w:b/>
          <w:color w:val="333333"/>
          <w:sz w:val="21"/>
          <w:szCs w:val="21"/>
        </w:rPr>
      </w:pPr>
      <w:r>
        <w:rPr>
          <w:rFonts w:hint="eastAsia" w:ascii="宋体" w:hAnsi="宋体" w:eastAsia="宋体" w:cs="宋体"/>
          <w:b/>
          <w:color w:val="333333"/>
          <w:sz w:val="21"/>
          <w:szCs w:val="21"/>
        </w:rPr>
        <w:t>一、市级例行监测具体要求</w:t>
      </w:r>
    </w:p>
    <w:p>
      <w:pPr>
        <w:pStyle w:val="4"/>
        <w:shd w:val="clear" w:color="auto" w:fill="FFFFFF"/>
        <w:spacing w:before="0" w:beforeAutospacing="0" w:after="0" w:afterAutospacing="0" w:line="420" w:lineRule="exact"/>
        <w:ind w:firstLine="422" w:firstLineChars="200"/>
        <w:jc w:val="both"/>
        <w:rPr>
          <w:rFonts w:ascii="宋体" w:hAnsi="宋体" w:eastAsia="宋体" w:cs="宋体"/>
          <w:b/>
          <w:color w:val="333333"/>
          <w:sz w:val="21"/>
          <w:szCs w:val="21"/>
        </w:rPr>
      </w:pPr>
      <w:r>
        <w:rPr>
          <w:rFonts w:hint="eastAsia" w:ascii="宋体" w:hAnsi="宋体" w:eastAsia="宋体" w:cs="宋体"/>
          <w:b/>
          <w:color w:val="333333"/>
          <w:sz w:val="21"/>
          <w:szCs w:val="21"/>
        </w:rPr>
        <w:t>(一)工作内容</w:t>
      </w:r>
    </w:p>
    <w:p>
      <w:pPr>
        <w:adjustRightInd w:val="0"/>
        <w:snapToGrid w:val="0"/>
        <w:spacing w:line="420" w:lineRule="exact"/>
        <w:ind w:firstLine="420" w:firstLineChars="200"/>
        <w:rPr>
          <w:rFonts w:ascii="宋体" w:hAnsi="宋体" w:cs="宋体"/>
          <w:color w:val="333333"/>
          <w:szCs w:val="21"/>
        </w:rPr>
      </w:pPr>
      <w:r>
        <w:rPr>
          <w:rFonts w:hint="eastAsia" w:ascii="宋体" w:hAnsi="宋体" w:cs="宋体"/>
          <w:color w:val="333333"/>
          <w:szCs w:val="21"/>
        </w:rPr>
        <w:t>2022年安庆市农产品质量安全例行监测（风险监测）共抽检农产品220批次（其中种植业160批次、畜禽40产品批次、水产品20批次），分四次进行。</w:t>
      </w:r>
    </w:p>
    <w:p>
      <w:pPr>
        <w:pStyle w:val="4"/>
        <w:shd w:val="clear" w:color="auto" w:fill="FFFFFF"/>
        <w:spacing w:before="0" w:beforeAutospacing="0" w:after="0" w:afterAutospacing="0" w:line="420" w:lineRule="exact"/>
        <w:ind w:firstLine="422" w:firstLineChars="200"/>
        <w:jc w:val="both"/>
        <w:rPr>
          <w:rFonts w:ascii="宋体" w:hAnsi="宋体" w:eastAsia="宋体" w:cs="宋体"/>
          <w:b/>
          <w:color w:val="333333"/>
          <w:sz w:val="21"/>
          <w:szCs w:val="21"/>
        </w:rPr>
      </w:pPr>
      <w:r>
        <w:rPr>
          <w:rFonts w:hint="eastAsia" w:ascii="宋体" w:hAnsi="宋体" w:eastAsia="宋体" w:cs="宋体"/>
          <w:b/>
          <w:color w:val="333333"/>
          <w:sz w:val="21"/>
          <w:szCs w:val="21"/>
        </w:rPr>
        <w:t>（二）工作要求</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1.时间要求：自合同签订之日起至2022年12月10日前完成所有样品检测工作出具检测报告及监测报告。</w:t>
      </w:r>
    </w:p>
    <w:p>
      <w:pPr>
        <w:pStyle w:val="4"/>
        <w:shd w:val="clear" w:color="auto" w:fill="FFFFFF"/>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2.监测项目和检测依据</w:t>
      </w:r>
    </w:p>
    <w:p>
      <w:pPr>
        <w:adjustRightInd w:val="0"/>
        <w:snapToGrid w:val="0"/>
        <w:spacing w:line="420" w:lineRule="exact"/>
        <w:ind w:firstLine="420" w:firstLineChars="200"/>
        <w:rPr>
          <w:rFonts w:ascii="宋体" w:hAnsi="宋体" w:cs="宋体"/>
          <w:color w:val="333333"/>
          <w:kern w:val="0"/>
          <w:szCs w:val="21"/>
        </w:rPr>
      </w:pPr>
      <w:r>
        <w:rPr>
          <w:rFonts w:hint="eastAsia" w:ascii="宋体" w:hAnsi="宋体" w:cs="宋体"/>
          <w:color w:val="333333"/>
          <w:kern w:val="0"/>
          <w:szCs w:val="21"/>
        </w:rPr>
        <w:t>（1）蔬菜产品</w:t>
      </w:r>
    </w:p>
    <w:tbl>
      <w:tblPr>
        <w:tblStyle w:val="5"/>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5969"/>
        <w:gridCol w:w="255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64" w:hRule="atLeast"/>
          <w:tblHeader/>
          <w:jc w:val="center"/>
        </w:trPr>
        <w:tc>
          <w:tcPr>
            <w:tcW w:w="3502" w:type="pct"/>
            <w:vAlign w:val="center"/>
          </w:tcPr>
          <w:p>
            <w:pPr>
              <w:adjustRightInd w:val="0"/>
              <w:snapToGrid w:val="0"/>
              <w:spacing w:line="420" w:lineRule="exact"/>
              <w:jc w:val="center"/>
              <w:rPr>
                <w:rFonts w:ascii="宋体" w:hAnsi="宋体" w:cs="宋体"/>
                <w:b/>
                <w:bCs/>
                <w:snapToGrid w:val="0"/>
                <w:kern w:val="0"/>
                <w:szCs w:val="21"/>
              </w:rPr>
            </w:pPr>
            <w:r>
              <w:rPr>
                <w:rFonts w:hint="eastAsia" w:ascii="宋体" w:hAnsi="宋体" w:cs="宋体"/>
                <w:b/>
                <w:bCs/>
                <w:snapToGrid w:val="0"/>
                <w:kern w:val="0"/>
                <w:szCs w:val="21"/>
              </w:rPr>
              <w:t>监  测  项  目</w:t>
            </w:r>
          </w:p>
        </w:tc>
        <w:tc>
          <w:tcPr>
            <w:tcW w:w="1498" w:type="pct"/>
            <w:vAlign w:val="center"/>
          </w:tcPr>
          <w:p>
            <w:pPr>
              <w:adjustRightInd w:val="0"/>
              <w:snapToGrid w:val="0"/>
              <w:spacing w:line="420" w:lineRule="exact"/>
              <w:jc w:val="center"/>
              <w:rPr>
                <w:rFonts w:ascii="宋体" w:hAnsi="宋体" w:cs="宋体"/>
                <w:b/>
                <w:bCs/>
                <w:snapToGrid w:val="0"/>
                <w:kern w:val="0"/>
                <w:szCs w:val="21"/>
              </w:rPr>
            </w:pPr>
            <w:r>
              <w:rPr>
                <w:rFonts w:hint="eastAsia" w:ascii="宋体" w:hAnsi="宋体" w:cs="宋体"/>
                <w:b/>
                <w:bCs/>
                <w:snapToGrid w:val="0"/>
                <w:kern w:val="0"/>
                <w:szCs w:val="21"/>
              </w:rPr>
              <w:t>检测依据</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134" w:hRule="atLeast"/>
          <w:jc w:val="center"/>
        </w:trPr>
        <w:tc>
          <w:tcPr>
            <w:tcW w:w="3502" w:type="pct"/>
            <w:vAlign w:val="center"/>
          </w:tcPr>
          <w:p>
            <w:pPr>
              <w:adjustRightInd w:val="0"/>
              <w:snapToGrid w:val="0"/>
              <w:spacing w:line="420" w:lineRule="exact"/>
              <w:rPr>
                <w:rFonts w:ascii="宋体" w:hAnsi="宋体" w:cs="宋体"/>
                <w:snapToGrid w:val="0"/>
                <w:kern w:val="0"/>
                <w:szCs w:val="21"/>
              </w:rPr>
            </w:pPr>
            <w:r>
              <w:rPr>
                <w:rFonts w:hint="eastAsia" w:ascii="宋体" w:hAnsi="宋体" w:cs="宋体"/>
                <w:snapToGrid w:val="0"/>
                <w:kern w:val="0"/>
                <w:szCs w:val="21"/>
              </w:rPr>
              <w:t>甲胺磷、对硫磷、甲基对硫磷、六六六（α－六六六、β－六六六、γ－六六六、δ－六六六）、久效磷、特丁硫磷（含特丁硫磷砜和特丁硫磷亚砜）、灭线磷、甲拌磷（含甲拌磷砜、甲拌磷亚砜）、氧乐果、水胺硫磷、甲基异柳磷、克百威（含3－羟基克百威）、涕灭威（含涕灭威砜、涕灭威亚砜）、毒死蜱、三唑磷、乐果、乙酰甲胺磷、灭多威、氰戊菊酯、敌敌畏、丙溴磷、杀螟硫磷、二嗪磷、马拉硫磷、亚胺硫磷、辛硫磷、氯氰菊酯、甲氰菊酯、氯氟氰菊酯、氟氯氰菊酯、溴氰菊酯、联苯菊酯、氟氰戊菊酯、三唑酮、百菌清、异菌脲、甲萘威、三氯杀螨醇、腐霉利、五氯硝基苯、乙烯菌核利、多菌灵、吡虫啉</w:t>
            </w:r>
          </w:p>
        </w:tc>
        <w:tc>
          <w:tcPr>
            <w:tcW w:w="1498" w:type="pct"/>
            <w:vAlign w:val="center"/>
          </w:tcPr>
          <w:p>
            <w:pPr>
              <w:adjustRightInd w:val="0"/>
              <w:snapToGrid w:val="0"/>
              <w:spacing w:line="420" w:lineRule="exact"/>
              <w:jc w:val="left"/>
              <w:rPr>
                <w:rFonts w:ascii="宋体" w:hAnsi="宋体" w:cs="宋体"/>
                <w:snapToGrid w:val="0"/>
                <w:kern w:val="0"/>
                <w:szCs w:val="21"/>
              </w:rPr>
            </w:pPr>
            <w:r>
              <w:rPr>
                <w:rFonts w:hint="eastAsia" w:ascii="宋体" w:hAnsi="宋体" w:cs="宋体"/>
                <w:snapToGrid w:val="0"/>
                <w:kern w:val="0"/>
                <w:szCs w:val="21"/>
              </w:rPr>
              <w:t>NY/T 761—2008或</w:t>
            </w:r>
          </w:p>
          <w:p>
            <w:pPr>
              <w:adjustRightInd w:val="0"/>
              <w:snapToGrid w:val="0"/>
              <w:spacing w:line="420" w:lineRule="exact"/>
              <w:jc w:val="left"/>
              <w:rPr>
                <w:rFonts w:ascii="宋体" w:hAnsi="宋体" w:cs="宋体"/>
                <w:snapToGrid w:val="0"/>
                <w:kern w:val="0"/>
                <w:szCs w:val="21"/>
              </w:rPr>
            </w:pPr>
            <w:r>
              <w:rPr>
                <w:rFonts w:hint="eastAsia" w:ascii="宋体" w:hAnsi="宋体" w:cs="宋体"/>
                <w:snapToGrid w:val="0"/>
                <w:kern w:val="0"/>
                <w:szCs w:val="21"/>
              </w:rPr>
              <w:t>GB 23200.8—2016或</w:t>
            </w:r>
          </w:p>
          <w:p>
            <w:pPr>
              <w:adjustRightInd w:val="0"/>
              <w:snapToGrid w:val="0"/>
              <w:spacing w:line="420" w:lineRule="exact"/>
              <w:jc w:val="left"/>
              <w:rPr>
                <w:rFonts w:ascii="宋体" w:hAnsi="宋体" w:cs="宋体"/>
                <w:snapToGrid w:val="0"/>
                <w:kern w:val="0"/>
                <w:szCs w:val="21"/>
              </w:rPr>
            </w:pPr>
            <w:r>
              <w:rPr>
                <w:rFonts w:hint="eastAsia" w:ascii="宋体" w:hAnsi="宋体" w:cs="宋体"/>
                <w:snapToGrid w:val="0"/>
                <w:kern w:val="0"/>
                <w:szCs w:val="21"/>
              </w:rPr>
              <w:t>GB 23200.113—2018或</w:t>
            </w:r>
          </w:p>
          <w:p>
            <w:pPr>
              <w:adjustRightInd w:val="0"/>
              <w:snapToGrid w:val="0"/>
              <w:spacing w:line="420" w:lineRule="exact"/>
              <w:jc w:val="left"/>
              <w:rPr>
                <w:rFonts w:ascii="宋体" w:hAnsi="宋体" w:cs="宋体"/>
                <w:snapToGrid w:val="0"/>
                <w:kern w:val="0"/>
                <w:szCs w:val="21"/>
              </w:rPr>
            </w:pPr>
            <w:r>
              <w:rPr>
                <w:rFonts w:hint="eastAsia" w:ascii="宋体" w:hAnsi="宋体" w:cs="宋体"/>
                <w:snapToGrid w:val="0"/>
                <w:kern w:val="0"/>
                <w:szCs w:val="21"/>
              </w:rPr>
              <w:t>GB/T 20769—2008或</w:t>
            </w:r>
          </w:p>
          <w:p>
            <w:pPr>
              <w:adjustRightInd w:val="0"/>
              <w:snapToGrid w:val="0"/>
              <w:spacing w:line="420" w:lineRule="exact"/>
              <w:jc w:val="left"/>
              <w:rPr>
                <w:rFonts w:ascii="宋体" w:hAnsi="宋体" w:cs="宋体"/>
                <w:bCs/>
                <w:snapToGrid w:val="0"/>
                <w:kern w:val="0"/>
                <w:szCs w:val="21"/>
              </w:rPr>
            </w:pPr>
            <w:r>
              <w:rPr>
                <w:rFonts w:hint="eastAsia" w:ascii="宋体" w:hAnsi="宋体" w:cs="宋体"/>
                <w:snapToGrid w:val="0"/>
                <w:kern w:val="0"/>
                <w:szCs w:val="21"/>
              </w:rPr>
              <w:t>GB 23200.121—2021</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134" w:hRule="atLeast"/>
          <w:jc w:val="center"/>
        </w:trPr>
        <w:tc>
          <w:tcPr>
            <w:tcW w:w="3502" w:type="pct"/>
            <w:vAlign w:val="center"/>
          </w:tcPr>
          <w:p>
            <w:pPr>
              <w:adjustRightInd w:val="0"/>
              <w:snapToGrid w:val="0"/>
              <w:spacing w:line="420" w:lineRule="exact"/>
              <w:rPr>
                <w:rFonts w:ascii="宋体" w:hAnsi="宋体" w:cs="宋体"/>
                <w:snapToGrid w:val="0"/>
                <w:kern w:val="0"/>
                <w:szCs w:val="21"/>
              </w:rPr>
            </w:pPr>
            <w:r>
              <w:rPr>
                <w:rFonts w:hint="eastAsia" w:ascii="宋体" w:hAnsi="宋体" w:cs="宋体"/>
                <w:snapToGrid w:val="0"/>
                <w:kern w:val="0"/>
                <w:szCs w:val="21"/>
              </w:rPr>
              <w:t>啶虫脒、哒螨灵、嘧霉胺、烯酰吗啉、咪鲜胺、嘧菌酯、噻虫嗪、灭幼脲、氟虫腈（含氟甲腈、氟虫腈硫醚、氟虫腈砜）、苯醚甲环唑、甲氨基阿维菌素苯甲酸盐（简称甲维盐）</w:t>
            </w:r>
          </w:p>
        </w:tc>
        <w:tc>
          <w:tcPr>
            <w:tcW w:w="1498" w:type="pct"/>
            <w:vAlign w:val="center"/>
          </w:tcPr>
          <w:p>
            <w:pPr>
              <w:adjustRightInd w:val="0"/>
              <w:snapToGrid w:val="0"/>
              <w:spacing w:line="420" w:lineRule="exact"/>
              <w:jc w:val="left"/>
              <w:rPr>
                <w:rFonts w:ascii="宋体" w:hAnsi="宋体" w:cs="宋体"/>
                <w:snapToGrid w:val="0"/>
                <w:kern w:val="0"/>
                <w:szCs w:val="21"/>
              </w:rPr>
            </w:pPr>
            <w:r>
              <w:rPr>
                <w:rFonts w:hint="eastAsia" w:ascii="宋体" w:hAnsi="宋体" w:cs="宋体"/>
                <w:snapToGrid w:val="0"/>
                <w:kern w:val="0"/>
                <w:szCs w:val="21"/>
              </w:rPr>
              <w:t>GB 23200.8—2016或</w:t>
            </w:r>
          </w:p>
          <w:p>
            <w:pPr>
              <w:adjustRightInd w:val="0"/>
              <w:snapToGrid w:val="0"/>
              <w:spacing w:line="420" w:lineRule="exact"/>
              <w:jc w:val="left"/>
              <w:rPr>
                <w:rFonts w:ascii="宋体" w:hAnsi="宋体" w:cs="宋体"/>
                <w:snapToGrid w:val="0"/>
                <w:kern w:val="0"/>
                <w:szCs w:val="21"/>
              </w:rPr>
            </w:pPr>
            <w:r>
              <w:rPr>
                <w:rFonts w:hint="eastAsia" w:ascii="宋体" w:hAnsi="宋体" w:cs="宋体"/>
                <w:snapToGrid w:val="0"/>
                <w:kern w:val="0"/>
                <w:szCs w:val="21"/>
              </w:rPr>
              <w:t>GB 23200.113—2018或</w:t>
            </w:r>
          </w:p>
          <w:p>
            <w:pPr>
              <w:adjustRightInd w:val="0"/>
              <w:snapToGrid w:val="0"/>
              <w:spacing w:line="420" w:lineRule="exact"/>
              <w:jc w:val="left"/>
              <w:rPr>
                <w:rFonts w:ascii="宋体" w:hAnsi="宋体" w:cs="宋体"/>
                <w:snapToGrid w:val="0"/>
                <w:kern w:val="0"/>
                <w:szCs w:val="21"/>
              </w:rPr>
            </w:pPr>
            <w:r>
              <w:rPr>
                <w:rFonts w:hint="eastAsia" w:ascii="宋体" w:hAnsi="宋体" w:cs="宋体"/>
                <w:snapToGrid w:val="0"/>
                <w:kern w:val="0"/>
                <w:szCs w:val="21"/>
              </w:rPr>
              <w:t>GB/T 20769—2008或</w:t>
            </w:r>
          </w:p>
          <w:p>
            <w:pPr>
              <w:adjustRightInd w:val="0"/>
              <w:snapToGrid w:val="0"/>
              <w:spacing w:line="420" w:lineRule="exact"/>
              <w:jc w:val="left"/>
              <w:rPr>
                <w:rFonts w:ascii="宋体" w:hAnsi="宋体" w:cs="宋体"/>
                <w:snapToGrid w:val="0"/>
                <w:kern w:val="0"/>
                <w:szCs w:val="21"/>
              </w:rPr>
            </w:pPr>
            <w:r>
              <w:rPr>
                <w:rFonts w:hint="eastAsia" w:ascii="宋体" w:hAnsi="宋体" w:cs="宋体"/>
                <w:snapToGrid w:val="0"/>
                <w:kern w:val="0"/>
                <w:szCs w:val="21"/>
              </w:rPr>
              <w:t>GB 23200.121—2021</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134" w:hRule="atLeast"/>
          <w:jc w:val="center"/>
        </w:trPr>
        <w:tc>
          <w:tcPr>
            <w:tcW w:w="3502" w:type="pct"/>
            <w:vAlign w:val="center"/>
          </w:tcPr>
          <w:p>
            <w:pPr>
              <w:adjustRightInd w:val="0"/>
              <w:snapToGrid w:val="0"/>
              <w:spacing w:line="420" w:lineRule="exact"/>
              <w:rPr>
                <w:rFonts w:ascii="宋体" w:hAnsi="宋体" w:cs="宋体"/>
                <w:snapToGrid w:val="0"/>
                <w:kern w:val="0"/>
                <w:szCs w:val="21"/>
              </w:rPr>
            </w:pPr>
            <w:r>
              <w:rPr>
                <w:rFonts w:hint="eastAsia" w:ascii="宋体" w:hAnsi="宋体" w:cs="宋体"/>
                <w:snapToGrid w:val="0"/>
                <w:kern w:val="0"/>
                <w:szCs w:val="21"/>
              </w:rPr>
              <w:t>阿维菌素</w:t>
            </w:r>
          </w:p>
        </w:tc>
        <w:tc>
          <w:tcPr>
            <w:tcW w:w="1498" w:type="pct"/>
            <w:vAlign w:val="center"/>
          </w:tcPr>
          <w:p>
            <w:pPr>
              <w:adjustRightInd w:val="0"/>
              <w:snapToGrid w:val="0"/>
              <w:spacing w:line="420" w:lineRule="exact"/>
              <w:jc w:val="left"/>
              <w:rPr>
                <w:rFonts w:ascii="宋体" w:hAnsi="宋体" w:cs="宋体"/>
                <w:snapToGrid w:val="0"/>
                <w:kern w:val="0"/>
                <w:szCs w:val="21"/>
              </w:rPr>
            </w:pPr>
            <w:r>
              <w:rPr>
                <w:rFonts w:hint="eastAsia" w:ascii="宋体" w:hAnsi="宋体" w:cs="宋体"/>
                <w:snapToGrid w:val="0"/>
                <w:kern w:val="0"/>
                <w:szCs w:val="21"/>
              </w:rPr>
              <w:t>GB 23200.19或</w:t>
            </w:r>
          </w:p>
          <w:p>
            <w:pPr>
              <w:adjustRightInd w:val="0"/>
              <w:snapToGrid w:val="0"/>
              <w:spacing w:line="420" w:lineRule="exact"/>
              <w:jc w:val="left"/>
              <w:rPr>
                <w:rFonts w:ascii="宋体" w:hAnsi="宋体" w:cs="宋体"/>
                <w:snapToGrid w:val="0"/>
                <w:kern w:val="0"/>
                <w:szCs w:val="21"/>
              </w:rPr>
            </w:pPr>
            <w:r>
              <w:rPr>
                <w:rFonts w:hint="eastAsia" w:ascii="宋体" w:hAnsi="宋体" w:cs="宋体"/>
                <w:snapToGrid w:val="0"/>
                <w:kern w:val="0"/>
                <w:szCs w:val="21"/>
              </w:rPr>
              <w:t>GB 23200.121—2021</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134" w:hRule="atLeast"/>
          <w:jc w:val="center"/>
        </w:trPr>
        <w:tc>
          <w:tcPr>
            <w:tcW w:w="3502" w:type="pct"/>
            <w:vAlign w:val="center"/>
          </w:tcPr>
          <w:p>
            <w:pPr>
              <w:adjustRightInd w:val="0"/>
              <w:snapToGrid w:val="0"/>
              <w:spacing w:line="420" w:lineRule="exact"/>
              <w:rPr>
                <w:rFonts w:ascii="宋体" w:hAnsi="宋体" w:cs="宋体"/>
                <w:snapToGrid w:val="0"/>
                <w:kern w:val="0"/>
                <w:szCs w:val="21"/>
              </w:rPr>
            </w:pPr>
            <w:r>
              <w:rPr>
                <w:rFonts w:hint="eastAsia" w:ascii="宋体" w:hAnsi="宋体" w:cs="宋体"/>
                <w:snapToGrid w:val="0"/>
                <w:kern w:val="0"/>
                <w:szCs w:val="21"/>
              </w:rPr>
              <w:t>除虫脲</w:t>
            </w:r>
          </w:p>
        </w:tc>
        <w:tc>
          <w:tcPr>
            <w:tcW w:w="1498" w:type="pct"/>
            <w:vAlign w:val="center"/>
          </w:tcPr>
          <w:p>
            <w:pPr>
              <w:adjustRightInd w:val="0"/>
              <w:snapToGrid w:val="0"/>
              <w:spacing w:line="420" w:lineRule="exact"/>
              <w:jc w:val="left"/>
              <w:rPr>
                <w:rFonts w:ascii="宋体" w:hAnsi="宋体" w:cs="宋体"/>
                <w:snapToGrid w:val="0"/>
                <w:kern w:val="0"/>
                <w:szCs w:val="21"/>
              </w:rPr>
            </w:pPr>
            <w:r>
              <w:rPr>
                <w:rFonts w:hint="eastAsia" w:ascii="宋体" w:hAnsi="宋体" w:cs="宋体"/>
                <w:snapToGrid w:val="0"/>
                <w:kern w:val="0"/>
                <w:szCs w:val="21"/>
              </w:rPr>
              <w:t>GB/T 5009.147或</w:t>
            </w:r>
          </w:p>
          <w:p>
            <w:pPr>
              <w:adjustRightInd w:val="0"/>
              <w:snapToGrid w:val="0"/>
              <w:spacing w:line="420" w:lineRule="exact"/>
              <w:jc w:val="left"/>
              <w:rPr>
                <w:rFonts w:ascii="宋体" w:hAnsi="宋体" w:cs="宋体"/>
                <w:snapToGrid w:val="0"/>
                <w:kern w:val="0"/>
                <w:szCs w:val="21"/>
              </w:rPr>
            </w:pPr>
            <w:r>
              <w:rPr>
                <w:rFonts w:hint="eastAsia" w:ascii="宋体" w:hAnsi="宋体" w:cs="宋体"/>
                <w:snapToGrid w:val="0"/>
                <w:kern w:val="0"/>
                <w:szCs w:val="21"/>
              </w:rPr>
              <w:t>GB 23200.121—2021</w:t>
            </w:r>
          </w:p>
        </w:tc>
      </w:tr>
    </w:tbl>
    <w:p>
      <w:pPr>
        <w:adjustRightInd w:val="0"/>
        <w:snapToGrid w:val="0"/>
        <w:spacing w:line="420" w:lineRule="exact"/>
        <w:ind w:firstLine="420" w:firstLineChars="200"/>
        <w:rPr>
          <w:rFonts w:ascii="宋体" w:hAnsi="宋体" w:cs="宋体"/>
          <w:color w:val="333333"/>
          <w:szCs w:val="21"/>
        </w:rPr>
      </w:pPr>
      <w:r>
        <w:rPr>
          <w:rFonts w:hint="eastAsia" w:ascii="宋体" w:hAnsi="宋体" w:cs="宋体"/>
          <w:color w:val="333333"/>
          <w:szCs w:val="21"/>
        </w:rPr>
        <w:t>（2）畜禽产品</w:t>
      </w:r>
    </w:p>
    <w:tbl>
      <w:tblPr>
        <w:tblStyle w:val="5"/>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2"/>
        <w:gridCol w:w="1300"/>
        <w:gridCol w:w="5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2072" w:type="dxa"/>
            <w:tcBorders>
              <w:bottom w:val="single" w:color="auto" w:sz="4" w:space="0"/>
            </w:tcBorders>
            <w:vAlign w:val="center"/>
          </w:tcPr>
          <w:p>
            <w:pPr>
              <w:adjustRightInd w:val="0"/>
              <w:snapToGrid w:val="0"/>
              <w:spacing w:line="420" w:lineRule="exact"/>
              <w:jc w:val="center"/>
              <w:rPr>
                <w:rFonts w:ascii="宋体" w:hAnsi="宋体" w:cs="宋体"/>
                <w:b/>
                <w:bCs/>
                <w:snapToGrid w:val="0"/>
                <w:color w:val="000000"/>
                <w:kern w:val="0"/>
                <w:szCs w:val="21"/>
              </w:rPr>
            </w:pPr>
            <w:r>
              <w:rPr>
                <w:rFonts w:hint="eastAsia" w:ascii="宋体" w:hAnsi="宋体" w:cs="宋体"/>
                <w:b/>
                <w:bCs/>
                <w:snapToGrid w:val="0"/>
                <w:color w:val="000000"/>
                <w:kern w:val="0"/>
                <w:szCs w:val="21"/>
              </w:rPr>
              <w:t>监测项目</w:t>
            </w:r>
          </w:p>
        </w:tc>
        <w:tc>
          <w:tcPr>
            <w:tcW w:w="1300" w:type="dxa"/>
            <w:tcBorders>
              <w:bottom w:val="single" w:color="auto" w:sz="4" w:space="0"/>
            </w:tcBorders>
            <w:vAlign w:val="center"/>
          </w:tcPr>
          <w:p>
            <w:pPr>
              <w:adjustRightInd w:val="0"/>
              <w:snapToGrid w:val="0"/>
              <w:spacing w:line="420" w:lineRule="exact"/>
              <w:jc w:val="center"/>
              <w:rPr>
                <w:rFonts w:ascii="宋体" w:hAnsi="宋体" w:cs="宋体"/>
                <w:b/>
                <w:bCs/>
                <w:snapToGrid w:val="0"/>
                <w:color w:val="000000"/>
                <w:kern w:val="0"/>
                <w:szCs w:val="21"/>
              </w:rPr>
            </w:pPr>
            <w:r>
              <w:rPr>
                <w:rFonts w:hint="eastAsia" w:ascii="宋体" w:hAnsi="宋体" w:cs="宋体"/>
                <w:b/>
                <w:bCs/>
                <w:snapToGrid w:val="0"/>
                <w:color w:val="000000"/>
                <w:kern w:val="0"/>
                <w:szCs w:val="21"/>
              </w:rPr>
              <w:t>样品种类</w:t>
            </w:r>
          </w:p>
        </w:tc>
        <w:tc>
          <w:tcPr>
            <w:tcW w:w="5484" w:type="dxa"/>
            <w:tcBorders>
              <w:bottom w:val="single" w:color="auto" w:sz="4" w:space="0"/>
            </w:tcBorders>
            <w:vAlign w:val="center"/>
          </w:tcPr>
          <w:p>
            <w:pPr>
              <w:adjustRightInd w:val="0"/>
              <w:snapToGrid w:val="0"/>
              <w:spacing w:line="420" w:lineRule="exact"/>
              <w:jc w:val="center"/>
              <w:rPr>
                <w:rFonts w:ascii="宋体" w:hAnsi="宋体" w:cs="宋体"/>
                <w:b/>
                <w:bCs/>
                <w:snapToGrid w:val="0"/>
                <w:color w:val="000000"/>
                <w:kern w:val="0"/>
                <w:szCs w:val="21"/>
              </w:rPr>
            </w:pPr>
            <w:r>
              <w:rPr>
                <w:rFonts w:hint="eastAsia" w:ascii="宋体" w:hAnsi="宋体" w:cs="宋体"/>
                <w:b/>
                <w:bCs/>
                <w:snapToGrid w:val="0"/>
                <w:color w:val="000000"/>
                <w:kern w:val="0"/>
                <w:szCs w:val="21"/>
              </w:rPr>
              <w:t>检  测  依  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8" w:hRule="atLeast"/>
          <w:jc w:val="center"/>
        </w:trPr>
        <w:tc>
          <w:tcPr>
            <w:tcW w:w="2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left"/>
              <w:rPr>
                <w:rFonts w:ascii="宋体" w:hAnsi="宋体" w:cs="宋体"/>
                <w:snapToGrid w:val="0"/>
                <w:color w:val="000000"/>
                <w:kern w:val="0"/>
                <w:szCs w:val="21"/>
              </w:rPr>
            </w:pPr>
            <w:r>
              <w:rPr>
                <w:rFonts w:hint="eastAsia" w:ascii="宋体" w:hAnsi="宋体" w:cs="宋体"/>
                <w:snapToGrid w:val="0"/>
                <w:color w:val="000000"/>
                <w:kern w:val="0"/>
                <w:szCs w:val="21"/>
              </w:rPr>
              <w:t>禁用化合物“瘦肉精”类（克伦特罗、莱克多巴胺、沙丁胺醇）</w:t>
            </w:r>
          </w:p>
        </w:tc>
        <w:tc>
          <w:tcPr>
            <w:tcW w:w="13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center"/>
              <w:rPr>
                <w:rFonts w:ascii="宋体" w:hAnsi="宋体" w:cs="宋体"/>
                <w:snapToGrid w:val="0"/>
                <w:color w:val="000000"/>
                <w:kern w:val="0"/>
                <w:szCs w:val="21"/>
              </w:rPr>
            </w:pPr>
          </w:p>
          <w:p>
            <w:pPr>
              <w:adjustRightInd w:val="0"/>
              <w:snapToGrid w:val="0"/>
              <w:spacing w:line="420" w:lineRule="exact"/>
              <w:jc w:val="center"/>
              <w:rPr>
                <w:rFonts w:ascii="宋体" w:hAnsi="宋体" w:cs="宋体"/>
                <w:snapToGrid w:val="0"/>
                <w:color w:val="000000"/>
                <w:kern w:val="0"/>
                <w:szCs w:val="21"/>
              </w:rPr>
            </w:pPr>
            <w:r>
              <w:rPr>
                <w:rFonts w:hint="eastAsia" w:ascii="宋体" w:hAnsi="宋体" w:cs="宋体"/>
                <w:snapToGrid w:val="0"/>
                <w:color w:val="000000"/>
                <w:kern w:val="0"/>
                <w:szCs w:val="21"/>
              </w:rPr>
              <w:t>猪尿</w:t>
            </w:r>
          </w:p>
          <w:p>
            <w:pPr>
              <w:adjustRightInd w:val="0"/>
              <w:snapToGrid w:val="0"/>
              <w:spacing w:line="420" w:lineRule="exact"/>
              <w:jc w:val="center"/>
              <w:rPr>
                <w:rFonts w:ascii="宋体" w:hAnsi="宋体" w:cs="宋体"/>
                <w:snapToGrid w:val="0"/>
                <w:color w:val="000000"/>
                <w:kern w:val="0"/>
                <w:szCs w:val="21"/>
              </w:rPr>
            </w:pPr>
            <w:r>
              <w:rPr>
                <w:rFonts w:hint="eastAsia" w:ascii="宋体" w:hAnsi="宋体" w:cs="宋体"/>
                <w:snapToGrid w:val="0"/>
                <w:color w:val="000000"/>
                <w:kern w:val="0"/>
                <w:szCs w:val="21"/>
              </w:rPr>
              <w:t>牛尿</w:t>
            </w:r>
          </w:p>
          <w:p>
            <w:pPr>
              <w:adjustRightInd w:val="0"/>
              <w:snapToGrid w:val="0"/>
              <w:spacing w:line="420" w:lineRule="exact"/>
              <w:jc w:val="center"/>
              <w:rPr>
                <w:rFonts w:ascii="宋体" w:hAnsi="宋体" w:cs="宋体"/>
                <w:snapToGrid w:val="0"/>
                <w:color w:val="000000"/>
                <w:kern w:val="0"/>
                <w:szCs w:val="21"/>
              </w:rPr>
            </w:pPr>
            <w:r>
              <w:rPr>
                <w:rFonts w:hint="eastAsia" w:ascii="宋体" w:hAnsi="宋体" w:cs="宋体"/>
                <w:snapToGrid w:val="0"/>
                <w:color w:val="000000"/>
                <w:kern w:val="0"/>
                <w:szCs w:val="21"/>
              </w:rPr>
              <w:t>羊尿</w:t>
            </w:r>
          </w:p>
          <w:p>
            <w:pPr>
              <w:adjustRightInd w:val="0"/>
              <w:snapToGrid w:val="0"/>
              <w:spacing w:line="420" w:lineRule="exact"/>
              <w:rPr>
                <w:rFonts w:ascii="宋体" w:hAnsi="宋体" w:cs="宋体"/>
                <w:snapToGrid w:val="0"/>
                <w:color w:val="000000"/>
                <w:kern w:val="0"/>
                <w:szCs w:val="21"/>
              </w:rPr>
            </w:pPr>
          </w:p>
        </w:tc>
        <w:tc>
          <w:tcPr>
            <w:tcW w:w="54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rPr>
                <w:rFonts w:ascii="宋体" w:hAnsi="宋体" w:cs="宋体"/>
                <w:snapToGrid w:val="0"/>
                <w:color w:val="000000"/>
                <w:kern w:val="0"/>
                <w:szCs w:val="21"/>
              </w:rPr>
            </w:pPr>
            <w:r>
              <w:rPr>
                <w:rFonts w:hint="eastAsia" w:ascii="宋体" w:hAnsi="宋体" w:cs="宋体"/>
                <w:snapToGrid w:val="0"/>
                <w:color w:val="000000"/>
                <w:kern w:val="0"/>
                <w:szCs w:val="21"/>
              </w:rPr>
              <w:t>动物尿液中克伦特罗等8种β－兴奋剂的残留测定 胶体金免疫层析法（DB34/T 3190－2018）（筛查方法）</w:t>
            </w:r>
          </w:p>
          <w:p>
            <w:pPr>
              <w:adjustRightInd w:val="0"/>
              <w:snapToGrid w:val="0"/>
              <w:spacing w:line="420" w:lineRule="exact"/>
              <w:rPr>
                <w:rFonts w:ascii="宋体" w:hAnsi="宋体" w:cs="宋体"/>
                <w:snapToGrid w:val="0"/>
                <w:color w:val="000000"/>
                <w:kern w:val="0"/>
                <w:szCs w:val="21"/>
              </w:rPr>
            </w:pPr>
            <w:r>
              <w:rPr>
                <w:rFonts w:hint="eastAsia" w:ascii="宋体" w:hAnsi="宋体" w:cs="宋体"/>
                <w:snapToGrid w:val="0"/>
                <w:color w:val="000000"/>
                <w:kern w:val="0"/>
                <w:szCs w:val="21"/>
              </w:rPr>
              <w:t>动物尿液中11种β－受体激动剂的检测 液相色谱－串联质谱法（农业部1063号公告－3－2008 ）（确认方法）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atLeast"/>
          <w:jc w:val="center"/>
        </w:trPr>
        <w:tc>
          <w:tcPr>
            <w:tcW w:w="2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left"/>
              <w:rPr>
                <w:rFonts w:ascii="宋体" w:hAnsi="宋体" w:cs="宋体"/>
                <w:snapToGrid w:val="0"/>
                <w:color w:val="000000"/>
                <w:kern w:val="0"/>
                <w:szCs w:val="21"/>
              </w:rPr>
            </w:pPr>
            <w:r>
              <w:rPr>
                <w:rFonts w:hint="eastAsia" w:ascii="宋体" w:hAnsi="宋体" w:cs="宋体"/>
                <w:snapToGrid w:val="0"/>
                <w:color w:val="000000"/>
                <w:kern w:val="0"/>
                <w:szCs w:val="21"/>
              </w:rPr>
              <w:t>氟喹诺酮类（恩诺沙星、环丙沙星、沙拉沙星、达氟沙星、氧氟沙星、培氟沙星、诺氟沙星、洛美沙星）</w:t>
            </w:r>
          </w:p>
        </w:tc>
        <w:tc>
          <w:tcPr>
            <w:tcW w:w="13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center"/>
              <w:rPr>
                <w:rFonts w:ascii="宋体" w:hAnsi="宋体" w:cs="宋体"/>
                <w:snapToGrid w:val="0"/>
                <w:color w:val="000000"/>
                <w:kern w:val="0"/>
                <w:szCs w:val="21"/>
              </w:rPr>
            </w:pPr>
            <w:r>
              <w:rPr>
                <w:rFonts w:hint="eastAsia" w:ascii="宋体" w:hAnsi="宋体" w:cs="宋体"/>
                <w:snapToGrid w:val="0"/>
                <w:color w:val="000000"/>
                <w:kern w:val="0"/>
                <w:szCs w:val="21"/>
              </w:rPr>
              <w:t>禽肉</w:t>
            </w:r>
          </w:p>
          <w:p>
            <w:pPr>
              <w:adjustRightInd w:val="0"/>
              <w:snapToGrid w:val="0"/>
              <w:spacing w:line="420" w:lineRule="exact"/>
              <w:jc w:val="center"/>
              <w:rPr>
                <w:rFonts w:ascii="宋体" w:hAnsi="宋体" w:cs="宋体"/>
                <w:snapToGrid w:val="0"/>
                <w:color w:val="000000"/>
                <w:kern w:val="0"/>
                <w:szCs w:val="21"/>
              </w:rPr>
            </w:pPr>
            <w:r>
              <w:rPr>
                <w:rFonts w:hint="eastAsia" w:ascii="宋体" w:hAnsi="宋体" w:cs="宋体"/>
                <w:snapToGrid w:val="0"/>
                <w:color w:val="000000"/>
                <w:kern w:val="0"/>
                <w:szCs w:val="21"/>
              </w:rPr>
              <w:t>禽蛋</w:t>
            </w:r>
          </w:p>
        </w:tc>
        <w:tc>
          <w:tcPr>
            <w:tcW w:w="54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rPr>
                <w:rFonts w:ascii="宋体" w:hAnsi="宋体" w:cs="宋体"/>
                <w:snapToGrid w:val="0"/>
                <w:color w:val="000000"/>
                <w:kern w:val="0"/>
                <w:szCs w:val="21"/>
              </w:rPr>
            </w:pPr>
            <w:r>
              <w:rPr>
                <w:rFonts w:hint="eastAsia" w:ascii="宋体" w:hAnsi="宋体" w:cs="宋体"/>
                <w:snapToGrid w:val="0"/>
                <w:color w:val="000000"/>
                <w:kern w:val="0"/>
                <w:szCs w:val="21"/>
              </w:rPr>
              <w:t>《禽蛋和禽肉中氟喹诺酮类药物及金刚烷胺残留量的测定 液相色谱－串联质谱法操作细则》（中国农业科学院农业质量标准与检测技术研究所自建方法）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left"/>
              <w:rPr>
                <w:rFonts w:ascii="宋体" w:hAnsi="宋体" w:cs="宋体"/>
                <w:snapToGrid w:val="0"/>
                <w:color w:val="000000"/>
                <w:kern w:val="0"/>
                <w:szCs w:val="21"/>
              </w:rPr>
            </w:pPr>
            <w:r>
              <w:rPr>
                <w:rFonts w:hint="eastAsia" w:ascii="宋体" w:hAnsi="宋体" w:cs="宋体"/>
                <w:snapToGrid w:val="0"/>
                <w:color w:val="000000"/>
                <w:kern w:val="0"/>
                <w:szCs w:val="21"/>
              </w:rPr>
              <w:t>酰胺醇类（氟苯尼考、氟苯尼考胺、甲砜霉素、氯霉素）</w:t>
            </w:r>
          </w:p>
        </w:tc>
        <w:tc>
          <w:tcPr>
            <w:tcW w:w="13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center"/>
              <w:rPr>
                <w:rFonts w:ascii="宋体" w:hAnsi="宋体" w:cs="宋体"/>
                <w:snapToGrid w:val="0"/>
                <w:color w:val="000000"/>
                <w:kern w:val="0"/>
                <w:szCs w:val="21"/>
              </w:rPr>
            </w:pPr>
            <w:r>
              <w:rPr>
                <w:rFonts w:hint="eastAsia" w:ascii="宋体" w:hAnsi="宋体" w:cs="宋体"/>
                <w:snapToGrid w:val="0"/>
                <w:color w:val="000000"/>
                <w:kern w:val="0"/>
                <w:szCs w:val="21"/>
              </w:rPr>
              <w:t>禽肉禽蛋</w:t>
            </w:r>
          </w:p>
        </w:tc>
        <w:tc>
          <w:tcPr>
            <w:tcW w:w="54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rPr>
                <w:rFonts w:ascii="宋体" w:hAnsi="宋体" w:cs="宋体"/>
                <w:snapToGrid w:val="0"/>
                <w:color w:val="000000"/>
                <w:kern w:val="0"/>
                <w:szCs w:val="21"/>
              </w:rPr>
            </w:pPr>
            <w:r>
              <w:rPr>
                <w:rFonts w:hint="eastAsia" w:ascii="宋体" w:hAnsi="宋体" w:cs="宋体"/>
                <w:snapToGrid w:val="0"/>
                <w:color w:val="000000"/>
                <w:kern w:val="0"/>
                <w:szCs w:val="21"/>
              </w:rPr>
              <w:t>《禽肉和禽蛋中酰胺醇类药物及代谢物残留量的测定 液相色谱－串联质谱法》（中国农业科学院农业质量标准与检测技术研究所自建方法）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left"/>
              <w:rPr>
                <w:rFonts w:ascii="宋体" w:hAnsi="宋体" w:cs="宋体"/>
                <w:snapToGrid w:val="0"/>
                <w:color w:val="000000"/>
                <w:kern w:val="0"/>
                <w:szCs w:val="21"/>
              </w:rPr>
            </w:pPr>
            <w:r>
              <w:rPr>
                <w:rFonts w:hint="eastAsia" w:ascii="宋体" w:hAnsi="宋体" w:cs="宋体"/>
                <w:snapToGrid w:val="0"/>
                <w:color w:val="000000"/>
                <w:kern w:val="0"/>
                <w:szCs w:val="21"/>
              </w:rPr>
              <w:t>四环素类（土霉素、四环素、金霉素）</w:t>
            </w:r>
          </w:p>
        </w:tc>
        <w:tc>
          <w:tcPr>
            <w:tcW w:w="13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center"/>
              <w:rPr>
                <w:rFonts w:ascii="宋体" w:hAnsi="宋体" w:cs="宋体"/>
                <w:snapToGrid w:val="0"/>
                <w:color w:val="000000"/>
                <w:kern w:val="0"/>
                <w:szCs w:val="21"/>
              </w:rPr>
            </w:pPr>
            <w:r>
              <w:rPr>
                <w:rFonts w:hint="eastAsia" w:ascii="宋体" w:hAnsi="宋体" w:cs="宋体"/>
                <w:snapToGrid w:val="0"/>
                <w:color w:val="000000"/>
                <w:kern w:val="0"/>
                <w:szCs w:val="21"/>
              </w:rPr>
              <w:t>禽肉</w:t>
            </w:r>
          </w:p>
        </w:tc>
        <w:tc>
          <w:tcPr>
            <w:tcW w:w="54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rPr>
                <w:rFonts w:ascii="宋体" w:hAnsi="宋体" w:cs="宋体"/>
                <w:snapToGrid w:val="0"/>
                <w:color w:val="000000"/>
                <w:kern w:val="0"/>
                <w:szCs w:val="21"/>
              </w:rPr>
            </w:pPr>
            <w:r>
              <w:rPr>
                <w:rFonts w:hint="eastAsia" w:ascii="宋体" w:hAnsi="宋体" w:cs="宋体"/>
                <w:snapToGrid w:val="0"/>
                <w:color w:val="000000"/>
                <w:kern w:val="0"/>
                <w:szCs w:val="21"/>
              </w:rPr>
              <w:t xml:space="preserve">《畜、禽肉中土霉素、四环素、金霉素残留量的测定（高效液相色谱法）》（GB/T 5009.116－2003）  </w:t>
            </w:r>
          </w:p>
          <w:p>
            <w:pPr>
              <w:adjustRightInd w:val="0"/>
              <w:snapToGrid w:val="0"/>
              <w:spacing w:line="420" w:lineRule="exact"/>
              <w:rPr>
                <w:rFonts w:ascii="宋体" w:hAnsi="宋体" w:cs="宋体"/>
                <w:snapToGrid w:val="0"/>
                <w:color w:val="000000"/>
                <w:kern w:val="0"/>
                <w:szCs w:val="21"/>
              </w:rPr>
            </w:pPr>
            <w:r>
              <w:rPr>
                <w:rFonts w:hint="eastAsia" w:ascii="宋体" w:hAnsi="宋体" w:cs="宋体"/>
                <w:snapToGrid w:val="0"/>
                <w:color w:val="000000"/>
                <w:kern w:val="0"/>
                <w:szCs w:val="21"/>
              </w:rPr>
              <w:t>《鸡肉、猪肉中四环素类药物残留检测 液相色谱质谱法》（农业部1025号公告－12－2008）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2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left"/>
              <w:rPr>
                <w:rFonts w:ascii="宋体" w:hAnsi="宋体" w:cs="宋体"/>
                <w:snapToGrid w:val="0"/>
                <w:color w:val="000000"/>
                <w:kern w:val="0"/>
                <w:szCs w:val="21"/>
              </w:rPr>
            </w:pPr>
            <w:r>
              <w:rPr>
                <w:rFonts w:hint="eastAsia" w:ascii="宋体" w:hAnsi="宋体" w:cs="宋体"/>
                <w:snapToGrid w:val="0"/>
                <w:color w:val="000000"/>
                <w:kern w:val="0"/>
                <w:szCs w:val="21"/>
              </w:rPr>
              <w:t>金刚烷胺</w:t>
            </w:r>
          </w:p>
        </w:tc>
        <w:tc>
          <w:tcPr>
            <w:tcW w:w="13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jc w:val="center"/>
              <w:rPr>
                <w:rFonts w:ascii="宋体" w:hAnsi="宋体" w:cs="宋体"/>
                <w:snapToGrid w:val="0"/>
                <w:color w:val="000000"/>
                <w:kern w:val="0"/>
                <w:szCs w:val="21"/>
              </w:rPr>
            </w:pPr>
            <w:r>
              <w:rPr>
                <w:rFonts w:hint="eastAsia" w:ascii="宋体" w:hAnsi="宋体" w:cs="宋体"/>
                <w:snapToGrid w:val="0"/>
                <w:color w:val="000000"/>
                <w:kern w:val="0"/>
                <w:szCs w:val="21"/>
              </w:rPr>
              <w:t>禽蛋</w:t>
            </w:r>
          </w:p>
        </w:tc>
        <w:tc>
          <w:tcPr>
            <w:tcW w:w="54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20" w:lineRule="exact"/>
              <w:rPr>
                <w:rFonts w:ascii="宋体" w:hAnsi="宋体" w:cs="宋体"/>
                <w:snapToGrid w:val="0"/>
                <w:color w:val="000000"/>
                <w:kern w:val="0"/>
                <w:szCs w:val="21"/>
              </w:rPr>
            </w:pPr>
            <w:r>
              <w:rPr>
                <w:rFonts w:hint="eastAsia" w:ascii="宋体" w:hAnsi="宋体" w:cs="宋体"/>
                <w:snapToGrid w:val="0"/>
                <w:color w:val="000000"/>
                <w:kern w:val="0"/>
                <w:szCs w:val="21"/>
              </w:rPr>
              <w:t>《食品安全国家标准 动物性食品中金刚烷胺残留量的测定 液相色谱－串联质谱法》</w:t>
            </w:r>
          </w:p>
          <w:p>
            <w:pPr>
              <w:adjustRightInd w:val="0"/>
              <w:snapToGrid w:val="0"/>
              <w:spacing w:line="420" w:lineRule="exact"/>
              <w:rPr>
                <w:rFonts w:ascii="宋体" w:hAnsi="宋体" w:cs="宋体"/>
                <w:snapToGrid w:val="0"/>
                <w:color w:val="000000"/>
                <w:kern w:val="0"/>
                <w:szCs w:val="21"/>
              </w:rPr>
            </w:pPr>
            <w:r>
              <w:rPr>
                <w:rFonts w:hint="eastAsia" w:ascii="宋体" w:hAnsi="宋体" w:cs="宋体"/>
                <w:snapToGrid w:val="0"/>
                <w:color w:val="000000"/>
                <w:kern w:val="0"/>
                <w:szCs w:val="21"/>
              </w:rPr>
              <w:t>（GB 31660.5-2019）</w:t>
            </w:r>
          </w:p>
          <w:p>
            <w:pPr>
              <w:adjustRightInd w:val="0"/>
              <w:snapToGrid w:val="0"/>
              <w:spacing w:line="420" w:lineRule="exact"/>
              <w:rPr>
                <w:rFonts w:ascii="宋体" w:hAnsi="宋体" w:cs="宋体"/>
                <w:snapToGrid w:val="0"/>
                <w:color w:val="000000"/>
                <w:kern w:val="0"/>
                <w:szCs w:val="21"/>
              </w:rPr>
            </w:pPr>
            <w:r>
              <w:rPr>
                <w:rFonts w:hint="eastAsia" w:ascii="宋体" w:hAnsi="宋体" w:cs="宋体"/>
                <w:snapToGrid w:val="0"/>
                <w:color w:val="000000"/>
                <w:kern w:val="0"/>
                <w:szCs w:val="21"/>
              </w:rPr>
              <w:t>《禽蛋和禽肉中氟喹诺酮类药物及金刚烷胺残留量的测定 液相色谱－串联质谱法操作细则》（中国农业科学院农业质量标准与检测技术研究所自建方法）</w:t>
            </w:r>
          </w:p>
        </w:tc>
      </w:tr>
    </w:tbl>
    <w:p>
      <w:pPr>
        <w:adjustRightInd w:val="0"/>
        <w:snapToGrid w:val="0"/>
        <w:spacing w:line="420" w:lineRule="exact"/>
        <w:ind w:firstLine="420" w:firstLineChars="200"/>
        <w:rPr>
          <w:rFonts w:ascii="宋体" w:hAnsi="宋体" w:cs="宋体"/>
          <w:color w:val="333333"/>
          <w:szCs w:val="21"/>
        </w:rPr>
      </w:pPr>
      <w:r>
        <w:rPr>
          <w:rFonts w:hint="eastAsia" w:ascii="宋体" w:hAnsi="宋体" w:cs="宋体"/>
          <w:color w:val="333333"/>
          <w:szCs w:val="21"/>
        </w:rPr>
        <w:t>（三）水产品</w:t>
      </w:r>
    </w:p>
    <w:p>
      <w:pPr>
        <w:adjustRightInd w:val="0"/>
        <w:snapToGrid w:val="0"/>
        <w:spacing w:line="420" w:lineRule="exact"/>
        <w:ind w:firstLine="420" w:firstLineChars="200"/>
        <w:rPr>
          <w:rFonts w:ascii="宋体" w:hAnsi="宋体" w:cs="宋体"/>
          <w:color w:val="333333"/>
          <w:szCs w:val="21"/>
        </w:rPr>
      </w:pPr>
      <w:r>
        <w:rPr>
          <w:rFonts w:hint="eastAsia" w:ascii="宋体" w:hAnsi="宋体" w:cs="宋体"/>
          <w:color w:val="333333"/>
          <w:szCs w:val="21"/>
        </w:rPr>
        <w:t>①禁用药物氯霉素：先用酶联免疫法进行筛检，阳性样品用农业部958号公告－14－2007 《水产品中氯霉素、甲砜霉素、氟甲砜霉素残留量的测定 气相色谱－质谱法》、GB/T 20756－2006 《可食动物肌肉、肝脏和水产品中氯霉素、甲砜霉素和氟苯尼考残留量的测定 液相色谱－串联质谱法》之一进行确证。</w:t>
      </w:r>
    </w:p>
    <w:p>
      <w:pPr>
        <w:adjustRightInd w:val="0"/>
        <w:snapToGrid w:val="0"/>
        <w:spacing w:line="420" w:lineRule="exact"/>
        <w:ind w:firstLine="420" w:firstLineChars="200"/>
        <w:rPr>
          <w:rFonts w:ascii="宋体" w:hAnsi="宋体" w:cs="宋体"/>
          <w:color w:val="333333"/>
          <w:szCs w:val="21"/>
        </w:rPr>
      </w:pPr>
      <w:r>
        <w:rPr>
          <w:rFonts w:hint="eastAsia" w:ascii="宋体" w:hAnsi="宋体" w:cs="宋体"/>
          <w:color w:val="333333"/>
          <w:szCs w:val="21"/>
        </w:rPr>
        <w:t>②禁用药物孔雀石绿：先按DB34/T 1421－2011《水产品中孔雀石绿及其代谢物残留量的快速筛选测定 酶联免疫法》进行筛检，阳性样品用GB/T 19857－2005《水产品中孔雀石绿和结晶紫残留量的测定》中的液相色谱－串联质谱法进行确证；或直接按GB/T 19857—2005《水产品中孔雀石绿和结晶紫残留量的测定》液质法进行检测。</w:t>
      </w:r>
    </w:p>
    <w:p>
      <w:pPr>
        <w:adjustRightInd w:val="0"/>
        <w:snapToGrid w:val="0"/>
        <w:spacing w:line="420" w:lineRule="exact"/>
        <w:ind w:firstLine="420" w:firstLineChars="200"/>
        <w:rPr>
          <w:rFonts w:ascii="宋体" w:hAnsi="宋体" w:cs="宋体"/>
          <w:color w:val="333333"/>
          <w:szCs w:val="21"/>
        </w:rPr>
      </w:pPr>
      <w:r>
        <w:rPr>
          <w:rFonts w:hint="eastAsia" w:ascii="宋体" w:hAnsi="宋体" w:cs="宋体"/>
          <w:color w:val="333333"/>
          <w:szCs w:val="21"/>
        </w:rPr>
        <w:t>③禁用药物硝基呋喃类代谢物（包括呋喃唑酮代谢物AOZ、呋喃它酮代谢物AMOZ、呋喃西林代谢物SEM和呋喃妥因代谢物AHD）：按各市样品总数30%比例抽检，先用酶联免疫法进行筛选，阳性样品用农业部783公告－1－2006《水产品中硝基呋喃类代谢物残留量的测定 液相色谱－串联质谱法》或GB/T 20752－2006 《猪肉、牛肉、鸡肉、猪肝和水产品中硝基呋喃类代谢物残留量的测定 液相色谱－串联质谱法》进行确证。</w:t>
      </w:r>
    </w:p>
    <w:p>
      <w:pPr>
        <w:pStyle w:val="4"/>
        <w:shd w:val="clear" w:color="auto" w:fill="FFFFFF"/>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3.抽样和检测方法</w:t>
      </w:r>
    </w:p>
    <w:p>
      <w:pPr>
        <w:adjustRightInd w:val="0"/>
        <w:snapToGrid w:val="0"/>
        <w:spacing w:line="420" w:lineRule="exact"/>
        <w:ind w:firstLine="420" w:firstLineChars="200"/>
        <w:rPr>
          <w:rFonts w:ascii="宋体" w:hAnsi="宋体" w:cs="宋体"/>
          <w:color w:val="333333"/>
          <w:szCs w:val="21"/>
        </w:rPr>
      </w:pPr>
      <w:r>
        <w:rPr>
          <w:rFonts w:hint="eastAsia" w:ascii="宋体" w:hAnsi="宋体" w:cs="宋体"/>
          <w:color w:val="333333"/>
          <w:szCs w:val="21"/>
        </w:rPr>
        <w:t>抽样方法</w:t>
      </w:r>
      <w:r>
        <w:rPr>
          <w:rFonts w:hint="eastAsia" w:ascii="宋体" w:hAnsi="宋体" w:cs="宋体"/>
          <w:b/>
          <w:bCs/>
          <w:color w:val="333333"/>
          <w:kern w:val="0"/>
          <w:szCs w:val="21"/>
        </w:rPr>
        <w:t>蔬菜产品</w:t>
      </w:r>
      <w:r>
        <w:rPr>
          <w:rFonts w:hint="eastAsia" w:ascii="宋体" w:hAnsi="宋体" w:cs="宋体"/>
          <w:color w:val="333333"/>
          <w:kern w:val="0"/>
          <w:szCs w:val="21"/>
        </w:rPr>
        <w:t>按《农药残留分析样本的采样方法》（NY/T789—2004）规定执行；</w:t>
      </w:r>
      <w:r>
        <w:rPr>
          <w:rFonts w:hint="eastAsia" w:ascii="宋体" w:hAnsi="宋体" w:cs="宋体"/>
          <w:b/>
          <w:bCs/>
          <w:color w:val="333333"/>
          <w:kern w:val="0"/>
          <w:szCs w:val="21"/>
        </w:rPr>
        <w:t>畜禽产品</w:t>
      </w:r>
      <w:r>
        <w:rPr>
          <w:rFonts w:hint="eastAsia" w:ascii="宋体" w:hAnsi="宋体" w:cs="宋体"/>
          <w:color w:val="333333"/>
          <w:kern w:val="0"/>
          <w:szCs w:val="21"/>
        </w:rPr>
        <w:t>猪尿、牛尿、羊尿抽样按《动物及动物产品兽药残留监控抽样规范》（ NY/T 1897－2010）规定执行。禽肉、禽蛋肉抽样按《无公害食品 产品抽样规范 第6部分：畜禽产品》（NY/T 5344.6－2006）规定执行；</w:t>
      </w:r>
      <w:r>
        <w:rPr>
          <w:rFonts w:hint="eastAsia" w:ascii="宋体" w:hAnsi="宋体" w:cs="宋体"/>
          <w:b/>
          <w:bCs/>
          <w:color w:val="333333"/>
          <w:kern w:val="0"/>
          <w:szCs w:val="21"/>
        </w:rPr>
        <w:t>水产品</w:t>
      </w:r>
      <w:r>
        <w:rPr>
          <w:rFonts w:hint="eastAsia" w:ascii="宋体" w:hAnsi="宋体" w:cs="宋体"/>
          <w:color w:val="333333"/>
          <w:kern w:val="0"/>
          <w:szCs w:val="21"/>
        </w:rPr>
        <w:t>按《水产品抽样规范》（GB/T 30891－2014）规定执行。</w:t>
      </w:r>
    </w:p>
    <w:p>
      <w:pPr>
        <w:pStyle w:val="4"/>
        <w:shd w:val="clear" w:color="auto" w:fill="FFFFFF"/>
        <w:spacing w:before="0" w:beforeAutospacing="0" w:after="0" w:afterAutospacing="0" w:line="420" w:lineRule="exact"/>
        <w:ind w:firstLine="422" w:firstLineChars="200"/>
        <w:jc w:val="both"/>
        <w:rPr>
          <w:rFonts w:ascii="宋体" w:hAnsi="宋体" w:eastAsia="宋体" w:cs="宋体"/>
          <w:b/>
          <w:color w:val="333333"/>
          <w:sz w:val="21"/>
          <w:szCs w:val="21"/>
        </w:rPr>
      </w:pPr>
      <w:r>
        <w:rPr>
          <w:rFonts w:hint="eastAsia" w:ascii="宋体" w:hAnsi="宋体" w:eastAsia="宋体" w:cs="宋体"/>
          <w:b/>
          <w:color w:val="333333"/>
          <w:sz w:val="21"/>
          <w:szCs w:val="21"/>
        </w:rPr>
        <w:t>三、抽检要求：</w:t>
      </w:r>
    </w:p>
    <w:p>
      <w:pPr>
        <w:pStyle w:val="4"/>
        <w:shd w:val="clear" w:color="auto" w:fill="FFFFFF"/>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1.成交检测机构应严格按照《安庆市农业农村局关于做好2022年农产品质量安全市级例行监测（风险监测）工作的通知》（庆农办[2022]13号）文件要求，按时按质按量完成样品检验、结果报送等工作。农产品抽样由安庆市农产品质量安全检测中心负责，检验、车辆运输、税费、服务、保险等所有费用均含在合同报价里，由成交检测机构承担。</w:t>
      </w:r>
    </w:p>
    <w:p>
      <w:pPr>
        <w:spacing w:line="420" w:lineRule="exact"/>
        <w:ind w:firstLine="420" w:firstLineChars="200"/>
        <w:rPr>
          <w:rFonts w:ascii="宋体" w:hAnsi="宋体" w:cs="宋体"/>
          <w:color w:val="333333"/>
          <w:kern w:val="0"/>
          <w:szCs w:val="21"/>
        </w:rPr>
      </w:pPr>
      <w:r>
        <w:rPr>
          <w:rFonts w:hint="eastAsia" w:ascii="宋体" w:hAnsi="宋体" w:cs="宋体"/>
          <w:color w:val="333333"/>
          <w:kern w:val="0"/>
          <w:szCs w:val="21"/>
        </w:rPr>
        <w:t>2.</w:t>
      </w:r>
      <w:r>
        <w:rPr>
          <w:rFonts w:hint="eastAsia" w:ascii="宋体" w:hAnsi="宋体" w:cs="宋体"/>
          <w:color w:val="333333"/>
          <w:szCs w:val="21"/>
        </w:rPr>
        <w:t>成交检测机构</w:t>
      </w:r>
      <w:r>
        <w:rPr>
          <w:rFonts w:hint="eastAsia" w:ascii="宋体" w:hAnsi="宋体" w:cs="宋体"/>
          <w:color w:val="333333"/>
          <w:kern w:val="0"/>
          <w:szCs w:val="21"/>
        </w:rPr>
        <w:t>按照计划安排和规范要求开展样品检测工作，样品运输要符合样品管理规定，</w:t>
      </w:r>
      <w:r>
        <w:rPr>
          <w:rFonts w:hint="eastAsia" w:ascii="宋体" w:hAnsi="宋体" w:cs="宋体"/>
          <w:color w:val="333333"/>
          <w:szCs w:val="21"/>
        </w:rPr>
        <w:t>样品在保存和运输的过程中，应采取必要的措施保持样品的原有状态。</w:t>
      </w:r>
      <w:r>
        <w:rPr>
          <w:rFonts w:hint="eastAsia" w:ascii="宋体" w:hAnsi="宋体" w:cs="宋体"/>
          <w:color w:val="333333"/>
          <w:kern w:val="0"/>
          <w:szCs w:val="21"/>
        </w:rPr>
        <w:t>不得委托第三方机构或以邮寄、快递等方式运输样品，应当专人专车送达承检机构。</w:t>
      </w:r>
    </w:p>
    <w:p>
      <w:pPr>
        <w:spacing w:line="420" w:lineRule="exact"/>
        <w:ind w:firstLine="420" w:firstLineChars="200"/>
        <w:rPr>
          <w:rFonts w:ascii="宋体" w:hAnsi="宋体" w:cs="宋体"/>
          <w:color w:val="333333"/>
          <w:kern w:val="0"/>
          <w:szCs w:val="21"/>
        </w:rPr>
      </w:pPr>
      <w:r>
        <w:rPr>
          <w:rFonts w:hint="eastAsia" w:ascii="宋体" w:hAnsi="宋体" w:cs="宋体"/>
          <w:color w:val="333333"/>
          <w:kern w:val="0"/>
          <w:szCs w:val="21"/>
        </w:rPr>
        <w:t>3.蔬菜产品：采购人在样品检测前添加盲样或平行样。水产品、畜禽样品：采购人在样品检测前随机添加平行样或抽取部分复检样送其他具备相应资质的检测机构进行复检。</w:t>
      </w:r>
    </w:p>
    <w:p>
      <w:pPr>
        <w:spacing w:line="420" w:lineRule="exact"/>
        <w:ind w:firstLine="420" w:firstLineChars="200"/>
        <w:rPr>
          <w:rFonts w:ascii="宋体" w:hAnsi="宋体" w:cs="宋体"/>
          <w:color w:val="333333"/>
          <w:szCs w:val="21"/>
        </w:rPr>
      </w:pPr>
      <w:r>
        <w:rPr>
          <w:rFonts w:hint="eastAsia" w:ascii="宋体" w:hAnsi="宋体" w:cs="宋体"/>
          <w:color w:val="333333"/>
          <w:szCs w:val="21"/>
        </w:rPr>
        <w:t>4.</w:t>
      </w:r>
      <w:r>
        <w:rPr>
          <w:rFonts w:hint="eastAsia" w:ascii="宋体" w:hAnsi="宋体" w:cs="宋体"/>
          <w:color w:val="333333"/>
          <w:kern w:val="0"/>
          <w:szCs w:val="21"/>
        </w:rPr>
        <w:t>成交检测机构应如实、准确、完整、及时地填写检验原始记录，按磋商文件规定的检测要求、检测标准及时向采购人提供合法准确的检测结果。例行监测在样品交接后1个月内及时提供电子版检测报告并及时寄送纸质版检测报告。</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5.成交检测机构应履行保密义务，未经采购人同意，不得对外公布检测结果，否则由此引起的一切法律责任由检测机构承担。</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6.在检验过程中发现被检样品存在严重安全问题或较高风险问题的，经确认无误后24小时内将问题或有关情况及时报告采购人。</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7.备份样品按规定保存和处理。</w:t>
      </w:r>
    </w:p>
    <w:p>
      <w:pPr>
        <w:pStyle w:val="4"/>
        <w:shd w:val="clear" w:color="auto" w:fill="FFFFFF"/>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8.针对承检任务建立并落实专项质量控制计划。</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9.成交检测机构在项目结束前，要汇总报送监测结果、样品情况汇总表及分析报告。</w:t>
      </w:r>
    </w:p>
    <w:p>
      <w:pPr>
        <w:pStyle w:val="4"/>
        <w:shd w:val="clear" w:color="auto" w:fill="FFFFFF"/>
        <w:adjustRightInd w:val="0"/>
        <w:spacing w:before="0" w:beforeAutospacing="0" w:after="0" w:afterAutospacing="0" w:line="420" w:lineRule="exact"/>
        <w:ind w:firstLine="422" w:firstLineChars="200"/>
        <w:jc w:val="both"/>
        <w:rPr>
          <w:rFonts w:ascii="宋体" w:hAnsi="宋体" w:eastAsia="宋体" w:cs="宋体"/>
          <w:color w:val="333333"/>
          <w:sz w:val="21"/>
          <w:szCs w:val="21"/>
        </w:rPr>
      </w:pPr>
      <w:r>
        <w:rPr>
          <w:rFonts w:hint="eastAsia" w:ascii="宋体" w:hAnsi="宋体" w:eastAsia="宋体" w:cs="宋体"/>
          <w:b/>
          <w:bCs/>
          <w:color w:val="333333"/>
          <w:sz w:val="21"/>
          <w:szCs w:val="21"/>
        </w:rPr>
        <w:t>四、投标检测机构人员、设备及其他要求</w:t>
      </w:r>
    </w:p>
    <w:p>
      <w:pPr>
        <w:pStyle w:val="4"/>
        <w:shd w:val="clear" w:color="auto" w:fill="FFFFFF"/>
        <w:adjustRightInd w:val="0"/>
        <w:spacing w:before="0" w:beforeAutospacing="0" w:after="0" w:afterAutospacing="0" w:line="420" w:lineRule="exact"/>
        <w:ind w:firstLine="422" w:firstLineChars="200"/>
        <w:jc w:val="both"/>
        <w:rPr>
          <w:rFonts w:ascii="宋体" w:hAnsi="宋体" w:eastAsia="宋体" w:cs="宋体"/>
          <w:b/>
          <w:bCs/>
          <w:color w:val="333333"/>
          <w:sz w:val="21"/>
          <w:szCs w:val="21"/>
        </w:rPr>
      </w:pPr>
      <w:r>
        <w:rPr>
          <w:rFonts w:hint="eastAsia" w:ascii="宋体" w:hAnsi="宋体" w:eastAsia="宋体" w:cs="宋体"/>
          <w:b/>
          <w:bCs/>
          <w:color w:val="333333"/>
          <w:sz w:val="21"/>
          <w:szCs w:val="21"/>
        </w:rPr>
        <w:t>1.检测机构从业人员要求</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（1）检测机构具有符合承担农产品质量安全抽检工作任务所需的人员，应熟悉承检品种的检验方法及相关法律法规要求，并具有较为丰富的农产品检验工作经验。</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2）检测机构检验从业人员岗位职责、分工明确。投标检测机构应设置有独立的技术管理人员、业务管理人员、检验人员以及抽样人员等农产品检验从业人员，可分别承担抽样、检测、数据汇总、结果报送、分析评估等工作，能按照时限要求汇总上报检测相关信息，食品检验从业人员总体数量与承检任务要求相匹配。</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（3）投标检测机构检验从业人员职称结构良好。在农产品质量安全、农产品检验方法等专业方向具有专业人才。</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（4）投标检测机构检验人员应当持有检验人员上岗证，熟练掌握农产品质量安全法律法规，能按照国内现行有效的标准方法从事农产品检测工作。</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（5）投标检测机构具有专门从事抽样工作的人员，并经过培训考核，熟悉和掌握样品采集方法和相关技术要求。</w:t>
      </w:r>
    </w:p>
    <w:p>
      <w:pPr>
        <w:pStyle w:val="4"/>
        <w:shd w:val="clear" w:color="auto" w:fill="FFFFFF"/>
        <w:adjustRightInd w:val="0"/>
        <w:spacing w:before="0" w:beforeAutospacing="0" w:after="0" w:afterAutospacing="0" w:line="420" w:lineRule="exact"/>
        <w:ind w:firstLine="422" w:firstLineChars="200"/>
        <w:jc w:val="both"/>
        <w:rPr>
          <w:rFonts w:ascii="宋体" w:hAnsi="宋体" w:eastAsia="宋体" w:cs="宋体"/>
          <w:b/>
          <w:bCs/>
          <w:color w:val="333333"/>
          <w:sz w:val="21"/>
          <w:szCs w:val="21"/>
        </w:rPr>
      </w:pPr>
      <w:r>
        <w:rPr>
          <w:rFonts w:hint="eastAsia" w:ascii="宋体" w:hAnsi="宋体" w:eastAsia="宋体" w:cs="宋体"/>
          <w:b/>
          <w:bCs/>
          <w:color w:val="333333"/>
          <w:sz w:val="21"/>
          <w:szCs w:val="21"/>
        </w:rPr>
        <w:t>2.投标检测机构实验室环境设施和仪器设备要求</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（1）</w:t>
      </w:r>
      <w:r>
        <w:rPr>
          <w:rFonts w:hint="eastAsia" w:ascii="宋体" w:hAnsi="宋体" w:eastAsia="宋体" w:cs="宋体"/>
          <w:bCs/>
          <w:color w:val="333333"/>
          <w:sz w:val="21"/>
          <w:szCs w:val="21"/>
        </w:rPr>
        <w:t>投标检测机构</w:t>
      </w:r>
      <w:r>
        <w:rPr>
          <w:rFonts w:hint="eastAsia" w:ascii="宋体" w:hAnsi="宋体" w:eastAsia="宋体" w:cs="宋体"/>
          <w:color w:val="333333"/>
          <w:sz w:val="21"/>
          <w:szCs w:val="21"/>
        </w:rPr>
        <w:t>应具有满足承检任务需要的农产品检测实验室面积，以及样品贮存需要的样品常温以及冷藏冷冻库。</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（2）</w:t>
      </w:r>
      <w:r>
        <w:rPr>
          <w:rFonts w:hint="eastAsia" w:ascii="宋体" w:hAnsi="宋体" w:eastAsia="宋体" w:cs="宋体"/>
          <w:bCs/>
          <w:color w:val="333333"/>
          <w:sz w:val="21"/>
          <w:szCs w:val="21"/>
        </w:rPr>
        <w:t>投标检测机构</w:t>
      </w:r>
      <w:r>
        <w:rPr>
          <w:rFonts w:hint="eastAsia" w:ascii="宋体" w:hAnsi="宋体" w:eastAsia="宋体" w:cs="宋体"/>
          <w:color w:val="333333"/>
          <w:sz w:val="21"/>
          <w:szCs w:val="21"/>
        </w:rPr>
        <w:t>实验室环境设施应当符合国家实验室有关管理规定的要求。</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（3）</w:t>
      </w:r>
      <w:r>
        <w:rPr>
          <w:rFonts w:hint="eastAsia" w:ascii="宋体" w:hAnsi="宋体" w:eastAsia="宋体" w:cs="宋体"/>
          <w:bCs/>
          <w:color w:val="333333"/>
          <w:sz w:val="21"/>
          <w:szCs w:val="21"/>
        </w:rPr>
        <w:t>投标检测机构</w:t>
      </w:r>
      <w:r>
        <w:rPr>
          <w:rFonts w:hint="eastAsia" w:ascii="宋体" w:hAnsi="宋体" w:eastAsia="宋体" w:cs="宋体"/>
          <w:color w:val="333333"/>
          <w:sz w:val="21"/>
          <w:szCs w:val="21"/>
        </w:rPr>
        <w:t>实验室设置应当满足样品储存、处理、检验、数据处理、结果分析汇总等工作要求。</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（4）</w:t>
      </w:r>
      <w:r>
        <w:rPr>
          <w:rFonts w:hint="eastAsia" w:ascii="宋体" w:hAnsi="宋体" w:eastAsia="宋体" w:cs="宋体"/>
          <w:bCs/>
          <w:color w:val="333333"/>
          <w:sz w:val="21"/>
          <w:szCs w:val="21"/>
        </w:rPr>
        <w:t>投标检测机构</w:t>
      </w:r>
      <w:r>
        <w:rPr>
          <w:rFonts w:hint="eastAsia" w:ascii="宋体" w:hAnsi="宋体" w:eastAsia="宋体" w:cs="宋体"/>
          <w:color w:val="333333"/>
          <w:sz w:val="21"/>
          <w:szCs w:val="21"/>
        </w:rPr>
        <w:t>实验室具有固定并满足承检任务需要的仪器设备和标准物质。保证仪器设备运行良好，有完整的仪器设备档案。</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3.</w:t>
      </w:r>
      <w:r>
        <w:rPr>
          <w:rFonts w:hint="eastAsia" w:ascii="宋体" w:hAnsi="宋体" w:eastAsia="宋体" w:cs="宋体"/>
          <w:bCs/>
          <w:color w:val="333333"/>
          <w:sz w:val="21"/>
          <w:szCs w:val="21"/>
        </w:rPr>
        <w:t xml:space="preserve"> 投标检测机构</w:t>
      </w:r>
      <w:r>
        <w:rPr>
          <w:rFonts w:hint="eastAsia" w:ascii="宋体" w:hAnsi="宋体" w:eastAsia="宋体" w:cs="宋体"/>
          <w:color w:val="333333"/>
          <w:sz w:val="21"/>
          <w:szCs w:val="21"/>
        </w:rPr>
        <w:t>应具备配合采购人在安庆市辖区范围内应急处置的能力。</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需在突发事件发生时做出有效响应，防止和消除可能发生的农产品质量安全隐患。在应急情况下，成交检测机构一般应在不超过 4 小时内完成应急响应。具体的应急处理保障措施，应在应急处理方案中详细表述。能够按照规定的时限完成抽样、送样、检验、数据报送任务，并提供良好的检验检测相关服务。</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4.无条件接受安庆市农业农村局组织的检查和考核。</w:t>
      </w:r>
    </w:p>
    <w:p>
      <w:pPr>
        <w:pStyle w:val="4"/>
        <w:shd w:val="clear" w:color="auto" w:fill="FFFFFF"/>
        <w:adjustRightInd w:val="0"/>
        <w:spacing w:before="0" w:beforeAutospacing="0" w:after="0" w:afterAutospacing="0" w:line="420" w:lineRule="exact"/>
        <w:ind w:firstLine="420" w:firstLineChars="200"/>
        <w:jc w:val="both"/>
        <w:rPr>
          <w:rFonts w:ascii="宋体" w:hAnsi="宋体" w:eastAsia="宋体" w:cs="宋体"/>
          <w:color w:val="333333"/>
          <w:sz w:val="21"/>
          <w:szCs w:val="21"/>
        </w:rPr>
      </w:pPr>
      <w:r>
        <w:rPr>
          <w:rFonts w:hint="eastAsia" w:ascii="宋体" w:hAnsi="宋体" w:eastAsia="宋体" w:cs="宋体"/>
          <w:color w:val="333333"/>
          <w:sz w:val="21"/>
          <w:szCs w:val="21"/>
        </w:rPr>
        <w:t>5.成交检测机构在履约期间如被发现存在虚假行为，采购人有权利终止合同，并上报监管机构予以处理，由此带来的一切责任均由成交检测机构承担。</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0000000000000000000"/>
    <w:charset w:val="86"/>
    <w:family w:val="auto"/>
    <w:pitch w:val="default"/>
    <w:sig w:usb0="00000000" w:usb1="00000000" w:usb2="00000000" w:usb3="00000000" w:csb0="0004009F" w:csb1="DFD70000"/>
  </w:font>
  <w:font w:name="新宋体">
    <w:panose1 w:val="02010609030101010101"/>
    <w:charset w:val="86"/>
    <w:family w:val="modern"/>
    <w:pitch w:val="default"/>
    <w:sig w:usb0="00000283" w:usb1="288F0000" w:usb2="00000006"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3"/>
      <w:numFmt w:val="chineseCounting"/>
      <w:suff w:val="nothing"/>
      <w:lvlText w:val="%1、"/>
      <w:lvlJc w:val="left"/>
      <w:pPr>
        <w:ind w:left="-2"/>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7D7BD8"/>
    <w:rsid w:val="197D7BD8"/>
    <w:rsid w:val="5B2A36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tabs>
        <w:tab w:val="left" w:pos="1440"/>
        <w:tab w:val="left" w:pos="5670"/>
      </w:tabs>
      <w:spacing w:beforeLines="100" w:afterLines="100"/>
      <w:ind w:firstLine="2890" w:firstLineChars="1203"/>
      <w:outlineLvl w:val="0"/>
    </w:pPr>
    <w:rPr>
      <w:rFonts w:ascii="黑体" w:eastAsia="黑体"/>
      <w:b/>
      <w:kern w:val="44"/>
      <w:sz w:val="28"/>
      <w:szCs w:val="28"/>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pPr>
  </w:style>
  <w:style w:type="paragraph" w:styleId="4">
    <w:name w:val="Normal (Web)"/>
    <w:basedOn w:val="1"/>
    <w:qFormat/>
    <w:uiPriority w:val="0"/>
    <w:pPr>
      <w:widowControl/>
      <w:spacing w:before="100" w:beforeAutospacing="1" w:after="100" w:afterAutospacing="1"/>
      <w:jc w:val="left"/>
    </w:pPr>
    <w:rPr>
      <w:rFonts w:ascii="Arial" w:hAnsi="Arial" w:eastAsia="Arial Unicode MS" w:cs="Arial"/>
      <w:kern w:val="0"/>
      <w:sz w:val="24"/>
      <w:szCs w:val="24"/>
    </w:rPr>
  </w:style>
  <w:style w:type="character" w:customStyle="1" w:styleId="7">
    <w:name w:val="NormalCharacter"/>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2022-04-27T07:45:00Z</dcterms:created>
  <dc:creator>兔子爱上了窝边草</dc:creator>
  <cp:lastModifiedBy>兔子爱上了窝边草</cp:lastModifiedBy>
  <dcterms:modified xsi:type="dcterms:W3CDTF">2022-04-27T07:48:38Z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B585808575194029AE073207CF8399B6</vt:lpwstr>
  </property>
</Properties>
</file>