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版本号：N513311202600021220260622001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2026年“甘孜优品”城市推广活动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N5133112026000212</w:t>
      </w:r>
    </w:p>
    <w:p>
      <w:pPr>
        <w:pStyle w:val="null3"/>
        <w:jc w:val="left"/>
        <w:outlineLvl w:val="2"/>
      </w:pPr>
      <w:r>
        <w:rPr>
          <w:rFonts w:ascii="仿宋_GB2312" w:hAnsi="仿宋_GB2312" w:cs="仿宋_GB2312" w:eastAsia="仿宋_GB2312"/>
          <w:sz w:val="28"/>
          <w:b/>
        </w:rPr>
        <w:t>甘孜藏族自治州商务经济合作和外事局</w:t>
      </w:r>
    </w:p>
    <w:p>
      <w:pPr>
        <w:pStyle w:val="null3"/>
        <w:jc w:val="center"/>
        <w:outlineLvl w:val="2"/>
      </w:pPr>
      <w:r>
        <w:rPr>
          <w:rFonts w:ascii="仿宋_GB2312" w:hAnsi="仿宋_GB2312" w:cs="仿宋_GB2312" w:eastAsia="仿宋_GB2312"/>
          <w:sz w:val="28"/>
          <w:b/>
        </w:rPr>
        <w:t>四川国弘建中工程咨询有限公司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四川国弘建中工程咨询有限公司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委托，拟对 </w:t>
      </w:r>
      <w:r>
        <w:rPr>
          <w:rFonts w:ascii="仿宋_GB2312" w:hAnsi="仿宋_GB2312" w:cs="仿宋_GB2312" w:eastAsia="仿宋_GB2312"/>
        </w:rPr>
        <w:t>2026年“甘孜优品”城市推广活动</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N5133112026000212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2026年“甘孜优品”城市推广活动</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组织全州有机、绿色、高原优质农特产品集中参展，开展线上线下联动宣传推广，持续提升“圣洁甘孜”公共品牌知名度与影响力，有效拓宽我州农特产品省内外终端销售渠道，助推甘孜特色农牧产业提质增效、市场主体发展壮大、农牧群众稳定增收致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甘孜藏族自治州商务经济合作和外事局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四川省康定市炉城镇沿河西街1号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0836-2831172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四川国弘建中工程咨询有限公司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四川省成都市武侯区中国（四川）自由贸易试验区成都高新区盛邦街88号8栋9楼3号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胡延吉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028-85121268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代理服务费收费标准：按照成本加合理利润原则将向中标单位收取招标代理服务费5500元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和 </w:t>
      </w:r>
      <w:r>
        <w:rPr>
          <w:rFonts w:ascii="仿宋_GB2312" w:hAnsi="仿宋_GB2312" w:cs="仿宋_GB2312" w:eastAsia="仿宋_GB2312"/>
        </w:rPr>
        <w:t>四川国弘建中工程咨询有限公司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四川国弘建中工程咨询有限公司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按照本项目采购文件中的技术服务要求及成交人响应文件、双方签订的合同进行验收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按照本项目采购文件中的商务要求及成交人响应文件、双方签订的合同进行验收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验收标准：以国家等相关标准、本采购文件要求、供应商的响应文件和合同作为验收依据，如实际的货物或服务与响应文件不符或不满足相关国家标准，供应商承担相应的法律责任。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甘孜藏族自治州商务经济合作和外事局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四川国弘建中工程咨询有限公司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四川国弘建中工程咨询有限公司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联系人：胡先生</w:t>
      </w:r>
    </w:p>
    <w:p>
      <w:pPr>
        <w:pStyle w:val="null3"/>
        <w:jc w:val="left"/>
      </w:pPr>
      <w:r>
        <w:rPr>
          <w:rFonts w:ascii="仿宋_GB2312" w:hAnsi="仿宋_GB2312" w:cs="仿宋_GB2312" w:eastAsia="仿宋_GB2312"/>
        </w:rPr>
        <w:t>联系电话：028-85121268</w:t>
      </w:r>
    </w:p>
    <w:p>
      <w:pPr>
        <w:pStyle w:val="null3"/>
        <w:jc w:val="left"/>
      </w:pPr>
      <w:r>
        <w:rPr>
          <w:rFonts w:ascii="仿宋_GB2312" w:hAnsi="仿宋_GB2312" w:cs="仿宋_GB2312" w:eastAsia="仿宋_GB2312"/>
        </w:rPr>
        <w:t>地址：四川省成都市武侯区中国（四川）自由贸易试验区成都高新区盛邦街88号8栋9楼3号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640,000.00</w:t>
      </w:r>
    </w:p>
    <w:p>
      <w:pPr>
        <w:pStyle w:val="null3"/>
        <w:jc w:val="left"/>
      </w:pPr>
      <w:r>
        <w:rPr>
          <w:rFonts w:ascii="仿宋_GB2312" w:hAnsi="仿宋_GB2312" w:cs="仿宋_GB2312" w:eastAsia="仿宋_GB2312"/>
        </w:rPr>
        <w:t>采购包最高限价（元）: 640,000.00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C22990000 其他会议、展览、住宿和餐饮服务</w:t>
            </w:r>
          </w:p>
        </w:tc>
        <w:tc>
          <w:tcPr>
            <w:tcW w:type="dxa" w:w="821"/>
          </w:tcPr>
          <w:p>
            <w:pPr>
              <w:pStyle w:val="null3"/>
              <w:jc w:val="left"/>
            </w:pPr>
            <w:r>
              <w:rPr>
                <w:rFonts w:ascii="仿宋_GB2312" w:hAnsi="仿宋_GB2312" w:cs="仿宋_GB2312" w:eastAsia="仿宋_GB2312"/>
              </w:rPr>
              <w:t>2026年“甘孜优品”城市推广活动</w:t>
            </w:r>
          </w:p>
        </w:tc>
        <w:tc>
          <w:tcPr>
            <w:tcW w:type="dxa" w:w="821"/>
          </w:tcPr>
          <w:p>
            <w:pPr>
              <w:pStyle w:val="null3"/>
              <w:jc w:val="right"/>
            </w:pPr>
            <w:r>
              <w:rPr>
                <w:rFonts w:ascii="仿宋_GB2312" w:hAnsi="仿宋_GB2312" w:cs="仿宋_GB2312" w:eastAsia="仿宋_GB2312"/>
              </w:rPr>
              <w:t>1.00（场）</w:t>
            </w:r>
          </w:p>
        </w:tc>
        <w:tc>
          <w:tcPr>
            <w:tcW w:type="dxa" w:w="821"/>
          </w:tcPr>
          <w:p>
            <w:pPr>
              <w:pStyle w:val="null3"/>
              <w:jc w:val="right"/>
            </w:pPr>
            <w:r>
              <w:rPr>
                <w:rFonts w:ascii="仿宋_GB2312" w:hAnsi="仿宋_GB2312" w:cs="仿宋_GB2312" w:eastAsia="仿宋_GB2312"/>
              </w:rPr>
              <w:t>640,000.00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2026年“甘孜优品”城市推广活动</w:t>
            </w:r>
          </w:p>
        </w:tc>
        <w:tc>
          <w:tcPr>
            <w:tcW w:type="dxa" w:w="1138"/>
          </w:tcPr>
          <w:p>
            <w:pPr>
              <w:pStyle w:val="null3"/>
              <w:jc w:val="center"/>
            </w:pPr>
            <w:r>
              <w:rPr>
                <w:rFonts w:ascii="仿宋_GB2312" w:hAnsi="仿宋_GB2312" w:cs="仿宋_GB2312" w:eastAsia="仿宋_GB2312"/>
              </w:rPr>
              <w:t>1.00（场）</w:t>
            </w:r>
          </w:p>
        </w:tc>
        <w:tc>
          <w:tcPr>
            <w:tcW w:type="dxa" w:w="1365"/>
          </w:tcPr>
          <w:p>
            <w:pPr>
              <w:pStyle w:val="null3"/>
              <w:jc w:val="center"/>
            </w:pPr>
            <w:r>
              <w:rPr>
                <w:rFonts w:ascii="仿宋_GB2312" w:hAnsi="仿宋_GB2312" w:cs="仿宋_GB2312" w:eastAsia="仿宋_GB2312"/>
              </w:rPr>
              <w:t>640,000.00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标的名称：2026年“甘孜优品”城市推广活动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技术要求与标准</w:t>
            </w:r>
          </w:p>
        </w:tc>
        <w:tc>
          <w:tcPr>
            <w:tcW w:type="dxa" w:w="5814"/>
          </w:tcPr>
          <w:p>
            <w:pPr>
              <w:pStyle w:val="null3"/>
              <w:jc w:val="both"/>
            </w:pPr>
            <w:r>
              <w:rPr>
                <w:rFonts w:ascii="仿宋_GB2312" w:hAnsi="仿宋_GB2312" w:cs="仿宋_GB2312" w:eastAsia="仿宋_GB2312"/>
                <w:sz w:val="32"/>
              </w:rPr>
              <w:t>一、项目概况：</w:t>
            </w:r>
            <w:r>
              <w:rPr>
                <w:rFonts w:ascii="仿宋_GB2312" w:hAnsi="仿宋_GB2312" w:cs="仿宋_GB2312" w:eastAsia="仿宋_GB2312"/>
                <w:sz w:val="32"/>
              </w:rPr>
              <w:t>为深入贯彻落实巩固拓展脱贫攻坚成果同乡村振兴有效衔接、深化省内对口帮扶、融入成渝地区双城经济圈建设等工作部署，聚焦产销对接、消费帮扶、农商互联、市场拓展四大重点任务，依托成都市区位优势、商圈流量及市场辐射能力，拟举办</w:t>
            </w:r>
            <w:r>
              <w:rPr>
                <w:rFonts w:ascii="仿宋_GB2312" w:hAnsi="仿宋_GB2312" w:cs="仿宋_GB2312" w:eastAsia="仿宋_GB2312"/>
                <w:sz w:val="32"/>
              </w:rPr>
              <w:t>2026</w:t>
            </w:r>
            <w:r>
              <w:rPr>
                <w:rFonts w:ascii="仿宋_GB2312" w:hAnsi="仿宋_GB2312" w:cs="仿宋_GB2312" w:eastAsia="仿宋_GB2312"/>
                <w:sz w:val="32"/>
              </w:rPr>
              <w:t>年</w:t>
            </w:r>
            <w:r>
              <w:rPr>
                <w:rFonts w:ascii="仿宋_GB2312" w:hAnsi="仿宋_GB2312" w:cs="仿宋_GB2312" w:eastAsia="仿宋_GB2312"/>
                <w:sz w:val="32"/>
              </w:rPr>
              <w:t>“</w:t>
            </w:r>
            <w:r>
              <w:rPr>
                <w:rFonts w:ascii="仿宋_GB2312" w:hAnsi="仿宋_GB2312" w:cs="仿宋_GB2312" w:eastAsia="仿宋_GB2312"/>
                <w:sz w:val="32"/>
              </w:rPr>
              <w:t>甘孜优品</w:t>
            </w:r>
            <w:r>
              <w:rPr>
                <w:rFonts w:ascii="仿宋_GB2312" w:hAnsi="仿宋_GB2312" w:cs="仿宋_GB2312" w:eastAsia="仿宋_GB2312"/>
                <w:sz w:val="32"/>
              </w:rPr>
              <w:t>”</w:t>
            </w:r>
            <w:r>
              <w:rPr>
                <w:rFonts w:ascii="仿宋_GB2312" w:hAnsi="仿宋_GB2312" w:cs="仿宋_GB2312" w:eastAsia="仿宋_GB2312"/>
                <w:sz w:val="32"/>
              </w:rPr>
              <w:t>城市推广专场活动。组织全州有机、绿色、高原优质农特产品集中参展，开展线上线下联动宣传推广，持续提升</w:t>
            </w:r>
            <w:r>
              <w:rPr>
                <w:rFonts w:ascii="仿宋_GB2312" w:hAnsi="仿宋_GB2312" w:cs="仿宋_GB2312" w:eastAsia="仿宋_GB2312"/>
                <w:sz w:val="32"/>
              </w:rPr>
              <w:t>“</w:t>
            </w:r>
            <w:r>
              <w:rPr>
                <w:rFonts w:ascii="仿宋_GB2312" w:hAnsi="仿宋_GB2312" w:cs="仿宋_GB2312" w:eastAsia="仿宋_GB2312"/>
                <w:sz w:val="32"/>
              </w:rPr>
              <w:t>圣洁甘孜</w:t>
            </w:r>
            <w:r>
              <w:rPr>
                <w:rFonts w:ascii="仿宋_GB2312" w:hAnsi="仿宋_GB2312" w:cs="仿宋_GB2312" w:eastAsia="仿宋_GB2312"/>
                <w:sz w:val="32"/>
              </w:rPr>
              <w:t>”</w:t>
            </w:r>
            <w:r>
              <w:rPr>
                <w:rFonts w:ascii="仿宋_GB2312" w:hAnsi="仿宋_GB2312" w:cs="仿宋_GB2312" w:eastAsia="仿宋_GB2312"/>
                <w:sz w:val="32"/>
              </w:rPr>
              <w:t>公共品牌知名度与影响力，有效拓宽我州农特产品省内外终端销售渠道，助推甘孜特色农牧产业提质增效、市场主体发展壮大、农牧群众稳定增收致富，特制定本活动方案。</w:t>
            </w:r>
          </w:p>
          <w:p>
            <w:pPr>
              <w:pStyle w:val="null3"/>
              <w:jc w:val="both"/>
            </w:pPr>
            <w:r>
              <w:rPr>
                <w:rFonts w:ascii="仿宋_GB2312" w:hAnsi="仿宋_GB2312" w:cs="仿宋_GB2312" w:eastAsia="仿宋_GB2312"/>
                <w:sz w:val="32"/>
              </w:rPr>
              <w:t>二</w:t>
            </w:r>
            <w:r>
              <w:rPr>
                <w:rFonts w:ascii="仿宋_GB2312" w:hAnsi="仿宋_GB2312" w:cs="仿宋_GB2312" w:eastAsia="仿宋_GB2312"/>
                <w:sz w:val="32"/>
              </w:rPr>
              <w:t>、活动主题</w:t>
            </w:r>
          </w:p>
          <w:p>
            <w:pPr>
              <w:pStyle w:val="null3"/>
              <w:jc w:val="both"/>
            </w:pPr>
            <w:r>
              <w:rPr>
                <w:rFonts w:ascii="仿宋_GB2312" w:hAnsi="仿宋_GB2312" w:cs="仿宋_GB2312" w:eastAsia="仿宋_GB2312"/>
                <w:sz w:val="32"/>
              </w:rPr>
              <w:t>甘孜优品</w:t>
            </w:r>
            <w:r>
              <w:rPr>
                <w:rFonts w:ascii="仿宋_GB2312" w:hAnsi="仿宋_GB2312" w:cs="仿宋_GB2312" w:eastAsia="仿宋_GB2312"/>
                <w:sz w:val="32"/>
              </w:rPr>
              <w:t>·</w:t>
            </w:r>
            <w:r>
              <w:rPr>
                <w:rFonts w:ascii="仿宋_GB2312" w:hAnsi="仿宋_GB2312" w:cs="仿宋_GB2312" w:eastAsia="仿宋_GB2312"/>
                <w:sz w:val="32"/>
              </w:rPr>
              <w:t>产销联动</w:t>
            </w:r>
            <w:r>
              <w:rPr>
                <w:rFonts w:ascii="仿宋_GB2312" w:hAnsi="仿宋_GB2312" w:cs="仿宋_GB2312" w:eastAsia="仿宋_GB2312"/>
                <w:sz w:val="32"/>
              </w:rPr>
              <w:t>·</w:t>
            </w:r>
            <w:r>
              <w:rPr>
                <w:rFonts w:ascii="仿宋_GB2312" w:hAnsi="仿宋_GB2312" w:cs="仿宋_GB2312" w:eastAsia="仿宋_GB2312"/>
                <w:sz w:val="32"/>
              </w:rPr>
              <w:t>赋能振兴</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、活动时间</w:t>
            </w:r>
          </w:p>
          <w:p>
            <w:pPr>
              <w:pStyle w:val="null3"/>
              <w:jc w:val="both"/>
            </w:pPr>
            <w:r>
              <w:rPr>
                <w:rFonts w:ascii="仿宋_GB2312" w:hAnsi="仿宋_GB2312" w:cs="仿宋_GB2312" w:eastAsia="仿宋_GB2312"/>
                <w:sz w:val="32"/>
              </w:rPr>
              <w:t>2026</w:t>
            </w:r>
            <w:r>
              <w:rPr>
                <w:rFonts w:ascii="仿宋_GB2312" w:hAnsi="仿宋_GB2312" w:cs="仿宋_GB2312" w:eastAsia="仿宋_GB2312"/>
                <w:sz w:val="32"/>
              </w:rPr>
              <w:t>年</w:t>
            </w:r>
            <w:r>
              <w:rPr>
                <w:rFonts w:ascii="仿宋_GB2312" w:hAnsi="仿宋_GB2312" w:cs="仿宋_GB2312" w:eastAsia="仿宋_GB2312"/>
                <w:sz w:val="32"/>
              </w:rPr>
              <w:t>7</w:t>
            </w:r>
            <w:r>
              <w:rPr>
                <w:rFonts w:ascii="仿宋_GB2312" w:hAnsi="仿宋_GB2312" w:cs="仿宋_GB2312" w:eastAsia="仿宋_GB2312"/>
                <w:sz w:val="32"/>
              </w:rPr>
              <w:t>月（</w:t>
            </w:r>
            <w:r>
              <w:rPr>
                <w:rFonts w:ascii="仿宋_GB2312" w:hAnsi="仿宋_GB2312" w:cs="仿宋_GB2312" w:eastAsia="仿宋_GB2312"/>
                <w:sz w:val="32"/>
              </w:rPr>
              <w:t>服务期限</w:t>
            </w:r>
            <w:r>
              <w:rPr>
                <w:rFonts w:ascii="仿宋_GB2312" w:hAnsi="仿宋_GB2312" w:cs="仿宋_GB2312" w:eastAsia="仿宋_GB2312"/>
                <w:sz w:val="32"/>
              </w:rPr>
              <w:t>为</w:t>
            </w:r>
            <w:r>
              <w:rPr>
                <w:rFonts w:ascii="仿宋_GB2312" w:hAnsi="仿宋_GB2312" w:cs="仿宋_GB2312" w:eastAsia="仿宋_GB2312"/>
                <w:sz w:val="32"/>
              </w:rPr>
              <w:t>自合同签订之日起</w:t>
            </w:r>
            <w:r>
              <w:rPr>
                <w:rFonts w:ascii="仿宋_GB2312" w:hAnsi="仿宋_GB2312" w:cs="仿宋_GB2312" w:eastAsia="仿宋_GB2312"/>
                <w:sz w:val="32"/>
              </w:rPr>
              <w:t>10</w:t>
            </w:r>
            <w:r>
              <w:rPr>
                <w:rFonts w:ascii="仿宋_GB2312" w:hAnsi="仿宋_GB2312" w:cs="仿宋_GB2312" w:eastAsia="仿宋_GB2312"/>
                <w:sz w:val="32"/>
              </w:rPr>
              <w:t>日</w:t>
            </w:r>
            <w:r>
              <w:rPr>
                <w:rFonts w:ascii="仿宋_GB2312" w:hAnsi="仿宋_GB2312" w:cs="仿宋_GB2312" w:eastAsia="仿宋_GB2312"/>
                <w:sz w:val="32"/>
              </w:rPr>
              <w:t>内</w:t>
            </w:r>
            <w:r>
              <w:rPr>
                <w:rFonts w:ascii="仿宋_GB2312" w:hAnsi="仿宋_GB2312" w:cs="仿宋_GB2312" w:eastAsia="仿宋_GB2312"/>
                <w:sz w:val="32"/>
              </w:rPr>
              <w:t>，</w:t>
            </w:r>
            <w:r>
              <w:rPr>
                <w:rFonts w:ascii="仿宋_GB2312" w:hAnsi="仿宋_GB2312" w:cs="仿宋_GB2312" w:eastAsia="仿宋_GB2312"/>
                <w:sz w:val="32"/>
              </w:rPr>
              <w:t>具体</w:t>
            </w:r>
            <w:r>
              <w:rPr>
                <w:rFonts w:ascii="仿宋_GB2312" w:hAnsi="仿宋_GB2312" w:cs="仿宋_GB2312" w:eastAsia="仿宋_GB2312"/>
                <w:sz w:val="32"/>
              </w:rPr>
              <w:t>活动</w:t>
            </w:r>
            <w:r>
              <w:rPr>
                <w:rFonts w:ascii="仿宋_GB2312" w:hAnsi="仿宋_GB2312" w:cs="仿宋_GB2312" w:eastAsia="仿宋_GB2312"/>
                <w:sz w:val="32"/>
              </w:rPr>
              <w:t>时间</w:t>
            </w:r>
            <w:r>
              <w:rPr>
                <w:rFonts w:ascii="仿宋_GB2312" w:hAnsi="仿宋_GB2312" w:cs="仿宋_GB2312" w:eastAsia="仿宋_GB2312"/>
                <w:sz w:val="32"/>
              </w:rPr>
              <w:t>为</w:t>
            </w:r>
            <w:r>
              <w:rPr>
                <w:rFonts w:ascii="仿宋_GB2312" w:hAnsi="仿宋_GB2312" w:cs="仿宋_GB2312" w:eastAsia="仿宋_GB2312"/>
                <w:sz w:val="32"/>
              </w:rPr>
              <w:t>3</w:t>
            </w:r>
            <w:r>
              <w:rPr>
                <w:rFonts w:ascii="仿宋_GB2312" w:hAnsi="仿宋_GB2312" w:cs="仿宋_GB2312" w:eastAsia="仿宋_GB2312"/>
                <w:sz w:val="32"/>
              </w:rPr>
              <w:t>天，具体时间待定）</w:t>
            </w:r>
          </w:p>
          <w:p>
            <w:pPr>
              <w:pStyle w:val="null3"/>
              <w:jc w:val="both"/>
            </w:pPr>
            <w:r>
              <w:rPr>
                <w:rFonts w:ascii="仿宋_GB2312" w:hAnsi="仿宋_GB2312" w:cs="仿宋_GB2312" w:eastAsia="仿宋_GB2312"/>
                <w:sz w:val="32"/>
              </w:rPr>
              <w:t>四</w:t>
            </w:r>
            <w:r>
              <w:rPr>
                <w:rFonts w:ascii="仿宋_GB2312" w:hAnsi="仿宋_GB2312" w:cs="仿宋_GB2312" w:eastAsia="仿宋_GB2312"/>
                <w:sz w:val="32"/>
              </w:rPr>
              <w:t>、活动内容</w:t>
            </w:r>
          </w:p>
          <w:p>
            <w:pPr>
              <w:pStyle w:val="null3"/>
              <w:jc w:val="both"/>
            </w:pPr>
            <w:r>
              <w:rPr>
                <w:rFonts w:ascii="仿宋_GB2312" w:hAnsi="仿宋_GB2312" w:cs="仿宋_GB2312" w:eastAsia="仿宋_GB2312"/>
                <w:sz w:val="32"/>
              </w:rPr>
              <w:t>一是线下集中展示展销。组织全州各县（市）</w:t>
            </w:r>
            <w:r>
              <w:rPr>
                <w:rFonts w:ascii="仿宋_GB2312" w:hAnsi="仿宋_GB2312" w:cs="仿宋_GB2312" w:eastAsia="仿宋_GB2312"/>
                <w:sz w:val="32"/>
              </w:rPr>
              <w:t>18</w:t>
            </w:r>
            <w:r>
              <w:rPr>
                <w:rFonts w:ascii="仿宋_GB2312" w:hAnsi="仿宋_GB2312" w:cs="仿宋_GB2312" w:eastAsia="仿宋_GB2312"/>
                <w:sz w:val="32"/>
              </w:rPr>
              <w:t>家及以上企业、专业合作社、特色农特产品经营主体集中参展，筛选州内有机、绿色、优质农特产品企业入驻展位，重点展示展销牦牛肉、藏香猪、高原食用菌、花椒、高原饮品、藏式特色农副产品等优质品类，设置标准展位，面向成都市民、采购商开展现场零售与洽谈合作。</w:t>
            </w:r>
          </w:p>
          <w:p>
            <w:pPr>
              <w:pStyle w:val="null3"/>
              <w:jc w:val="both"/>
            </w:pPr>
            <w:r>
              <w:rPr>
                <w:rFonts w:ascii="仿宋_GB2312" w:hAnsi="仿宋_GB2312" w:cs="仿宋_GB2312" w:eastAsia="仿宋_GB2312"/>
                <w:sz w:val="32"/>
              </w:rPr>
              <w:t>二是现场推介与产销对接。举办</w:t>
            </w:r>
            <w:r>
              <w:rPr>
                <w:rFonts w:ascii="仿宋_GB2312" w:hAnsi="仿宋_GB2312" w:cs="仿宋_GB2312" w:eastAsia="仿宋_GB2312"/>
                <w:sz w:val="32"/>
              </w:rPr>
              <w:t>“</w:t>
            </w:r>
            <w:r>
              <w:rPr>
                <w:rFonts w:ascii="仿宋_GB2312" w:hAnsi="仿宋_GB2312" w:cs="仿宋_GB2312" w:eastAsia="仿宋_GB2312"/>
                <w:sz w:val="32"/>
              </w:rPr>
              <w:t>甘孜优品</w:t>
            </w:r>
            <w:r>
              <w:rPr>
                <w:rFonts w:ascii="仿宋_GB2312" w:hAnsi="仿宋_GB2312" w:cs="仿宋_GB2312" w:eastAsia="仿宋_GB2312"/>
                <w:sz w:val="32"/>
              </w:rPr>
              <w:t>”</w:t>
            </w:r>
            <w:r>
              <w:rPr>
                <w:rFonts w:ascii="仿宋_GB2312" w:hAnsi="仿宋_GB2312" w:cs="仿宋_GB2312" w:eastAsia="仿宋_GB2312"/>
                <w:sz w:val="32"/>
              </w:rPr>
              <w:t>专场推介会，面向成都大型商超、餐饮连锁、生鲜卖场、农产品经销商、机关企事业单位采购平台进行产品推介，开展一对一农商供需洽谈，搭建长期稳定供货、渠道入驻、集采团购合作桥梁。</w:t>
            </w:r>
          </w:p>
          <w:p>
            <w:pPr>
              <w:pStyle w:val="null3"/>
              <w:jc w:val="both"/>
            </w:pPr>
            <w:r>
              <w:rPr>
                <w:rFonts w:ascii="仿宋_GB2312" w:hAnsi="仿宋_GB2312" w:cs="仿宋_GB2312" w:eastAsia="仿宋_GB2312"/>
                <w:sz w:val="32"/>
              </w:rPr>
              <w:t>三是美食品鉴互动体验。设置现场品鉴体验区，选取甘孜特色农特产品进行现场加工、免费品鉴，增强市民直观体验，提升产品认可度和购买意愿，集聚活动人气。</w:t>
            </w:r>
          </w:p>
          <w:p>
            <w:pPr>
              <w:pStyle w:val="null3"/>
              <w:jc w:val="both"/>
            </w:pPr>
            <w:r>
              <w:rPr>
                <w:rFonts w:ascii="仿宋_GB2312" w:hAnsi="仿宋_GB2312" w:cs="仿宋_GB2312" w:eastAsia="仿宋_GB2312"/>
                <w:sz w:val="32"/>
              </w:rPr>
              <w:t>四是线上同步宣传推广。联动本地网红主播开展现场宣传直播，通过短视频、朋友圈、本地媒体矩阵开展全方位宣传造势，实现线下</w:t>
            </w:r>
            <w:r>
              <w:rPr>
                <w:rFonts w:ascii="仿宋_GB2312" w:hAnsi="仿宋_GB2312" w:cs="仿宋_GB2312" w:eastAsia="仿宋_GB2312"/>
                <w:sz w:val="32"/>
              </w:rPr>
              <w:t>+</w:t>
            </w:r>
            <w:r>
              <w:rPr>
                <w:rFonts w:ascii="仿宋_GB2312" w:hAnsi="仿宋_GB2312" w:cs="仿宋_GB2312" w:eastAsia="仿宋_GB2312"/>
                <w:sz w:val="32"/>
              </w:rPr>
              <w:t>线上引流双向发力，扩大活动覆盖面和产品销量。</w:t>
            </w:r>
          </w:p>
          <w:p>
            <w:pPr>
              <w:pStyle w:val="null3"/>
              <w:jc w:val="both"/>
            </w:pPr>
            <w:r>
              <w:rPr>
                <w:rFonts w:ascii="仿宋_GB2312" w:hAnsi="仿宋_GB2312" w:cs="仿宋_GB2312" w:eastAsia="仿宋_GB2312"/>
                <w:sz w:val="32"/>
              </w:rPr>
              <w:t>五、</w:t>
            </w:r>
            <w:r>
              <w:rPr>
                <w:rFonts w:ascii="仿宋_GB2312" w:hAnsi="仿宋_GB2312" w:cs="仿宋_GB2312" w:eastAsia="仿宋_GB2312"/>
                <w:sz w:val="32"/>
              </w:rPr>
              <w:t>服务内容</w:t>
            </w:r>
          </w:p>
          <w:p>
            <w:pPr>
              <w:pStyle w:val="null3"/>
              <w:jc w:val="both"/>
            </w:pPr>
            <w:r>
              <w:rPr>
                <w:rFonts w:ascii="仿宋_GB2312" w:hAnsi="仿宋_GB2312" w:cs="仿宋_GB2312" w:eastAsia="仿宋_GB2312"/>
                <w:sz w:val="32"/>
              </w:rPr>
              <w:t>（一）整体策划与方案设计</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．整体活动策划：结合乡村振兴、消费帮扶主题，出具全套活动策划方案、视觉整体方案、动线规划、氛围设计方案，方案需突出甘孜地域文化、高原农产特色，经采购人审核通过后方可实施。</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．分区规划：合理划分产品展销区、品牌展示区、品鉴体验区、商务洽谈区四大功能区域，明确各区域面积、功能、布局。</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 xml:space="preserve">．物料设计：统一设计全套视觉物料（主 </w:t>
            </w:r>
            <w:r>
              <w:rPr>
                <w:rFonts w:ascii="仿宋_GB2312" w:hAnsi="仿宋_GB2312" w:cs="仿宋_GB2312" w:eastAsia="仿宋_GB2312"/>
                <w:sz w:val="32"/>
              </w:rPr>
              <w:t>KV</w:t>
            </w:r>
            <w:r>
              <w:rPr>
                <w:rFonts w:ascii="仿宋_GB2312" w:hAnsi="仿宋_GB2312" w:cs="仿宋_GB2312" w:eastAsia="仿宋_GB2312"/>
                <w:sz w:val="32"/>
              </w:rPr>
              <w:t xml:space="preserve">、海报、导视牌、展板、工作牌等），所有物料需嵌入 </w:t>
            </w:r>
            <w:r>
              <w:rPr>
                <w:rFonts w:ascii="仿宋_GB2312" w:hAnsi="仿宋_GB2312" w:cs="仿宋_GB2312" w:eastAsia="仿宋_GB2312"/>
                <w:sz w:val="32"/>
              </w:rPr>
              <w:t>“</w:t>
            </w:r>
            <w:r>
              <w:rPr>
                <w:rFonts w:ascii="仿宋_GB2312" w:hAnsi="仿宋_GB2312" w:cs="仿宋_GB2312" w:eastAsia="仿宋_GB2312"/>
                <w:sz w:val="32"/>
              </w:rPr>
              <w:t>圣洁甘孜</w:t>
            </w:r>
            <w:r>
              <w:rPr>
                <w:rFonts w:ascii="仿宋_GB2312" w:hAnsi="仿宋_GB2312" w:cs="仿宋_GB2312" w:eastAsia="仿宋_GB2312"/>
                <w:sz w:val="32"/>
              </w:rPr>
              <w:t>”“</w:t>
            </w:r>
            <w:r>
              <w:rPr>
                <w:rFonts w:ascii="仿宋_GB2312" w:hAnsi="仿宋_GB2312" w:cs="仿宋_GB2312" w:eastAsia="仿宋_GB2312"/>
                <w:sz w:val="32"/>
              </w:rPr>
              <w:t>甘孜优品</w:t>
            </w:r>
            <w:r>
              <w:rPr>
                <w:rFonts w:ascii="仿宋_GB2312" w:hAnsi="仿宋_GB2312" w:cs="仿宋_GB2312" w:eastAsia="仿宋_GB2312"/>
                <w:sz w:val="32"/>
              </w:rPr>
              <w:t xml:space="preserve">” </w:t>
            </w:r>
            <w:r>
              <w:rPr>
                <w:rFonts w:ascii="仿宋_GB2312" w:hAnsi="仿宋_GB2312" w:cs="仿宋_GB2312" w:eastAsia="仿宋_GB2312"/>
                <w:sz w:val="32"/>
              </w:rPr>
              <w:t>官方品牌标识，版权无争议。</w:t>
            </w:r>
          </w:p>
          <w:p>
            <w:pPr>
              <w:pStyle w:val="null3"/>
              <w:jc w:val="both"/>
            </w:pPr>
            <w:r>
              <w:rPr>
                <w:rFonts w:ascii="仿宋_GB2312" w:hAnsi="仿宋_GB2312" w:cs="仿宋_GB2312" w:eastAsia="仿宋_GB2312"/>
                <w:sz w:val="32"/>
              </w:rPr>
              <w:t>（二）场地协调、搭建与美陈布置</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 xml:space="preserve">．场地对接：负责活动场地选址、对接、签约、场地费用结算、用电 </w:t>
            </w:r>
            <w:r>
              <w:rPr>
                <w:rFonts w:ascii="仿宋_GB2312" w:hAnsi="仿宋_GB2312" w:cs="仿宋_GB2312" w:eastAsia="仿宋_GB2312"/>
                <w:sz w:val="32"/>
              </w:rPr>
              <w:t xml:space="preserve">/ </w:t>
            </w:r>
            <w:r>
              <w:rPr>
                <w:rFonts w:ascii="仿宋_GB2312" w:hAnsi="仿宋_GB2312" w:cs="仿宋_GB2312" w:eastAsia="仿宋_GB2312"/>
                <w:sz w:val="32"/>
              </w:rPr>
              <w:t xml:space="preserve">用水 </w:t>
            </w:r>
            <w:r>
              <w:rPr>
                <w:rFonts w:ascii="仿宋_GB2312" w:hAnsi="仿宋_GB2312" w:cs="仿宋_GB2312" w:eastAsia="仿宋_GB2312"/>
                <w:sz w:val="32"/>
              </w:rPr>
              <w:t xml:space="preserve">/ </w:t>
            </w:r>
            <w:r>
              <w:rPr>
                <w:rFonts w:ascii="仿宋_GB2312" w:hAnsi="仿宋_GB2312" w:cs="仿宋_GB2312" w:eastAsia="仿宋_GB2312"/>
                <w:sz w:val="32"/>
              </w:rPr>
              <w:t>消防报备，办理场地所有合规手续，承担场地相关安全责任。</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．展位及功能区搭建</w:t>
            </w:r>
          </w:p>
          <w:p>
            <w:pPr>
              <w:pStyle w:val="null3"/>
              <w:jc w:val="both"/>
            </w:pPr>
            <w:r>
              <w:rPr>
                <w:rFonts w:ascii="仿宋_GB2312" w:hAnsi="仿宋_GB2312" w:cs="仿宋_GB2312" w:eastAsia="仿宋_GB2312"/>
                <w:sz w:val="32"/>
              </w:rPr>
              <w:t xml:space="preserve">2.1. </w:t>
            </w:r>
            <w:r>
              <w:rPr>
                <w:rFonts w:ascii="仿宋_GB2312" w:hAnsi="仿宋_GB2312" w:cs="仿宋_GB2312" w:eastAsia="仿宋_GB2312"/>
                <w:sz w:val="32"/>
              </w:rPr>
              <w:t>标准展销展位：为甘孜州参展企业搭建统一规格标准展位，含展台、电源、宣传位等，材质环保、结构牢固。</w:t>
            </w:r>
          </w:p>
          <w:p>
            <w:pPr>
              <w:pStyle w:val="null3"/>
              <w:jc w:val="both"/>
            </w:pPr>
            <w:r>
              <w:rPr>
                <w:rFonts w:ascii="仿宋_GB2312" w:hAnsi="仿宋_GB2312" w:cs="仿宋_GB2312" w:eastAsia="仿宋_GB2312"/>
                <w:sz w:val="32"/>
              </w:rPr>
              <w:t xml:space="preserve">2.2. </w:t>
            </w:r>
            <w:r>
              <w:rPr>
                <w:rFonts w:ascii="仿宋_GB2312" w:hAnsi="仿宋_GB2312" w:cs="仿宋_GB2312" w:eastAsia="仿宋_GB2312"/>
                <w:sz w:val="32"/>
              </w:rPr>
              <w:t xml:space="preserve">品牌形象区：打造主题形象主舞台 </w:t>
            </w:r>
            <w:r>
              <w:rPr>
                <w:rFonts w:ascii="仿宋_GB2312" w:hAnsi="仿宋_GB2312" w:cs="仿宋_GB2312" w:eastAsia="仿宋_GB2312"/>
                <w:sz w:val="32"/>
              </w:rPr>
              <w:t xml:space="preserve">/ </w:t>
            </w:r>
            <w:r>
              <w:rPr>
                <w:rFonts w:ascii="仿宋_GB2312" w:hAnsi="仿宋_GB2312" w:cs="仿宋_GB2312" w:eastAsia="仿宋_GB2312"/>
                <w:sz w:val="32"/>
              </w:rPr>
              <w:t>主背景、文化展示墙，展示甘孜自然风光、民俗文化、农产品种养加工流程。</w:t>
            </w:r>
          </w:p>
          <w:p>
            <w:pPr>
              <w:pStyle w:val="null3"/>
              <w:jc w:val="both"/>
            </w:pPr>
            <w:r>
              <w:rPr>
                <w:rFonts w:ascii="仿宋_GB2312" w:hAnsi="仿宋_GB2312" w:cs="仿宋_GB2312" w:eastAsia="仿宋_GB2312"/>
                <w:sz w:val="32"/>
              </w:rPr>
              <w:t xml:space="preserve">2.3. </w:t>
            </w:r>
            <w:r>
              <w:rPr>
                <w:rFonts w:ascii="仿宋_GB2312" w:hAnsi="仿宋_GB2312" w:cs="仿宋_GB2312" w:eastAsia="仿宋_GB2312"/>
                <w:sz w:val="32"/>
              </w:rPr>
              <w:t>品鉴区、洽谈区：配套桌椅、灯光等基础设施，满足试吃、商务对接需求。</w:t>
            </w:r>
          </w:p>
          <w:p>
            <w:pPr>
              <w:pStyle w:val="null3"/>
              <w:jc w:val="both"/>
            </w:pPr>
            <w:r>
              <w:rPr>
                <w:rFonts w:ascii="仿宋_GB2312" w:hAnsi="仿宋_GB2312" w:cs="仿宋_GB2312" w:eastAsia="仿宋_GB2312"/>
                <w:sz w:val="32"/>
              </w:rPr>
              <w:t xml:space="preserve">2.4. </w:t>
            </w:r>
            <w:r>
              <w:rPr>
                <w:rFonts w:ascii="仿宋_GB2312" w:hAnsi="仿宋_GB2312" w:cs="仿宋_GB2312" w:eastAsia="仿宋_GB2312"/>
                <w:sz w:val="32"/>
              </w:rPr>
              <w:t>现场氛围布置：全场氛围装饰、绿植、主题美陈、指引标识、警示标识等，保证现场美观、导向清晰。</w:t>
            </w:r>
          </w:p>
          <w:p>
            <w:pPr>
              <w:pStyle w:val="null3"/>
              <w:jc w:val="both"/>
            </w:pPr>
            <w:r>
              <w:rPr>
                <w:rFonts w:ascii="仿宋_GB2312" w:hAnsi="仿宋_GB2312" w:cs="仿宋_GB2312" w:eastAsia="仿宋_GB2312"/>
                <w:sz w:val="32"/>
              </w:rPr>
              <w:t xml:space="preserve">2.5. </w:t>
            </w:r>
            <w:r>
              <w:rPr>
                <w:rFonts w:ascii="仿宋_GB2312" w:hAnsi="仿宋_GB2312" w:cs="仿宋_GB2312" w:eastAsia="仿宋_GB2312"/>
                <w:sz w:val="32"/>
              </w:rPr>
              <w:t>施工规范：搭建、拆除全程遵守成都本地消防、安全管理规定，施工时间合规，完工后清理场地；所有搭建物料符合环保、防火标准。</w:t>
            </w:r>
          </w:p>
          <w:p>
            <w:pPr>
              <w:pStyle w:val="null3"/>
              <w:jc w:val="both"/>
            </w:pPr>
            <w:r>
              <w:rPr>
                <w:rFonts w:ascii="仿宋_GB2312" w:hAnsi="仿宋_GB2312" w:cs="仿宋_GB2312" w:eastAsia="仿宋_GB2312"/>
                <w:sz w:val="32"/>
              </w:rPr>
              <w:t>（三）参展组织与现场运营服务</w:t>
            </w:r>
          </w:p>
          <w:p>
            <w:pPr>
              <w:pStyle w:val="null3"/>
              <w:jc w:val="both"/>
            </w:pPr>
            <w:r>
              <w:rPr>
                <w:rFonts w:ascii="仿宋_GB2312" w:hAnsi="仿宋_GB2312" w:cs="仿宋_GB2312" w:eastAsia="仿宋_GB2312"/>
                <w:sz w:val="32"/>
              </w:rPr>
              <w:t xml:space="preserve">1. </w:t>
            </w:r>
            <w:r>
              <w:rPr>
                <w:rFonts w:ascii="仿宋_GB2312" w:hAnsi="仿宋_GB2312" w:cs="仿宋_GB2312" w:eastAsia="仿宋_GB2312"/>
                <w:sz w:val="32"/>
              </w:rPr>
              <w:t>参展对接：配合采购人组织甘孜州农特产品企业进场，完成参展指引、展位分配、进场离场管理。</w:t>
            </w:r>
          </w:p>
          <w:p>
            <w:pPr>
              <w:pStyle w:val="null3"/>
              <w:jc w:val="both"/>
            </w:pPr>
            <w:r>
              <w:rPr>
                <w:rFonts w:ascii="仿宋_GB2312" w:hAnsi="仿宋_GB2312" w:cs="仿宋_GB2312" w:eastAsia="仿宋_GB2312"/>
                <w:sz w:val="32"/>
              </w:rPr>
              <w:t xml:space="preserve">2. </w:t>
            </w:r>
            <w:r>
              <w:rPr>
                <w:rFonts w:ascii="仿宋_GB2312" w:hAnsi="仿宋_GB2312" w:cs="仿宋_GB2312" w:eastAsia="仿宋_GB2312"/>
                <w:sz w:val="32"/>
              </w:rPr>
              <w:t xml:space="preserve">现场人员配置：配置专属项目总负责人 </w:t>
            </w:r>
            <w:r>
              <w:rPr>
                <w:rFonts w:ascii="仿宋_GB2312" w:hAnsi="仿宋_GB2312" w:cs="仿宋_GB2312" w:eastAsia="仿宋_GB2312"/>
                <w:sz w:val="32"/>
              </w:rPr>
              <w:t xml:space="preserve">1 </w:t>
            </w:r>
            <w:r>
              <w:rPr>
                <w:rFonts w:ascii="仿宋_GB2312" w:hAnsi="仿宋_GB2312" w:cs="仿宋_GB2312" w:eastAsia="仿宋_GB2312"/>
                <w:sz w:val="32"/>
              </w:rPr>
              <w:t xml:space="preserve">名、现场执行主管 </w:t>
            </w:r>
            <w:r>
              <w:rPr>
                <w:rFonts w:ascii="仿宋_GB2312" w:hAnsi="仿宋_GB2312" w:cs="仿宋_GB2312" w:eastAsia="仿宋_GB2312"/>
                <w:sz w:val="32"/>
              </w:rPr>
              <w:t xml:space="preserve">1 </w:t>
            </w:r>
            <w:r>
              <w:rPr>
                <w:rFonts w:ascii="仿宋_GB2312" w:hAnsi="仿宋_GB2312" w:cs="仿宋_GB2312" w:eastAsia="仿宋_GB2312"/>
                <w:sz w:val="32"/>
              </w:rPr>
              <w:t>名</w:t>
            </w:r>
            <w:r>
              <w:rPr>
                <w:rFonts w:ascii="仿宋_GB2312" w:hAnsi="仿宋_GB2312" w:cs="仿宋_GB2312" w:eastAsia="仿宋_GB2312"/>
                <w:sz w:val="32"/>
              </w:rPr>
              <w:t>，全程在岗；</w:t>
            </w:r>
            <w:r>
              <w:rPr>
                <w:rFonts w:ascii="仿宋_GB2312" w:hAnsi="仿宋_GB2312" w:cs="仿宋_GB2312" w:eastAsia="仿宋_GB2312"/>
                <w:sz w:val="32"/>
              </w:rPr>
              <w:t>每日明确在岗人数，保障现场秩序。</w:t>
            </w:r>
          </w:p>
          <w:p>
            <w:pPr>
              <w:pStyle w:val="null3"/>
              <w:jc w:val="both"/>
            </w:pPr>
            <w:r>
              <w:rPr>
                <w:rFonts w:ascii="仿宋_GB2312" w:hAnsi="仿宋_GB2312" w:cs="仿宋_GB2312" w:eastAsia="仿宋_GB2312"/>
                <w:sz w:val="32"/>
              </w:rPr>
              <w:t xml:space="preserve">3. </w:t>
            </w:r>
            <w:r>
              <w:rPr>
                <w:rFonts w:ascii="仿宋_GB2312" w:hAnsi="仿宋_GB2312" w:cs="仿宋_GB2312" w:eastAsia="仿宋_GB2312"/>
                <w:sz w:val="32"/>
              </w:rPr>
              <w:t>现场卫生：全域保洁，及时清理垃圾、废弃物料，保持展区、品鉴区、公共区域干净整洁。</w:t>
            </w:r>
          </w:p>
          <w:p>
            <w:pPr>
              <w:pStyle w:val="null3"/>
              <w:jc w:val="both"/>
            </w:pPr>
            <w:r>
              <w:rPr>
                <w:rFonts w:ascii="仿宋_GB2312" w:hAnsi="仿宋_GB2312" w:cs="仿宋_GB2312" w:eastAsia="仿宋_GB2312"/>
                <w:sz w:val="32"/>
              </w:rPr>
              <w:t>（四）线上</w:t>
            </w:r>
            <w:r>
              <w:rPr>
                <w:rFonts w:ascii="仿宋_GB2312" w:hAnsi="仿宋_GB2312" w:cs="仿宋_GB2312" w:eastAsia="仿宋_GB2312"/>
                <w:sz w:val="32"/>
              </w:rPr>
              <w:t xml:space="preserve"> + </w:t>
            </w:r>
            <w:r>
              <w:rPr>
                <w:rFonts w:ascii="仿宋_GB2312" w:hAnsi="仿宋_GB2312" w:cs="仿宋_GB2312" w:eastAsia="仿宋_GB2312"/>
                <w:sz w:val="32"/>
              </w:rPr>
              <w:t>线下宣传推广服务</w:t>
            </w:r>
          </w:p>
          <w:p>
            <w:pPr>
              <w:pStyle w:val="null3"/>
              <w:jc w:val="both"/>
            </w:pPr>
            <w:r>
              <w:rPr>
                <w:rFonts w:ascii="仿宋_GB2312" w:hAnsi="仿宋_GB2312" w:cs="仿宋_GB2312" w:eastAsia="仿宋_GB2312"/>
                <w:sz w:val="32"/>
              </w:rPr>
              <w:t xml:space="preserve">1. </w:t>
            </w:r>
            <w:r>
              <w:rPr>
                <w:rFonts w:ascii="仿宋_GB2312" w:hAnsi="仿宋_GB2312" w:cs="仿宋_GB2312" w:eastAsia="仿宋_GB2312"/>
                <w:sz w:val="32"/>
              </w:rPr>
              <w:t>线下宣传：活动全程专业摄影、摄像，抓拍产品展示、品鉴、洽谈等关键环节，全程留存高清图片、视频素材。</w:t>
            </w:r>
          </w:p>
          <w:p>
            <w:pPr>
              <w:pStyle w:val="null3"/>
              <w:jc w:val="both"/>
            </w:pPr>
            <w:r>
              <w:rPr>
                <w:rFonts w:ascii="仿宋_GB2312" w:hAnsi="仿宋_GB2312" w:cs="仿宋_GB2312" w:eastAsia="仿宋_GB2312"/>
                <w:sz w:val="32"/>
              </w:rPr>
              <w:t xml:space="preserve">2. </w:t>
            </w:r>
            <w:r>
              <w:rPr>
                <w:rFonts w:ascii="仿宋_GB2312" w:hAnsi="仿宋_GB2312" w:cs="仿宋_GB2312" w:eastAsia="仿宋_GB2312"/>
                <w:sz w:val="32"/>
              </w:rPr>
              <w:t>线上宣传：</w:t>
            </w:r>
          </w:p>
          <w:p>
            <w:pPr>
              <w:pStyle w:val="null3"/>
              <w:jc w:val="both"/>
            </w:pPr>
            <w:r>
              <w:rPr>
                <w:rFonts w:ascii="仿宋_GB2312" w:hAnsi="仿宋_GB2312" w:cs="仿宋_GB2312" w:eastAsia="仿宋_GB2312"/>
                <w:sz w:val="32"/>
              </w:rPr>
              <w:t xml:space="preserve">2.1. </w:t>
            </w:r>
            <w:r>
              <w:rPr>
                <w:rFonts w:ascii="仿宋_GB2312" w:hAnsi="仿宋_GB2312" w:cs="仿宋_GB2312" w:eastAsia="仿宋_GB2312"/>
                <w:sz w:val="32"/>
              </w:rPr>
              <w:t xml:space="preserve">短视频 </w:t>
            </w:r>
            <w:r>
              <w:rPr>
                <w:rFonts w:ascii="仿宋_GB2312" w:hAnsi="仿宋_GB2312" w:cs="仿宋_GB2312" w:eastAsia="仿宋_GB2312"/>
                <w:sz w:val="32"/>
              </w:rPr>
              <w:t xml:space="preserve">/ </w:t>
            </w:r>
            <w:r>
              <w:rPr>
                <w:rFonts w:ascii="仿宋_GB2312" w:hAnsi="仿宋_GB2312" w:cs="仿宋_GB2312" w:eastAsia="仿宋_GB2312"/>
                <w:sz w:val="32"/>
              </w:rPr>
              <w:t>图文宣传：活动期间产出</w:t>
            </w:r>
            <w:r>
              <w:rPr>
                <w:rFonts w:ascii="仿宋_GB2312" w:hAnsi="仿宋_GB2312" w:cs="仿宋_GB2312" w:eastAsia="仿宋_GB2312"/>
                <w:sz w:val="32"/>
              </w:rPr>
              <w:t>1</w:t>
            </w:r>
            <w:r>
              <w:rPr>
                <w:rFonts w:ascii="仿宋_GB2312" w:hAnsi="仿宋_GB2312" w:cs="仿宋_GB2312" w:eastAsia="仿宋_GB2312"/>
                <w:sz w:val="32"/>
              </w:rPr>
              <w:t>条宣传短视频、图文稿件，发布至主流短视频平台、本地生活平台、媒体账号。</w:t>
            </w:r>
          </w:p>
          <w:p>
            <w:pPr>
              <w:pStyle w:val="null3"/>
              <w:jc w:val="both"/>
            </w:pPr>
            <w:r>
              <w:rPr>
                <w:rFonts w:ascii="仿宋_GB2312" w:hAnsi="仿宋_GB2312" w:cs="仿宋_GB2312" w:eastAsia="仿宋_GB2312"/>
                <w:sz w:val="32"/>
              </w:rPr>
              <w:t xml:space="preserve">2.2. </w:t>
            </w:r>
            <w:r>
              <w:rPr>
                <w:rFonts w:ascii="仿宋_GB2312" w:hAnsi="仿宋_GB2312" w:cs="仿宋_GB2312" w:eastAsia="仿宋_GB2312"/>
                <w:sz w:val="32"/>
              </w:rPr>
              <w:t>媒体对接：对接本地主流媒体、行业媒体发布活动新闻稿，扩大活动影响力。</w:t>
            </w:r>
          </w:p>
          <w:p>
            <w:pPr>
              <w:pStyle w:val="null3"/>
              <w:jc w:val="both"/>
            </w:pPr>
            <w:r>
              <w:rPr>
                <w:rFonts w:ascii="仿宋_GB2312" w:hAnsi="仿宋_GB2312" w:cs="仿宋_GB2312" w:eastAsia="仿宋_GB2312"/>
                <w:sz w:val="32"/>
              </w:rPr>
              <w:t>（五）后勤、安保、应急保障服务</w:t>
            </w:r>
          </w:p>
          <w:p>
            <w:pPr>
              <w:pStyle w:val="null3"/>
              <w:jc w:val="both"/>
            </w:pPr>
            <w:r>
              <w:rPr>
                <w:rFonts w:ascii="仿宋_GB2312" w:hAnsi="仿宋_GB2312" w:cs="仿宋_GB2312" w:eastAsia="仿宋_GB2312"/>
                <w:sz w:val="32"/>
              </w:rPr>
              <w:t xml:space="preserve">1. </w:t>
            </w:r>
            <w:r>
              <w:rPr>
                <w:rFonts w:ascii="仿宋_GB2312" w:hAnsi="仿宋_GB2312" w:cs="仿宋_GB2312" w:eastAsia="仿宋_GB2312"/>
                <w:sz w:val="32"/>
              </w:rPr>
              <w:t>人员食宿交通：按需保障甘孜参展企业工作人员在成都的餐食、住宿、短途交通，严格参照政府采购食宿标准执行。</w:t>
            </w:r>
          </w:p>
          <w:p>
            <w:pPr>
              <w:pStyle w:val="null3"/>
              <w:jc w:val="both"/>
            </w:pPr>
            <w:r>
              <w:rPr>
                <w:rFonts w:ascii="仿宋_GB2312" w:hAnsi="仿宋_GB2312" w:cs="仿宋_GB2312" w:eastAsia="仿宋_GB2312"/>
                <w:sz w:val="32"/>
              </w:rPr>
              <w:t xml:space="preserve">2. </w:t>
            </w:r>
            <w:r>
              <w:rPr>
                <w:rFonts w:ascii="仿宋_GB2312" w:hAnsi="仿宋_GB2312" w:cs="仿宋_GB2312" w:eastAsia="仿宋_GB2312"/>
                <w:sz w:val="32"/>
              </w:rPr>
              <w:t>安保服务：配备专职安保人员，维护现场人流秩序、展品安全、消防安全，排查安全隐患；高峰期加强人流管控，杜绝踩踏、物品丢失等事故。</w:t>
            </w:r>
          </w:p>
          <w:p>
            <w:pPr>
              <w:pStyle w:val="null3"/>
              <w:jc w:val="both"/>
            </w:pPr>
            <w:r>
              <w:rPr>
                <w:rFonts w:ascii="仿宋_GB2312" w:hAnsi="仿宋_GB2312" w:cs="仿宋_GB2312" w:eastAsia="仿宋_GB2312"/>
                <w:sz w:val="32"/>
              </w:rPr>
              <w:t xml:space="preserve">3. </w:t>
            </w:r>
            <w:r>
              <w:rPr>
                <w:rFonts w:ascii="仿宋_GB2312" w:hAnsi="仿宋_GB2312" w:cs="仿宋_GB2312" w:eastAsia="仿宋_GB2312"/>
                <w:sz w:val="32"/>
              </w:rPr>
              <w:t>应急保障：制定消防、人员突发疾病、极端天气、设备故障等应急预案，配备应急物资、急救用品。</w:t>
            </w:r>
          </w:p>
          <w:p>
            <w:pPr>
              <w:pStyle w:val="null3"/>
              <w:jc w:val="both"/>
            </w:pPr>
            <w:r>
              <w:rPr>
                <w:rFonts w:ascii="仿宋_GB2312" w:hAnsi="仿宋_GB2312" w:cs="仿宋_GB2312" w:eastAsia="仿宋_GB2312"/>
                <w:sz w:val="32"/>
              </w:rPr>
              <w:t>（六）收尾、资料归档与总结服务</w:t>
            </w:r>
          </w:p>
          <w:p>
            <w:pPr>
              <w:pStyle w:val="null3"/>
              <w:jc w:val="both"/>
            </w:pPr>
            <w:r>
              <w:rPr>
                <w:rFonts w:ascii="仿宋_GB2312" w:hAnsi="仿宋_GB2312" w:cs="仿宋_GB2312" w:eastAsia="仿宋_GB2312"/>
                <w:sz w:val="32"/>
              </w:rPr>
              <w:t xml:space="preserve">1. </w:t>
            </w:r>
            <w:r>
              <w:rPr>
                <w:rFonts w:ascii="仿宋_GB2312" w:hAnsi="仿宋_GB2312" w:cs="仿宋_GB2312" w:eastAsia="仿宋_GB2312"/>
                <w:sz w:val="32"/>
              </w:rPr>
              <w:t>现场拆除：活动结束后按时完成所有搭建物拆除、物料清运、场地复原，做到工完场清。</w:t>
            </w:r>
          </w:p>
          <w:p>
            <w:pPr>
              <w:pStyle w:val="null3"/>
              <w:jc w:val="both"/>
            </w:pPr>
            <w:r>
              <w:rPr>
                <w:rFonts w:ascii="仿宋_GB2312" w:hAnsi="仿宋_GB2312" w:cs="仿宋_GB2312" w:eastAsia="仿宋_GB2312"/>
                <w:sz w:val="32"/>
              </w:rPr>
              <w:t xml:space="preserve">2. </w:t>
            </w:r>
            <w:r>
              <w:rPr>
                <w:rFonts w:ascii="仿宋_GB2312" w:hAnsi="仿宋_GB2312" w:cs="仿宋_GB2312" w:eastAsia="仿宋_GB2312"/>
                <w:sz w:val="32"/>
              </w:rPr>
              <w:t>资料整理：汇总活动影像资料、宣传链接、媒体报道、、现场照片视频，整理成册。</w:t>
            </w:r>
          </w:p>
          <w:p>
            <w:pPr>
              <w:pStyle w:val="null3"/>
              <w:jc w:val="both"/>
            </w:pPr>
            <w:r>
              <w:rPr>
                <w:rFonts w:ascii="仿宋_GB2312" w:hAnsi="仿宋_GB2312" w:cs="仿宋_GB2312" w:eastAsia="仿宋_GB2312"/>
                <w:sz w:val="32"/>
              </w:rPr>
              <w:t xml:space="preserve">3. </w:t>
            </w:r>
            <w:r>
              <w:rPr>
                <w:rFonts w:ascii="仿宋_GB2312" w:hAnsi="仿宋_GB2312" w:cs="仿宋_GB2312" w:eastAsia="仿宋_GB2312"/>
                <w:sz w:val="32"/>
              </w:rPr>
              <w:t>活动验收：活动结束后</w:t>
            </w:r>
            <w:r>
              <w:rPr>
                <w:rFonts w:ascii="仿宋_GB2312" w:hAnsi="仿宋_GB2312" w:cs="仿宋_GB2312" w:eastAsia="仿宋_GB2312"/>
                <w:sz w:val="32"/>
              </w:rPr>
              <w:t>5</w:t>
            </w:r>
            <w:r>
              <w:rPr>
                <w:rFonts w:ascii="仿宋_GB2312" w:hAnsi="仿宋_GB2312" w:cs="仿宋_GB2312" w:eastAsia="仿宋_GB2312"/>
                <w:sz w:val="32"/>
              </w:rPr>
              <w:t>个工作日内，提交正式活动验收报告。</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服务期限为自合同签订之日起10日内，具体活动时间为3天，具体时间待定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1、合同签订后，达到付款条件起10日内，支付合同总金额的60.00%</w:t>
            </w:r>
          </w:p>
          <w:p>
            <w:pPr>
              <w:pStyle w:val="null3"/>
              <w:jc w:val="left"/>
            </w:pPr>
            <w:r>
              <w:rPr>
                <w:rFonts w:ascii="仿宋_GB2312" w:hAnsi="仿宋_GB2312" w:cs="仿宋_GB2312" w:eastAsia="仿宋_GB2312"/>
              </w:rPr>
              <w:t>2、活动结束验收合格后，达到付款条件起10日内，支付合同总金额的40.00%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1、验收标准：以国家等相关标准、本采购文件要求、供应商的响应文件和合同作为验收依据，如实际的货物或服务与响应文件不符或不满足相关国家标准，供应商承担相应的法律责任。 2、验收办法：供应商与采购人应严格按照财政部《关于进一步加强政府采购需求和履约验收管理的指导意见》（财库[2016]205号）以及相关质量要求进行验收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2、解决争议的方法 （1）在执行合同中发生的或与本合同有关的争端，双方应通过友好协商解决，经协商在60天内不能达成协议时，应提交仲裁委员会仲裁。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在响应文件中承诺：“严格遵守和执行《中华人民共和国政府采购法》,《中华人民共和国民法典》和其他有关法律、法规及规章制度”。愿意承担因供应商一方原因造成的全部事故责任、安全责任、法律责任和赔偿责任。（提供承诺函，格式自拟）。 ★2、采购文件中涉及的国家标准、行业标准及相关法律法规以最新国家标准、行业标准及相关法律法规为准。供应商须具有履行合同所必需的基本能力并提供承诺（提供承诺函，格式自拟）。 3、其他未尽事宜按照《中华人民共和国政府采购法》及相关法律、法规的相关规定执行并在合同中约定。 4、（1）供应商针对本项目提供的整体活动策划与视觉设计，包括：①总体策划方案；②全套视觉设计方案；③活动氛围整体布置规划；（2）供应商针对本项目提供的活动执行实施方案，包括：①场地搭建方案；②服务体系建立和工作安排；③人员的组织、接待方案；④物流运输方案；⑤安全管理与应急保障方案；（3）供应商针对本项目提供的线上线下整合宣传推广方案，包括：①线下宣传及影像采集 ②线上推广方案；（4）供应商为本项目配备相关人员；（5）供应商具有类似项目履约经验；（6）详细评审规则见评分标准。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需要供应商进行单独承诺的实质性要求。</w:t>
            </w:r>
          </w:p>
        </w:tc>
        <w:tc>
          <w:tcPr>
            <w:tcW w:type="dxa" w:w="3322"/>
          </w:tcPr>
          <w:p>
            <w:pPr>
              <w:pStyle w:val="null3"/>
              <w:jc w:val="left"/>
            </w:pPr>
            <w:r>
              <w:rPr>
                <w:rFonts w:ascii="仿宋_GB2312" w:hAnsi="仿宋_GB2312" w:cs="仿宋_GB2312" w:eastAsia="仿宋_GB2312"/>
              </w:rPr>
              <w:t>需要供应商进行单独承诺的实质性要求，需供应商单独提供材料进行响应。</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整体活动策划与视觉设计</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整体活动策划与视觉设计</w:t>
            </w:r>
          </w:p>
        </w:tc>
        <w:tc>
          <w:tcPr>
            <w:tcW w:type="dxa" w:w="2575"/>
          </w:tcPr>
          <w:p>
            <w:pPr>
              <w:pStyle w:val="null3"/>
              <w:jc w:val="left"/>
            </w:pPr>
            <w:r>
              <w:rPr>
                <w:rFonts w:ascii="仿宋_GB2312" w:hAnsi="仿宋_GB2312" w:cs="仿宋_GB2312" w:eastAsia="仿宋_GB2312"/>
              </w:rPr>
              <w:t>根据供应商提供的整体活动策划与视觉设计，包括①总体策划方案；②全套视觉设计方案；③活动氛围整体布置规划。内容齐全、清晰完善、描述准确、满足项目需求的得30分；每有一项内容缺失扣10分；每有一处内容缺陷扣5分，扣完为止。 注：缺陷是指①内容脱离项目背景、项目需求以及行业或市场客观实际，或涉及的政策规范及标准对本项目不适用；②技术环节不规范或漏缺项；实施操作不规范或漏缺项；③实施过程或质量控制缺乏有效保障机制；重要环节重要流程保障不充分等；④内容交叉混乱、缺乏重点，生搬硬套、套用错用，存在歧义或层次粗略、缺乏具体说明阐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实施方案</w:t>
            </w:r>
          </w:p>
        </w:tc>
      </w:tr>
      <w:tr>
        <w:tc>
          <w:tcPr>
            <w:tcW w:type="dxa" w:w="831"/>
            <w:vMerge/>
          </w:tcPr>
          <w:p/>
        </w:tc>
        <w:tc>
          <w:tcPr>
            <w:tcW w:type="dxa" w:w="1661"/>
          </w:tcPr>
          <w:p>
            <w:pPr>
              <w:pStyle w:val="null3"/>
              <w:jc w:val="left"/>
            </w:pPr>
            <w:r>
              <w:rPr>
                <w:rFonts w:ascii="仿宋_GB2312" w:hAnsi="仿宋_GB2312" w:cs="仿宋_GB2312" w:eastAsia="仿宋_GB2312"/>
              </w:rPr>
              <w:t>活动执行实施方案</w:t>
            </w:r>
          </w:p>
        </w:tc>
        <w:tc>
          <w:tcPr>
            <w:tcW w:type="dxa" w:w="2575"/>
          </w:tcPr>
          <w:p>
            <w:pPr>
              <w:pStyle w:val="null3"/>
              <w:jc w:val="left"/>
            </w:pPr>
            <w:r>
              <w:rPr>
                <w:rFonts w:ascii="仿宋_GB2312" w:hAnsi="仿宋_GB2312" w:cs="仿宋_GB2312" w:eastAsia="仿宋_GB2312"/>
              </w:rPr>
              <w:t>根据供应商提供的活动执行实施方案，包括①场地搭建方案；②服务体系建立和工作安排；③人员的组织、接待方案；④物流运输方案；⑤安全管理与应急保障方案。内容齐全、清晰完善、描述准确、满足项目需求的得35分；每有一项内容缺失扣7分；每有一处内容缺陷扣3.5分，扣完为止。 注：缺陷是指①内容脱离项目背景、项目需求以及行业或市场客观实际，或涉及的政策规范及标准对本项目不适用；②技术环节不规范或漏缺项；实施操作不规范或漏缺项；③实施过程或质量控制缺乏有效保障机制；重要环节重要流程保障不充分等；④内容交叉混乱、缺乏重点，生搬硬套、套用错用，存在歧义或层次粗略、缺乏具体说明阐述。</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线上线下整合宣传推广方案</w:t>
            </w:r>
          </w:p>
        </w:tc>
        <w:tc>
          <w:tcPr>
            <w:tcW w:type="dxa" w:w="2575"/>
          </w:tcPr>
          <w:p>
            <w:pPr>
              <w:pStyle w:val="null3"/>
              <w:jc w:val="left"/>
            </w:pPr>
            <w:r>
              <w:rPr>
                <w:rFonts w:ascii="仿宋_GB2312" w:hAnsi="仿宋_GB2312" w:cs="仿宋_GB2312" w:eastAsia="仿宋_GB2312"/>
              </w:rPr>
              <w:t>根据供应商提供的线上线下整合宣传推广方案，包括①线下宣传及影像采集；②线上推广方案。内容齐全、清晰完善、描述准确、满足项目需求的得12分；每有一项内容缺失扣6分；每有一处内容缺陷扣3分，扣完为止。 注：缺陷是指①内容脱离项目背景、项目需求以及行业或市场客观实际，或涉及的政策规范及标准对本项目不适用；②技术环节不规范或漏缺项；实施操作不规范或漏缺项；③实施过程或质量控制缺乏有效保障机制；重要环节重要流程保障不充分等；④内容交叉混乱、缺乏重点，生搬硬套、套用错用，存在歧义或层次粗略、缺乏具体说明阐述。</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项目团队与履约能力</w:t>
            </w:r>
          </w:p>
        </w:tc>
        <w:tc>
          <w:tcPr>
            <w:tcW w:type="dxa" w:w="2575"/>
          </w:tcPr>
          <w:p>
            <w:pPr>
              <w:pStyle w:val="null3"/>
              <w:jc w:val="left"/>
            </w:pPr>
            <w:r>
              <w:rPr>
                <w:rFonts w:ascii="仿宋_GB2312" w:hAnsi="仿宋_GB2312" w:cs="仿宋_GB2312" w:eastAsia="仿宋_GB2312"/>
              </w:rPr>
              <w:t>1. 专业设计师（2分）：1名，具有大专及以上学历得2分 2. 专职执行团队（4分）：除配置的专属项目总负责人 1 名和现场执行主管 1 名外，执行团队配置完整（策划、执行、后勤、安保等），每个专业配置一个人员得1分。 注：以上人员不重复计分。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供应商提供2023年1月1日至今承接的农特产品展销、城市品牌推广、消费帮扶展会类项目业绩。每提供1个类似业绩得7分，最多计7分。 注：提供合同或中标（成交）通知书复印件加盖供应商公章.时间以合同签订时间或中标（成交）通知书落款时间为准。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