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spacing w:before="48" w:beforeLines="20" w:after="0" w:line="360" w:lineRule="exact"/>
        <w:jc w:val="center"/>
        <w:rPr>
          <w:rFonts w:hint="default" w:ascii="仿宋" w:hAnsi="仿宋" w:eastAsia="仿宋" w:cs="仿宋"/>
          <w:bCs w:val="0"/>
          <w:sz w:val="32"/>
          <w:szCs w:val="32"/>
          <w:lang w:val="en-US" w:eastAsia="zh-CN"/>
        </w:rPr>
      </w:pPr>
      <w:bookmarkStart w:id="0" w:name="_Toc436924810"/>
      <w:bookmarkStart w:id="1" w:name="_Toc1385"/>
      <w:bookmarkStart w:id="2" w:name="_Toc17367"/>
      <w:r>
        <w:rPr>
          <w:rFonts w:hint="eastAsia" w:ascii="仿宋" w:hAnsi="仿宋" w:eastAsia="仿宋" w:cs="仿宋"/>
          <w:bCs w:val="0"/>
          <w:sz w:val="32"/>
          <w:szCs w:val="32"/>
        </w:rPr>
        <w:t>中国医学科学院基础医学研究所实验台、细胞间整体设备环境提升采购项目</w:t>
      </w:r>
      <w:bookmarkEnd w:id="0"/>
      <w:bookmarkEnd w:id="1"/>
      <w:bookmarkEnd w:id="2"/>
      <w:r>
        <w:rPr>
          <w:rFonts w:hint="eastAsia" w:ascii="仿宋" w:hAnsi="仿宋" w:eastAsia="仿宋" w:cs="仿宋"/>
          <w:bCs w:val="0"/>
          <w:sz w:val="32"/>
          <w:szCs w:val="32"/>
          <w:lang w:val="en-US" w:eastAsia="zh-CN"/>
        </w:rPr>
        <w:t>竞争性磋商公告</w:t>
      </w:r>
    </w:p>
    <w:p>
      <w:pPr>
        <w:spacing w:before="48" w:beforeLines="20" w:line="360" w:lineRule="exact"/>
        <w:jc w:val="left"/>
        <w:rPr>
          <w:rFonts w:ascii="仿宋" w:hAnsi="仿宋" w:eastAsia="仿宋" w:cs="仿宋"/>
          <w:bCs/>
          <w:sz w:val="24"/>
          <w:highlight w:val="yellow"/>
        </w:rPr>
      </w:pPr>
      <w:r>
        <w:rPr>
          <w:rFonts w:hint="eastAsia" w:ascii="仿宋" w:hAnsi="仿宋" w:eastAsia="仿宋" w:cs="仿宋"/>
          <w:bCs/>
          <w:sz w:val="24"/>
        </w:rPr>
        <w:t>日期：2022年</w:t>
      </w:r>
      <w:r>
        <w:rPr>
          <w:rFonts w:hint="eastAsia" w:ascii="仿宋" w:hAnsi="仿宋" w:eastAsia="仿宋" w:cs="仿宋"/>
          <w:bCs/>
          <w:sz w:val="24"/>
          <w:highlight w:val="none"/>
        </w:rPr>
        <w:t>3月</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日</w:t>
      </w:r>
    </w:p>
    <w:p>
      <w:pPr>
        <w:spacing w:before="48" w:beforeLines="20" w:line="360" w:lineRule="exact"/>
        <w:jc w:val="left"/>
        <w:rPr>
          <w:rFonts w:ascii="仿宋" w:hAnsi="仿宋" w:eastAsia="仿宋" w:cs="仿宋"/>
          <w:bCs/>
          <w:sz w:val="24"/>
        </w:rPr>
      </w:pPr>
      <w:r>
        <w:rPr>
          <w:rFonts w:hint="eastAsia" w:ascii="仿宋" w:hAnsi="仿宋" w:eastAsia="仿宋" w:cs="仿宋"/>
          <w:bCs/>
          <w:sz w:val="24"/>
        </w:rPr>
        <w:t>采购编号：0701-224105090027</w:t>
      </w:r>
    </w:p>
    <w:p>
      <w:pPr>
        <w:spacing w:before="48" w:beforeLines="20" w:line="360" w:lineRule="exact"/>
        <w:ind w:firstLine="480" w:firstLineChars="200"/>
        <w:jc w:val="left"/>
        <w:rPr>
          <w:rFonts w:ascii="仿宋" w:hAnsi="仿宋" w:eastAsia="仿宋" w:cs="仿宋"/>
          <w:bCs/>
          <w:sz w:val="24"/>
        </w:rPr>
      </w:pPr>
      <w:r>
        <w:rPr>
          <w:rFonts w:hint="eastAsia" w:ascii="仿宋" w:hAnsi="仿宋" w:eastAsia="仿宋" w:cs="仿宋"/>
          <w:bCs/>
          <w:sz w:val="24"/>
        </w:rPr>
        <w:t>中技国际招标有限公司（以下简称“采购代理机构”）受中国医学科学院基础医学研究所（以下简称“采购人”）的委托，就利用其财政资金，对中国医学科学院基础医学研究所实验台、细胞间整体设备环境提升采购项目以竞争性磋商方式进行采购（以下简称“采购”）。现邀请合格供应商参加竞争性磋商。</w:t>
      </w:r>
    </w:p>
    <w:p>
      <w:pPr>
        <w:numPr>
          <w:ilvl w:val="0"/>
          <w:numId w:val="1"/>
        </w:numPr>
        <w:spacing w:before="48" w:beforeLines="20" w:line="360" w:lineRule="exact"/>
        <w:rPr>
          <w:rFonts w:ascii="仿宋" w:hAnsi="仿宋" w:eastAsia="仿宋" w:cs="仿宋"/>
          <w:b/>
          <w:bCs/>
          <w:sz w:val="24"/>
        </w:rPr>
      </w:pPr>
      <w:r>
        <w:rPr>
          <w:rFonts w:hint="eastAsia" w:ascii="仿宋" w:hAnsi="仿宋" w:eastAsia="仿宋" w:cs="仿宋"/>
          <w:b/>
          <w:bCs/>
          <w:sz w:val="24"/>
        </w:rPr>
        <w:t>采购内容：</w:t>
      </w:r>
    </w:p>
    <w:p>
      <w:pPr>
        <w:pStyle w:val="2"/>
        <w:spacing w:before="48" w:beforeLines="20" w:after="0" w:line="360" w:lineRule="exact"/>
        <w:jc w:val="left"/>
        <w:rPr>
          <w:rFonts w:ascii="仿宋" w:hAnsi="仿宋" w:eastAsia="仿宋" w:cs="仿宋"/>
          <w:b w:val="0"/>
          <w:kern w:val="2"/>
          <w:sz w:val="24"/>
          <w:szCs w:val="24"/>
        </w:rPr>
      </w:pPr>
      <w:r>
        <w:rPr>
          <w:rFonts w:hint="eastAsia" w:ascii="仿宋" w:hAnsi="仿宋" w:eastAsia="仿宋" w:cs="仿宋"/>
          <w:b w:val="0"/>
          <w:kern w:val="2"/>
          <w:sz w:val="24"/>
          <w:szCs w:val="24"/>
        </w:rPr>
        <w:t>项目名称：中国医学科学院基础医学研究所实验台、细胞间整体设备环境提升采购项目（包含2种类，47个品目，详见所附品目清单）</w:t>
      </w:r>
    </w:p>
    <w:p>
      <w:pPr>
        <w:pStyle w:val="2"/>
        <w:spacing w:before="48" w:beforeLines="20" w:after="0" w:line="360" w:lineRule="exact"/>
        <w:jc w:val="left"/>
        <w:rPr>
          <w:rFonts w:ascii="仿宋" w:hAnsi="仿宋" w:eastAsia="仿宋" w:cs="仿宋"/>
          <w:b w:val="0"/>
          <w:kern w:val="2"/>
          <w:sz w:val="24"/>
          <w:szCs w:val="24"/>
        </w:rPr>
      </w:pPr>
      <w:r>
        <w:rPr>
          <w:rFonts w:hint="eastAsia" w:ascii="仿宋" w:hAnsi="仿宋" w:eastAsia="仿宋" w:cs="仿宋"/>
          <w:b w:val="0"/>
          <w:kern w:val="2"/>
          <w:sz w:val="24"/>
          <w:szCs w:val="24"/>
        </w:rPr>
        <w:t>数量：1项</w:t>
      </w:r>
    </w:p>
    <w:p>
      <w:pPr>
        <w:pStyle w:val="2"/>
        <w:spacing w:before="48" w:beforeLines="20" w:after="0" w:line="360" w:lineRule="exact"/>
        <w:jc w:val="left"/>
        <w:rPr>
          <w:rFonts w:ascii="仿宋" w:hAnsi="仿宋" w:eastAsia="仿宋" w:cs="仿宋"/>
          <w:b w:val="0"/>
          <w:kern w:val="2"/>
          <w:sz w:val="24"/>
          <w:szCs w:val="24"/>
        </w:rPr>
      </w:pPr>
      <w:r>
        <w:rPr>
          <w:rFonts w:hint="eastAsia" w:ascii="仿宋" w:hAnsi="仿宋" w:eastAsia="仿宋" w:cs="仿宋"/>
          <w:b w:val="0"/>
          <w:kern w:val="2"/>
          <w:sz w:val="24"/>
          <w:szCs w:val="24"/>
        </w:rPr>
        <w:t>预算金额：人民币55万元</w:t>
      </w:r>
    </w:p>
    <w:p>
      <w:pPr>
        <w:pStyle w:val="2"/>
        <w:spacing w:before="48" w:beforeLines="20" w:after="0" w:line="360" w:lineRule="exact"/>
        <w:jc w:val="left"/>
        <w:rPr>
          <w:rFonts w:ascii="仿宋" w:hAnsi="仿宋" w:cs="仿宋"/>
          <w:b w:val="0"/>
          <w:kern w:val="2"/>
          <w:sz w:val="24"/>
          <w:szCs w:val="24"/>
          <w:highlight w:val="green"/>
        </w:rPr>
      </w:pPr>
      <w:r>
        <w:rPr>
          <w:rFonts w:hint="eastAsia" w:ascii="仿宋" w:hAnsi="仿宋" w:eastAsia="仿宋" w:cs="仿宋"/>
          <w:b w:val="0"/>
          <w:kern w:val="2"/>
          <w:sz w:val="24"/>
          <w:szCs w:val="24"/>
        </w:rPr>
        <w:t>是否接受进口产品/服务：不接受</w:t>
      </w:r>
    </w:p>
    <w:p>
      <w:pPr>
        <w:pStyle w:val="2"/>
        <w:spacing w:before="48" w:beforeLines="20" w:after="0" w:line="360" w:lineRule="exact"/>
        <w:jc w:val="left"/>
        <w:rPr>
          <w:rFonts w:ascii="仿宋" w:hAnsi="仿宋" w:eastAsia="仿宋" w:cs="仿宋"/>
          <w:b w:val="0"/>
          <w:kern w:val="2"/>
          <w:sz w:val="24"/>
          <w:szCs w:val="24"/>
        </w:rPr>
      </w:pPr>
      <w:r>
        <w:rPr>
          <w:rFonts w:hint="eastAsia" w:ascii="仿宋" w:hAnsi="仿宋" w:eastAsia="仿宋" w:cs="仿宋"/>
          <w:b w:val="0"/>
          <w:kern w:val="2"/>
          <w:sz w:val="24"/>
          <w:szCs w:val="24"/>
        </w:rPr>
        <w:t>采购项目交付的时间：合同签订后45天内交付完毕</w:t>
      </w:r>
    </w:p>
    <w:p>
      <w:pPr>
        <w:pStyle w:val="2"/>
        <w:spacing w:before="48" w:beforeLines="20" w:after="0" w:line="360" w:lineRule="exact"/>
        <w:jc w:val="left"/>
        <w:rPr>
          <w:rFonts w:ascii="仿宋" w:hAnsi="仿宋" w:eastAsia="仿宋" w:cs="仿宋"/>
          <w:b w:val="0"/>
          <w:kern w:val="2"/>
          <w:sz w:val="24"/>
          <w:szCs w:val="24"/>
        </w:rPr>
      </w:pPr>
      <w:r>
        <w:rPr>
          <w:rFonts w:hint="eastAsia" w:ascii="仿宋" w:hAnsi="仿宋" w:eastAsia="仿宋" w:cs="仿宋"/>
          <w:b w:val="0"/>
          <w:kern w:val="2"/>
          <w:sz w:val="24"/>
          <w:szCs w:val="24"/>
        </w:rPr>
        <w:t>采购项目交付的地点：采购人指定地点（北京）</w:t>
      </w:r>
    </w:p>
    <w:p>
      <w:pPr>
        <w:pStyle w:val="4"/>
        <w:spacing w:before="48" w:beforeLines="20" w:line="360" w:lineRule="exact"/>
        <w:ind w:firstLine="0" w:firstLineChars="0"/>
        <w:rPr>
          <w:rFonts w:ascii="仿宋" w:hAnsi="仿宋" w:eastAsia="仿宋" w:cs="仿宋"/>
          <w:bCs/>
          <w:sz w:val="24"/>
        </w:rPr>
      </w:pPr>
      <w:r>
        <w:rPr>
          <w:rFonts w:hint="eastAsia" w:ascii="仿宋" w:hAnsi="仿宋" w:eastAsia="仿宋" w:cs="仿宋"/>
          <w:bCs/>
          <w:sz w:val="24"/>
        </w:rPr>
        <w:t>采购用途：科研</w:t>
      </w:r>
    </w:p>
    <w:tbl>
      <w:tblPr>
        <w:tblStyle w:val="6"/>
        <w:tblW w:w="8302" w:type="dxa"/>
        <w:tblInd w:w="2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1080"/>
        <w:gridCol w:w="3382"/>
        <w:gridCol w:w="1095"/>
        <w:gridCol w:w="1050"/>
        <w:gridCol w:w="16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505" w:hRule="atLeast"/>
          <w:tblHeader/>
        </w:trPr>
        <w:tc>
          <w:tcPr>
            <w:tcW w:w="1080" w:type="dxa"/>
            <w:shd w:val="clear" w:color="auto" w:fill="FFFFFF" w:themeFill="background1"/>
            <w:vAlign w:val="center"/>
          </w:tcPr>
          <w:p>
            <w:pPr>
              <w:spacing w:line="400" w:lineRule="exact"/>
              <w:jc w:val="center"/>
              <w:rPr>
                <w:rFonts w:ascii="仿宋" w:hAnsi="仿宋" w:eastAsia="仿宋" w:cs="仿宋"/>
                <w:b/>
                <w:bCs/>
                <w:sz w:val="24"/>
              </w:rPr>
            </w:pPr>
            <w:r>
              <w:rPr>
                <w:rFonts w:hint="eastAsia" w:ascii="仿宋" w:hAnsi="仿宋" w:eastAsia="仿宋" w:cs="仿宋"/>
                <w:b/>
                <w:bCs/>
                <w:sz w:val="24"/>
              </w:rPr>
              <w:t>品目号</w:t>
            </w:r>
          </w:p>
        </w:tc>
        <w:tc>
          <w:tcPr>
            <w:tcW w:w="3382" w:type="dxa"/>
            <w:shd w:val="clear" w:color="auto" w:fill="FFFFFF" w:themeFill="background1"/>
            <w:vAlign w:val="center"/>
          </w:tcPr>
          <w:p>
            <w:pPr>
              <w:spacing w:line="400" w:lineRule="exact"/>
              <w:jc w:val="center"/>
              <w:rPr>
                <w:rFonts w:ascii="仿宋" w:hAnsi="仿宋" w:eastAsia="仿宋" w:cs="仿宋"/>
                <w:b/>
                <w:bCs/>
                <w:sz w:val="24"/>
              </w:rPr>
            </w:pPr>
            <w:r>
              <w:rPr>
                <w:rFonts w:hint="eastAsia" w:ascii="仿宋" w:hAnsi="仿宋" w:eastAsia="仿宋" w:cs="仿宋"/>
                <w:b/>
                <w:bCs/>
                <w:sz w:val="24"/>
              </w:rPr>
              <w:t>品目名称</w:t>
            </w:r>
          </w:p>
        </w:tc>
        <w:tc>
          <w:tcPr>
            <w:tcW w:w="1095" w:type="dxa"/>
            <w:shd w:val="clear" w:color="auto" w:fill="FFFFFF" w:themeFill="background1"/>
            <w:vAlign w:val="center"/>
          </w:tcPr>
          <w:p>
            <w:pPr>
              <w:spacing w:line="400" w:lineRule="exact"/>
              <w:jc w:val="center"/>
              <w:rPr>
                <w:rFonts w:ascii="仿宋" w:hAnsi="仿宋" w:eastAsia="仿宋" w:cs="仿宋"/>
                <w:b/>
                <w:bCs/>
                <w:sz w:val="24"/>
              </w:rPr>
            </w:pPr>
            <w:r>
              <w:rPr>
                <w:rFonts w:hint="eastAsia" w:ascii="仿宋" w:hAnsi="仿宋" w:eastAsia="仿宋" w:cs="仿宋"/>
                <w:b/>
                <w:bCs/>
                <w:sz w:val="24"/>
              </w:rPr>
              <w:t>数量</w:t>
            </w:r>
          </w:p>
        </w:tc>
        <w:tc>
          <w:tcPr>
            <w:tcW w:w="1050" w:type="dxa"/>
            <w:shd w:val="clear" w:color="auto" w:fill="FFFFFF" w:themeFill="background1"/>
            <w:vAlign w:val="center"/>
          </w:tcPr>
          <w:p>
            <w:pPr>
              <w:spacing w:line="400" w:lineRule="exact"/>
              <w:jc w:val="center"/>
              <w:rPr>
                <w:rFonts w:ascii="仿宋" w:hAnsi="仿宋" w:eastAsia="仿宋" w:cs="仿宋"/>
                <w:b/>
                <w:bCs/>
                <w:sz w:val="24"/>
              </w:rPr>
            </w:pPr>
            <w:r>
              <w:rPr>
                <w:rFonts w:hint="eastAsia" w:ascii="仿宋" w:hAnsi="仿宋" w:eastAsia="仿宋" w:cs="仿宋"/>
                <w:b/>
                <w:bCs/>
                <w:sz w:val="24"/>
              </w:rPr>
              <w:t>单位</w:t>
            </w:r>
          </w:p>
        </w:tc>
        <w:tc>
          <w:tcPr>
            <w:tcW w:w="1695" w:type="dxa"/>
            <w:shd w:val="clear" w:color="auto" w:fill="FFFFFF" w:themeFill="background1"/>
            <w:vAlign w:val="center"/>
          </w:tcPr>
          <w:p>
            <w:pPr>
              <w:spacing w:line="400" w:lineRule="exact"/>
              <w:jc w:val="center"/>
              <w:rPr>
                <w:rFonts w:ascii="仿宋" w:hAnsi="仿宋" w:eastAsia="仿宋" w:cs="仿宋"/>
                <w:b/>
                <w:bCs/>
                <w:sz w:val="24"/>
              </w:rPr>
            </w:pPr>
            <w:r>
              <w:rPr>
                <w:rFonts w:hint="eastAsia" w:ascii="仿宋" w:hAnsi="仿宋" w:eastAsia="仿宋" w:cs="仿宋"/>
                <w:b/>
                <w:bCs/>
                <w:color w:val="000000"/>
                <w:kern w:val="0"/>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461" w:hRule="atLeast"/>
        </w:trPr>
        <w:tc>
          <w:tcPr>
            <w:tcW w:w="1080" w:type="dxa"/>
            <w:shd w:val="clear" w:color="auto" w:fill="FFFFFF" w:themeFill="background1"/>
            <w:vAlign w:val="center"/>
          </w:tcPr>
          <w:p>
            <w:pPr>
              <w:spacing w:before="50"/>
              <w:jc w:val="center"/>
              <w:rPr>
                <w:rFonts w:ascii="仿宋" w:hAnsi="仿宋" w:eastAsia="仿宋" w:cs="仿宋"/>
                <w:b/>
                <w:bCs/>
                <w:sz w:val="24"/>
              </w:rPr>
            </w:pPr>
            <w:r>
              <w:rPr>
                <w:rFonts w:hint="eastAsia" w:ascii="仿宋" w:hAnsi="仿宋" w:eastAsia="仿宋" w:cs="仿宋"/>
                <w:b/>
                <w:bCs/>
                <w:color w:val="000000"/>
                <w:kern w:val="0"/>
                <w:sz w:val="24"/>
              </w:rPr>
              <w:t>一</w:t>
            </w:r>
          </w:p>
        </w:tc>
        <w:tc>
          <w:tcPr>
            <w:tcW w:w="7222" w:type="dxa"/>
            <w:gridSpan w:val="4"/>
            <w:shd w:val="clear" w:color="auto" w:fill="FFFFFF" w:themeFill="background1"/>
            <w:vAlign w:val="center"/>
          </w:tcPr>
          <w:p>
            <w:pPr>
              <w:spacing w:before="50"/>
              <w:rPr>
                <w:rFonts w:ascii="仿宋" w:hAnsi="仿宋" w:eastAsia="仿宋" w:cs="仿宋"/>
                <w:b/>
                <w:bCs/>
                <w:snapToGrid w:val="0"/>
                <w:color w:val="000000"/>
                <w:spacing w:val="-3"/>
                <w:kern w:val="0"/>
                <w:sz w:val="24"/>
              </w:rPr>
            </w:pPr>
            <w:r>
              <w:rPr>
                <w:rFonts w:hint="eastAsia" w:ascii="仿宋" w:hAnsi="仿宋" w:eastAsia="仿宋" w:cs="仿宋"/>
                <w:b/>
                <w:bCs/>
                <w:snapToGrid w:val="0"/>
                <w:color w:val="000000"/>
                <w:spacing w:val="-3"/>
                <w:kern w:val="0"/>
                <w:sz w:val="24"/>
              </w:rPr>
              <w:t>实验台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461"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边台</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41.8</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color w:val="000000"/>
                <w:sz w:val="24"/>
                <w:szCs w:val="24"/>
                <w:lang w:eastAsia="zh-CN"/>
              </w:rPr>
              <w:t>延米</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sz w:val="24"/>
                <w:lang w:bidi="ar"/>
              </w:rPr>
              <w:t>非单一产品采购包核心产品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474"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大水槽含水龙头</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color w:val="000000"/>
                <w:sz w:val="24"/>
                <w:szCs w:val="24"/>
                <w:lang w:eastAsia="zh-CN"/>
              </w:rPr>
              <w:t>2</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3</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PP水池含PP柜体含水龙头</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2</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4</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吊柜</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7.6</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sz w:val="24"/>
                <w:szCs w:val="24"/>
                <w:lang w:eastAsia="zh-CN"/>
              </w:rPr>
              <w:t>延米</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5</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通顶储物柜</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1</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color w:val="000000"/>
                <w:sz w:val="24"/>
                <w:szCs w:val="24"/>
                <w:lang w:eastAsia="zh-CN"/>
              </w:rPr>
              <w:t>组</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6</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储物柜</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1</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组</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7</w:t>
            </w:r>
          </w:p>
        </w:tc>
        <w:tc>
          <w:tcPr>
            <w:tcW w:w="3382" w:type="dxa"/>
            <w:shd w:val="clear" w:color="auto" w:fill="FFFFFF" w:themeFill="background1"/>
            <w:vAlign w:val="center"/>
          </w:tcPr>
          <w:p>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办公桌</w:t>
            </w:r>
          </w:p>
        </w:tc>
        <w:tc>
          <w:tcPr>
            <w:tcW w:w="1095"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color w:val="000000"/>
                <w:sz w:val="24"/>
                <w:szCs w:val="24"/>
                <w:lang w:eastAsia="zh-CN"/>
              </w:rPr>
              <w:t>2</w:t>
            </w:r>
          </w:p>
        </w:tc>
        <w:tc>
          <w:tcPr>
            <w:tcW w:w="1050" w:type="dxa"/>
            <w:shd w:val="clear" w:color="auto" w:fill="FFFFFF" w:themeFill="background1"/>
            <w:vAlign w:val="center"/>
          </w:tcPr>
          <w:p>
            <w:pPr>
              <w:pStyle w:val="10"/>
              <w:adjustRightInd w:val="0"/>
              <w:snapToGrid w:val="0"/>
              <w:jc w:val="center"/>
              <w:rPr>
                <w:rFonts w:ascii="仿宋" w:hAnsi="仿宋" w:eastAsia="仿宋" w:cs="仿宋"/>
                <w:sz w:val="24"/>
                <w:szCs w:val="24"/>
              </w:rPr>
            </w:pPr>
            <w:r>
              <w:rPr>
                <w:rFonts w:hint="eastAsia" w:ascii="仿宋" w:hAnsi="仿宋" w:eastAsia="仿宋" w:cs="仿宋"/>
                <w:bCs/>
                <w:kern w:val="2"/>
                <w:sz w:val="24"/>
                <w:szCs w:val="24"/>
                <w:lang w:eastAsia="zh-CN"/>
              </w:rPr>
              <w:t>组</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8</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办公椅</w:t>
            </w:r>
          </w:p>
        </w:tc>
        <w:tc>
          <w:tcPr>
            <w:tcW w:w="1095" w:type="dxa"/>
            <w:shd w:val="clear" w:color="auto" w:fill="FFFFFF" w:themeFill="background1"/>
            <w:vAlign w:val="center"/>
          </w:tcPr>
          <w:p>
            <w:pPr>
              <w:pStyle w:val="10"/>
              <w:adjustRightInd w:val="0"/>
              <w:snapToGrid w:val="0"/>
              <w:jc w:val="center"/>
              <w:rPr>
                <w:rFonts w:ascii="仿宋" w:hAnsi="仿宋" w:eastAsia="仿宋" w:cs="仿宋"/>
                <w:bCs/>
                <w:kern w:val="2"/>
                <w:sz w:val="24"/>
                <w:szCs w:val="24"/>
                <w:lang w:eastAsia="zh-CN"/>
              </w:rPr>
            </w:pPr>
            <w:r>
              <w:rPr>
                <w:rFonts w:hint="eastAsia" w:ascii="仿宋" w:hAnsi="仿宋" w:eastAsia="仿宋" w:cs="仿宋"/>
                <w:bCs/>
                <w:kern w:val="2"/>
                <w:sz w:val="24"/>
                <w:szCs w:val="24"/>
                <w:lang w:eastAsia="zh-CN"/>
              </w:rPr>
              <w:t>2</w:t>
            </w:r>
          </w:p>
        </w:tc>
        <w:tc>
          <w:tcPr>
            <w:tcW w:w="1050" w:type="dxa"/>
            <w:shd w:val="clear" w:color="auto" w:fill="FFFFFF" w:themeFill="background1"/>
            <w:vAlign w:val="center"/>
          </w:tcPr>
          <w:p>
            <w:pPr>
              <w:pStyle w:val="10"/>
              <w:adjustRightInd w:val="0"/>
              <w:snapToGrid w:val="0"/>
              <w:jc w:val="center"/>
              <w:rPr>
                <w:rFonts w:ascii="仿宋" w:hAnsi="仿宋" w:eastAsia="仿宋" w:cs="仿宋"/>
                <w:bCs/>
                <w:kern w:val="2"/>
                <w:sz w:val="24"/>
                <w:szCs w:val="24"/>
                <w:lang w:eastAsia="zh-CN"/>
              </w:rPr>
            </w:pPr>
            <w:r>
              <w:rPr>
                <w:rFonts w:hint="eastAsia" w:ascii="仿宋" w:hAnsi="仿宋" w:eastAsia="仿宋" w:cs="仿宋"/>
                <w:bCs/>
                <w:kern w:val="2"/>
                <w:sz w:val="24"/>
                <w:szCs w:val="24"/>
                <w:lang w:eastAsia="zh-CN"/>
              </w:rPr>
              <w:t>张</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9</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试剂柜</w:t>
            </w:r>
          </w:p>
        </w:tc>
        <w:tc>
          <w:tcPr>
            <w:tcW w:w="1095" w:type="dxa"/>
            <w:shd w:val="clear" w:color="auto" w:fill="FFFFFF" w:themeFill="background1"/>
            <w:vAlign w:val="center"/>
          </w:tcPr>
          <w:p>
            <w:pPr>
              <w:pStyle w:val="10"/>
              <w:adjustRightInd w:val="0"/>
              <w:snapToGrid w:val="0"/>
              <w:jc w:val="center"/>
              <w:rPr>
                <w:rFonts w:ascii="仿宋" w:hAnsi="仿宋" w:eastAsia="仿宋" w:cs="仿宋"/>
                <w:bCs/>
                <w:kern w:val="2"/>
                <w:sz w:val="24"/>
                <w:szCs w:val="24"/>
                <w:lang w:eastAsia="zh-CN"/>
              </w:rPr>
            </w:pPr>
            <w:r>
              <w:rPr>
                <w:rFonts w:hint="eastAsia" w:ascii="仿宋" w:hAnsi="仿宋" w:eastAsia="仿宋" w:cs="仿宋"/>
                <w:bCs/>
                <w:kern w:val="2"/>
                <w:sz w:val="24"/>
                <w:szCs w:val="24"/>
                <w:lang w:eastAsia="zh-CN"/>
              </w:rPr>
              <w:t>3</w:t>
            </w:r>
          </w:p>
        </w:tc>
        <w:tc>
          <w:tcPr>
            <w:tcW w:w="1050" w:type="dxa"/>
            <w:shd w:val="clear" w:color="auto" w:fill="FFFFFF" w:themeFill="background1"/>
            <w:vAlign w:val="center"/>
          </w:tcPr>
          <w:p>
            <w:pPr>
              <w:pStyle w:val="10"/>
              <w:adjustRightInd w:val="0"/>
              <w:snapToGrid w:val="0"/>
              <w:jc w:val="center"/>
              <w:rPr>
                <w:rFonts w:ascii="仿宋" w:hAnsi="仿宋" w:eastAsia="仿宋" w:cs="仿宋"/>
                <w:bCs/>
                <w:kern w:val="2"/>
                <w:sz w:val="24"/>
                <w:szCs w:val="24"/>
                <w:lang w:eastAsia="zh-CN"/>
              </w:rPr>
            </w:pPr>
            <w:r>
              <w:rPr>
                <w:rFonts w:hint="eastAsia" w:ascii="仿宋" w:hAnsi="仿宋" w:eastAsia="仿宋" w:cs="仿宋"/>
                <w:bCs/>
                <w:kern w:val="2"/>
                <w:sz w:val="24"/>
                <w:szCs w:val="24"/>
                <w:lang w:eastAsia="zh-CN"/>
              </w:rPr>
              <w:t>组</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jc w:val="center"/>
              <w:rPr>
                <w:rFonts w:ascii="仿宋" w:hAnsi="仿宋" w:eastAsia="仿宋" w:cs="仿宋"/>
                <w:sz w:val="24"/>
              </w:rPr>
            </w:pPr>
            <w:r>
              <w:rPr>
                <w:rFonts w:hint="eastAsia" w:ascii="仿宋" w:hAnsi="仿宋" w:eastAsia="仿宋" w:cs="仿宋"/>
                <w:b/>
                <w:bCs/>
                <w:color w:val="000000"/>
                <w:kern w:val="0"/>
                <w:sz w:val="24"/>
              </w:rPr>
              <w:t>二</w:t>
            </w:r>
          </w:p>
        </w:tc>
        <w:tc>
          <w:tcPr>
            <w:tcW w:w="7222" w:type="dxa"/>
            <w:gridSpan w:val="4"/>
            <w:shd w:val="clear" w:color="auto" w:fill="FFFFFF" w:themeFill="background1"/>
            <w:vAlign w:val="center"/>
          </w:tcPr>
          <w:p>
            <w:pPr>
              <w:jc w:val="left"/>
              <w:rPr>
                <w:rFonts w:ascii="仿宋" w:hAnsi="仿宋" w:eastAsia="仿宋" w:cs="仿宋"/>
                <w:sz w:val="24"/>
              </w:rPr>
            </w:pPr>
            <w:r>
              <w:rPr>
                <w:rFonts w:hint="eastAsia" w:ascii="仿宋" w:hAnsi="仿宋" w:eastAsia="仿宋" w:cs="仿宋"/>
                <w:b/>
                <w:bCs/>
                <w:snapToGrid w:val="0"/>
                <w:color w:val="000000"/>
                <w:spacing w:val="-3"/>
                <w:kern w:val="0"/>
                <w:sz w:val="24"/>
              </w:rPr>
              <w:t>细胞间整体设备环境提升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442"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color w:val="000000"/>
                <w:kern w:val="0"/>
                <w:sz w:val="24"/>
                <w:szCs w:val="24"/>
                <w:lang w:bidi="ar"/>
              </w:rPr>
            </w:pPr>
            <w:r>
              <w:rPr>
                <w:rFonts w:hint="eastAsia" w:ascii="仿宋" w:hAnsi="仿宋" w:eastAsia="仿宋" w:cs="仿宋"/>
                <w:sz w:val="24"/>
                <w:szCs w:val="24"/>
              </w:rPr>
              <w:t>10</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原矿棉板吊顶，灯具拆除放置室外指定地点</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z w:val="24"/>
              </w:rPr>
            </w:pPr>
            <w:r>
              <w:rPr>
                <w:rFonts w:hint="eastAsia" w:ascii="仿宋" w:hAnsi="仿宋" w:eastAsia="仿宋" w:cs="仿宋"/>
                <w:color w:val="000000"/>
                <w:sz w:val="24"/>
              </w:rPr>
              <w:t>1</w:t>
            </w:r>
          </w:p>
        </w:tc>
        <w:tc>
          <w:tcPr>
            <w:tcW w:w="1050" w:type="dxa"/>
            <w:shd w:val="clear" w:color="auto" w:fill="FFFFFF" w:themeFill="background1"/>
            <w:vAlign w:val="center"/>
          </w:tcPr>
          <w:p>
            <w:pPr>
              <w:pStyle w:val="10"/>
              <w:ind w:left="26"/>
              <w:jc w:val="center"/>
              <w:rPr>
                <w:rFonts w:ascii="仿宋" w:hAnsi="仿宋" w:eastAsia="仿宋" w:cs="仿宋"/>
                <w:sz w:val="24"/>
                <w:szCs w:val="24"/>
              </w:rPr>
            </w:pPr>
            <w:r>
              <w:rPr>
                <w:rFonts w:hint="eastAsia" w:ascii="仿宋" w:hAnsi="仿宋" w:eastAsia="仿宋" w:cs="仿宋"/>
                <w:color w:val="000000"/>
                <w:sz w:val="24"/>
                <w:szCs w:val="24"/>
                <w:lang w:eastAsia="zh-CN"/>
              </w:rPr>
              <w:t>项</w:t>
            </w:r>
          </w:p>
        </w:tc>
        <w:tc>
          <w:tcPr>
            <w:tcW w:w="1695" w:type="dxa"/>
            <w:shd w:val="clear" w:color="auto" w:fill="FFFFFF" w:themeFill="background1"/>
            <w:vAlign w:val="center"/>
          </w:tcPr>
          <w:p>
            <w:pPr>
              <w:ind w:left="26"/>
              <w:jc w:val="center"/>
              <w:rPr>
                <w:rFonts w:ascii="仿宋" w:hAnsi="仿宋" w:eastAsia="仿宋" w:cs="仿宋"/>
                <w:color w:val="000000"/>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color w:val="000000"/>
                <w:kern w:val="0"/>
                <w:sz w:val="24"/>
                <w:szCs w:val="24"/>
                <w:lang w:bidi="ar"/>
              </w:rPr>
            </w:pPr>
            <w:r>
              <w:rPr>
                <w:rFonts w:hint="eastAsia" w:ascii="仿宋" w:hAnsi="仿宋" w:eastAsia="仿宋" w:cs="仿宋"/>
                <w:sz w:val="24"/>
                <w:szCs w:val="24"/>
              </w:rPr>
              <w:t>11</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装饰板隔墙</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z w:val="24"/>
              </w:rPr>
            </w:pPr>
            <w:r>
              <w:rPr>
                <w:rFonts w:hint="eastAsia" w:ascii="仿宋" w:hAnsi="仿宋" w:eastAsia="仿宋" w:cs="仿宋"/>
                <w:color w:val="000000"/>
                <w:sz w:val="24"/>
              </w:rPr>
              <w:t>94.20</w:t>
            </w:r>
          </w:p>
        </w:tc>
        <w:tc>
          <w:tcPr>
            <w:tcW w:w="1050" w:type="dxa"/>
            <w:shd w:val="clear" w:color="auto" w:fill="FFFFFF" w:themeFill="background1"/>
            <w:vAlign w:val="center"/>
          </w:tcPr>
          <w:p>
            <w:pPr>
              <w:pStyle w:val="10"/>
              <w:spacing w:before="92"/>
              <w:ind w:left="26"/>
              <w:jc w:val="center"/>
              <w:rPr>
                <w:rFonts w:ascii="仿宋" w:hAnsi="仿宋" w:eastAsia="仿宋" w:cs="仿宋"/>
                <w:sz w:val="24"/>
                <w:szCs w:val="24"/>
              </w:rPr>
            </w:pPr>
            <w:r>
              <w:rPr>
                <w:rFonts w:hint="eastAsia" w:ascii="仿宋" w:hAnsi="仿宋" w:eastAsia="仿宋" w:cs="仿宋"/>
                <w:w w:val="103"/>
                <w:sz w:val="24"/>
                <w:szCs w:val="24"/>
              </w:rPr>
              <w:t>㎡</w:t>
            </w:r>
          </w:p>
        </w:tc>
        <w:tc>
          <w:tcPr>
            <w:tcW w:w="1695" w:type="dxa"/>
            <w:shd w:val="clear" w:color="auto" w:fill="FFFFFF" w:themeFill="background1"/>
            <w:vAlign w:val="center"/>
          </w:tcPr>
          <w:p>
            <w:pPr>
              <w:spacing w:before="92"/>
              <w:ind w:left="26"/>
              <w:jc w:val="center"/>
              <w:rPr>
                <w:rFonts w:ascii="仿宋" w:hAnsi="仿宋" w:eastAsia="仿宋" w:cs="仿宋"/>
                <w:w w:val="103"/>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color w:val="000000"/>
                <w:kern w:val="0"/>
                <w:sz w:val="24"/>
                <w:szCs w:val="24"/>
                <w:lang w:bidi="ar"/>
              </w:rPr>
            </w:pPr>
            <w:r>
              <w:rPr>
                <w:rFonts w:hint="eastAsia" w:ascii="仿宋" w:hAnsi="仿宋" w:eastAsia="仿宋" w:cs="仿宋"/>
                <w:sz w:val="24"/>
                <w:szCs w:val="24"/>
              </w:rPr>
              <w:t>12</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彩钢板吊顶</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20</w:t>
            </w:r>
          </w:p>
        </w:tc>
        <w:tc>
          <w:tcPr>
            <w:tcW w:w="1050" w:type="dxa"/>
            <w:shd w:val="clear" w:color="auto" w:fill="FFFFFF" w:themeFill="background1"/>
            <w:vAlign w:val="center"/>
          </w:tcPr>
          <w:p>
            <w:pPr>
              <w:pStyle w:val="10"/>
              <w:ind w:left="26"/>
              <w:jc w:val="center"/>
              <w:rPr>
                <w:rFonts w:ascii="仿宋" w:hAnsi="仿宋" w:eastAsia="仿宋" w:cs="仿宋"/>
                <w:snapToGrid w:val="0"/>
                <w:color w:val="000000"/>
                <w:spacing w:val="-3"/>
                <w:sz w:val="24"/>
                <w:szCs w:val="24"/>
              </w:rPr>
            </w:pPr>
            <w:r>
              <w:rPr>
                <w:rFonts w:hint="eastAsia" w:ascii="仿宋" w:hAnsi="仿宋" w:eastAsia="仿宋" w:cs="仿宋"/>
                <w:w w:val="103"/>
                <w:sz w:val="24"/>
                <w:szCs w:val="24"/>
              </w:rPr>
              <w:t>㎡</w:t>
            </w:r>
          </w:p>
        </w:tc>
        <w:tc>
          <w:tcPr>
            <w:tcW w:w="1695" w:type="dxa"/>
            <w:shd w:val="clear" w:color="auto" w:fill="FFFFFF" w:themeFill="background1"/>
            <w:vAlign w:val="center"/>
          </w:tcPr>
          <w:p>
            <w:pPr>
              <w:ind w:left="26"/>
              <w:jc w:val="center"/>
              <w:rPr>
                <w:rFonts w:ascii="仿宋" w:hAnsi="仿宋" w:eastAsia="仿宋" w:cs="仿宋"/>
                <w:w w:val="103"/>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color w:val="000000"/>
                <w:kern w:val="0"/>
                <w:sz w:val="24"/>
                <w:szCs w:val="24"/>
                <w:lang w:bidi="ar"/>
              </w:rPr>
            </w:pPr>
            <w:r>
              <w:rPr>
                <w:rFonts w:hint="eastAsia" w:ascii="仿宋" w:hAnsi="仿宋" w:eastAsia="仿宋" w:cs="仿宋"/>
                <w:sz w:val="24"/>
                <w:szCs w:val="24"/>
              </w:rPr>
              <w:t>13</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PVC卷材地面</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21.62</w:t>
            </w:r>
          </w:p>
        </w:tc>
        <w:tc>
          <w:tcPr>
            <w:tcW w:w="1050" w:type="dxa"/>
            <w:shd w:val="clear" w:color="auto" w:fill="FFFFFF" w:themeFill="background1"/>
            <w:vAlign w:val="center"/>
          </w:tcPr>
          <w:p>
            <w:pPr>
              <w:pStyle w:val="10"/>
              <w:ind w:left="26"/>
              <w:jc w:val="center"/>
              <w:rPr>
                <w:rFonts w:ascii="仿宋" w:hAnsi="仿宋" w:eastAsia="仿宋" w:cs="仿宋"/>
                <w:snapToGrid w:val="0"/>
                <w:color w:val="000000"/>
                <w:spacing w:val="-3"/>
                <w:sz w:val="24"/>
                <w:szCs w:val="24"/>
              </w:rPr>
            </w:pPr>
            <w:r>
              <w:rPr>
                <w:rFonts w:hint="eastAsia" w:ascii="仿宋" w:hAnsi="仿宋" w:eastAsia="仿宋" w:cs="仿宋"/>
                <w:w w:val="103"/>
                <w:sz w:val="24"/>
                <w:szCs w:val="24"/>
              </w:rPr>
              <w:t>㎡</w:t>
            </w:r>
          </w:p>
        </w:tc>
        <w:tc>
          <w:tcPr>
            <w:tcW w:w="1695" w:type="dxa"/>
            <w:shd w:val="clear" w:color="auto" w:fill="FFFFFF" w:themeFill="background1"/>
            <w:vAlign w:val="center"/>
          </w:tcPr>
          <w:p>
            <w:pPr>
              <w:ind w:left="26"/>
              <w:jc w:val="center"/>
              <w:rPr>
                <w:rFonts w:ascii="仿宋" w:hAnsi="仿宋" w:eastAsia="仿宋" w:cs="仿宋"/>
                <w:w w:val="103"/>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color w:val="000000"/>
                <w:kern w:val="0"/>
                <w:sz w:val="24"/>
                <w:szCs w:val="24"/>
                <w:lang w:bidi="ar"/>
              </w:rPr>
            </w:pPr>
            <w:r>
              <w:rPr>
                <w:rFonts w:hint="eastAsia" w:ascii="仿宋" w:hAnsi="仿宋" w:eastAsia="仿宋" w:cs="仿宋"/>
                <w:sz w:val="24"/>
                <w:szCs w:val="24"/>
              </w:rPr>
              <w:t>14</w:t>
            </w:r>
          </w:p>
        </w:tc>
        <w:tc>
          <w:tcPr>
            <w:tcW w:w="3382"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保温彩钢板密闭门</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1</w:t>
            </w:r>
          </w:p>
        </w:tc>
        <w:tc>
          <w:tcPr>
            <w:tcW w:w="1050" w:type="dxa"/>
            <w:shd w:val="clear" w:color="auto" w:fill="FFFFFF" w:themeFill="background1"/>
            <w:vAlign w:val="center"/>
          </w:tcPr>
          <w:p>
            <w:pPr>
              <w:ind w:left="26"/>
              <w:jc w:val="center"/>
              <w:rPr>
                <w:rFonts w:ascii="仿宋" w:hAnsi="仿宋" w:eastAsia="仿宋" w:cs="仿宋"/>
                <w:snapToGrid w:val="0"/>
                <w:color w:val="000000"/>
                <w:spacing w:val="-3"/>
                <w:kern w:val="0"/>
                <w:sz w:val="24"/>
              </w:rPr>
            </w:pPr>
            <w:r>
              <w:rPr>
                <w:rFonts w:hint="eastAsia" w:ascii="仿宋" w:hAnsi="仿宋" w:eastAsia="仿宋" w:cs="仿宋"/>
                <w:w w:val="103"/>
                <w:sz w:val="24"/>
              </w:rPr>
              <w:t>樘</w:t>
            </w:r>
          </w:p>
        </w:tc>
        <w:tc>
          <w:tcPr>
            <w:tcW w:w="1695" w:type="dxa"/>
            <w:shd w:val="clear" w:color="auto" w:fill="FFFFFF" w:themeFill="background1"/>
            <w:vAlign w:val="center"/>
          </w:tcPr>
          <w:p>
            <w:pPr>
              <w:ind w:left="26"/>
              <w:jc w:val="center"/>
              <w:rPr>
                <w:rFonts w:ascii="仿宋" w:hAnsi="仿宋" w:eastAsia="仿宋" w:cs="仿宋"/>
                <w:w w:val="103"/>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15</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双层不锈钢台</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1</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套</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16</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不锈钢换鞋凳</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1</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17</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终端配电箱（APL）</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套</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18</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灯具</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3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套</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19</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灯具</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套</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20</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插座</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11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21</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开关</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2</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22</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配管</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30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23</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配管</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20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24</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电线</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160</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25</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电线</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180</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26</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电线</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20</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27</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线槽</w:t>
            </w:r>
          </w:p>
        </w:tc>
        <w:tc>
          <w:tcPr>
            <w:tcW w:w="1095"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 xml:space="preserve">16 </w:t>
            </w:r>
          </w:p>
        </w:tc>
        <w:tc>
          <w:tcPr>
            <w:tcW w:w="1050"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m</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28</w:t>
            </w:r>
          </w:p>
        </w:tc>
        <w:tc>
          <w:tcPr>
            <w:tcW w:w="3382" w:type="dxa"/>
            <w:shd w:val="clear" w:color="auto" w:fill="FFFFFF" w:themeFill="background1"/>
            <w:vAlign w:val="center"/>
          </w:tcPr>
          <w:p>
            <w:pPr>
              <w:widowControl/>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kern w:val="0"/>
                <w:sz w:val="24"/>
                <w:lang w:bidi="ar"/>
              </w:rPr>
              <w:t>接线盒</w:t>
            </w:r>
          </w:p>
        </w:tc>
        <w:tc>
          <w:tcPr>
            <w:tcW w:w="1095" w:type="dxa"/>
            <w:shd w:val="clear" w:color="auto" w:fill="FFFFFF" w:themeFill="background1"/>
            <w:vAlign w:val="center"/>
          </w:tcPr>
          <w:p>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lang w:bidi="ar"/>
              </w:rPr>
              <w:t xml:space="preserve">26 </w:t>
            </w:r>
          </w:p>
        </w:tc>
        <w:tc>
          <w:tcPr>
            <w:tcW w:w="1050" w:type="dxa"/>
            <w:shd w:val="clear" w:color="auto" w:fill="FFFFFF" w:themeFill="background1"/>
            <w:vAlign w:val="center"/>
          </w:tcPr>
          <w:p>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widowControl/>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90"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rPr>
            </w:pPr>
            <w:r>
              <w:rPr>
                <w:rFonts w:hint="eastAsia" w:ascii="仿宋" w:hAnsi="仿宋" w:eastAsia="仿宋" w:cs="仿宋"/>
                <w:sz w:val="24"/>
                <w:szCs w:val="24"/>
              </w:rPr>
              <w:t>29</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highlight w:val="cyan"/>
                <w:lang w:bidi="ar"/>
              </w:rPr>
            </w:pPr>
            <w:r>
              <w:rPr>
                <w:rFonts w:hint="eastAsia" w:ascii="仿宋" w:hAnsi="仿宋" w:eastAsia="仿宋" w:cs="仿宋"/>
                <w:color w:val="000000"/>
                <w:kern w:val="0"/>
                <w:sz w:val="24"/>
                <w:lang w:bidi="ar"/>
              </w:rPr>
              <w:t>细胞间洁净空调（带电辅）</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套</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30</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低噪音EC风机箱</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台</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31</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EC风机控制器</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台</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32</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静压箱</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vMerge w:val="restart"/>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33</w:t>
            </w:r>
          </w:p>
        </w:tc>
        <w:tc>
          <w:tcPr>
            <w:tcW w:w="3382" w:type="dxa"/>
            <w:vMerge w:val="restart"/>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风管</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10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米</w:t>
            </w:r>
          </w:p>
        </w:tc>
        <w:tc>
          <w:tcPr>
            <w:tcW w:w="1695" w:type="dxa"/>
            <w:vMerge w:val="restart"/>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p>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vMerge w:val="continue"/>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p>
        </w:tc>
        <w:tc>
          <w:tcPr>
            <w:tcW w:w="3382" w:type="dxa"/>
            <w:vMerge w:val="continue"/>
            <w:shd w:val="clear" w:color="auto" w:fill="FFFFFF" w:themeFill="background1"/>
            <w:vAlign w:val="center"/>
          </w:tcPr>
          <w:p>
            <w:pPr>
              <w:snapToGrid w:val="0"/>
              <w:spacing w:line="320" w:lineRule="exact"/>
              <w:jc w:val="center"/>
              <w:rPr>
                <w:rFonts w:ascii="仿宋" w:hAnsi="仿宋" w:eastAsia="仿宋" w:cs="仿宋"/>
                <w:color w:val="000000"/>
                <w:kern w:val="0"/>
                <w:sz w:val="24"/>
                <w:lang w:bidi="ar"/>
              </w:rPr>
            </w:pP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26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c>
          <w:tcPr>
            <w:tcW w:w="1695" w:type="dxa"/>
            <w:vMerge w:val="continue"/>
            <w:shd w:val="clear" w:color="auto" w:fill="FFFFFF" w:themeFill="background1"/>
            <w:vAlign w:val="center"/>
          </w:tcPr>
          <w:p>
            <w:pPr>
              <w:pStyle w:val="9"/>
              <w:adjustRightInd w:val="0"/>
              <w:snapToGrid w:val="0"/>
              <w:spacing w:line="320" w:lineRule="exact"/>
              <w:jc w:val="center"/>
              <w:rPr>
                <w:rFonts w:ascii="仿宋" w:hAnsi="仿宋" w:eastAsia="仿宋" w:cs="仿宋"/>
                <w:color w:val="000000"/>
                <w:kern w:val="0"/>
                <w:sz w:val="24"/>
                <w:szCs w:val="24"/>
                <w:lang w:bidi="a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34</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70度防火阀</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35</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手动对开多叶调节阀</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3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36</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手动对开多叶调节阀</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37</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135°向下弯头</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38</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高效送风口</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39</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高效送风口</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40</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回风箱</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41</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百叶回风口</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highlight w:val="green"/>
              </w:rPr>
            </w:pPr>
            <w:r>
              <w:rPr>
                <w:rFonts w:hint="eastAsia" w:ascii="仿宋" w:hAnsi="仿宋" w:eastAsia="仿宋" w:cs="仿宋"/>
                <w:sz w:val="24"/>
                <w:szCs w:val="24"/>
              </w:rPr>
              <w:t>42</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百叶回风口</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rPr>
            </w:pPr>
            <w:r>
              <w:rPr>
                <w:rFonts w:hint="eastAsia" w:ascii="仿宋" w:hAnsi="仿宋" w:eastAsia="仿宋" w:cs="仿宋"/>
                <w:sz w:val="24"/>
                <w:szCs w:val="24"/>
              </w:rPr>
              <w:t>43</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软接头</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w w:val="103"/>
                <w:sz w:val="24"/>
              </w:rPr>
              <w:t>m</w:t>
            </w:r>
            <w:r>
              <w:rPr>
                <w:rFonts w:hint="eastAsia" w:ascii="仿宋" w:hAnsi="仿宋" w:eastAsia="仿宋" w:cs="仿宋"/>
                <w:w w:val="103"/>
                <w:sz w:val="24"/>
                <w:vertAlign w:val="superscript"/>
              </w:rPr>
              <w:t>2</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rPr>
            </w:pPr>
            <w:r>
              <w:rPr>
                <w:rFonts w:hint="eastAsia" w:ascii="仿宋" w:hAnsi="仿宋" w:eastAsia="仿宋" w:cs="仿宋"/>
                <w:sz w:val="24"/>
                <w:szCs w:val="24"/>
              </w:rPr>
              <w:t>44</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风管变径管道</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2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个</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rPr>
            </w:pPr>
            <w:r>
              <w:rPr>
                <w:rFonts w:hint="eastAsia" w:ascii="仿宋" w:hAnsi="仿宋" w:eastAsia="仿宋" w:cs="仿宋"/>
                <w:sz w:val="24"/>
                <w:szCs w:val="24"/>
              </w:rPr>
              <w:t>45</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外墙、外窗开洞</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项</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spacing w:line="320" w:lineRule="exact"/>
              <w:jc w:val="center"/>
              <w:rPr>
                <w:rFonts w:ascii="仿宋" w:hAnsi="仿宋" w:eastAsia="仿宋" w:cs="仿宋"/>
                <w:sz w:val="24"/>
                <w:szCs w:val="24"/>
              </w:rPr>
            </w:pPr>
            <w:r>
              <w:rPr>
                <w:rFonts w:hint="eastAsia" w:ascii="仿宋" w:hAnsi="仿宋" w:eastAsia="仿宋" w:cs="仿宋"/>
                <w:sz w:val="24"/>
                <w:szCs w:val="24"/>
              </w:rPr>
              <w:t>46</w:t>
            </w:r>
          </w:p>
        </w:tc>
        <w:tc>
          <w:tcPr>
            <w:tcW w:w="3382"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通风空调系统调试</w:t>
            </w:r>
          </w:p>
        </w:tc>
        <w:tc>
          <w:tcPr>
            <w:tcW w:w="1095" w:type="dxa"/>
            <w:shd w:val="clear" w:color="auto" w:fill="FFFFFF" w:themeFill="background1"/>
            <w:vAlign w:val="center"/>
          </w:tcPr>
          <w:p>
            <w:pPr>
              <w:widowControl/>
              <w:snapToGrid w:val="0"/>
              <w:spacing w:line="320" w:lineRule="exact"/>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1 </w:t>
            </w:r>
          </w:p>
        </w:tc>
        <w:tc>
          <w:tcPr>
            <w:tcW w:w="1050" w:type="dxa"/>
            <w:shd w:val="clear" w:color="auto" w:fill="FFFFFF" w:themeFill="background1"/>
            <w:vAlign w:val="center"/>
          </w:tcPr>
          <w:p>
            <w:pPr>
              <w:adjustRightInd w:val="0"/>
              <w:snapToGrid w:val="0"/>
              <w:spacing w:line="320" w:lineRule="exact"/>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项</w:t>
            </w:r>
          </w:p>
        </w:tc>
        <w:tc>
          <w:tcPr>
            <w:tcW w:w="1695" w:type="dxa"/>
            <w:shd w:val="clear" w:color="auto" w:fill="FFFFFF" w:themeFill="background1"/>
            <w:vAlign w:val="center"/>
          </w:tcPr>
          <w:p>
            <w:pPr>
              <w:adjustRightInd w:val="0"/>
              <w:snapToGrid w:val="0"/>
              <w:spacing w:line="320" w:lineRule="exact"/>
              <w:jc w:val="center"/>
              <w:rPr>
                <w:rFonts w:ascii="仿宋" w:hAnsi="仿宋" w:eastAsia="仿宋" w:cs="仿宋"/>
                <w:sz w:val="24"/>
              </w:rPr>
            </w:pPr>
            <w:r>
              <w:rPr>
                <w:rFonts w:hint="eastAsia" w:ascii="仿宋" w:hAnsi="仿宋" w:eastAsia="仿宋" w:cs="仿宋"/>
                <w:color w:val="000000"/>
                <w:kern w:val="0"/>
                <w:sz w:val="24"/>
                <w:lang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9" w:hRule="atLeast"/>
        </w:trPr>
        <w:tc>
          <w:tcPr>
            <w:tcW w:w="1080" w:type="dxa"/>
            <w:shd w:val="clear" w:color="auto" w:fill="FFFFFF" w:themeFill="background1"/>
            <w:vAlign w:val="center"/>
          </w:tcPr>
          <w:p>
            <w:pPr>
              <w:pStyle w:val="9"/>
              <w:adjustRightInd w:val="0"/>
              <w:snapToGrid w:val="0"/>
              <w:jc w:val="center"/>
              <w:rPr>
                <w:rFonts w:ascii="仿宋" w:hAnsi="仿宋" w:eastAsia="仿宋" w:cs="仿宋"/>
                <w:sz w:val="24"/>
                <w:szCs w:val="24"/>
              </w:rPr>
            </w:pPr>
            <w:r>
              <w:rPr>
                <w:rFonts w:hint="eastAsia" w:ascii="仿宋" w:hAnsi="仿宋" w:eastAsia="仿宋" w:cs="仿宋"/>
                <w:sz w:val="24"/>
                <w:szCs w:val="24"/>
              </w:rPr>
              <w:t>47</w:t>
            </w:r>
          </w:p>
        </w:tc>
        <w:tc>
          <w:tcPr>
            <w:tcW w:w="3382" w:type="dxa"/>
            <w:shd w:val="clear" w:color="auto" w:fill="FFFFFF" w:themeFill="background1"/>
            <w:vAlign w:val="center"/>
          </w:tcPr>
          <w:p>
            <w:pPr>
              <w:pStyle w:val="10"/>
              <w:adjustRightInd w:val="0"/>
              <w:snapToGrid w:val="0"/>
              <w:jc w:val="center"/>
              <w:rPr>
                <w:rFonts w:ascii="仿宋" w:hAnsi="仿宋" w:eastAsia="仿宋" w:cs="仿宋"/>
                <w:snapToGrid w:val="0"/>
                <w:color w:val="000000"/>
                <w:spacing w:val="-3"/>
                <w:sz w:val="24"/>
                <w:szCs w:val="24"/>
              </w:rPr>
            </w:pPr>
            <w:r>
              <w:rPr>
                <w:rFonts w:hint="eastAsia" w:ascii="仿宋" w:hAnsi="仿宋" w:eastAsia="仿宋" w:cs="仿宋"/>
                <w:snapToGrid w:val="0"/>
                <w:color w:val="000000"/>
                <w:spacing w:val="-3"/>
                <w:sz w:val="24"/>
                <w:szCs w:val="24"/>
                <w:lang w:eastAsia="zh-CN"/>
              </w:rPr>
              <w:t>细胞间空调冷凝水</w:t>
            </w:r>
          </w:p>
        </w:tc>
        <w:tc>
          <w:tcPr>
            <w:tcW w:w="1095"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1</w:t>
            </w:r>
          </w:p>
        </w:tc>
        <w:tc>
          <w:tcPr>
            <w:tcW w:w="1050" w:type="dxa"/>
            <w:shd w:val="clear" w:color="auto" w:fill="FFFFFF" w:themeFill="background1"/>
            <w:vAlign w:val="center"/>
          </w:tcPr>
          <w:p>
            <w:pPr>
              <w:widowControl/>
              <w:adjustRightInd w:val="0"/>
              <w:snapToGrid w:val="0"/>
              <w:jc w:val="center"/>
              <w:textAlignment w:val="center"/>
              <w:rPr>
                <w:rFonts w:ascii="仿宋" w:hAnsi="仿宋" w:eastAsia="仿宋" w:cs="仿宋"/>
                <w:snapToGrid w:val="0"/>
                <w:color w:val="000000"/>
                <w:spacing w:val="-3"/>
                <w:kern w:val="0"/>
                <w:sz w:val="24"/>
              </w:rPr>
            </w:pPr>
            <w:r>
              <w:rPr>
                <w:rFonts w:hint="eastAsia" w:ascii="仿宋" w:hAnsi="仿宋" w:eastAsia="仿宋" w:cs="仿宋"/>
                <w:color w:val="000000"/>
                <w:sz w:val="24"/>
              </w:rPr>
              <w:t>项</w:t>
            </w:r>
          </w:p>
        </w:tc>
        <w:tc>
          <w:tcPr>
            <w:tcW w:w="1695" w:type="dxa"/>
            <w:shd w:val="clear" w:color="auto" w:fill="FFFFFF" w:themeFill="background1"/>
            <w:vAlign w:val="center"/>
          </w:tcPr>
          <w:p>
            <w:pPr>
              <w:widowControl/>
              <w:adjustRightInd w:val="0"/>
              <w:snapToGrid w:val="0"/>
              <w:jc w:val="center"/>
              <w:textAlignment w:val="center"/>
              <w:rPr>
                <w:rFonts w:ascii="仿宋" w:hAnsi="仿宋" w:eastAsia="仿宋" w:cs="仿宋"/>
                <w:color w:val="000000"/>
                <w:sz w:val="24"/>
              </w:rPr>
            </w:pPr>
            <w:r>
              <w:rPr>
                <w:rFonts w:hint="eastAsia" w:ascii="仿宋" w:hAnsi="仿宋" w:eastAsia="仿宋" w:cs="仿宋"/>
                <w:color w:val="000000"/>
                <w:kern w:val="0"/>
                <w:sz w:val="24"/>
                <w:lang w:bidi="ar"/>
              </w:rPr>
              <w:t>-</w:t>
            </w:r>
          </w:p>
        </w:tc>
      </w:tr>
    </w:tbl>
    <w:p>
      <w:pPr>
        <w:spacing w:before="48" w:beforeLines="20" w:line="360" w:lineRule="exact"/>
        <w:jc w:val="left"/>
        <w:rPr>
          <w:rFonts w:ascii="仿宋" w:hAnsi="仿宋" w:eastAsia="仿宋" w:cs="仿宋"/>
          <w:b/>
          <w:bCs/>
          <w:sz w:val="24"/>
        </w:rPr>
      </w:pPr>
      <w:r>
        <w:rPr>
          <w:rFonts w:hint="eastAsia" w:ascii="仿宋" w:hAnsi="仿宋" w:eastAsia="仿宋" w:cs="仿宋"/>
          <w:b/>
          <w:bCs/>
          <w:sz w:val="24"/>
        </w:rPr>
        <w:t>注：1）本次采购供应商必须以项目为单位进行磋商响应，评审和合同授予也以项目为单位。</w:t>
      </w:r>
    </w:p>
    <w:p>
      <w:pPr>
        <w:spacing w:before="48" w:beforeLines="20" w:line="360" w:lineRule="exact"/>
        <w:ind w:firstLine="482" w:firstLineChars="200"/>
        <w:jc w:val="left"/>
        <w:rPr>
          <w:rFonts w:ascii="仿宋" w:hAnsi="仿宋" w:eastAsia="仿宋" w:cs="仿宋"/>
          <w:b/>
          <w:bCs/>
          <w:sz w:val="24"/>
        </w:rPr>
      </w:pPr>
      <w:r>
        <w:rPr>
          <w:rFonts w:hint="eastAsia" w:ascii="仿宋" w:hAnsi="仿宋" w:eastAsia="仿宋" w:cs="仿宋"/>
          <w:b/>
          <w:bCs/>
          <w:sz w:val="24"/>
        </w:rPr>
        <w:t>2）本项目非单一产品采购包核心产品相同品牌的投标处理方法遵照《政府采购货物和服务招标投标管理办法》（财政部令第87号）第31条执行。</w:t>
      </w:r>
    </w:p>
    <w:p>
      <w:pPr>
        <w:spacing w:before="48" w:beforeLines="20" w:line="360" w:lineRule="exact"/>
        <w:ind w:firstLine="482" w:firstLineChars="200"/>
        <w:jc w:val="left"/>
        <w:rPr>
          <w:rFonts w:ascii="仿宋" w:hAnsi="仿宋" w:eastAsia="仿宋" w:cs="仿宋"/>
          <w:b/>
          <w:bCs/>
          <w:sz w:val="24"/>
        </w:rPr>
      </w:pPr>
      <w:r>
        <w:rPr>
          <w:rFonts w:hint="eastAsia" w:ascii="仿宋" w:hAnsi="仿宋" w:eastAsia="仿宋" w:cs="仿宋"/>
          <w:b/>
          <w:bCs/>
          <w:sz w:val="24"/>
        </w:rPr>
        <w:t>3）本项目采购标的对应的中小企业划分标准所属行业为制造业。</w:t>
      </w:r>
    </w:p>
    <w:p>
      <w:pPr>
        <w:spacing w:before="48" w:beforeLines="20" w:line="360" w:lineRule="exact"/>
        <w:ind w:firstLine="482" w:firstLineChars="200"/>
        <w:jc w:val="left"/>
        <w:rPr>
          <w:rFonts w:ascii="仿宋" w:hAnsi="仿宋" w:eastAsia="仿宋" w:cs="仿宋"/>
          <w:b/>
          <w:bCs/>
          <w:sz w:val="24"/>
        </w:rPr>
      </w:pPr>
      <w:r>
        <w:rPr>
          <w:rFonts w:hint="eastAsia" w:ascii="仿宋" w:hAnsi="仿宋" w:eastAsia="仿宋" w:cs="仿宋"/>
          <w:b/>
          <w:bCs/>
          <w:sz w:val="24"/>
          <w:lang w:val="en-US" w:eastAsia="zh-CN"/>
        </w:rPr>
        <w:t>4）</w:t>
      </w:r>
      <w:r>
        <w:rPr>
          <w:rFonts w:hint="eastAsia" w:ascii="仿宋" w:hAnsi="仿宋" w:eastAsia="仿宋" w:cs="仿宋"/>
          <w:b/>
          <w:bCs/>
          <w:sz w:val="24"/>
        </w:rPr>
        <w:t>本次采购不接受赠送，不完整的响应将被拒绝。具体技术需求详见第四章。</w:t>
      </w:r>
    </w:p>
    <w:p>
      <w:pPr>
        <w:numPr>
          <w:ilvl w:val="0"/>
          <w:numId w:val="2"/>
        </w:numPr>
        <w:spacing w:before="48" w:beforeLines="20" w:line="360" w:lineRule="exact"/>
        <w:jc w:val="left"/>
        <w:rPr>
          <w:rFonts w:ascii="仿宋" w:hAnsi="仿宋" w:eastAsia="仿宋" w:cs="仿宋"/>
          <w:b/>
          <w:sz w:val="24"/>
        </w:rPr>
      </w:pPr>
      <w:r>
        <w:rPr>
          <w:rFonts w:hint="eastAsia" w:ascii="仿宋" w:hAnsi="仿宋" w:eastAsia="仿宋" w:cs="仿宋"/>
          <w:b/>
          <w:sz w:val="24"/>
        </w:rPr>
        <w:t>项目审批及预算情况：</w:t>
      </w:r>
      <w:r>
        <w:rPr>
          <w:rFonts w:hint="eastAsia" w:ascii="仿宋" w:hAnsi="仿宋" w:eastAsia="仿宋" w:cs="仿宋"/>
          <w:bCs/>
          <w:sz w:val="24"/>
        </w:rPr>
        <w:t>项目已获得主管部门审批，资金已落实。</w:t>
      </w:r>
    </w:p>
    <w:p>
      <w:pPr>
        <w:spacing w:before="48" w:beforeLines="20" w:line="360" w:lineRule="exact"/>
        <w:rPr>
          <w:rFonts w:ascii="仿宋" w:hAnsi="仿宋" w:eastAsia="仿宋" w:cs="仿宋"/>
          <w:b/>
          <w:bCs/>
          <w:sz w:val="24"/>
        </w:rPr>
      </w:pPr>
      <w:r>
        <w:rPr>
          <w:rFonts w:hint="eastAsia" w:ascii="仿宋" w:hAnsi="仿宋" w:eastAsia="仿宋" w:cs="仿宋"/>
          <w:b/>
          <w:bCs/>
          <w:sz w:val="24"/>
        </w:rPr>
        <w:t>3. 供应商资格条件：</w:t>
      </w:r>
    </w:p>
    <w:p>
      <w:pPr>
        <w:tabs>
          <w:tab w:val="left" w:pos="1050"/>
          <w:tab w:val="left" w:pos="1260"/>
        </w:tabs>
        <w:spacing w:before="120" w:beforeLines="50" w:line="360" w:lineRule="exact"/>
        <w:rPr>
          <w:rFonts w:ascii="仿宋" w:hAnsi="仿宋" w:eastAsia="仿宋" w:cs="仿宋"/>
          <w:color w:val="000000"/>
          <w:sz w:val="24"/>
        </w:rPr>
      </w:pPr>
      <w:bookmarkStart w:id="3" w:name="OLE_LINK1"/>
      <w:r>
        <w:rPr>
          <w:rFonts w:hint="eastAsia" w:ascii="仿宋" w:hAnsi="仿宋" w:eastAsia="仿宋" w:cs="仿宋"/>
          <w:color w:val="000000"/>
          <w:sz w:val="24"/>
        </w:rPr>
        <w:t>（1）满足《中华人民共和国政府采购法》第二十二条规定。</w:t>
      </w:r>
    </w:p>
    <w:p>
      <w:pPr>
        <w:widowControl/>
        <w:tabs>
          <w:tab w:val="left" w:pos="1050"/>
          <w:tab w:val="left" w:pos="1260"/>
        </w:tabs>
        <w:spacing w:before="120" w:beforeLines="50" w:line="360" w:lineRule="exact"/>
        <w:jc w:val="left"/>
        <w:rPr>
          <w:rFonts w:ascii="仿宋" w:hAnsi="仿宋" w:eastAsia="仿宋" w:cs="仿宋"/>
          <w:color w:val="000000"/>
          <w:sz w:val="24"/>
        </w:rPr>
      </w:pPr>
      <w:r>
        <w:rPr>
          <w:rFonts w:hint="eastAsia" w:ascii="仿宋" w:hAnsi="仿宋" w:eastAsia="仿宋" w:cs="仿宋"/>
          <w:color w:val="000000"/>
          <w:sz w:val="24"/>
        </w:rPr>
        <w:t>（2）落实政府采购政策需满足的资格要求：</w:t>
      </w:r>
    </w:p>
    <w:p>
      <w:pPr>
        <w:tabs>
          <w:tab w:val="left" w:pos="1050"/>
          <w:tab w:val="left" w:pos="1260"/>
        </w:tabs>
        <w:spacing w:before="120" w:beforeLines="50" w:line="360" w:lineRule="exact"/>
        <w:ind w:firstLine="602" w:firstLineChars="250"/>
        <w:rPr>
          <w:rFonts w:ascii="仿宋" w:hAnsi="仿宋" w:cs="仿宋"/>
          <w:color w:val="000000"/>
          <w:sz w:val="24"/>
        </w:rPr>
      </w:pPr>
      <w:r>
        <w:rPr>
          <w:rFonts w:hint="eastAsia" w:ascii="仿宋" w:hAnsi="仿宋" w:eastAsia="仿宋" w:cs="仿宋"/>
          <w:b/>
          <w:bCs/>
          <w:color w:val="000000"/>
          <w:sz w:val="24"/>
        </w:rPr>
        <w:t>本项目为非专门面向中小微企业采购的项目</w:t>
      </w:r>
      <w:r>
        <w:rPr>
          <w:rFonts w:hint="eastAsia" w:ascii="仿宋" w:hAnsi="仿宋" w:eastAsia="仿宋" w:cs="仿宋"/>
          <w:color w:val="000000"/>
          <w:sz w:val="24"/>
        </w:rPr>
        <w:t>。</w:t>
      </w:r>
    </w:p>
    <w:p>
      <w:pPr>
        <w:tabs>
          <w:tab w:val="left" w:pos="1050"/>
          <w:tab w:val="left" w:pos="1260"/>
        </w:tabs>
        <w:spacing w:before="120" w:beforeLines="50" w:line="360" w:lineRule="exact"/>
        <w:rPr>
          <w:rFonts w:ascii="仿宋" w:hAnsi="仿宋" w:eastAsia="仿宋" w:cs="仿宋"/>
          <w:color w:val="000000"/>
          <w:sz w:val="24"/>
        </w:rPr>
      </w:pPr>
      <w:r>
        <w:rPr>
          <w:rFonts w:hint="eastAsia" w:ascii="仿宋" w:hAnsi="仿宋" w:eastAsia="仿宋" w:cs="仿宋"/>
          <w:color w:val="000000"/>
          <w:sz w:val="24"/>
        </w:rPr>
        <w:t>（3）本项目的特定资格要求：</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1）在中华人民共和国境内注册，具有独立承担民事责任的能力和经营许可，向采购人提供货物和服务的法人、其他组织或自然人。</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2）具有良好的商业信誉和健全的财务会计制度。</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3）具有履行合同所必需的设备和专业技术能力。</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4）有依法缴纳税收和社会保障资金的良好记录。</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5）参加政府采购活动前三年内在经营活动中没有重大违法记录。</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6）被“信用中国”网站列入失信被执行人和重大税收违法案件当事人名单的、被“国家企业信用信息公示系统”网站列入严重违法失信企业名单的、被“中国政府采购网”网站列入政府采购严重违法失信行为记录名单（处罚期限尚未届满的），不得参与本项目的政府采购活动。</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7）按照采购邀请要求购买了磋商文件。</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8）符合法律、行政法规规定的其它要求。</w:t>
      </w:r>
    </w:p>
    <w:p>
      <w:pPr>
        <w:spacing w:before="48" w:beforeLines="20" w:line="360" w:lineRule="exact"/>
        <w:ind w:firstLine="240" w:firstLineChars="100"/>
        <w:rPr>
          <w:rFonts w:ascii="仿宋" w:hAnsi="仿宋" w:eastAsia="仿宋" w:cs="仿宋"/>
          <w:sz w:val="24"/>
        </w:rPr>
      </w:pPr>
      <w:r>
        <w:rPr>
          <w:rFonts w:hint="eastAsia" w:ascii="仿宋" w:hAnsi="仿宋" w:eastAsia="仿宋" w:cs="仿宋"/>
          <w:sz w:val="24"/>
        </w:rPr>
        <w:t>9）本项目不接受联合体磋商。</w:t>
      </w:r>
    </w:p>
    <w:bookmarkEnd w:id="3"/>
    <w:p>
      <w:pPr>
        <w:spacing w:before="48" w:beforeLines="20" w:line="360" w:lineRule="exact"/>
        <w:rPr>
          <w:rFonts w:ascii="仿宋" w:hAnsi="仿宋" w:eastAsia="仿宋" w:cs="仿宋"/>
          <w:b/>
          <w:bCs/>
          <w:sz w:val="24"/>
        </w:rPr>
      </w:pPr>
      <w:r>
        <w:rPr>
          <w:rFonts w:hint="eastAsia" w:ascii="仿宋" w:hAnsi="仿宋" w:eastAsia="仿宋" w:cs="仿宋"/>
          <w:b/>
          <w:bCs/>
          <w:sz w:val="24"/>
        </w:rPr>
        <w:t>4. 采购项目需要落实的政府采购政策：</w:t>
      </w:r>
    </w:p>
    <w:p>
      <w:pPr>
        <w:spacing w:line="400" w:lineRule="exact"/>
        <w:rPr>
          <w:rFonts w:ascii="仿宋" w:hAnsi="仿宋" w:eastAsia="仿宋" w:cs="仿宋"/>
          <w:sz w:val="24"/>
        </w:rPr>
      </w:pPr>
      <w:r>
        <w:rPr>
          <w:rFonts w:hint="eastAsia" w:ascii="仿宋" w:hAnsi="仿宋" w:eastAsia="仿宋" w:cs="仿宋"/>
          <w:sz w:val="24"/>
        </w:rPr>
        <w:t>（1）鼓励节能、环保政策：依据《财政部 发展改革委 生态环境部 市场监管总局关于调整优化节能产品、环境标志产品政府采购执行机制的通知（财库（2019）9号）》执行。</w:t>
      </w:r>
    </w:p>
    <w:p>
      <w:pPr>
        <w:spacing w:line="400" w:lineRule="exact"/>
        <w:rPr>
          <w:rFonts w:ascii="仿宋" w:hAnsi="仿宋" w:eastAsia="仿宋" w:cs="仿宋"/>
          <w:sz w:val="24"/>
        </w:rPr>
      </w:pPr>
      <w:r>
        <w:rPr>
          <w:rFonts w:hint="eastAsia" w:ascii="仿宋" w:hAnsi="仿宋" w:eastAsia="仿宋" w:cs="仿宋"/>
          <w:sz w:val="24"/>
        </w:rPr>
        <w:t>（2）扶持中小企业政策：扶持中小企业政策：货物和服务项目评审时小型和微型企业产品享受6%的价格折扣，用扣除后的价格参加评审；工程项目评审时小型和微型企业在采用原报价进行评分的基础上增加其价格得分的3%。监狱企业视同小型、微型企业。残疾人福利性单位视同小型、微型企业。不重复享受政策。</w:t>
      </w:r>
    </w:p>
    <w:p>
      <w:pPr>
        <w:spacing w:before="48" w:beforeLines="20" w:line="360" w:lineRule="exact"/>
        <w:rPr>
          <w:rFonts w:ascii="仿宋" w:hAnsi="仿宋" w:eastAsia="仿宋" w:cs="仿宋"/>
          <w:sz w:val="24"/>
        </w:rPr>
      </w:pPr>
      <w:r>
        <w:rPr>
          <w:rFonts w:hint="eastAsia" w:ascii="仿宋" w:hAnsi="仿宋" w:eastAsia="仿宋" w:cs="仿宋"/>
          <w:sz w:val="24"/>
        </w:rPr>
        <w:t>（3）本项目采购标的是否接受进口产品/服务详见</w:t>
      </w:r>
      <w:r>
        <w:rPr>
          <w:rFonts w:hint="eastAsia" w:ascii="仿宋" w:hAnsi="仿宋" w:eastAsia="仿宋" w:cs="仿宋"/>
          <w:b/>
          <w:bCs/>
          <w:sz w:val="24"/>
        </w:rPr>
        <w:t>第1条“采购内容”</w:t>
      </w:r>
      <w:r>
        <w:rPr>
          <w:rFonts w:hint="eastAsia" w:ascii="仿宋" w:hAnsi="仿宋" w:eastAsia="仿宋" w:cs="仿宋"/>
          <w:sz w:val="24"/>
        </w:rPr>
        <w:t>要求。</w:t>
      </w:r>
    </w:p>
    <w:p>
      <w:pPr>
        <w:adjustRightInd w:val="0"/>
        <w:spacing w:before="48" w:beforeLines="20" w:line="360" w:lineRule="exact"/>
        <w:rPr>
          <w:rFonts w:ascii="仿宋" w:hAnsi="仿宋" w:eastAsia="仿宋" w:cs="仿宋"/>
          <w:sz w:val="24"/>
        </w:rPr>
      </w:pPr>
      <w:r>
        <w:rPr>
          <w:rFonts w:hint="eastAsia" w:ascii="仿宋" w:hAnsi="仿宋" w:eastAsia="仿宋" w:cs="仿宋"/>
          <w:b/>
          <w:bCs/>
          <w:kern w:val="0"/>
          <w:sz w:val="24"/>
        </w:rPr>
        <w:t>5. 磋商文件的</w:t>
      </w:r>
      <w:r>
        <w:rPr>
          <w:rFonts w:hint="eastAsia" w:ascii="仿宋" w:hAnsi="仿宋" w:eastAsia="仿宋" w:cs="仿宋"/>
          <w:b/>
          <w:bCs/>
          <w:sz w:val="24"/>
        </w:rPr>
        <w:t xml:space="preserve">获取： </w:t>
      </w:r>
    </w:p>
    <w:p>
      <w:pPr>
        <w:pStyle w:val="3"/>
        <w:widowControl w:val="0"/>
        <w:tabs>
          <w:tab w:val="left" w:pos="536"/>
          <w:tab w:val="clear" w:pos="1440"/>
        </w:tabs>
        <w:autoSpaceDE w:val="0"/>
        <w:autoSpaceDN w:val="0"/>
        <w:spacing w:before="48" w:beforeLines="20" w:after="0" w:line="360" w:lineRule="exact"/>
        <w:ind w:left="0" w:firstLine="0"/>
        <w:rPr>
          <w:rFonts w:ascii="仿宋" w:hAnsi="仿宋" w:eastAsia="仿宋" w:cs="仿宋"/>
        </w:rPr>
      </w:pPr>
      <w:r>
        <w:rPr>
          <w:rFonts w:hint="eastAsia" w:ascii="仿宋" w:hAnsi="仿宋" w:eastAsia="仿宋" w:cs="仿宋"/>
        </w:rPr>
        <w:t>（1）</w:t>
      </w:r>
      <w:r>
        <w:rPr>
          <w:rFonts w:hint="eastAsia" w:ascii="仿宋" w:hAnsi="仿宋" w:eastAsia="仿宋" w:cs="仿宋"/>
          <w:b/>
          <w:bCs/>
          <w:spacing w:val="-1"/>
          <w:kern w:val="2"/>
        </w:rPr>
        <w:t>因处于疫情防控期间，本项目采购文件采用网上审批下载方式发放，不向供应商提供纸质采购文件</w:t>
      </w:r>
      <w:r>
        <w:rPr>
          <w:rFonts w:hint="eastAsia" w:ascii="仿宋" w:hAnsi="仿宋" w:eastAsia="仿宋" w:cs="仿宋"/>
        </w:rPr>
        <w:t>。</w:t>
      </w:r>
    </w:p>
    <w:p>
      <w:pPr>
        <w:pStyle w:val="11"/>
        <w:tabs>
          <w:tab w:val="left" w:pos="483"/>
        </w:tabs>
        <w:autoSpaceDE w:val="0"/>
        <w:autoSpaceDN w:val="0"/>
        <w:spacing w:before="48" w:beforeLines="20" w:line="360" w:lineRule="exact"/>
        <w:ind w:firstLine="0"/>
        <w:jc w:val="left"/>
        <w:rPr>
          <w:rFonts w:ascii="仿宋" w:hAnsi="仿宋" w:eastAsia="仿宋" w:cs="仿宋"/>
          <w:spacing w:val="-1"/>
          <w:sz w:val="24"/>
          <w:szCs w:val="24"/>
        </w:rPr>
      </w:pPr>
      <w:r>
        <w:rPr>
          <w:rFonts w:hint="eastAsia" w:ascii="仿宋" w:hAnsi="仿宋" w:eastAsia="仿宋" w:cs="仿宋"/>
          <w:spacing w:val="-1"/>
          <w:sz w:val="24"/>
          <w:szCs w:val="24"/>
        </w:rPr>
        <w:t>（2）</w:t>
      </w:r>
      <w:r>
        <w:rPr>
          <w:rFonts w:hint="eastAsia" w:ascii="仿宋" w:hAnsi="仿宋" w:eastAsia="仿宋" w:cs="仿宋"/>
          <w:b/>
          <w:bCs/>
          <w:spacing w:val="-1"/>
          <w:sz w:val="24"/>
          <w:szCs w:val="24"/>
        </w:rPr>
        <w:t>采购文件</w:t>
      </w:r>
      <w:r>
        <w:rPr>
          <w:rFonts w:hint="eastAsia" w:ascii="仿宋" w:hAnsi="仿宋" w:eastAsia="仿宋" w:cs="仿宋"/>
          <w:b/>
          <w:bCs/>
          <w:sz w:val="24"/>
          <w:szCs w:val="24"/>
        </w:rPr>
        <w:t>发售日期为</w:t>
      </w:r>
      <w:r>
        <w:rPr>
          <w:rFonts w:hint="eastAsia" w:ascii="仿宋" w:hAnsi="仿宋" w:eastAsia="仿宋" w:cs="仿宋"/>
          <w:b/>
          <w:bCs/>
          <w:sz w:val="24"/>
          <w:szCs w:val="24"/>
          <w:highlight w:val="none"/>
        </w:rPr>
        <w:t>2022年3月</w:t>
      </w:r>
      <w:r>
        <w:rPr>
          <w:rFonts w:hint="eastAsia" w:ascii="仿宋" w:hAnsi="仿宋" w:eastAsia="仿宋" w:cs="仿宋"/>
          <w:b/>
          <w:bCs/>
          <w:sz w:val="24"/>
          <w:szCs w:val="24"/>
          <w:highlight w:val="none"/>
          <w:lang w:val="en-US" w:eastAsia="zh-CN"/>
        </w:rPr>
        <w:t>7</w:t>
      </w:r>
      <w:r>
        <w:rPr>
          <w:rFonts w:hint="eastAsia" w:ascii="仿宋" w:hAnsi="仿宋" w:eastAsia="仿宋" w:cs="仿宋"/>
          <w:b/>
          <w:bCs/>
          <w:sz w:val="24"/>
          <w:szCs w:val="24"/>
          <w:highlight w:val="none"/>
        </w:rPr>
        <w:t>日至2022年3月</w:t>
      </w:r>
      <w:r>
        <w:rPr>
          <w:rFonts w:hint="eastAsia" w:ascii="仿宋" w:hAnsi="仿宋" w:eastAsia="仿宋" w:cs="仿宋"/>
          <w:b/>
          <w:bCs/>
          <w:sz w:val="24"/>
          <w:szCs w:val="24"/>
          <w:highlight w:val="none"/>
          <w:lang w:val="en-US" w:eastAsia="zh-CN"/>
        </w:rPr>
        <w:t>14</w:t>
      </w:r>
      <w:r>
        <w:rPr>
          <w:rFonts w:hint="default" w:ascii="仿宋" w:hAnsi="仿宋" w:eastAsia="仿宋" w:cs="仿宋"/>
          <w:b/>
          <w:bCs/>
          <w:sz w:val="24"/>
          <w:szCs w:val="24"/>
          <w:highlight w:val="none"/>
          <w:lang w:val="en-US"/>
        </w:rPr>
        <w:t>日</w:t>
      </w:r>
      <w:r>
        <w:rPr>
          <w:rFonts w:hint="eastAsia" w:ascii="仿宋" w:hAnsi="仿宋" w:eastAsia="仿宋" w:cs="仿宋"/>
          <w:sz w:val="24"/>
          <w:szCs w:val="24"/>
        </w:rPr>
        <w:t>，每天上午9:00至11:30，下午13:00至17:00（北京时间，法定节假日除外）。</w:t>
      </w:r>
    </w:p>
    <w:p>
      <w:pPr>
        <w:pStyle w:val="11"/>
        <w:tabs>
          <w:tab w:val="left" w:pos="483"/>
        </w:tabs>
        <w:autoSpaceDE w:val="0"/>
        <w:autoSpaceDN w:val="0"/>
        <w:spacing w:before="48" w:beforeLines="20" w:line="360" w:lineRule="exact"/>
        <w:ind w:firstLine="0"/>
        <w:jc w:val="left"/>
        <w:rPr>
          <w:rFonts w:ascii="仿宋" w:hAnsi="仿宋" w:eastAsia="仿宋" w:cs="仿宋"/>
          <w:spacing w:val="-1"/>
          <w:sz w:val="24"/>
          <w:szCs w:val="24"/>
        </w:rPr>
      </w:pPr>
      <w:r>
        <w:rPr>
          <w:rFonts w:hint="eastAsia" w:ascii="仿宋" w:hAnsi="仿宋" w:eastAsia="仿宋" w:cs="仿宋"/>
          <w:spacing w:val="-1"/>
          <w:sz w:val="24"/>
          <w:szCs w:val="24"/>
        </w:rPr>
        <w:t>（3）有意向的供应商应先在中国通用</w:t>
      </w:r>
      <w:r>
        <w:rPr>
          <w:rFonts w:eastAsia="仿宋"/>
          <w:spacing w:val="-1"/>
          <w:sz w:val="24"/>
          <w:szCs w:val="24"/>
        </w:rPr>
        <w:t>招标网</w:t>
      </w:r>
      <w:r>
        <w:fldChar w:fldCharType="begin"/>
      </w:r>
      <w:r>
        <w:instrText xml:space="preserve"> HYPERLINK "http://www.china-tender.com.cn/" </w:instrText>
      </w:r>
      <w:r>
        <w:fldChar w:fldCharType="separate"/>
      </w:r>
      <w:r>
        <w:rPr>
          <w:rFonts w:eastAsia="仿宋"/>
          <w:spacing w:val="-1"/>
          <w:sz w:val="24"/>
          <w:szCs w:val="24"/>
        </w:rPr>
        <w:t>http://www.china-tender.com.cn</w:t>
      </w:r>
      <w:r>
        <w:rPr>
          <w:rFonts w:eastAsia="仿宋"/>
          <w:spacing w:val="-1"/>
          <w:sz w:val="24"/>
          <w:szCs w:val="24"/>
        </w:rPr>
        <w:fldChar w:fldCharType="end"/>
      </w:r>
      <w:r>
        <w:rPr>
          <w:rFonts w:eastAsia="仿宋"/>
          <w:spacing w:val="-1"/>
          <w:sz w:val="24"/>
          <w:szCs w:val="24"/>
        </w:rPr>
        <w:t>免</w:t>
      </w:r>
      <w:r>
        <w:rPr>
          <w:rFonts w:hint="eastAsia" w:ascii="仿宋" w:hAnsi="仿宋" w:eastAsia="仿宋" w:cs="仿宋"/>
          <w:spacing w:val="-1"/>
          <w:sz w:val="24"/>
          <w:szCs w:val="24"/>
        </w:rPr>
        <w:t>费注册，注册完成后凭登陆账号请按照网上操作流程进行购买。中国通用招标网技术支持/注册审核电话：400-680-8126。</w:t>
      </w:r>
    </w:p>
    <w:p>
      <w:pPr>
        <w:pStyle w:val="11"/>
        <w:tabs>
          <w:tab w:val="left" w:pos="483"/>
        </w:tabs>
        <w:autoSpaceDE w:val="0"/>
        <w:autoSpaceDN w:val="0"/>
        <w:spacing w:before="48" w:beforeLines="20" w:line="360" w:lineRule="exact"/>
        <w:ind w:firstLine="0"/>
        <w:jc w:val="left"/>
        <w:rPr>
          <w:rFonts w:ascii="仿宋" w:hAnsi="仿宋" w:eastAsia="仿宋" w:cs="仿宋"/>
          <w:spacing w:val="-1"/>
          <w:sz w:val="24"/>
          <w:szCs w:val="24"/>
        </w:rPr>
      </w:pPr>
      <w:r>
        <w:rPr>
          <w:rFonts w:hint="eastAsia" w:ascii="仿宋" w:hAnsi="仿宋" w:eastAsia="仿宋" w:cs="仿宋"/>
          <w:spacing w:val="-1"/>
          <w:sz w:val="24"/>
          <w:szCs w:val="24"/>
        </w:rPr>
        <w:t>（4）购买标书流程：供应商先在中国通用招标网招标文件获取一栏中对应的项目（标）下填写招标文件购买申请，填写招标文件购买申请后，具体购买方式包括：</w:t>
      </w:r>
    </w:p>
    <w:p>
      <w:pPr>
        <w:tabs>
          <w:tab w:val="left" w:pos="1365"/>
        </w:tabs>
        <w:spacing w:before="48" w:beforeLines="20" w:line="360" w:lineRule="exact"/>
        <w:ind w:firstLine="476" w:firstLineChars="200"/>
        <w:rPr>
          <w:rFonts w:ascii="仿宋" w:hAnsi="仿宋" w:eastAsia="仿宋" w:cs="仿宋"/>
          <w:spacing w:val="-1"/>
          <w:sz w:val="24"/>
        </w:rPr>
      </w:pPr>
      <w:r>
        <w:rPr>
          <w:rFonts w:hint="eastAsia" w:ascii="仿宋" w:hAnsi="仿宋" w:eastAsia="仿宋" w:cs="仿宋"/>
          <w:spacing w:val="-1"/>
          <w:sz w:val="24"/>
        </w:rPr>
        <w:t>1）选择网上支付方式购买采购文件的供应商在标书款支付成功后，即可下载采购文件，纸质文件可采用快递或联系采购代理机构联系人进行领取。纸质采购文件和电子版本采购文件具有同等法律效力；</w:t>
      </w:r>
    </w:p>
    <w:p>
      <w:pPr>
        <w:tabs>
          <w:tab w:val="left" w:pos="426"/>
        </w:tabs>
        <w:spacing w:before="48" w:beforeLines="20" w:line="360" w:lineRule="exact"/>
        <w:ind w:firstLine="476" w:firstLineChars="200"/>
        <w:jc w:val="left"/>
        <w:rPr>
          <w:rFonts w:ascii="仿宋" w:hAnsi="仿宋" w:eastAsia="仿宋" w:cs="仿宋"/>
          <w:spacing w:val="-1"/>
          <w:sz w:val="24"/>
        </w:rPr>
      </w:pPr>
      <w:r>
        <w:rPr>
          <w:rFonts w:hint="eastAsia" w:ascii="仿宋" w:hAnsi="仿宋" w:eastAsia="仿宋" w:cs="仿宋"/>
          <w:spacing w:val="-1"/>
          <w:sz w:val="24"/>
        </w:rPr>
        <w:t>2）采购文件发票领取方式：网上支付时申请领取电子发票或在北京市丰台区西三环中路90号通用技术大厦1层标书室现场领取纸质发票。</w:t>
      </w:r>
    </w:p>
    <w:p>
      <w:pPr>
        <w:tabs>
          <w:tab w:val="left" w:pos="426"/>
        </w:tabs>
        <w:spacing w:before="48" w:beforeLines="20" w:line="360" w:lineRule="exact"/>
        <w:ind w:firstLine="478" w:firstLineChars="200"/>
        <w:jc w:val="left"/>
        <w:rPr>
          <w:rFonts w:ascii="仿宋" w:hAnsi="仿宋" w:eastAsia="仿宋" w:cs="仿宋"/>
          <w:b/>
          <w:bCs/>
          <w:spacing w:val="-1"/>
          <w:sz w:val="24"/>
        </w:rPr>
      </w:pPr>
      <w:r>
        <w:rPr>
          <w:rFonts w:hint="eastAsia" w:ascii="仿宋" w:hAnsi="仿宋" w:eastAsia="仿宋" w:cs="仿宋"/>
          <w:b/>
          <w:bCs/>
          <w:spacing w:val="-1"/>
          <w:sz w:val="24"/>
        </w:rPr>
        <w:t>特别提示：</w:t>
      </w:r>
    </w:p>
    <w:p>
      <w:pPr>
        <w:tabs>
          <w:tab w:val="left" w:pos="426"/>
        </w:tabs>
        <w:spacing w:before="48" w:beforeLines="20" w:line="360" w:lineRule="exact"/>
        <w:ind w:firstLine="478" w:firstLineChars="200"/>
        <w:jc w:val="left"/>
        <w:rPr>
          <w:rFonts w:ascii="仿宋" w:hAnsi="仿宋" w:eastAsia="仿宋" w:cs="仿宋"/>
          <w:b/>
          <w:bCs/>
          <w:spacing w:val="-1"/>
          <w:sz w:val="24"/>
        </w:rPr>
      </w:pPr>
      <w:r>
        <w:rPr>
          <w:rFonts w:hint="eastAsia" w:ascii="仿宋" w:hAnsi="仿宋" w:eastAsia="仿宋" w:cs="仿宋"/>
          <w:b/>
          <w:bCs/>
          <w:spacing w:val="-1"/>
          <w:sz w:val="24"/>
        </w:rPr>
        <w:t>提示1：每次购买标书申请系统生成的账号不同，请按照系统生成的账号进行付款，不要重复支付；</w:t>
      </w:r>
    </w:p>
    <w:p>
      <w:pPr>
        <w:tabs>
          <w:tab w:val="left" w:pos="426"/>
        </w:tabs>
        <w:spacing w:before="48" w:beforeLines="20" w:line="360" w:lineRule="exact"/>
        <w:ind w:firstLine="478" w:firstLineChars="200"/>
        <w:jc w:val="left"/>
        <w:rPr>
          <w:rFonts w:ascii="仿宋" w:hAnsi="仿宋" w:eastAsia="仿宋" w:cs="仿宋"/>
          <w:b/>
          <w:bCs/>
          <w:spacing w:val="-1"/>
          <w:sz w:val="24"/>
        </w:rPr>
      </w:pPr>
      <w:r>
        <w:rPr>
          <w:rFonts w:hint="eastAsia" w:ascii="仿宋" w:hAnsi="仿宋" w:eastAsia="仿宋" w:cs="仿宋"/>
          <w:b/>
          <w:bCs/>
          <w:spacing w:val="-1"/>
          <w:sz w:val="24"/>
        </w:rPr>
        <w:t>提示2：汇款金额必须与系统提示金额相同，否则将会被退回。</w:t>
      </w:r>
    </w:p>
    <w:p>
      <w:pPr>
        <w:tabs>
          <w:tab w:val="left" w:pos="426"/>
        </w:tabs>
        <w:spacing w:before="48" w:beforeLines="20" w:line="360" w:lineRule="exact"/>
        <w:ind w:firstLine="476" w:firstLineChars="200"/>
        <w:jc w:val="left"/>
        <w:rPr>
          <w:rFonts w:ascii="仿宋" w:hAnsi="仿宋" w:eastAsia="仿宋" w:cs="仿宋"/>
          <w:spacing w:val="-1"/>
          <w:sz w:val="24"/>
        </w:rPr>
      </w:pPr>
      <w:r>
        <w:rPr>
          <w:rFonts w:hint="eastAsia" w:ascii="仿宋" w:hAnsi="仿宋" w:eastAsia="仿宋" w:cs="仿宋"/>
          <w:spacing w:val="-1"/>
          <w:sz w:val="24"/>
        </w:rPr>
        <w:t>3）选择现金、支票方式购买采购文件的供应商须前往北京市丰台区西三环中路90号通用技术大厦1层标书室现场交款并当场领取发票，完成交款手续后，即可在线下载采购文件，标书室工作时间（现金、支票方式）：每天（周六、日及法定节假日除外）上午9：00－11：00、下午2：00－4：00时。联系人：杜庆 ；电话：010-63348281。</w:t>
      </w:r>
    </w:p>
    <w:p>
      <w:pPr>
        <w:tabs>
          <w:tab w:val="left" w:pos="360"/>
        </w:tabs>
        <w:spacing w:before="48" w:beforeLines="20" w:line="360" w:lineRule="exact"/>
        <w:jc w:val="left"/>
        <w:rPr>
          <w:rFonts w:ascii="仿宋" w:hAnsi="仿宋" w:eastAsia="仿宋" w:cs="仿宋"/>
          <w:sz w:val="24"/>
        </w:rPr>
      </w:pPr>
      <w:r>
        <w:rPr>
          <w:rFonts w:hint="eastAsia" w:ascii="仿宋" w:hAnsi="仿宋" w:eastAsia="仿宋" w:cs="仿宋"/>
          <w:sz w:val="24"/>
        </w:rPr>
        <w:t>（5）本项目采购文件售价300元，售后不退。</w:t>
      </w:r>
    </w:p>
    <w:p>
      <w:pPr>
        <w:tabs>
          <w:tab w:val="left" w:pos="360"/>
        </w:tabs>
        <w:spacing w:before="48" w:beforeLines="20" w:line="360" w:lineRule="exact"/>
        <w:jc w:val="left"/>
        <w:rPr>
          <w:rFonts w:ascii="仿宋" w:hAnsi="仿宋" w:eastAsia="仿宋" w:cs="仿宋"/>
          <w:sz w:val="24"/>
        </w:rPr>
      </w:pPr>
      <w:r>
        <w:rPr>
          <w:rFonts w:hint="eastAsia" w:ascii="仿宋" w:hAnsi="仿宋" w:eastAsia="仿宋" w:cs="仿宋"/>
          <w:b/>
          <w:bCs/>
          <w:sz w:val="24"/>
        </w:rPr>
        <w:t>6. 磋商保证金：</w:t>
      </w:r>
      <w:r>
        <w:rPr>
          <w:rFonts w:hint="eastAsia" w:ascii="仿宋" w:hAnsi="仿宋" w:eastAsia="仿宋" w:cs="仿宋"/>
          <w:sz w:val="24"/>
        </w:rPr>
        <w:t>供应商在提交响应文件时，应附有1万元人民币的磋商保证金。</w:t>
      </w:r>
    </w:p>
    <w:p>
      <w:pPr>
        <w:tabs>
          <w:tab w:val="left" w:pos="360"/>
          <w:tab w:val="left" w:pos="420"/>
        </w:tabs>
        <w:spacing w:before="48" w:beforeLines="20" w:line="360" w:lineRule="exact"/>
        <w:rPr>
          <w:rFonts w:ascii="仿宋" w:hAnsi="仿宋" w:eastAsia="仿宋" w:cs="仿宋"/>
          <w:b/>
          <w:bCs/>
          <w:sz w:val="24"/>
        </w:rPr>
      </w:pPr>
      <w:r>
        <w:rPr>
          <w:rFonts w:hint="eastAsia" w:ascii="仿宋" w:hAnsi="仿宋" w:eastAsia="仿宋" w:cs="仿宋"/>
          <w:b/>
          <w:bCs/>
          <w:sz w:val="24"/>
        </w:rPr>
        <w:t>7. 提交响应文件截止时间和地点：</w:t>
      </w:r>
    </w:p>
    <w:p>
      <w:pPr>
        <w:tabs>
          <w:tab w:val="left" w:pos="360"/>
          <w:tab w:val="left" w:pos="420"/>
        </w:tabs>
        <w:spacing w:before="48" w:beforeLines="20" w:line="360" w:lineRule="exact"/>
        <w:rPr>
          <w:rFonts w:ascii="仿宋" w:hAnsi="仿宋" w:eastAsia="仿宋" w:cs="仿宋"/>
          <w:sz w:val="24"/>
        </w:rPr>
      </w:pPr>
      <w:r>
        <w:rPr>
          <w:rFonts w:hint="eastAsia" w:ascii="仿宋" w:hAnsi="仿宋" w:eastAsia="仿宋" w:cs="仿宋"/>
          <w:b/>
          <w:bCs/>
          <w:sz w:val="24"/>
        </w:rPr>
        <w:t>提交响应文件截止时间：</w:t>
      </w:r>
      <w:r>
        <w:rPr>
          <w:rFonts w:hint="eastAsia" w:ascii="仿宋" w:hAnsi="仿宋" w:eastAsia="仿宋" w:cs="仿宋"/>
          <w:sz w:val="24"/>
          <w:highlight w:val="none"/>
          <w:lang w:eastAsia="zh-CN"/>
        </w:rPr>
        <w:t>2022年3月18日上午9：00</w:t>
      </w:r>
      <w:r>
        <w:rPr>
          <w:rFonts w:hint="eastAsia" w:ascii="仿宋" w:hAnsi="仿宋" w:eastAsia="仿宋" w:cs="仿宋"/>
          <w:sz w:val="24"/>
        </w:rPr>
        <w:t>（北京时间）</w:t>
      </w:r>
    </w:p>
    <w:p>
      <w:pPr>
        <w:tabs>
          <w:tab w:val="left" w:pos="360"/>
          <w:tab w:val="left" w:pos="420"/>
        </w:tabs>
        <w:spacing w:before="48" w:beforeLines="20" w:line="360" w:lineRule="exact"/>
        <w:rPr>
          <w:rFonts w:ascii="仿宋" w:hAnsi="仿宋" w:eastAsia="仿宋" w:cs="仿宋"/>
          <w:sz w:val="24"/>
        </w:rPr>
      </w:pPr>
      <w:r>
        <w:rPr>
          <w:rFonts w:hint="eastAsia" w:ascii="仿宋" w:hAnsi="仿宋" w:eastAsia="仿宋" w:cs="仿宋"/>
          <w:b/>
          <w:bCs/>
          <w:sz w:val="24"/>
        </w:rPr>
        <w:t>提交响应文件地点：</w:t>
      </w:r>
      <w:r>
        <w:rPr>
          <w:rFonts w:hint="eastAsia" w:ascii="仿宋" w:hAnsi="仿宋" w:eastAsia="仿宋" w:cs="仿宋"/>
          <w:sz w:val="24"/>
        </w:rPr>
        <w:t>北京市丰台区西三环</w:t>
      </w:r>
      <w:r>
        <w:rPr>
          <w:rFonts w:hint="eastAsia" w:ascii="仿宋" w:hAnsi="仿宋" w:eastAsia="仿宋" w:cs="仿宋"/>
          <w:bCs/>
          <w:sz w:val="24"/>
        </w:rPr>
        <w:t>南路14号院首科大厦A座4层405号</w:t>
      </w:r>
      <w:r>
        <w:rPr>
          <w:rFonts w:hint="eastAsia" w:ascii="仿宋" w:hAnsi="仿宋" w:eastAsia="仿宋" w:cs="仿宋"/>
          <w:bCs/>
          <w:sz w:val="24"/>
          <w:highlight w:val="none"/>
          <w:lang w:eastAsia="zh-CN"/>
        </w:rPr>
        <w:t>第十一评标室</w:t>
      </w:r>
      <w:r>
        <w:rPr>
          <w:rFonts w:hint="eastAsia" w:ascii="仿宋" w:hAnsi="仿宋" w:eastAsia="仿宋" w:cs="仿宋"/>
          <w:sz w:val="24"/>
        </w:rPr>
        <w:t>，逾期收到或不符合规定的响应文件恕不接受。</w:t>
      </w:r>
    </w:p>
    <w:p>
      <w:pPr>
        <w:numPr>
          <w:ilvl w:val="0"/>
          <w:numId w:val="3"/>
        </w:numPr>
        <w:tabs>
          <w:tab w:val="left" w:pos="360"/>
          <w:tab w:val="left" w:pos="420"/>
        </w:tabs>
        <w:spacing w:before="48" w:beforeLines="20" w:line="360" w:lineRule="exact"/>
        <w:rPr>
          <w:rFonts w:ascii="仿宋" w:hAnsi="仿宋" w:eastAsia="仿宋" w:cs="仿宋"/>
          <w:b/>
          <w:bCs/>
          <w:sz w:val="24"/>
        </w:rPr>
      </w:pPr>
      <w:r>
        <w:rPr>
          <w:rFonts w:hint="eastAsia" w:ascii="仿宋" w:hAnsi="仿宋" w:eastAsia="仿宋" w:cs="仿宋"/>
          <w:b/>
          <w:bCs/>
          <w:sz w:val="24"/>
        </w:rPr>
        <w:t>响应文件开启时间、磋商时间及地点：</w:t>
      </w:r>
    </w:p>
    <w:p>
      <w:pPr>
        <w:pStyle w:val="4"/>
        <w:spacing w:before="48" w:beforeLines="20" w:line="360" w:lineRule="exact"/>
        <w:ind w:firstLine="0" w:firstLineChars="0"/>
        <w:rPr>
          <w:rFonts w:ascii="仿宋" w:hAnsi="仿宋" w:eastAsia="仿宋" w:cs="仿宋"/>
          <w:sz w:val="24"/>
        </w:rPr>
      </w:pPr>
      <w:r>
        <w:rPr>
          <w:rFonts w:hint="eastAsia" w:ascii="仿宋" w:hAnsi="仿宋" w:eastAsia="仿宋" w:cs="仿宋"/>
          <w:b/>
          <w:bCs/>
          <w:sz w:val="24"/>
        </w:rPr>
        <w:t>响应文件开启时间:</w:t>
      </w:r>
      <w:r>
        <w:rPr>
          <w:rFonts w:hint="eastAsia" w:ascii="仿宋" w:hAnsi="仿宋" w:eastAsia="仿宋" w:cs="仿宋"/>
          <w:sz w:val="24"/>
          <w:lang w:eastAsia="zh-CN"/>
        </w:rPr>
        <w:t>2022年3月18日上午9：00</w:t>
      </w:r>
      <w:r>
        <w:rPr>
          <w:rFonts w:hint="eastAsia" w:ascii="仿宋" w:hAnsi="仿宋" w:eastAsia="仿宋" w:cs="仿宋"/>
          <w:sz w:val="24"/>
        </w:rPr>
        <w:t>（北京时间）</w:t>
      </w:r>
    </w:p>
    <w:p>
      <w:pPr>
        <w:tabs>
          <w:tab w:val="left" w:pos="360"/>
          <w:tab w:val="left" w:pos="420"/>
        </w:tabs>
        <w:spacing w:before="48" w:beforeLines="20" w:line="360" w:lineRule="exact"/>
        <w:rPr>
          <w:rFonts w:ascii="仿宋" w:hAnsi="仿宋" w:eastAsia="仿宋" w:cs="仿宋"/>
          <w:sz w:val="24"/>
        </w:rPr>
      </w:pPr>
      <w:r>
        <w:rPr>
          <w:rFonts w:hint="eastAsia" w:ascii="仿宋" w:hAnsi="仿宋" w:eastAsia="仿宋" w:cs="仿宋"/>
          <w:b/>
          <w:bCs/>
          <w:sz w:val="24"/>
        </w:rPr>
        <w:t>磋商时间：</w:t>
      </w:r>
      <w:r>
        <w:rPr>
          <w:rFonts w:hint="eastAsia" w:ascii="仿宋" w:hAnsi="仿宋" w:eastAsia="仿宋" w:cs="仿宋"/>
          <w:sz w:val="24"/>
          <w:lang w:eastAsia="zh-CN"/>
        </w:rPr>
        <w:t>2022年3月18日上午9：00</w:t>
      </w:r>
      <w:r>
        <w:rPr>
          <w:rFonts w:hint="eastAsia" w:ascii="仿宋" w:hAnsi="仿宋" w:eastAsia="仿宋" w:cs="仿宋"/>
          <w:sz w:val="24"/>
        </w:rPr>
        <w:t>（北京时间）开始</w:t>
      </w:r>
    </w:p>
    <w:p>
      <w:pPr>
        <w:widowControl/>
        <w:tabs>
          <w:tab w:val="left" w:pos="360"/>
        </w:tabs>
        <w:spacing w:before="48" w:beforeLines="20" w:line="360" w:lineRule="exact"/>
        <w:jc w:val="left"/>
        <w:rPr>
          <w:rFonts w:ascii="仿宋" w:hAnsi="仿宋" w:eastAsia="仿宋" w:cs="仿宋"/>
          <w:sz w:val="24"/>
        </w:rPr>
      </w:pPr>
      <w:r>
        <w:rPr>
          <w:rFonts w:hint="eastAsia" w:ascii="仿宋" w:hAnsi="仿宋" w:eastAsia="仿宋" w:cs="仿宋"/>
          <w:b/>
          <w:bCs/>
          <w:sz w:val="24"/>
        </w:rPr>
        <w:t>磋商地点：</w:t>
      </w:r>
      <w:r>
        <w:rPr>
          <w:rFonts w:hint="eastAsia" w:ascii="仿宋" w:hAnsi="仿宋" w:eastAsia="仿宋" w:cs="仿宋"/>
          <w:sz w:val="24"/>
        </w:rPr>
        <w:t>北京市丰台区西三环</w:t>
      </w:r>
      <w:r>
        <w:rPr>
          <w:rFonts w:hint="eastAsia" w:ascii="仿宋" w:hAnsi="仿宋" w:eastAsia="仿宋" w:cs="仿宋"/>
          <w:bCs/>
          <w:sz w:val="24"/>
        </w:rPr>
        <w:t>南路14号院首科大厦A座4层405号</w:t>
      </w:r>
      <w:r>
        <w:rPr>
          <w:rFonts w:hint="eastAsia" w:ascii="仿宋" w:hAnsi="仿宋" w:eastAsia="仿宋" w:cs="仿宋"/>
          <w:bCs/>
          <w:sz w:val="24"/>
          <w:lang w:eastAsia="zh-CN"/>
        </w:rPr>
        <w:t>第十一评标室</w:t>
      </w:r>
      <w:r>
        <w:rPr>
          <w:rFonts w:hint="eastAsia" w:ascii="仿宋" w:hAnsi="仿宋" w:eastAsia="仿宋" w:cs="仿宋"/>
          <w:sz w:val="24"/>
        </w:rPr>
        <w:t>，供应商应派其法定代表人或授权代表和技术人员参加磋商。</w:t>
      </w:r>
    </w:p>
    <w:p>
      <w:pPr>
        <w:numPr>
          <w:ilvl w:val="0"/>
          <w:numId w:val="3"/>
        </w:numPr>
        <w:spacing w:before="48" w:beforeLines="20" w:line="360" w:lineRule="exact"/>
        <w:jc w:val="left"/>
        <w:rPr>
          <w:rFonts w:ascii="仿宋" w:hAnsi="仿宋" w:eastAsia="仿宋" w:cs="仿宋"/>
          <w:b/>
          <w:bCs/>
          <w:sz w:val="24"/>
        </w:rPr>
      </w:pPr>
      <w:bookmarkStart w:id="4" w:name="_GoBack"/>
      <w:r>
        <w:rPr>
          <w:rFonts w:hint="eastAsia" w:ascii="仿宋" w:hAnsi="仿宋" w:eastAsia="仿宋" w:cs="仿宋"/>
          <w:b/>
          <w:bCs/>
          <w:sz w:val="24"/>
        </w:rPr>
        <w:t>评审办法和评审标准：</w:t>
      </w:r>
      <w:r>
        <w:rPr>
          <w:rFonts w:hint="eastAsia" w:ascii="仿宋" w:hAnsi="仿宋" w:eastAsia="仿宋" w:cs="仿宋"/>
          <w:sz w:val="24"/>
        </w:rPr>
        <w:t>本项目评审采用综合评分法，详细的评分因素和评分标准见竞争性磋商文件第二章。</w:t>
      </w:r>
    </w:p>
    <w:p>
      <w:pPr>
        <w:numPr>
          <w:ilvl w:val="0"/>
          <w:numId w:val="3"/>
        </w:numPr>
        <w:spacing w:before="48" w:beforeLines="20" w:line="360" w:lineRule="exact"/>
        <w:jc w:val="left"/>
        <w:rPr>
          <w:rFonts w:ascii="仿宋" w:hAnsi="仿宋" w:eastAsia="仿宋" w:cs="仿宋"/>
          <w:b/>
          <w:bCs/>
          <w:sz w:val="24"/>
        </w:rPr>
      </w:pPr>
      <w:r>
        <w:rPr>
          <w:rFonts w:hint="eastAsia" w:ascii="仿宋" w:hAnsi="仿宋" w:eastAsia="仿宋" w:cs="仿宋"/>
          <w:b/>
          <w:bCs/>
          <w:sz w:val="24"/>
        </w:rPr>
        <w:t>公告期限：自本公告发布之日起5个工作日。</w:t>
      </w:r>
      <w:bookmarkEnd w:id="4"/>
    </w:p>
    <w:p>
      <w:pPr>
        <w:numPr>
          <w:ilvl w:val="0"/>
          <w:numId w:val="3"/>
        </w:numPr>
        <w:spacing w:before="48" w:beforeLines="20" w:line="360" w:lineRule="exact"/>
        <w:jc w:val="left"/>
        <w:rPr>
          <w:rFonts w:ascii="仿宋" w:hAnsi="仿宋" w:eastAsia="仿宋" w:cs="仿宋"/>
          <w:b/>
          <w:bCs/>
          <w:sz w:val="24"/>
        </w:rPr>
      </w:pPr>
      <w:r>
        <w:rPr>
          <w:rFonts w:hint="eastAsia" w:ascii="仿宋" w:hAnsi="仿宋" w:eastAsia="仿宋" w:cs="仿宋"/>
          <w:b/>
          <w:bCs/>
          <w:sz w:val="24"/>
        </w:rPr>
        <w:t>采购人信息：</w:t>
      </w:r>
    </w:p>
    <w:p>
      <w:pPr>
        <w:spacing w:before="48" w:beforeLines="20" w:line="360" w:lineRule="exact"/>
        <w:jc w:val="left"/>
        <w:rPr>
          <w:rFonts w:ascii="仿宋" w:hAnsi="仿宋" w:eastAsia="仿宋" w:cs="仿宋"/>
          <w:sz w:val="24"/>
        </w:rPr>
      </w:pPr>
      <w:r>
        <w:rPr>
          <w:rFonts w:hint="eastAsia" w:ascii="仿宋" w:hAnsi="仿宋" w:eastAsia="仿宋" w:cs="仿宋"/>
          <w:sz w:val="24"/>
        </w:rPr>
        <w:t>(1)名称：中国医学科学院基础医学研究所</w:t>
      </w:r>
    </w:p>
    <w:p>
      <w:pPr>
        <w:spacing w:before="48" w:beforeLines="20" w:line="360" w:lineRule="exact"/>
        <w:jc w:val="left"/>
        <w:rPr>
          <w:rFonts w:ascii="仿宋" w:hAnsi="仿宋" w:eastAsia="仿宋" w:cs="仿宋"/>
          <w:sz w:val="24"/>
        </w:rPr>
      </w:pPr>
      <w:r>
        <w:rPr>
          <w:rFonts w:hint="eastAsia" w:ascii="仿宋" w:hAnsi="仿宋" w:eastAsia="仿宋" w:cs="仿宋"/>
          <w:sz w:val="24"/>
        </w:rPr>
        <w:t xml:space="preserve">(2)地址：北京市东单三条5号 </w:t>
      </w:r>
    </w:p>
    <w:p>
      <w:pPr>
        <w:spacing w:before="48" w:beforeLines="20" w:line="360" w:lineRule="exact"/>
        <w:jc w:val="left"/>
        <w:rPr>
          <w:rFonts w:ascii="仿宋" w:hAnsi="仿宋" w:eastAsia="仿宋" w:cs="仿宋"/>
          <w:sz w:val="24"/>
        </w:rPr>
      </w:pPr>
      <w:r>
        <w:rPr>
          <w:rFonts w:hint="eastAsia" w:ascii="仿宋" w:hAnsi="仿宋" w:eastAsia="仿宋" w:cs="仿宋"/>
          <w:sz w:val="24"/>
        </w:rPr>
        <w:t xml:space="preserve">(3)联系人：王老师 </w:t>
      </w:r>
    </w:p>
    <w:p>
      <w:pPr>
        <w:spacing w:before="48" w:beforeLines="20" w:line="360" w:lineRule="exact"/>
        <w:rPr>
          <w:rFonts w:ascii="仿宋" w:hAnsi="仿宋" w:eastAsia="仿宋" w:cs="仿宋"/>
          <w:sz w:val="24"/>
        </w:rPr>
      </w:pPr>
      <w:r>
        <w:rPr>
          <w:rFonts w:hint="eastAsia" w:ascii="仿宋" w:hAnsi="仿宋" w:eastAsia="仿宋" w:cs="仿宋"/>
          <w:sz w:val="24"/>
        </w:rPr>
        <w:t>(4)电话：010-65253805转605</w:t>
      </w:r>
    </w:p>
    <w:p>
      <w:pPr>
        <w:spacing w:before="48" w:beforeLines="20" w:line="360" w:lineRule="exact"/>
        <w:jc w:val="left"/>
        <w:rPr>
          <w:rFonts w:ascii="仿宋" w:hAnsi="仿宋" w:eastAsia="仿宋" w:cs="仿宋"/>
          <w:b/>
          <w:bCs/>
          <w:sz w:val="24"/>
        </w:rPr>
      </w:pPr>
      <w:r>
        <w:rPr>
          <w:rFonts w:hint="eastAsia" w:ascii="仿宋" w:hAnsi="仿宋" w:eastAsia="仿宋" w:cs="仿宋"/>
          <w:b/>
          <w:bCs/>
          <w:sz w:val="24"/>
        </w:rPr>
        <w:t>12. 采购代理机构信息：</w:t>
      </w:r>
    </w:p>
    <w:p>
      <w:pPr>
        <w:spacing w:before="48" w:beforeLines="20" w:line="360" w:lineRule="exact"/>
        <w:jc w:val="left"/>
        <w:rPr>
          <w:rFonts w:ascii="仿宋" w:hAnsi="仿宋" w:eastAsia="仿宋" w:cs="仿宋"/>
          <w:sz w:val="24"/>
        </w:rPr>
      </w:pPr>
      <w:r>
        <w:rPr>
          <w:rFonts w:hint="eastAsia" w:ascii="仿宋" w:hAnsi="仿宋" w:eastAsia="仿宋" w:cs="仿宋"/>
          <w:sz w:val="24"/>
        </w:rPr>
        <w:t>(1)名称：中技国际招标有限公司</w:t>
      </w:r>
    </w:p>
    <w:p>
      <w:pPr>
        <w:spacing w:before="48" w:beforeLines="20" w:line="360" w:lineRule="exact"/>
        <w:jc w:val="left"/>
        <w:rPr>
          <w:rFonts w:ascii="仿宋" w:hAnsi="仿宋" w:eastAsia="仿宋" w:cs="仿宋"/>
          <w:sz w:val="24"/>
        </w:rPr>
      </w:pPr>
      <w:r>
        <w:rPr>
          <w:rFonts w:hint="eastAsia" w:ascii="仿宋" w:hAnsi="仿宋" w:eastAsia="仿宋" w:cs="仿宋"/>
          <w:sz w:val="24"/>
        </w:rPr>
        <w:t xml:space="preserve">(2)地址：北京市丰台区西三环中路90号通用技术大厦1110室 </w:t>
      </w:r>
    </w:p>
    <w:p>
      <w:pPr>
        <w:spacing w:before="48" w:beforeLines="20" w:line="360" w:lineRule="exact"/>
        <w:jc w:val="left"/>
        <w:rPr>
          <w:rFonts w:ascii="仿宋" w:hAnsi="仿宋" w:eastAsia="仿宋" w:cs="仿宋"/>
          <w:sz w:val="24"/>
        </w:rPr>
      </w:pPr>
      <w:r>
        <w:rPr>
          <w:rFonts w:hint="eastAsia" w:ascii="仿宋" w:hAnsi="仿宋" w:eastAsia="仿宋" w:cs="仿宋"/>
          <w:sz w:val="24"/>
        </w:rPr>
        <w:t>(3)邮政编码：100055</w:t>
      </w:r>
    </w:p>
    <w:p>
      <w:pPr>
        <w:spacing w:before="48" w:beforeLines="20" w:line="360" w:lineRule="exact"/>
        <w:jc w:val="left"/>
        <w:rPr>
          <w:rFonts w:ascii="仿宋" w:hAnsi="仿宋" w:eastAsia="仿宋" w:cs="仿宋"/>
          <w:sz w:val="24"/>
        </w:rPr>
      </w:pPr>
      <w:r>
        <w:rPr>
          <w:rFonts w:hint="eastAsia" w:ascii="仿宋" w:hAnsi="仿宋" w:eastAsia="仿宋" w:cs="仿宋"/>
          <w:sz w:val="24"/>
        </w:rPr>
        <w:t>(4)联系人：常志峰、吴羽</w:t>
      </w:r>
    </w:p>
    <w:p>
      <w:pPr>
        <w:spacing w:before="48" w:beforeLines="20" w:line="360" w:lineRule="exact"/>
        <w:jc w:val="left"/>
        <w:rPr>
          <w:rFonts w:ascii="仿宋" w:hAnsi="仿宋" w:eastAsia="仿宋" w:cs="仿宋"/>
          <w:sz w:val="24"/>
        </w:rPr>
      </w:pPr>
      <w:r>
        <w:rPr>
          <w:rFonts w:hint="eastAsia" w:ascii="仿宋" w:hAnsi="仿宋" w:eastAsia="仿宋" w:cs="仿宋"/>
          <w:sz w:val="24"/>
        </w:rPr>
        <w:t>(5)电话： 010－63348621</w:t>
      </w:r>
    </w:p>
    <w:p>
      <w:pPr>
        <w:spacing w:before="48" w:beforeLines="20" w:line="360" w:lineRule="exact"/>
        <w:jc w:val="left"/>
        <w:rPr>
          <w:rFonts w:ascii="仿宋" w:hAnsi="仿宋" w:eastAsia="仿宋" w:cs="仿宋"/>
          <w:sz w:val="24"/>
        </w:rPr>
      </w:pPr>
      <w:r>
        <w:rPr>
          <w:rFonts w:hint="eastAsia" w:ascii="仿宋" w:hAnsi="仿宋" w:eastAsia="仿宋" w:cs="仿宋"/>
          <w:sz w:val="24"/>
        </w:rPr>
        <w:t xml:space="preserve">(6)邮箱： </w:t>
      </w:r>
      <w:r>
        <w:fldChar w:fldCharType="begin"/>
      </w:r>
      <w:r>
        <w:instrText xml:space="preserve"> HYPERLINK "mailto:changzhifeng@itc.genertec.com.cn" </w:instrText>
      </w:r>
      <w:r>
        <w:fldChar w:fldCharType="separate"/>
      </w:r>
      <w:r>
        <w:rPr>
          <w:rStyle w:val="8"/>
          <w:rFonts w:hint="eastAsia" w:ascii="仿宋" w:hAnsi="仿宋" w:eastAsia="仿宋" w:cs="仿宋"/>
          <w:sz w:val="24"/>
        </w:rPr>
        <w:t>changzhifeng@cgci.gt.cn</w:t>
      </w:r>
      <w:r>
        <w:rPr>
          <w:rStyle w:val="8"/>
          <w:rFonts w:hint="eastAsia" w:ascii="仿宋" w:hAnsi="仿宋" w:eastAsia="仿宋" w:cs="仿宋"/>
          <w:sz w:val="24"/>
        </w:rPr>
        <w:fldChar w:fldCharType="end"/>
      </w:r>
    </w:p>
    <w:p>
      <w:pPr>
        <w:spacing w:before="48" w:beforeLines="20" w:line="360" w:lineRule="exact"/>
        <w:rPr>
          <w:rFonts w:ascii="仿宋" w:hAnsi="仿宋" w:eastAsia="仿宋" w:cs="仿宋"/>
          <w:b/>
          <w:color w:val="000000"/>
          <w:sz w:val="24"/>
        </w:rPr>
      </w:pPr>
      <w:r>
        <w:rPr>
          <w:rFonts w:hint="eastAsia" w:ascii="仿宋" w:hAnsi="仿宋" w:eastAsia="仿宋" w:cs="仿宋"/>
          <w:b/>
          <w:bCs/>
          <w:sz w:val="24"/>
        </w:rPr>
        <w:t>13.采购代理机构信息：</w:t>
      </w:r>
    </w:p>
    <w:p>
      <w:pPr>
        <w:spacing w:before="48" w:beforeLines="20" w:line="360" w:lineRule="exact"/>
        <w:jc w:val="left"/>
        <w:rPr>
          <w:rFonts w:ascii="仿宋" w:hAnsi="仿宋" w:eastAsia="仿宋" w:cs="仿宋"/>
          <w:sz w:val="24"/>
        </w:rPr>
      </w:pPr>
      <w:r>
        <w:rPr>
          <w:rFonts w:hint="eastAsia" w:ascii="仿宋" w:hAnsi="仿宋" w:eastAsia="仿宋" w:cs="仿宋"/>
          <w:sz w:val="24"/>
        </w:rPr>
        <w:t>(1)开户银行：交通银行阜外支行</w:t>
      </w:r>
    </w:p>
    <w:p>
      <w:pPr>
        <w:spacing w:before="48" w:beforeLines="20" w:line="360" w:lineRule="exact"/>
        <w:jc w:val="left"/>
        <w:rPr>
          <w:rFonts w:ascii="仿宋" w:hAnsi="仿宋" w:eastAsia="仿宋" w:cs="仿宋"/>
          <w:sz w:val="24"/>
        </w:rPr>
      </w:pPr>
      <w:r>
        <w:rPr>
          <w:rFonts w:hint="eastAsia" w:ascii="仿宋" w:hAnsi="仿宋" w:eastAsia="仿宋" w:cs="仿宋"/>
          <w:sz w:val="24"/>
        </w:rPr>
        <w:t>(2)户    名：中技国际招标有限公司</w:t>
      </w:r>
    </w:p>
    <w:p>
      <w:pPr>
        <w:spacing w:before="48" w:beforeLines="20" w:line="360" w:lineRule="exact"/>
        <w:jc w:val="left"/>
        <w:rPr>
          <w:rFonts w:ascii="仿宋" w:hAnsi="仿宋" w:eastAsia="仿宋" w:cs="仿宋"/>
          <w:sz w:val="24"/>
        </w:rPr>
      </w:pPr>
      <w:r>
        <w:rPr>
          <w:rFonts w:hint="eastAsia" w:ascii="仿宋" w:hAnsi="仿宋" w:eastAsia="仿宋" w:cs="仿宋"/>
          <w:sz w:val="24"/>
        </w:rPr>
        <w:t>(3)账    号：1100 6014 9012 0131 4779 7</w:t>
      </w:r>
    </w:p>
    <w:p>
      <w:r>
        <w:rPr>
          <w:rFonts w:hint="eastAsia" w:ascii="仿宋" w:hAnsi="仿宋" w:eastAsia="仿宋" w:cs="仿宋"/>
          <w:b/>
          <w:bCs/>
          <w:sz w:val="24"/>
        </w:rPr>
        <w:t>备注：以电汇方式支付成交服务费请供应商在电汇凭据附言栏中写明采购编号及用途。</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354321"/>
    <w:multiLevelType w:val="singleLevel"/>
    <w:tmpl w:val="DE354321"/>
    <w:lvl w:ilvl="0" w:tentative="0">
      <w:start w:val="1"/>
      <w:numFmt w:val="decimal"/>
      <w:suff w:val="space"/>
      <w:lvlText w:val="%1."/>
      <w:lvlJc w:val="left"/>
    </w:lvl>
  </w:abstractNum>
  <w:abstractNum w:abstractNumId="1">
    <w:nsid w:val="5D6CA95E"/>
    <w:multiLevelType w:val="singleLevel"/>
    <w:tmpl w:val="5D6CA95E"/>
    <w:lvl w:ilvl="0" w:tentative="0">
      <w:start w:val="1"/>
      <w:numFmt w:val="decimal"/>
      <w:suff w:val="space"/>
      <w:lvlText w:val="%1."/>
      <w:lvlJc w:val="left"/>
    </w:lvl>
  </w:abstractNum>
  <w:abstractNum w:abstractNumId="2">
    <w:nsid w:val="7E19E4EF"/>
    <w:multiLevelType w:val="singleLevel"/>
    <w:tmpl w:val="7E19E4EF"/>
    <w:lvl w:ilvl="0" w:tentative="0">
      <w:start w:val="8"/>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A7251A"/>
    <w:rsid w:val="02A7251A"/>
    <w:rsid w:val="04D95FAF"/>
    <w:rsid w:val="09474723"/>
    <w:rsid w:val="637A3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bCs/>
      <w:kern w:val="44"/>
      <w:sz w:val="44"/>
      <w:szCs w:val="44"/>
    </w:rPr>
  </w:style>
  <w:style w:type="paragraph" w:styleId="3">
    <w:name w:val="heading 8"/>
    <w:basedOn w:val="1"/>
    <w:next w:val="1"/>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Hyperlink"/>
    <w:qFormat/>
    <w:uiPriority w:val="99"/>
    <w:rPr>
      <w:color w:val="0068B7"/>
      <w:u w:val="none"/>
    </w:rPr>
  </w:style>
  <w:style w:type="paragraph" w:customStyle="1" w:styleId="9">
    <w:name w:val="正文5"/>
    <w:qFormat/>
    <w:uiPriority w:val="0"/>
    <w:pPr>
      <w:jc w:val="both"/>
    </w:pPr>
    <w:rPr>
      <w:rFonts w:ascii="Times New Roman" w:hAnsi="Times New Roman" w:eastAsia="宋体" w:cs="Times New Roman"/>
      <w:kern w:val="2"/>
      <w:sz w:val="21"/>
      <w:szCs w:val="21"/>
      <w:lang w:val="en-US" w:eastAsia="zh-CN" w:bidi="ar-SA"/>
    </w:rPr>
  </w:style>
  <w:style w:type="paragraph" w:customStyle="1" w:styleId="10">
    <w:name w:val="Table Paragraph"/>
    <w:basedOn w:val="1"/>
    <w:qFormat/>
    <w:uiPriority w:val="1"/>
    <w:pPr>
      <w:jc w:val="left"/>
    </w:pPr>
    <w:rPr>
      <w:rFonts w:asciiTheme="minorHAnsi" w:hAnsiTheme="minorHAnsi" w:eastAsiaTheme="minorEastAsia" w:cstheme="minorBidi"/>
      <w:kern w:val="0"/>
      <w:sz w:val="22"/>
      <w:szCs w:val="22"/>
      <w:lang w:eastAsia="en-US"/>
    </w:rPr>
  </w:style>
  <w:style w:type="paragraph" w:customStyle="1" w:styleId="11">
    <w:name w:val="列出段落71"/>
    <w:basedOn w:val="1"/>
    <w:qFormat/>
    <w:uiPriority w:val="99"/>
    <w:pPr>
      <w:ind w:firstLine="420"/>
    </w:pPr>
    <w:rPr>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2022-03-06T05:34:00Z</dcterms:created>
  <dc:creator>常志峰</dc:creator>
  <cp:lastModifiedBy>常志峰</cp:lastModifiedBy>
  <dcterms:modified xsi:type="dcterms:W3CDTF">2022-03-06T06:10:01Z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78E0452705984270807EBB12D151556F</vt:lpwstr>
  </property>
</Properties>
</file>